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A089"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5AB7FBC"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F503295" w14:textId="77777777" w:rsidR="00251D72" w:rsidRDefault="00251D72">
      <w:pPr>
        <w:pStyle w:val="a3"/>
        <w:pBdr>
          <w:bottom w:val="double" w:sz="6" w:space="1" w:color="auto"/>
        </w:pBdr>
        <w:spacing w:before="0" w:beforeAutospacing="0" w:after="0" w:afterAutospacing="0"/>
        <w:rPr>
          <w:sz w:val="2"/>
          <w:szCs w:val="2"/>
        </w:rPr>
      </w:pPr>
      <w:r>
        <w:rPr>
          <w:sz w:val="2"/>
          <w:szCs w:val="2"/>
        </w:rPr>
        <w:t> </w:t>
      </w:r>
    </w:p>
    <w:p w14:paraId="12B12518" w14:textId="77777777" w:rsidR="00251D72" w:rsidRDefault="00251D72">
      <w:pPr>
        <w:pStyle w:val="a3"/>
        <w:spacing w:before="0" w:beforeAutospacing="0" w:after="0" w:afterAutospacing="0"/>
        <w:rPr>
          <w:sz w:val="6"/>
          <w:szCs w:val="6"/>
        </w:rPr>
      </w:pPr>
      <w:r>
        <w:rPr>
          <w:sz w:val="6"/>
          <w:szCs w:val="6"/>
        </w:rPr>
        <w:t> </w:t>
      </w:r>
    </w:p>
    <w:p w14:paraId="30E8CE94" w14:textId="77777777" w:rsidR="00251D72" w:rsidRDefault="00251D72">
      <w:pPr>
        <w:pStyle w:val="a3"/>
        <w:spacing w:before="0" w:beforeAutospacing="0" w:after="0" w:afterAutospacing="0"/>
        <w:jc w:val="center"/>
        <w:rPr>
          <w:rFonts w:ascii="Calibri" w:hAnsi="Calibri" w:cs="Calibri"/>
          <w:b/>
          <w:bCs/>
          <w:sz w:val="22"/>
          <w:szCs w:val="22"/>
        </w:rPr>
      </w:pPr>
      <w:r>
        <w:rPr>
          <w:rFonts w:ascii="Calibri" w:hAnsi="Calibri" w:cs="Calibri"/>
          <w:b/>
          <w:bCs/>
          <w:sz w:val="22"/>
          <w:szCs w:val="22"/>
        </w:rPr>
        <w:t>UNITED STATES</w:t>
      </w:r>
    </w:p>
    <w:p w14:paraId="6E49DAD4" w14:textId="77777777" w:rsidR="00251D72" w:rsidRDefault="00251D72">
      <w:pPr>
        <w:pStyle w:val="a3"/>
        <w:spacing w:before="0" w:beforeAutospacing="0" w:after="0" w:afterAutospacing="0"/>
        <w:jc w:val="center"/>
        <w:rPr>
          <w:rFonts w:ascii="Calibri" w:hAnsi="Calibri" w:cs="Calibri"/>
          <w:b/>
          <w:bCs/>
          <w:sz w:val="22"/>
          <w:szCs w:val="22"/>
        </w:rPr>
      </w:pPr>
      <w:r>
        <w:rPr>
          <w:rFonts w:ascii="Calibri" w:hAnsi="Calibri" w:cs="Calibri"/>
          <w:b/>
          <w:bCs/>
          <w:sz w:val="22"/>
          <w:szCs w:val="22"/>
        </w:rPr>
        <w:t>SECURITIES AND EXCHANGE COMMISSION</w:t>
      </w:r>
    </w:p>
    <w:p w14:paraId="225CF9C5" w14:textId="77777777" w:rsidR="00251D72" w:rsidRDefault="00251D72">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Washington, D.C. 20549</w:t>
      </w:r>
    </w:p>
    <w:p w14:paraId="63E6ACB1" w14:textId="77777777" w:rsidR="00251D72" w:rsidRDefault="00251D72">
      <w:pPr>
        <w:pStyle w:val="a3"/>
        <w:pBdr>
          <w:bottom w:val="single" w:sz="6" w:space="1" w:color="auto"/>
        </w:pBdr>
        <w:spacing w:before="0" w:beforeAutospacing="0" w:after="0" w:afterAutospacing="0"/>
        <w:ind w:left="5119" w:right="5000"/>
        <w:jc w:val="center"/>
        <w:rPr>
          <w:sz w:val="6"/>
          <w:szCs w:val="6"/>
        </w:rPr>
      </w:pPr>
      <w:r>
        <w:rPr>
          <w:sz w:val="6"/>
          <w:szCs w:val="6"/>
        </w:rPr>
        <w:t> </w:t>
      </w:r>
    </w:p>
    <w:p w14:paraId="237BEFFF" w14:textId="77777777" w:rsidR="00251D72" w:rsidRDefault="00251D72">
      <w:pPr>
        <w:pStyle w:val="a3"/>
        <w:spacing w:before="0" w:beforeAutospacing="0" w:after="0" w:afterAutospacing="0"/>
        <w:jc w:val="center"/>
        <w:rPr>
          <w:rFonts w:ascii="Calibri" w:hAnsi="Calibri" w:cs="Calibri"/>
          <w:b/>
          <w:bCs/>
          <w:sz w:val="28"/>
          <w:szCs w:val="28"/>
        </w:rPr>
      </w:pPr>
      <w:r>
        <w:rPr>
          <w:rFonts w:ascii="Calibri" w:hAnsi="Calibri" w:cs="Calibri"/>
          <w:b/>
          <w:bCs/>
          <w:sz w:val="28"/>
          <w:szCs w:val="28"/>
        </w:rPr>
        <w:t>FORM 10-K</w:t>
      </w:r>
    </w:p>
    <w:tbl>
      <w:tblPr>
        <w:tblW w:w="5000" w:type="pct"/>
        <w:tblCellMar>
          <w:left w:w="0" w:type="dxa"/>
          <w:right w:w="0" w:type="dxa"/>
        </w:tblCellMar>
        <w:tblLook w:val="04A0" w:firstRow="1" w:lastRow="0" w:firstColumn="1" w:lastColumn="0" w:noHBand="0" w:noVBand="1"/>
      </w:tblPr>
      <w:tblGrid>
        <w:gridCol w:w="1917"/>
        <w:gridCol w:w="435"/>
        <w:gridCol w:w="5954"/>
      </w:tblGrid>
      <w:tr w:rsidR="00251D72" w14:paraId="410474DF" w14:textId="77777777">
        <w:tc>
          <w:tcPr>
            <w:tcW w:w="1154" w:type="pct"/>
            <w:noWrap/>
            <w:hideMark/>
          </w:tcPr>
          <w:p w14:paraId="64B2E07A" w14:textId="77777777" w:rsidR="00251D72" w:rsidRDefault="00251D72">
            <w:pPr>
              <w:pStyle w:val="a3"/>
              <w:spacing w:before="0" w:beforeAutospacing="0" w:after="0" w:afterAutospacing="0"/>
              <w:rPr>
                <w:rFonts w:ascii="Calibri" w:hAnsi="Calibri" w:cs="Calibri"/>
                <w:b/>
                <w:bCs/>
                <w:sz w:val="18"/>
                <w:szCs w:val="18"/>
              </w:rPr>
            </w:pPr>
            <w:r>
              <w:rPr>
                <w:rFonts w:ascii="Calibri" w:hAnsi="Calibri" w:cs="Calibri"/>
                <w:b/>
                <w:bCs/>
                <w:sz w:val="18"/>
                <w:szCs w:val="18"/>
              </w:rPr>
              <w:t> </w:t>
            </w:r>
          </w:p>
        </w:tc>
        <w:tc>
          <w:tcPr>
            <w:tcW w:w="262" w:type="pct"/>
            <w:noWrap/>
            <w:hideMark/>
          </w:tcPr>
          <w:p w14:paraId="3D5A962A" w14:textId="77777777" w:rsidR="00251D72" w:rsidRDefault="00251D72">
            <w:pPr>
              <w:pStyle w:val="a3"/>
              <w:spacing w:before="0" w:beforeAutospacing="0" w:after="0" w:afterAutospacing="0"/>
              <w:rPr>
                <w:rFonts w:ascii="Segoe UI Symbol" w:hAnsi="Segoe UI Symbol"/>
                <w:b/>
                <w:bCs/>
                <w:sz w:val="18"/>
                <w:szCs w:val="18"/>
              </w:rPr>
            </w:pPr>
            <w:r>
              <w:rPr>
                <w:rFonts w:ascii="Segoe UI Symbol" w:hAnsi="Segoe UI Symbol"/>
                <w:b/>
                <w:bCs/>
                <w:sz w:val="18"/>
                <w:szCs w:val="18"/>
              </w:rPr>
              <w:t>☒</w:t>
            </w:r>
          </w:p>
        </w:tc>
        <w:tc>
          <w:tcPr>
            <w:tcW w:w="0" w:type="auto"/>
            <w:hideMark/>
          </w:tcPr>
          <w:p w14:paraId="573FAE09" w14:textId="77777777" w:rsidR="00251D72" w:rsidRDefault="00251D72">
            <w:pPr>
              <w:pStyle w:val="a3"/>
              <w:spacing w:before="0" w:beforeAutospacing="0" w:after="0" w:afterAutospacing="0"/>
              <w:rPr>
                <w:rFonts w:ascii="Calibri" w:hAnsi="Calibri" w:cs="Calibri"/>
                <w:b/>
                <w:bCs/>
                <w:sz w:val="18"/>
                <w:szCs w:val="18"/>
              </w:rPr>
            </w:pPr>
            <w:r>
              <w:rPr>
                <w:rFonts w:ascii="Calibri" w:hAnsi="Calibri" w:cs="Calibri"/>
                <w:b/>
                <w:bCs/>
                <w:sz w:val="18"/>
                <w:szCs w:val="18"/>
              </w:rPr>
              <w:t>ANNUAL REPORT PURSUANT TO SECTION 13 OR 15(d) OF</w:t>
            </w:r>
          </w:p>
        </w:tc>
      </w:tr>
    </w:tbl>
    <w:p w14:paraId="6304748A" w14:textId="77777777" w:rsidR="00251D72" w:rsidRDefault="00251D72">
      <w:pPr>
        <w:pStyle w:val="a3"/>
        <w:spacing w:before="0" w:beforeAutospacing="0" w:after="0" w:afterAutospacing="0"/>
        <w:jc w:val="center"/>
        <w:rPr>
          <w:rFonts w:ascii="Calibri" w:hAnsi="Calibri" w:cs="Calibri"/>
          <w:b/>
          <w:bCs/>
          <w:sz w:val="18"/>
          <w:szCs w:val="18"/>
        </w:rPr>
      </w:pPr>
      <w:r>
        <w:rPr>
          <w:rFonts w:ascii="Calibri" w:hAnsi="Calibri" w:cs="Calibri"/>
          <w:b/>
          <w:bCs/>
          <w:sz w:val="18"/>
          <w:szCs w:val="18"/>
        </w:rPr>
        <w:t>THE SECURITIES EXCHANGE ACT OF 1934</w:t>
      </w:r>
    </w:p>
    <w:p w14:paraId="3CF7B0B1" w14:textId="77777777" w:rsidR="00251D72" w:rsidRDefault="00251D72">
      <w:pPr>
        <w:pStyle w:val="a3"/>
        <w:spacing w:before="60" w:beforeAutospacing="0" w:after="0" w:afterAutospacing="0"/>
        <w:jc w:val="center"/>
        <w:rPr>
          <w:rFonts w:ascii="Calibri" w:hAnsi="Calibri" w:cs="Calibri"/>
          <w:b/>
          <w:bCs/>
          <w:sz w:val="18"/>
          <w:szCs w:val="18"/>
        </w:rPr>
      </w:pPr>
      <w:r>
        <w:rPr>
          <w:rFonts w:ascii="Calibri" w:hAnsi="Calibri" w:cs="Calibri"/>
          <w:b/>
          <w:bCs/>
          <w:sz w:val="18"/>
          <w:szCs w:val="18"/>
        </w:rPr>
        <w:t>For the fiscal year ended May 31, 2019</w:t>
      </w:r>
    </w:p>
    <w:p w14:paraId="054258FC" w14:textId="77777777" w:rsidR="00251D72" w:rsidRDefault="00251D72">
      <w:pPr>
        <w:pStyle w:val="a3"/>
        <w:spacing w:before="60" w:beforeAutospacing="0" w:after="0" w:afterAutospacing="0"/>
        <w:jc w:val="center"/>
        <w:rPr>
          <w:rFonts w:ascii="Calibri" w:hAnsi="Calibri" w:cs="Calibri"/>
          <w:b/>
          <w:bCs/>
          <w:sz w:val="18"/>
          <w:szCs w:val="18"/>
        </w:rPr>
      </w:pPr>
      <w:r>
        <w:rPr>
          <w:rFonts w:ascii="Calibri" w:hAnsi="Calibri" w:cs="Calibri"/>
          <w:b/>
          <w:bCs/>
          <w:sz w:val="18"/>
          <w:szCs w:val="18"/>
        </w:rPr>
        <w:t>OR</w:t>
      </w:r>
    </w:p>
    <w:tbl>
      <w:tblPr>
        <w:tblW w:w="5000" w:type="pct"/>
        <w:tblCellMar>
          <w:left w:w="0" w:type="dxa"/>
          <w:right w:w="0" w:type="dxa"/>
        </w:tblCellMar>
        <w:tblLook w:val="04A0" w:firstRow="1" w:lastRow="0" w:firstColumn="1" w:lastColumn="0" w:noHBand="0" w:noVBand="1"/>
      </w:tblPr>
      <w:tblGrid>
        <w:gridCol w:w="1917"/>
        <w:gridCol w:w="435"/>
        <w:gridCol w:w="5954"/>
      </w:tblGrid>
      <w:tr w:rsidR="00251D72" w14:paraId="1E597DA2" w14:textId="77777777">
        <w:tc>
          <w:tcPr>
            <w:tcW w:w="1154" w:type="pct"/>
            <w:noWrap/>
            <w:hideMark/>
          </w:tcPr>
          <w:p w14:paraId="5D5C777D" w14:textId="77777777" w:rsidR="00251D72" w:rsidRDefault="00251D72">
            <w:pPr>
              <w:pStyle w:val="a3"/>
              <w:spacing w:before="60" w:beforeAutospacing="0" w:after="0" w:afterAutospacing="0"/>
              <w:rPr>
                <w:rFonts w:ascii="Calibri" w:hAnsi="Calibri" w:cs="Calibri"/>
                <w:b/>
                <w:bCs/>
                <w:sz w:val="18"/>
                <w:szCs w:val="18"/>
              </w:rPr>
            </w:pPr>
            <w:r>
              <w:rPr>
                <w:rFonts w:ascii="Calibri" w:hAnsi="Calibri" w:cs="Calibri"/>
                <w:b/>
                <w:bCs/>
                <w:sz w:val="18"/>
                <w:szCs w:val="18"/>
              </w:rPr>
              <w:t> </w:t>
            </w:r>
          </w:p>
        </w:tc>
        <w:tc>
          <w:tcPr>
            <w:tcW w:w="262" w:type="pct"/>
            <w:noWrap/>
            <w:hideMark/>
          </w:tcPr>
          <w:p w14:paraId="3F60DC3D" w14:textId="77777777" w:rsidR="00251D72" w:rsidRDefault="00251D72">
            <w:pPr>
              <w:pStyle w:val="a3"/>
              <w:spacing w:before="60" w:beforeAutospacing="0" w:after="0" w:afterAutospacing="0"/>
              <w:rPr>
                <w:rFonts w:ascii="Segoe UI Symbol" w:hAnsi="Segoe UI Symbol"/>
                <w:b/>
                <w:bCs/>
                <w:sz w:val="18"/>
                <w:szCs w:val="18"/>
              </w:rPr>
            </w:pPr>
            <w:r>
              <w:rPr>
                <w:rFonts w:ascii="Segoe UI Symbol" w:hAnsi="Segoe UI Symbol"/>
                <w:b/>
                <w:bCs/>
                <w:sz w:val="18"/>
                <w:szCs w:val="18"/>
              </w:rPr>
              <w:t>☐</w:t>
            </w:r>
          </w:p>
        </w:tc>
        <w:tc>
          <w:tcPr>
            <w:tcW w:w="0" w:type="auto"/>
            <w:hideMark/>
          </w:tcPr>
          <w:p w14:paraId="01EDE43C" w14:textId="77777777" w:rsidR="00251D72" w:rsidRDefault="00251D72">
            <w:pPr>
              <w:pStyle w:val="a3"/>
              <w:spacing w:before="60" w:beforeAutospacing="0" w:after="0" w:afterAutospacing="0"/>
              <w:rPr>
                <w:rFonts w:ascii="Calibri" w:hAnsi="Calibri" w:cs="Calibri"/>
                <w:b/>
                <w:bCs/>
                <w:sz w:val="18"/>
                <w:szCs w:val="18"/>
              </w:rPr>
            </w:pPr>
            <w:r>
              <w:rPr>
                <w:rFonts w:ascii="Calibri" w:hAnsi="Calibri" w:cs="Calibri"/>
                <w:b/>
                <w:bCs/>
                <w:sz w:val="18"/>
                <w:szCs w:val="18"/>
              </w:rPr>
              <w:t>TRANSITION REPORT PURSUANT TO SECTION 13 OR 15(d) OF</w:t>
            </w:r>
          </w:p>
        </w:tc>
      </w:tr>
    </w:tbl>
    <w:p w14:paraId="6A356D4B" w14:textId="77777777" w:rsidR="00251D72" w:rsidRDefault="00251D72">
      <w:pPr>
        <w:pStyle w:val="a3"/>
        <w:spacing w:before="0" w:beforeAutospacing="0" w:after="0" w:afterAutospacing="0"/>
        <w:jc w:val="center"/>
        <w:rPr>
          <w:rFonts w:ascii="Calibri" w:hAnsi="Calibri" w:cs="Calibri"/>
          <w:b/>
          <w:bCs/>
          <w:sz w:val="18"/>
          <w:szCs w:val="18"/>
        </w:rPr>
      </w:pPr>
      <w:r>
        <w:rPr>
          <w:rFonts w:ascii="Calibri" w:hAnsi="Calibri" w:cs="Calibri"/>
          <w:b/>
          <w:bCs/>
          <w:sz w:val="18"/>
          <w:szCs w:val="18"/>
        </w:rPr>
        <w:t>THE SECURITIES EXCHANGE ACT OF 1934</w:t>
      </w:r>
    </w:p>
    <w:p w14:paraId="1EAEC4FE" w14:textId="77777777" w:rsidR="00251D72" w:rsidRDefault="00251D72">
      <w:pPr>
        <w:pStyle w:val="a3"/>
        <w:spacing w:before="60" w:beforeAutospacing="0" w:after="0" w:afterAutospacing="0"/>
        <w:jc w:val="center"/>
        <w:rPr>
          <w:rFonts w:ascii="Calibri" w:hAnsi="Calibri" w:cs="Calibri"/>
          <w:b/>
          <w:bCs/>
          <w:sz w:val="18"/>
          <w:szCs w:val="18"/>
        </w:rPr>
      </w:pPr>
      <w:r>
        <w:rPr>
          <w:rFonts w:ascii="Calibri" w:hAnsi="Calibri" w:cs="Calibri"/>
          <w:b/>
          <w:bCs/>
          <w:sz w:val="18"/>
          <w:szCs w:val="18"/>
        </w:rPr>
        <w:t xml:space="preserve">For the transition period from </w:t>
      </w:r>
      <w:r>
        <w:rPr>
          <w:rFonts w:ascii="Calibri" w:hAnsi="Calibri" w:cs="Calibri"/>
          <w:b/>
          <w:bCs/>
          <w:sz w:val="18"/>
          <w:szCs w:val="18"/>
          <w:u w:val="single"/>
        </w:rPr>
        <w:t>       </w:t>
      </w:r>
      <w:r>
        <w:rPr>
          <w:rFonts w:ascii="Calibri" w:hAnsi="Calibri" w:cs="Calibri"/>
          <w:b/>
          <w:bCs/>
          <w:sz w:val="18"/>
          <w:szCs w:val="18"/>
        </w:rPr>
        <w:t xml:space="preserve"> to </w:t>
      </w:r>
      <w:r>
        <w:rPr>
          <w:rFonts w:ascii="Calibri" w:hAnsi="Calibri" w:cs="Calibri"/>
          <w:b/>
          <w:bCs/>
          <w:sz w:val="18"/>
          <w:szCs w:val="18"/>
          <w:u w:val="single"/>
        </w:rPr>
        <w:t>       </w:t>
      </w:r>
    </w:p>
    <w:p w14:paraId="31C80995" w14:textId="77777777" w:rsidR="00251D72" w:rsidRDefault="00251D72">
      <w:pPr>
        <w:pStyle w:val="a3"/>
        <w:spacing w:before="60" w:beforeAutospacing="0" w:after="0" w:afterAutospacing="0"/>
        <w:jc w:val="center"/>
        <w:rPr>
          <w:rFonts w:ascii="Calibri" w:hAnsi="Calibri" w:cs="Calibri"/>
          <w:b/>
          <w:bCs/>
          <w:sz w:val="18"/>
          <w:szCs w:val="18"/>
        </w:rPr>
      </w:pPr>
      <w:r>
        <w:rPr>
          <w:rFonts w:ascii="Calibri" w:hAnsi="Calibri" w:cs="Calibri"/>
          <w:b/>
          <w:bCs/>
          <w:sz w:val="18"/>
          <w:szCs w:val="18"/>
        </w:rPr>
        <w:t>Commission File Number: 001-35992</w:t>
      </w:r>
    </w:p>
    <w:p w14:paraId="622473A4" w14:textId="77777777" w:rsidR="00251D72" w:rsidRDefault="00251D72">
      <w:pPr>
        <w:pStyle w:val="a3"/>
        <w:pBdr>
          <w:bottom w:val="single" w:sz="6" w:space="1" w:color="auto"/>
        </w:pBdr>
        <w:spacing w:before="0" w:beforeAutospacing="0" w:after="0" w:afterAutospacing="0"/>
        <w:ind w:left="5119" w:right="5000"/>
        <w:jc w:val="center"/>
        <w:rPr>
          <w:sz w:val="4"/>
          <w:szCs w:val="4"/>
        </w:rPr>
      </w:pPr>
      <w:r>
        <w:rPr>
          <w:sz w:val="4"/>
          <w:szCs w:val="4"/>
        </w:rPr>
        <w:t> </w:t>
      </w:r>
    </w:p>
    <w:p w14:paraId="2B75449A" w14:textId="77777777" w:rsidR="00251D72" w:rsidRDefault="00251D72">
      <w:pPr>
        <w:pStyle w:val="a3"/>
        <w:spacing w:before="0" w:beforeAutospacing="0" w:after="0" w:afterAutospacing="0"/>
        <w:jc w:val="center"/>
        <w:rPr>
          <w:rFonts w:ascii="Calibri" w:hAnsi="Calibri" w:cs="Calibri"/>
          <w:b/>
          <w:bCs/>
          <w:sz w:val="40"/>
          <w:szCs w:val="40"/>
        </w:rPr>
      </w:pPr>
      <w:r>
        <w:rPr>
          <w:rFonts w:ascii="Calibri" w:hAnsi="Calibri" w:cs="Calibri"/>
          <w:b/>
          <w:bCs/>
          <w:sz w:val="40"/>
          <w:szCs w:val="40"/>
        </w:rPr>
        <w:t>Oracle Corporation</w:t>
      </w:r>
    </w:p>
    <w:p w14:paraId="4CD5A29C" w14:textId="77777777" w:rsidR="00251D72" w:rsidRDefault="00251D72">
      <w:pPr>
        <w:pStyle w:val="a3"/>
        <w:spacing w:before="0" w:beforeAutospacing="0" w:after="0" w:afterAutospacing="0"/>
        <w:jc w:val="center"/>
        <w:rPr>
          <w:rFonts w:ascii="Calibri" w:hAnsi="Calibri" w:cs="Calibri"/>
          <w:b/>
          <w:bCs/>
          <w:sz w:val="12"/>
          <w:szCs w:val="12"/>
        </w:rPr>
      </w:pPr>
      <w:r>
        <w:rPr>
          <w:rFonts w:ascii="Calibri" w:hAnsi="Calibri" w:cs="Calibri"/>
          <w:b/>
          <w:bCs/>
          <w:sz w:val="12"/>
          <w:szCs w:val="12"/>
        </w:rPr>
        <w:t>(Exact name of registrant as specified in its charter)</w:t>
      </w:r>
    </w:p>
    <w:p w14:paraId="3ACC0C45" w14:textId="77777777" w:rsidR="00251D72" w:rsidRDefault="00251D72">
      <w:pPr>
        <w:pStyle w:val="a3"/>
        <w:spacing w:before="0" w:beforeAutospacing="0" w:after="0" w:afterAutospacing="0"/>
        <w:rPr>
          <w:sz w:val="4"/>
          <w:szCs w:val="4"/>
        </w:rPr>
      </w:pPr>
      <w:r>
        <w:rPr>
          <w:sz w:val="4"/>
          <w:szCs w:val="4"/>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251D72" w14:paraId="0D5E83DC" w14:textId="77777777">
        <w:trPr>
          <w:divId w:val="2002192783"/>
          <w:jc w:val="center"/>
        </w:trPr>
        <w:tc>
          <w:tcPr>
            <w:tcW w:w="2500" w:type="pct"/>
            <w:vAlign w:val="bottom"/>
            <w:hideMark/>
          </w:tcPr>
          <w:p w14:paraId="40FF857D"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Delaware</w:t>
            </w:r>
          </w:p>
        </w:tc>
        <w:tc>
          <w:tcPr>
            <w:tcW w:w="2500" w:type="pct"/>
            <w:vAlign w:val="bottom"/>
            <w:hideMark/>
          </w:tcPr>
          <w:p w14:paraId="25B0DEC2"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54-2185193</w:t>
            </w:r>
          </w:p>
        </w:tc>
      </w:tr>
      <w:tr w:rsidR="00251D72" w14:paraId="2052750D" w14:textId="77777777">
        <w:trPr>
          <w:divId w:val="2002192783"/>
          <w:jc w:val="center"/>
        </w:trPr>
        <w:tc>
          <w:tcPr>
            <w:tcW w:w="2500" w:type="pct"/>
            <w:vAlign w:val="bottom"/>
            <w:hideMark/>
          </w:tcPr>
          <w:p w14:paraId="7DF5380E" w14:textId="77777777" w:rsidR="00251D72" w:rsidRDefault="00251D72">
            <w:pPr>
              <w:pStyle w:val="a3"/>
              <w:spacing w:before="0" w:beforeAutospacing="0" w:after="0" w:afterAutospacing="0"/>
              <w:jc w:val="center"/>
              <w:rPr>
                <w:rFonts w:ascii="Calibri" w:hAnsi="Calibri" w:cs="Calibri"/>
                <w:b/>
                <w:bCs/>
                <w:sz w:val="14"/>
                <w:szCs w:val="14"/>
              </w:rPr>
            </w:pPr>
            <w:r>
              <w:rPr>
                <w:rFonts w:ascii="Calibri" w:hAnsi="Calibri" w:cs="Calibri"/>
                <w:b/>
                <w:bCs/>
                <w:sz w:val="14"/>
                <w:szCs w:val="14"/>
              </w:rPr>
              <w:t>(State or other jurisdiction of</w:t>
            </w:r>
          </w:p>
          <w:p w14:paraId="43746693" w14:textId="77777777" w:rsidR="00251D72" w:rsidRDefault="00251D72">
            <w:pPr>
              <w:pStyle w:val="a3"/>
              <w:spacing w:before="0" w:beforeAutospacing="0" w:after="0" w:afterAutospacing="0"/>
              <w:jc w:val="center"/>
              <w:rPr>
                <w:rFonts w:ascii="Calibri" w:hAnsi="Calibri" w:cs="Calibri"/>
                <w:b/>
                <w:bCs/>
                <w:sz w:val="14"/>
                <w:szCs w:val="14"/>
              </w:rPr>
            </w:pPr>
            <w:r>
              <w:rPr>
                <w:rFonts w:ascii="Calibri" w:hAnsi="Calibri" w:cs="Calibri"/>
                <w:b/>
                <w:bCs/>
                <w:sz w:val="14"/>
                <w:szCs w:val="14"/>
              </w:rPr>
              <w:t>incorporation or organization)</w:t>
            </w:r>
          </w:p>
        </w:tc>
        <w:tc>
          <w:tcPr>
            <w:tcW w:w="2500" w:type="pct"/>
            <w:vAlign w:val="bottom"/>
            <w:hideMark/>
          </w:tcPr>
          <w:p w14:paraId="638FE80C" w14:textId="77777777" w:rsidR="00251D72" w:rsidRDefault="00251D72">
            <w:pPr>
              <w:pStyle w:val="a3"/>
              <w:spacing w:before="0" w:beforeAutospacing="0" w:after="0" w:afterAutospacing="0"/>
              <w:jc w:val="center"/>
              <w:rPr>
                <w:rFonts w:ascii="Calibri" w:hAnsi="Calibri" w:cs="Calibri"/>
                <w:b/>
                <w:bCs/>
                <w:sz w:val="14"/>
                <w:szCs w:val="14"/>
              </w:rPr>
            </w:pPr>
            <w:r>
              <w:rPr>
                <w:rFonts w:ascii="Calibri" w:hAnsi="Calibri" w:cs="Calibri"/>
                <w:b/>
                <w:bCs/>
                <w:sz w:val="14"/>
                <w:szCs w:val="14"/>
              </w:rPr>
              <w:t>(I.R.S. Employer</w:t>
            </w:r>
          </w:p>
          <w:p w14:paraId="22C5FB9D" w14:textId="77777777" w:rsidR="00251D72" w:rsidRDefault="00251D72">
            <w:pPr>
              <w:pStyle w:val="a3"/>
              <w:spacing w:before="0" w:beforeAutospacing="0" w:after="0" w:afterAutospacing="0"/>
              <w:jc w:val="center"/>
              <w:rPr>
                <w:rFonts w:ascii="Calibri" w:hAnsi="Calibri" w:cs="Calibri"/>
                <w:b/>
                <w:bCs/>
                <w:sz w:val="14"/>
                <w:szCs w:val="14"/>
              </w:rPr>
            </w:pPr>
            <w:r>
              <w:rPr>
                <w:rFonts w:ascii="Calibri" w:hAnsi="Calibri" w:cs="Calibri"/>
                <w:b/>
                <w:bCs/>
                <w:sz w:val="14"/>
                <w:szCs w:val="14"/>
              </w:rPr>
              <w:t>Identification No.)</w:t>
            </w:r>
          </w:p>
        </w:tc>
      </w:tr>
      <w:tr w:rsidR="00251D72" w14:paraId="7118E262" w14:textId="77777777">
        <w:trPr>
          <w:divId w:val="2002192783"/>
          <w:jc w:val="center"/>
        </w:trPr>
        <w:tc>
          <w:tcPr>
            <w:tcW w:w="2500" w:type="pct"/>
            <w:vAlign w:val="bottom"/>
            <w:hideMark/>
          </w:tcPr>
          <w:p w14:paraId="16614459" w14:textId="77777777" w:rsidR="00251D72" w:rsidRDefault="00251D72">
            <w:pPr>
              <w:pStyle w:val="a3"/>
              <w:spacing w:before="0" w:beforeAutospacing="0" w:after="0" w:afterAutospacing="0"/>
              <w:jc w:val="center"/>
              <w:rPr>
                <w:b/>
                <w:bCs/>
                <w:sz w:val="4"/>
                <w:szCs w:val="4"/>
              </w:rPr>
            </w:pPr>
            <w:r>
              <w:rPr>
                <w:b/>
                <w:bCs/>
                <w:sz w:val="4"/>
                <w:szCs w:val="4"/>
              </w:rPr>
              <w:t> </w:t>
            </w:r>
          </w:p>
        </w:tc>
        <w:tc>
          <w:tcPr>
            <w:tcW w:w="2500" w:type="pct"/>
            <w:vAlign w:val="bottom"/>
            <w:hideMark/>
          </w:tcPr>
          <w:p w14:paraId="2C87CEE5" w14:textId="77777777" w:rsidR="00251D72" w:rsidRDefault="00251D72">
            <w:pPr>
              <w:pStyle w:val="a3"/>
              <w:spacing w:before="0" w:beforeAutospacing="0" w:after="0" w:afterAutospacing="0"/>
              <w:jc w:val="center"/>
              <w:rPr>
                <w:b/>
                <w:bCs/>
                <w:sz w:val="6"/>
                <w:szCs w:val="6"/>
              </w:rPr>
            </w:pPr>
            <w:r>
              <w:rPr>
                <w:b/>
                <w:bCs/>
                <w:sz w:val="6"/>
                <w:szCs w:val="6"/>
              </w:rPr>
              <w:t> </w:t>
            </w:r>
          </w:p>
        </w:tc>
      </w:tr>
      <w:tr w:rsidR="00251D72" w14:paraId="09273DB3" w14:textId="77777777">
        <w:trPr>
          <w:divId w:val="2002192783"/>
          <w:trHeight w:val="99"/>
          <w:jc w:val="center"/>
        </w:trPr>
        <w:tc>
          <w:tcPr>
            <w:tcW w:w="2500" w:type="pct"/>
            <w:vAlign w:val="bottom"/>
            <w:hideMark/>
          </w:tcPr>
          <w:p w14:paraId="62B1B678"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500 Oracle Parkway</w:t>
            </w:r>
          </w:p>
        </w:tc>
        <w:tc>
          <w:tcPr>
            <w:tcW w:w="2500" w:type="pct"/>
            <w:vAlign w:val="bottom"/>
            <w:hideMark/>
          </w:tcPr>
          <w:p w14:paraId="56B216F3" w14:textId="77777777" w:rsidR="00251D72" w:rsidRDefault="00251D72">
            <w:pPr>
              <w:pStyle w:val="a3"/>
              <w:spacing w:before="0" w:beforeAutospacing="0" w:after="0" w:afterAutospacing="0"/>
              <w:jc w:val="center"/>
              <w:rPr>
                <w:b/>
                <w:bCs/>
                <w:sz w:val="16"/>
                <w:szCs w:val="16"/>
              </w:rPr>
            </w:pPr>
            <w:r>
              <w:rPr>
                <w:b/>
                <w:bCs/>
                <w:sz w:val="16"/>
                <w:szCs w:val="16"/>
              </w:rPr>
              <w:t> </w:t>
            </w:r>
          </w:p>
        </w:tc>
      </w:tr>
      <w:tr w:rsidR="00251D72" w14:paraId="0A14D2C4" w14:textId="77777777">
        <w:trPr>
          <w:divId w:val="2002192783"/>
          <w:jc w:val="center"/>
        </w:trPr>
        <w:tc>
          <w:tcPr>
            <w:tcW w:w="2500" w:type="pct"/>
            <w:vAlign w:val="bottom"/>
            <w:hideMark/>
          </w:tcPr>
          <w:p w14:paraId="4176B233"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Redwood City, California</w:t>
            </w:r>
          </w:p>
          <w:p w14:paraId="019F34E2" w14:textId="77777777" w:rsidR="00251D72" w:rsidRDefault="00251D72">
            <w:pPr>
              <w:pStyle w:val="a3"/>
              <w:spacing w:before="0" w:beforeAutospacing="0" w:after="0" w:afterAutospacing="0"/>
              <w:jc w:val="center"/>
              <w:rPr>
                <w:rFonts w:ascii="Calibri" w:hAnsi="Calibri" w:cs="Calibri"/>
                <w:b/>
                <w:bCs/>
                <w:sz w:val="14"/>
                <w:szCs w:val="14"/>
              </w:rPr>
            </w:pPr>
            <w:r>
              <w:rPr>
                <w:rFonts w:ascii="Calibri" w:hAnsi="Calibri" w:cs="Calibri"/>
                <w:b/>
                <w:bCs/>
                <w:sz w:val="14"/>
                <w:szCs w:val="14"/>
              </w:rPr>
              <w:t>(Address of principal executive offices)</w:t>
            </w:r>
          </w:p>
        </w:tc>
        <w:tc>
          <w:tcPr>
            <w:tcW w:w="2500" w:type="pct"/>
            <w:vAlign w:val="bottom"/>
            <w:hideMark/>
          </w:tcPr>
          <w:p w14:paraId="53BC7A39"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94065</w:t>
            </w:r>
          </w:p>
          <w:p w14:paraId="00A9B86D" w14:textId="77777777" w:rsidR="00251D72" w:rsidRDefault="00251D72">
            <w:pPr>
              <w:pStyle w:val="a3"/>
              <w:spacing w:before="0" w:beforeAutospacing="0" w:after="0" w:afterAutospacing="0"/>
              <w:jc w:val="center"/>
              <w:rPr>
                <w:rFonts w:ascii="Calibri" w:hAnsi="Calibri" w:cs="Calibri"/>
                <w:b/>
                <w:bCs/>
                <w:sz w:val="14"/>
                <w:szCs w:val="14"/>
              </w:rPr>
            </w:pPr>
            <w:r>
              <w:rPr>
                <w:rFonts w:ascii="Calibri" w:hAnsi="Calibri" w:cs="Calibri"/>
                <w:b/>
                <w:bCs/>
                <w:sz w:val="14"/>
                <w:szCs w:val="14"/>
              </w:rPr>
              <w:t>(Zip Code)</w:t>
            </w:r>
          </w:p>
        </w:tc>
      </w:tr>
    </w:tbl>
    <w:p w14:paraId="5BE66046"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(650) 506-7000</w:t>
      </w:r>
    </w:p>
    <w:p w14:paraId="3008562E" w14:textId="77777777" w:rsidR="00251D72" w:rsidRDefault="00251D72">
      <w:pPr>
        <w:pStyle w:val="a3"/>
        <w:spacing w:before="0" w:beforeAutospacing="0" w:after="0" w:afterAutospacing="0"/>
        <w:jc w:val="center"/>
        <w:rPr>
          <w:rFonts w:ascii="Calibri" w:hAnsi="Calibri" w:cs="Calibri"/>
          <w:b/>
          <w:bCs/>
          <w:sz w:val="12"/>
          <w:szCs w:val="12"/>
        </w:rPr>
      </w:pPr>
      <w:r>
        <w:rPr>
          <w:rFonts w:ascii="Calibri" w:hAnsi="Calibri" w:cs="Calibri"/>
          <w:b/>
          <w:bCs/>
          <w:sz w:val="12"/>
          <w:szCs w:val="12"/>
        </w:rPr>
        <w:t>(Registrant’s telephone number, including area code)</w:t>
      </w:r>
    </w:p>
    <w:p w14:paraId="4ADEDE5B" w14:textId="77777777" w:rsidR="00251D72" w:rsidRDefault="00251D72">
      <w:pPr>
        <w:pStyle w:val="a3"/>
        <w:spacing w:before="60" w:beforeAutospacing="0" w:after="0" w:afterAutospacing="0"/>
        <w:jc w:val="center"/>
        <w:rPr>
          <w:rFonts w:ascii="Calibri" w:hAnsi="Calibri" w:cs="Calibri"/>
          <w:b/>
          <w:bCs/>
          <w:sz w:val="16"/>
          <w:szCs w:val="16"/>
        </w:rPr>
      </w:pPr>
      <w:r>
        <w:rPr>
          <w:rFonts w:ascii="Calibri" w:hAnsi="Calibri" w:cs="Calibri"/>
          <w:b/>
          <w:bCs/>
          <w:sz w:val="16"/>
          <w:szCs w:val="16"/>
        </w:rPr>
        <w:t>Securities registered pursuant to Section 12(b) of the Act:</w:t>
      </w:r>
    </w:p>
    <w:p w14:paraId="63051303" w14:textId="77777777" w:rsidR="00251D72" w:rsidRDefault="00251D72">
      <w:pPr>
        <w:pStyle w:val="a3"/>
        <w:spacing w:before="0" w:beforeAutospacing="0" w:after="0" w:afterAutospacing="0"/>
        <w:rPr>
          <w:sz w:val="4"/>
          <w:szCs w:val="4"/>
        </w:rPr>
      </w:pPr>
      <w:r>
        <w:rPr>
          <w:sz w:val="4"/>
          <w:szCs w:val="4"/>
        </w:rPr>
        <w:t> </w:t>
      </w:r>
    </w:p>
    <w:tbl>
      <w:tblPr>
        <w:tblW w:w="5000" w:type="pct"/>
        <w:jc w:val="center"/>
        <w:tblCellMar>
          <w:left w:w="0" w:type="dxa"/>
          <w:right w:w="0" w:type="dxa"/>
        </w:tblCellMar>
        <w:tblLook w:val="04A0" w:firstRow="1" w:lastRow="0" w:firstColumn="1" w:lastColumn="0" w:noHBand="0" w:noVBand="1"/>
      </w:tblPr>
      <w:tblGrid>
        <w:gridCol w:w="2769"/>
        <w:gridCol w:w="2769"/>
        <w:gridCol w:w="2768"/>
      </w:tblGrid>
      <w:tr w:rsidR="00251D72" w14:paraId="6B1DFC3E" w14:textId="77777777">
        <w:trPr>
          <w:divId w:val="1668090386"/>
          <w:jc w:val="center"/>
        </w:trPr>
        <w:tc>
          <w:tcPr>
            <w:tcW w:w="1667" w:type="pct"/>
            <w:vAlign w:val="bottom"/>
            <w:hideMark/>
          </w:tcPr>
          <w:p w14:paraId="54B73EA5"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Title of each class</w:t>
            </w:r>
          </w:p>
        </w:tc>
        <w:tc>
          <w:tcPr>
            <w:tcW w:w="1667" w:type="pct"/>
            <w:hideMark/>
          </w:tcPr>
          <w:p w14:paraId="14EB10A4"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Trading Symbol(s)</w:t>
            </w:r>
          </w:p>
        </w:tc>
        <w:tc>
          <w:tcPr>
            <w:tcW w:w="1666" w:type="pct"/>
            <w:hideMark/>
          </w:tcPr>
          <w:p w14:paraId="18EA2F1C"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Name of each exchange on which registered</w:t>
            </w:r>
          </w:p>
        </w:tc>
      </w:tr>
      <w:tr w:rsidR="00251D72" w14:paraId="7BD60187" w14:textId="77777777">
        <w:trPr>
          <w:divId w:val="1668090386"/>
          <w:jc w:val="center"/>
        </w:trPr>
        <w:tc>
          <w:tcPr>
            <w:tcW w:w="1667" w:type="pct"/>
            <w:hideMark/>
          </w:tcPr>
          <w:p w14:paraId="7862C3C4" w14:textId="77777777" w:rsidR="00251D72" w:rsidRDefault="00251D72">
            <w:pPr>
              <w:pStyle w:val="a3"/>
              <w:spacing w:before="0" w:beforeAutospacing="0" w:after="0" w:afterAutospacing="0"/>
              <w:jc w:val="center"/>
              <w:rPr>
                <w:rFonts w:ascii="Calibri" w:hAnsi="Calibri" w:cs="Calibri"/>
                <w:sz w:val="14"/>
                <w:szCs w:val="14"/>
              </w:rPr>
            </w:pPr>
            <w:r>
              <w:rPr>
                <w:rFonts w:ascii="Calibri" w:hAnsi="Calibri" w:cs="Calibri"/>
                <w:sz w:val="14"/>
                <w:szCs w:val="14"/>
              </w:rPr>
              <w:t>Common Stock, par value $0.01 per share</w:t>
            </w:r>
          </w:p>
          <w:p w14:paraId="7FFD301C" w14:textId="77777777" w:rsidR="00251D72" w:rsidRDefault="00251D72">
            <w:pPr>
              <w:pStyle w:val="a3"/>
              <w:spacing w:before="0" w:beforeAutospacing="0" w:after="0" w:afterAutospacing="0"/>
              <w:jc w:val="center"/>
              <w:rPr>
                <w:rFonts w:ascii="Calibri" w:hAnsi="Calibri" w:cs="Calibri"/>
                <w:sz w:val="14"/>
                <w:szCs w:val="14"/>
              </w:rPr>
            </w:pPr>
            <w:r>
              <w:rPr>
                <w:rFonts w:ascii="Calibri" w:hAnsi="Calibri" w:cs="Calibri"/>
                <w:sz w:val="14"/>
                <w:szCs w:val="14"/>
              </w:rPr>
              <w:t>2.25% senior notes due January 2021</w:t>
            </w:r>
          </w:p>
          <w:p w14:paraId="2F2B9065" w14:textId="77777777" w:rsidR="00251D72" w:rsidRDefault="00251D72">
            <w:pPr>
              <w:pStyle w:val="a3"/>
              <w:spacing w:before="0" w:beforeAutospacing="0" w:after="0" w:afterAutospacing="0"/>
              <w:jc w:val="center"/>
              <w:rPr>
                <w:rFonts w:ascii="Calibri" w:hAnsi="Calibri" w:cs="Calibri"/>
                <w:sz w:val="14"/>
                <w:szCs w:val="14"/>
              </w:rPr>
            </w:pPr>
            <w:r>
              <w:rPr>
                <w:rFonts w:ascii="Calibri" w:hAnsi="Calibri" w:cs="Calibri"/>
                <w:sz w:val="14"/>
                <w:szCs w:val="14"/>
              </w:rPr>
              <w:t>3.125% senior notes due July 2025</w:t>
            </w:r>
          </w:p>
        </w:tc>
        <w:tc>
          <w:tcPr>
            <w:tcW w:w="1667" w:type="pct"/>
            <w:hideMark/>
          </w:tcPr>
          <w:p w14:paraId="354F2DA9" w14:textId="77777777" w:rsidR="00251D72" w:rsidRDefault="00251D72">
            <w:pPr>
              <w:pStyle w:val="a3"/>
              <w:spacing w:before="0" w:beforeAutospacing="0" w:after="0" w:afterAutospacing="0"/>
              <w:jc w:val="center"/>
              <w:rPr>
                <w:rFonts w:ascii="Calibri" w:hAnsi="Calibri" w:cs="Calibri"/>
                <w:sz w:val="14"/>
                <w:szCs w:val="14"/>
              </w:rPr>
            </w:pPr>
            <w:r>
              <w:rPr>
                <w:rFonts w:ascii="Calibri" w:hAnsi="Calibri" w:cs="Calibri"/>
                <w:sz w:val="14"/>
                <w:szCs w:val="14"/>
              </w:rPr>
              <w:t>ORCL</w:t>
            </w:r>
          </w:p>
          <w:p w14:paraId="3997845C" w14:textId="77777777" w:rsidR="00251D72" w:rsidRDefault="00251D72">
            <w:pPr>
              <w:pStyle w:val="a3"/>
              <w:spacing w:before="0" w:beforeAutospacing="0" w:after="0" w:afterAutospacing="0"/>
              <w:jc w:val="center"/>
              <w:rPr>
                <w:sz w:val="14"/>
                <w:szCs w:val="14"/>
              </w:rPr>
            </w:pPr>
            <w:r>
              <w:rPr>
                <w:sz w:val="14"/>
                <w:szCs w:val="14"/>
              </w:rPr>
              <w:t> </w:t>
            </w:r>
          </w:p>
        </w:tc>
        <w:tc>
          <w:tcPr>
            <w:tcW w:w="1666" w:type="pct"/>
            <w:hideMark/>
          </w:tcPr>
          <w:p w14:paraId="04BDA0B5" w14:textId="77777777" w:rsidR="00251D72" w:rsidRDefault="00251D72">
            <w:pPr>
              <w:pStyle w:val="a3"/>
              <w:spacing w:before="0" w:beforeAutospacing="0" w:after="0" w:afterAutospacing="0"/>
              <w:jc w:val="center"/>
              <w:rPr>
                <w:rFonts w:ascii="Calibri" w:hAnsi="Calibri" w:cs="Calibri"/>
                <w:sz w:val="14"/>
                <w:szCs w:val="14"/>
              </w:rPr>
            </w:pPr>
            <w:r>
              <w:rPr>
                <w:rFonts w:ascii="Calibri" w:hAnsi="Calibri" w:cs="Calibri"/>
                <w:sz w:val="14"/>
                <w:szCs w:val="14"/>
              </w:rPr>
              <w:t>New York Stock Exchange</w:t>
            </w:r>
          </w:p>
          <w:p w14:paraId="79CAE6B7" w14:textId="77777777" w:rsidR="00251D72" w:rsidRDefault="00251D72">
            <w:pPr>
              <w:pStyle w:val="a3"/>
              <w:spacing w:before="0" w:beforeAutospacing="0" w:after="0" w:afterAutospacing="0"/>
              <w:jc w:val="center"/>
              <w:rPr>
                <w:rFonts w:ascii="Calibri" w:hAnsi="Calibri" w:cs="Calibri"/>
                <w:sz w:val="14"/>
                <w:szCs w:val="14"/>
              </w:rPr>
            </w:pPr>
            <w:r>
              <w:rPr>
                <w:rFonts w:ascii="Calibri" w:hAnsi="Calibri" w:cs="Calibri"/>
                <w:sz w:val="14"/>
                <w:szCs w:val="14"/>
              </w:rPr>
              <w:t>New York Stock Exchange</w:t>
            </w:r>
          </w:p>
          <w:p w14:paraId="7801E5B3" w14:textId="77777777" w:rsidR="00251D72" w:rsidRDefault="00251D72">
            <w:pPr>
              <w:pStyle w:val="a3"/>
              <w:spacing w:before="0" w:beforeAutospacing="0" w:after="0" w:afterAutospacing="0"/>
              <w:jc w:val="center"/>
              <w:rPr>
                <w:rFonts w:ascii="Calibri" w:hAnsi="Calibri" w:cs="Calibri"/>
                <w:sz w:val="14"/>
                <w:szCs w:val="14"/>
              </w:rPr>
            </w:pPr>
            <w:r>
              <w:rPr>
                <w:rFonts w:ascii="Calibri" w:hAnsi="Calibri" w:cs="Calibri"/>
                <w:sz w:val="14"/>
                <w:szCs w:val="14"/>
              </w:rPr>
              <w:t>New York Stock Exchange</w:t>
            </w:r>
          </w:p>
        </w:tc>
      </w:tr>
    </w:tbl>
    <w:p w14:paraId="5C05A1D6" w14:textId="77777777" w:rsidR="00251D72" w:rsidRDefault="00251D72">
      <w:pPr>
        <w:pStyle w:val="a3"/>
        <w:spacing w:before="0" w:beforeAutospacing="0" w:after="0" w:afterAutospacing="0"/>
        <w:rPr>
          <w:sz w:val="4"/>
          <w:szCs w:val="4"/>
        </w:rPr>
      </w:pPr>
      <w:r>
        <w:rPr>
          <w:sz w:val="4"/>
          <w:szCs w:val="4"/>
        </w:rPr>
        <w:t> </w:t>
      </w:r>
    </w:p>
    <w:p w14:paraId="5F1E6A14"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Securities registered pursuant to Section 12(g) of the Act:</w:t>
      </w:r>
    </w:p>
    <w:p w14:paraId="2CD86B37" w14:textId="77777777" w:rsidR="00251D72" w:rsidRDefault="00251D72">
      <w:pPr>
        <w:pStyle w:val="a3"/>
        <w:spacing w:before="0" w:beforeAutospacing="0" w:after="0" w:afterAutospacing="0"/>
        <w:jc w:val="center"/>
        <w:rPr>
          <w:rFonts w:ascii="Calibri" w:hAnsi="Calibri" w:cs="Calibri"/>
          <w:sz w:val="16"/>
          <w:szCs w:val="16"/>
        </w:rPr>
      </w:pPr>
      <w:r>
        <w:rPr>
          <w:rFonts w:ascii="Calibri" w:hAnsi="Calibri" w:cs="Calibri"/>
          <w:sz w:val="16"/>
          <w:szCs w:val="16"/>
        </w:rPr>
        <w:t>None</w:t>
      </w:r>
    </w:p>
    <w:p w14:paraId="0595F0AE" w14:textId="77777777" w:rsidR="00251D72" w:rsidRDefault="00251D72">
      <w:pPr>
        <w:pStyle w:val="a3"/>
        <w:spacing w:before="60" w:beforeAutospacing="0" w:after="0" w:afterAutospacing="0"/>
        <w:jc w:val="both"/>
        <w:rPr>
          <w:rFonts w:ascii="Calibri" w:hAnsi="Calibri" w:cs="Calibri"/>
          <w:sz w:val="16"/>
          <w:szCs w:val="16"/>
        </w:rPr>
      </w:pPr>
      <w:r>
        <w:rPr>
          <w:rFonts w:ascii="Calibri" w:hAnsi="Calibri" w:cs="Calibri"/>
          <w:sz w:val="16"/>
          <w:szCs w:val="16"/>
        </w:rPr>
        <w:t>Indicate by check mark if the registrant is a well-known seasoned issuer, as defined in Rule 405 of the Securities Act.    YES  </w:t>
      </w:r>
      <w:r>
        <w:rPr>
          <w:rFonts w:ascii="Segoe UI Symbol" w:hAnsi="Segoe UI Symbol" w:cs="Segoe UI Symbol"/>
          <w:sz w:val="16"/>
          <w:szCs w:val="16"/>
        </w:rPr>
        <w:t>☒</w:t>
      </w:r>
      <w:r>
        <w:rPr>
          <w:rFonts w:ascii="Calibri" w:hAnsi="Calibri" w:cs="Calibri"/>
          <w:sz w:val="16"/>
          <w:szCs w:val="16"/>
        </w:rPr>
        <w:t>    NO  </w:t>
      </w:r>
      <w:r>
        <w:rPr>
          <w:rFonts w:ascii="Segoe UI Symbol" w:hAnsi="Segoe UI Symbol" w:cs="Segoe UI Symbol"/>
          <w:sz w:val="16"/>
          <w:szCs w:val="16"/>
        </w:rPr>
        <w:t>☐</w:t>
      </w:r>
    </w:p>
    <w:p w14:paraId="643EF290" w14:textId="77777777" w:rsidR="00251D72" w:rsidRDefault="00251D72">
      <w:pPr>
        <w:pStyle w:val="a3"/>
        <w:spacing w:before="60" w:beforeAutospacing="0" w:after="0" w:afterAutospacing="0"/>
        <w:jc w:val="both"/>
        <w:rPr>
          <w:rFonts w:ascii="Calibri" w:hAnsi="Calibri" w:cs="Calibri"/>
          <w:sz w:val="16"/>
          <w:szCs w:val="16"/>
        </w:rPr>
      </w:pPr>
      <w:r>
        <w:rPr>
          <w:rFonts w:ascii="Calibri" w:hAnsi="Calibri" w:cs="Calibri"/>
          <w:sz w:val="16"/>
          <w:szCs w:val="16"/>
        </w:rPr>
        <w:t xml:space="preserve">Indicate by check mark if the registrant is not required to file reports pursuant to Section 13 or Section 15(d) of the Act.    YES </w:t>
      </w:r>
      <w:r>
        <w:rPr>
          <w:rFonts w:ascii="Segoe UI Symbol" w:hAnsi="Segoe UI Symbol" w:cs="Segoe UI Symbol"/>
          <w:sz w:val="16"/>
          <w:szCs w:val="16"/>
        </w:rPr>
        <w:t>☐</w:t>
      </w:r>
      <w:r>
        <w:rPr>
          <w:rFonts w:ascii="Calibri" w:hAnsi="Calibri" w:cs="Calibri"/>
          <w:sz w:val="16"/>
          <w:szCs w:val="16"/>
        </w:rPr>
        <w:t>    NO  </w:t>
      </w:r>
      <w:r>
        <w:rPr>
          <w:rFonts w:ascii="Segoe UI Symbol" w:hAnsi="Segoe UI Symbol" w:cs="Segoe UI Symbol"/>
          <w:sz w:val="16"/>
          <w:szCs w:val="16"/>
        </w:rPr>
        <w:t>☒</w:t>
      </w:r>
    </w:p>
    <w:p w14:paraId="5DEC76B9" w14:textId="77777777" w:rsidR="00251D72" w:rsidRDefault="00251D72">
      <w:pPr>
        <w:pStyle w:val="a3"/>
        <w:spacing w:before="60" w:beforeAutospacing="0" w:after="0" w:afterAutospacing="0"/>
        <w:jc w:val="both"/>
        <w:rPr>
          <w:rFonts w:ascii="Calibri" w:hAnsi="Calibri" w:cs="Calibri"/>
          <w:sz w:val="16"/>
          <w:szCs w:val="16"/>
        </w:rPr>
      </w:pPr>
      <w:r>
        <w:rPr>
          <w:rFonts w:ascii="Calibri" w:hAnsi="Calibri" w:cs="Calibri"/>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16"/>
          <w:szCs w:val="16"/>
        </w:rPr>
        <w:t>☒</w:t>
      </w:r>
      <w:r>
        <w:rPr>
          <w:rFonts w:ascii="Calibri" w:hAnsi="Calibri" w:cs="Calibri"/>
          <w:sz w:val="16"/>
          <w:szCs w:val="16"/>
        </w:rPr>
        <w:t>    NO  </w:t>
      </w:r>
      <w:r>
        <w:rPr>
          <w:rFonts w:ascii="Segoe UI Symbol" w:hAnsi="Segoe UI Symbol" w:cs="Segoe UI Symbol"/>
          <w:sz w:val="16"/>
          <w:szCs w:val="16"/>
        </w:rPr>
        <w:t>☐</w:t>
      </w:r>
    </w:p>
    <w:p w14:paraId="53936D13" w14:textId="77777777" w:rsidR="00251D72" w:rsidRDefault="00251D72">
      <w:pPr>
        <w:pStyle w:val="a3"/>
        <w:spacing w:before="60" w:beforeAutospacing="0" w:after="0" w:afterAutospacing="0"/>
        <w:jc w:val="both"/>
        <w:rPr>
          <w:rFonts w:ascii="Calibri" w:hAnsi="Calibri" w:cs="Calibri"/>
          <w:sz w:val="16"/>
          <w:szCs w:val="16"/>
        </w:rPr>
      </w:pPr>
      <w:r>
        <w:rPr>
          <w:rFonts w:ascii="Calibri" w:hAnsi="Calibri" w:cs="Calibri"/>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Pr>
          <w:rFonts w:ascii="Segoe UI Symbol" w:hAnsi="Segoe UI Symbol" w:cs="Segoe UI Symbol"/>
          <w:sz w:val="16"/>
          <w:szCs w:val="16"/>
        </w:rPr>
        <w:t>☒</w:t>
      </w:r>
      <w:r>
        <w:rPr>
          <w:rFonts w:ascii="Calibri" w:hAnsi="Calibri" w:cs="Calibri"/>
          <w:sz w:val="20"/>
          <w:szCs w:val="20"/>
        </w:rPr>
        <w:t>    </w:t>
      </w:r>
      <w:r>
        <w:rPr>
          <w:rFonts w:ascii="Calibri" w:hAnsi="Calibri" w:cs="Calibri"/>
          <w:sz w:val="16"/>
          <w:szCs w:val="16"/>
        </w:rPr>
        <w:t>NO  </w:t>
      </w:r>
      <w:r>
        <w:rPr>
          <w:rFonts w:ascii="Segoe UI Symbol" w:hAnsi="Segoe UI Symbol" w:cs="Segoe UI Symbol"/>
          <w:sz w:val="16"/>
          <w:szCs w:val="16"/>
        </w:rPr>
        <w:t>☐</w:t>
      </w:r>
    </w:p>
    <w:p w14:paraId="59CC51E2" w14:textId="77777777" w:rsidR="00251D72" w:rsidRDefault="00251D72">
      <w:pPr>
        <w:pStyle w:val="a3"/>
        <w:spacing w:before="60" w:beforeAutospacing="0" w:after="0" w:afterAutospacing="0"/>
        <w:jc w:val="both"/>
        <w:rPr>
          <w:rFonts w:ascii="Calibri" w:hAnsi="Calibri" w:cs="Calibri"/>
          <w:sz w:val="16"/>
          <w:szCs w:val="16"/>
        </w:rPr>
      </w:pPr>
      <w:r>
        <w:rPr>
          <w:rFonts w:ascii="Calibri" w:hAnsi="Calibri" w:cs="Calibri"/>
          <w:sz w:val="16"/>
          <w:szCs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p w14:paraId="0E6E3F18" w14:textId="77777777" w:rsidR="00251D72" w:rsidRDefault="00251D72">
      <w:pPr>
        <w:pStyle w:val="a3"/>
        <w:spacing w:before="0" w:beforeAutospacing="0" w:after="0" w:afterAutospacing="0"/>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4153"/>
        <w:gridCol w:w="4153"/>
      </w:tblGrid>
      <w:tr w:rsidR="00251D72" w14:paraId="68DC9312" w14:textId="77777777">
        <w:tc>
          <w:tcPr>
            <w:tcW w:w="2500" w:type="pct"/>
            <w:vAlign w:val="center"/>
            <w:hideMark/>
          </w:tcPr>
          <w:p w14:paraId="36773617" w14:textId="77777777" w:rsidR="00251D72" w:rsidRDefault="00251D72">
            <w:pPr>
              <w:rPr>
                <w:sz w:val="4"/>
                <w:szCs w:val="4"/>
              </w:rPr>
            </w:pPr>
          </w:p>
        </w:tc>
        <w:tc>
          <w:tcPr>
            <w:tcW w:w="2500" w:type="pct"/>
            <w:vAlign w:val="center"/>
            <w:hideMark/>
          </w:tcPr>
          <w:p w14:paraId="1662D6F1" w14:textId="77777777" w:rsidR="00251D72" w:rsidRDefault="00251D72">
            <w:pPr>
              <w:rPr>
                <w:rFonts w:eastAsia="Times New Roman"/>
                <w:sz w:val="20"/>
                <w:szCs w:val="20"/>
              </w:rPr>
            </w:pPr>
          </w:p>
        </w:tc>
      </w:tr>
      <w:tr w:rsidR="00251D72" w14:paraId="1B1769C4" w14:textId="77777777">
        <w:tc>
          <w:tcPr>
            <w:tcW w:w="0" w:type="auto"/>
            <w:vAlign w:val="bottom"/>
            <w:hideMark/>
          </w:tcPr>
          <w:p w14:paraId="71030A3B" w14:textId="77777777" w:rsidR="00251D72" w:rsidRDefault="00251D72">
            <w:pPr>
              <w:pStyle w:val="a3"/>
              <w:spacing w:before="0" w:beforeAutospacing="0" w:after="0" w:afterAutospacing="0"/>
              <w:jc w:val="center"/>
              <w:rPr>
                <w:rFonts w:ascii="Calibri" w:hAnsi="Calibri" w:cs="Calibri"/>
                <w:sz w:val="16"/>
                <w:szCs w:val="16"/>
              </w:rPr>
            </w:pPr>
            <w:r>
              <w:rPr>
                <w:rFonts w:ascii="Calibri" w:hAnsi="Calibri" w:cs="Calibri"/>
                <w:sz w:val="16"/>
                <w:szCs w:val="16"/>
              </w:rPr>
              <w:t>Large accelerated filer  </w:t>
            </w:r>
            <w:r>
              <w:rPr>
                <w:rFonts w:ascii="Segoe UI Symbol" w:hAnsi="Segoe UI Symbol" w:cs="Calibri"/>
                <w:sz w:val="16"/>
                <w:szCs w:val="16"/>
              </w:rPr>
              <w:t>☒</w:t>
            </w:r>
          </w:p>
        </w:tc>
        <w:tc>
          <w:tcPr>
            <w:tcW w:w="0" w:type="auto"/>
            <w:vAlign w:val="bottom"/>
            <w:hideMark/>
          </w:tcPr>
          <w:p w14:paraId="1CAC5A78" w14:textId="77777777" w:rsidR="00251D72" w:rsidRDefault="00251D72">
            <w:pPr>
              <w:pStyle w:val="a3"/>
              <w:spacing w:before="0" w:beforeAutospacing="0" w:after="0" w:afterAutospacing="0"/>
              <w:jc w:val="center"/>
              <w:rPr>
                <w:rFonts w:ascii="Calibri" w:hAnsi="Calibri" w:cs="Calibri"/>
                <w:sz w:val="16"/>
                <w:szCs w:val="16"/>
              </w:rPr>
            </w:pPr>
            <w:r>
              <w:rPr>
                <w:rFonts w:ascii="Calibri" w:hAnsi="Calibri" w:cs="Calibri"/>
                <w:sz w:val="16"/>
                <w:szCs w:val="16"/>
              </w:rPr>
              <w:t>Accelerated filer    </w:t>
            </w:r>
            <w:r>
              <w:rPr>
                <w:rFonts w:ascii="Segoe UI Symbol" w:hAnsi="Segoe UI Symbol" w:cs="Calibri"/>
                <w:sz w:val="16"/>
                <w:szCs w:val="16"/>
              </w:rPr>
              <w:t>☐</w:t>
            </w:r>
          </w:p>
        </w:tc>
      </w:tr>
      <w:tr w:rsidR="00251D72" w14:paraId="79E2888B" w14:textId="77777777">
        <w:tc>
          <w:tcPr>
            <w:tcW w:w="0" w:type="auto"/>
            <w:vAlign w:val="bottom"/>
            <w:hideMark/>
          </w:tcPr>
          <w:p w14:paraId="6C413235" w14:textId="77777777" w:rsidR="00251D72" w:rsidRDefault="00251D72">
            <w:pPr>
              <w:pStyle w:val="a3"/>
              <w:spacing w:before="0" w:beforeAutospacing="0" w:after="0" w:afterAutospacing="0"/>
              <w:jc w:val="center"/>
              <w:rPr>
                <w:rFonts w:ascii="Calibri" w:hAnsi="Calibri" w:cs="Calibri"/>
                <w:sz w:val="16"/>
                <w:szCs w:val="16"/>
              </w:rPr>
            </w:pPr>
            <w:r>
              <w:rPr>
                <w:rFonts w:ascii="Calibri" w:hAnsi="Calibri" w:cs="Calibri"/>
                <w:sz w:val="16"/>
                <w:szCs w:val="16"/>
              </w:rPr>
              <w:t>Non-accelerated filer  </w:t>
            </w:r>
            <w:r>
              <w:rPr>
                <w:rFonts w:ascii="Segoe UI Symbol" w:hAnsi="Segoe UI Symbol" w:cs="Calibri"/>
                <w:sz w:val="16"/>
                <w:szCs w:val="16"/>
              </w:rPr>
              <w:t>☐</w:t>
            </w:r>
          </w:p>
        </w:tc>
        <w:tc>
          <w:tcPr>
            <w:tcW w:w="0" w:type="auto"/>
            <w:vAlign w:val="bottom"/>
            <w:hideMark/>
          </w:tcPr>
          <w:p w14:paraId="1C300953" w14:textId="77777777" w:rsidR="00251D72" w:rsidRDefault="00251D72">
            <w:pPr>
              <w:pStyle w:val="a3"/>
              <w:spacing w:before="0" w:beforeAutospacing="0" w:after="0" w:afterAutospacing="0"/>
              <w:jc w:val="center"/>
              <w:rPr>
                <w:rFonts w:ascii="Calibri" w:hAnsi="Calibri" w:cs="Calibri"/>
                <w:sz w:val="16"/>
                <w:szCs w:val="16"/>
              </w:rPr>
            </w:pPr>
            <w:r>
              <w:rPr>
                <w:rFonts w:ascii="Calibri" w:hAnsi="Calibri" w:cs="Calibri"/>
                <w:sz w:val="16"/>
                <w:szCs w:val="16"/>
              </w:rPr>
              <w:t>Smaller reporting company  </w:t>
            </w:r>
            <w:r>
              <w:rPr>
                <w:rFonts w:ascii="Segoe UI Symbol" w:hAnsi="Segoe UI Symbol" w:cs="Calibri"/>
                <w:sz w:val="16"/>
                <w:szCs w:val="16"/>
              </w:rPr>
              <w:t>☐</w:t>
            </w:r>
          </w:p>
        </w:tc>
      </w:tr>
      <w:tr w:rsidR="00251D72" w14:paraId="5F078520" w14:textId="77777777">
        <w:tc>
          <w:tcPr>
            <w:tcW w:w="0" w:type="auto"/>
            <w:vAlign w:val="bottom"/>
            <w:hideMark/>
          </w:tcPr>
          <w:p w14:paraId="029D4312" w14:textId="77777777" w:rsidR="00251D72" w:rsidRDefault="00251D72">
            <w:pPr>
              <w:pStyle w:val="a3"/>
              <w:spacing w:before="0" w:beforeAutospacing="0" w:after="0" w:afterAutospacing="0"/>
              <w:jc w:val="center"/>
              <w:rPr>
                <w:rFonts w:ascii="Calibri" w:hAnsi="Calibri" w:cs="Calibri"/>
                <w:sz w:val="16"/>
                <w:szCs w:val="16"/>
              </w:rPr>
            </w:pPr>
            <w:r>
              <w:rPr>
                <w:rFonts w:ascii="Calibri" w:hAnsi="Calibri" w:cs="Calibri"/>
                <w:sz w:val="16"/>
                <w:szCs w:val="16"/>
              </w:rPr>
              <w:t>Emerging growth company  </w:t>
            </w:r>
            <w:r>
              <w:rPr>
                <w:rFonts w:ascii="Segoe UI Symbol" w:hAnsi="Segoe UI Symbol" w:cs="Calibri"/>
                <w:sz w:val="16"/>
                <w:szCs w:val="16"/>
              </w:rPr>
              <w:t>☐</w:t>
            </w:r>
          </w:p>
        </w:tc>
        <w:tc>
          <w:tcPr>
            <w:tcW w:w="0" w:type="auto"/>
            <w:vAlign w:val="bottom"/>
            <w:hideMark/>
          </w:tcPr>
          <w:p w14:paraId="6622C5B4" w14:textId="77777777" w:rsidR="00251D72" w:rsidRDefault="00251D72">
            <w:pPr>
              <w:pStyle w:val="a3"/>
              <w:spacing w:before="0" w:beforeAutospacing="0" w:after="0" w:afterAutospacing="0"/>
              <w:jc w:val="center"/>
              <w:rPr>
                <w:sz w:val="16"/>
                <w:szCs w:val="16"/>
              </w:rPr>
            </w:pPr>
            <w:r>
              <w:rPr>
                <w:sz w:val="16"/>
                <w:szCs w:val="16"/>
              </w:rPr>
              <w:t> </w:t>
            </w:r>
          </w:p>
        </w:tc>
      </w:tr>
    </w:tbl>
    <w:p w14:paraId="3E8AFB56" w14:textId="77777777" w:rsidR="00251D72" w:rsidRDefault="00251D72">
      <w:pPr>
        <w:pStyle w:val="a3"/>
        <w:spacing w:before="0" w:beforeAutospacing="0" w:after="0" w:afterAutospacing="0"/>
        <w:rPr>
          <w:sz w:val="4"/>
          <w:szCs w:val="4"/>
        </w:rPr>
      </w:pPr>
      <w:r>
        <w:rPr>
          <w:sz w:val="4"/>
          <w:szCs w:val="4"/>
        </w:rPr>
        <w:t> </w:t>
      </w:r>
    </w:p>
    <w:p w14:paraId="74D8DC7E" w14:textId="77777777" w:rsidR="00251D72" w:rsidRDefault="00251D72">
      <w:pPr>
        <w:pStyle w:val="a3"/>
        <w:spacing w:before="0" w:beforeAutospacing="0" w:after="0" w:afterAutospacing="0"/>
        <w:jc w:val="both"/>
        <w:rPr>
          <w:rFonts w:ascii="Calibri" w:hAnsi="Calibri" w:cs="Calibri"/>
          <w:sz w:val="16"/>
          <w:szCs w:val="16"/>
        </w:rPr>
      </w:pPr>
      <w:r>
        <w:rPr>
          <w:rFonts w:ascii="Calibri" w:hAnsi="Calibri" w:cs="Calibri"/>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6"/>
          <w:szCs w:val="16"/>
        </w:rPr>
        <w:t>☐</w:t>
      </w:r>
    </w:p>
    <w:p w14:paraId="3E8FCE33" w14:textId="77777777" w:rsidR="00251D72" w:rsidRDefault="00251D72">
      <w:pPr>
        <w:pStyle w:val="a3"/>
        <w:spacing w:before="0" w:beforeAutospacing="0" w:after="0" w:afterAutospacing="0"/>
        <w:rPr>
          <w:sz w:val="4"/>
          <w:szCs w:val="4"/>
        </w:rPr>
      </w:pPr>
      <w:r>
        <w:rPr>
          <w:sz w:val="4"/>
          <w:szCs w:val="4"/>
        </w:rPr>
        <w:t> </w:t>
      </w:r>
    </w:p>
    <w:p w14:paraId="2DE66141" w14:textId="77777777" w:rsidR="00251D72" w:rsidRDefault="00251D72">
      <w:pPr>
        <w:pStyle w:val="a3"/>
        <w:spacing w:before="0" w:beforeAutospacing="0" w:after="0" w:afterAutospacing="0"/>
        <w:jc w:val="both"/>
        <w:rPr>
          <w:rFonts w:ascii="Calibri" w:hAnsi="Calibri" w:cs="Calibri"/>
          <w:sz w:val="16"/>
          <w:szCs w:val="16"/>
        </w:rPr>
      </w:pPr>
      <w:r>
        <w:rPr>
          <w:rFonts w:ascii="Calibri" w:hAnsi="Calibri" w:cs="Calibri"/>
          <w:sz w:val="16"/>
          <w:szCs w:val="16"/>
        </w:rPr>
        <w:t>Indicate by check mark whether the registrant is a shell company (as defined in Rule 12b-2 of the Exchange Act).    YES  </w:t>
      </w:r>
      <w:r>
        <w:rPr>
          <w:rFonts w:ascii="Segoe UI Symbol" w:hAnsi="Segoe UI Symbol" w:cs="Segoe UI Symbol"/>
          <w:sz w:val="16"/>
          <w:szCs w:val="16"/>
        </w:rPr>
        <w:t>☐</w:t>
      </w:r>
      <w:r>
        <w:rPr>
          <w:rFonts w:ascii="Calibri" w:hAnsi="Calibri" w:cs="Calibri"/>
          <w:sz w:val="16"/>
          <w:szCs w:val="16"/>
        </w:rPr>
        <w:t>    NO  </w:t>
      </w:r>
      <w:r>
        <w:rPr>
          <w:rFonts w:ascii="Segoe UI Symbol" w:hAnsi="Segoe UI Symbol" w:cs="Segoe UI Symbol"/>
          <w:sz w:val="16"/>
          <w:szCs w:val="16"/>
        </w:rPr>
        <w:t>☒</w:t>
      </w:r>
    </w:p>
    <w:p w14:paraId="7A2DD593" w14:textId="77777777" w:rsidR="00251D72" w:rsidRDefault="00251D72">
      <w:pPr>
        <w:pStyle w:val="a3"/>
        <w:spacing w:before="60" w:beforeAutospacing="0" w:after="0" w:afterAutospacing="0"/>
        <w:jc w:val="both"/>
        <w:rPr>
          <w:rFonts w:ascii="Calibri" w:hAnsi="Calibri" w:cs="Calibri"/>
          <w:sz w:val="16"/>
          <w:szCs w:val="16"/>
        </w:rPr>
      </w:pPr>
      <w:r>
        <w:rPr>
          <w:rFonts w:ascii="Calibri" w:hAnsi="Calibri" w:cs="Calibri"/>
          <w:sz w:val="16"/>
          <w:szCs w:val="16"/>
        </w:rPr>
        <w:t>The aggregate market value of the voting stock held by non-affiliates of the registrant was $107,968,269,000 based on the number of shares held by non-affiliates of the registrant as of May 31, 2019, and based on the closing sale price of common stock as reported by the New York Stock Exchange on November 30, 2018, which is the last business day of the registrant’s most recently completed second fiscal quarter. This calculation does not reflect a determination that persons are affiliates for any other purposes.</w:t>
      </w:r>
    </w:p>
    <w:p w14:paraId="4B6755DF" w14:textId="77777777" w:rsidR="00251D72" w:rsidRDefault="00251D72">
      <w:pPr>
        <w:pStyle w:val="a3"/>
        <w:spacing w:before="60" w:beforeAutospacing="0" w:after="0" w:afterAutospacing="0"/>
        <w:jc w:val="both"/>
        <w:rPr>
          <w:rFonts w:ascii="Calibri" w:hAnsi="Calibri" w:cs="Calibri"/>
          <w:sz w:val="16"/>
          <w:szCs w:val="16"/>
        </w:rPr>
      </w:pPr>
      <w:r>
        <w:rPr>
          <w:rFonts w:ascii="Calibri" w:hAnsi="Calibri" w:cs="Calibri"/>
          <w:sz w:val="16"/>
          <w:szCs w:val="16"/>
        </w:rPr>
        <w:t>Number of shares of common stock outstanding as of June 17, 2019: 3,335,819,000.</w:t>
      </w:r>
    </w:p>
    <w:p w14:paraId="56563463" w14:textId="77777777" w:rsidR="00251D72" w:rsidRDefault="00251D72">
      <w:pPr>
        <w:pStyle w:val="a3"/>
        <w:spacing w:before="60" w:beforeAutospacing="0" w:after="0" w:afterAutospacing="0"/>
        <w:jc w:val="both"/>
        <w:rPr>
          <w:rFonts w:ascii="Calibri" w:hAnsi="Calibri" w:cs="Calibri"/>
          <w:b/>
          <w:bCs/>
          <w:sz w:val="16"/>
          <w:szCs w:val="16"/>
        </w:rPr>
      </w:pPr>
      <w:r>
        <w:rPr>
          <w:rFonts w:ascii="Calibri" w:hAnsi="Calibri" w:cs="Calibri"/>
          <w:b/>
          <w:bCs/>
          <w:sz w:val="16"/>
          <w:szCs w:val="16"/>
        </w:rPr>
        <w:t>Documents Incorporated by Reference:</w:t>
      </w:r>
    </w:p>
    <w:p w14:paraId="442494C7" w14:textId="77777777" w:rsidR="00251D72" w:rsidRDefault="00251D72">
      <w:pPr>
        <w:pStyle w:val="a3"/>
        <w:spacing w:before="60" w:beforeAutospacing="0" w:after="0" w:afterAutospacing="0"/>
        <w:jc w:val="both"/>
        <w:rPr>
          <w:rFonts w:ascii="Calibri" w:hAnsi="Calibri" w:cs="Calibri"/>
          <w:sz w:val="16"/>
          <w:szCs w:val="16"/>
        </w:rPr>
      </w:pPr>
      <w:r>
        <w:rPr>
          <w:rFonts w:ascii="Calibri" w:hAnsi="Calibri" w:cs="Calibri"/>
          <w:sz w:val="16"/>
          <w:szCs w:val="16"/>
        </w:rPr>
        <w:t>Portions of the registrant's definitive proxy statement relating to its 2019 annual stockholders' meeting are incorporated by reference into Part III of this Annual Report on Form 10-K where indicated</w:t>
      </w:r>
      <w:r>
        <w:rPr>
          <w:sz w:val="16"/>
          <w:szCs w:val="16"/>
        </w:rPr>
        <w:t>.</w:t>
      </w:r>
    </w:p>
    <w:p w14:paraId="4A6C75D4" w14:textId="77777777" w:rsidR="00251D72" w:rsidRDefault="00251D72">
      <w:pPr>
        <w:pStyle w:val="a3"/>
        <w:pBdr>
          <w:bottom w:val="double" w:sz="6" w:space="1" w:color="auto"/>
        </w:pBdr>
        <w:spacing w:before="0" w:beforeAutospacing="0" w:after="0" w:afterAutospacing="0"/>
        <w:rPr>
          <w:sz w:val="8"/>
          <w:szCs w:val="8"/>
        </w:rPr>
      </w:pPr>
      <w:r>
        <w:rPr>
          <w:sz w:val="8"/>
          <w:szCs w:val="8"/>
        </w:rPr>
        <w:t> </w:t>
      </w:r>
    </w:p>
    <w:p w14:paraId="3DF11032" w14:textId="77777777" w:rsidR="00251D72" w:rsidRDefault="00251D72">
      <w:pPr>
        <w:pStyle w:val="a3"/>
        <w:spacing w:before="0" w:beforeAutospacing="0" w:after="0" w:afterAutospacing="0"/>
        <w:rPr>
          <w:sz w:val="20"/>
          <w:szCs w:val="20"/>
        </w:rPr>
      </w:pPr>
      <w:r>
        <w:rPr>
          <w:sz w:val="20"/>
          <w:szCs w:val="20"/>
        </w:rPr>
        <w:t> </w:t>
      </w:r>
    </w:p>
    <w:p w14:paraId="64072142" w14:textId="77777777" w:rsidR="00251D72" w:rsidRDefault="00251D72">
      <w:pPr>
        <w:pStyle w:val="a3"/>
        <w:spacing w:before="240" w:beforeAutospacing="0" w:after="0" w:afterAutospacing="0"/>
        <w:jc w:val="center"/>
        <w:rPr>
          <w:sz w:val="20"/>
          <w:szCs w:val="20"/>
        </w:rPr>
      </w:pPr>
      <w:r>
        <w:rPr>
          <w:sz w:val="20"/>
          <w:szCs w:val="20"/>
        </w:rPr>
        <w:t> </w:t>
      </w:r>
    </w:p>
    <w:p w14:paraId="0093CBAE" w14:textId="77777777" w:rsidR="00251D72" w:rsidRDefault="00251D72">
      <w:pPr>
        <w:rPr>
          <w:rFonts w:eastAsia="Times New Roman"/>
          <w:sz w:val="24"/>
          <w:szCs w:val="24"/>
        </w:rPr>
      </w:pPr>
      <w:r>
        <w:rPr>
          <w:rFonts w:eastAsia="Times New Roman"/>
        </w:rPr>
        <w:pict w14:anchorId="58C33148">
          <v:rect id="_x0000_i1025" style="width:415.3pt;height:1.5pt" o:hralign="center" o:hrstd="t" o:hr="t" fillcolor="#a0a0a0" stroked="f"/>
        </w:pict>
      </w:r>
    </w:p>
    <w:p w14:paraId="40F97880"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D90995F"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F58B2C4" w14:textId="77777777" w:rsidR="00251D72" w:rsidRDefault="00251D72">
      <w:pPr>
        <w:pStyle w:val="a3"/>
        <w:spacing w:before="0" w:beforeAutospacing="0" w:after="0" w:afterAutospacing="0"/>
        <w:jc w:val="center"/>
        <w:rPr>
          <w:rFonts w:ascii="Calibri" w:hAnsi="Calibri" w:cs="Calibri"/>
          <w:b/>
          <w:bCs/>
          <w:sz w:val="20"/>
          <w:szCs w:val="20"/>
        </w:rPr>
      </w:pPr>
      <w:bookmarkStart w:id="0" w:name="TABLE_OF_CONTENTS"/>
      <w:bookmarkStart w:id="1" w:name="_AEIOULastRenderedPageBreakAEIOU2"/>
      <w:bookmarkEnd w:id="0"/>
      <w:bookmarkEnd w:id="1"/>
      <w:r>
        <w:rPr>
          <w:rFonts w:ascii="Calibri" w:hAnsi="Calibri" w:cs="Calibri"/>
          <w:b/>
          <w:bCs/>
          <w:sz w:val="20"/>
          <w:szCs w:val="20"/>
        </w:rPr>
        <w:t>ORACLE CORPORATION</w:t>
      </w:r>
    </w:p>
    <w:p w14:paraId="38CF0091" w14:textId="77777777" w:rsidR="00251D72" w:rsidRDefault="00251D72">
      <w:pPr>
        <w:pStyle w:val="a3"/>
        <w:spacing w:before="120" w:beforeAutospacing="0" w:after="0" w:afterAutospacing="0"/>
        <w:jc w:val="center"/>
        <w:rPr>
          <w:rFonts w:ascii="Calibri" w:hAnsi="Calibri" w:cs="Calibri"/>
          <w:b/>
          <w:bCs/>
          <w:sz w:val="20"/>
          <w:szCs w:val="20"/>
        </w:rPr>
      </w:pPr>
      <w:r>
        <w:rPr>
          <w:rFonts w:ascii="Calibri" w:hAnsi="Calibri" w:cs="Calibri"/>
          <w:b/>
          <w:bCs/>
          <w:sz w:val="20"/>
          <w:szCs w:val="20"/>
        </w:rPr>
        <w:t>FISCAL YEAR 2019</w:t>
      </w:r>
    </w:p>
    <w:p w14:paraId="78557BC9" w14:textId="77777777" w:rsidR="00251D72" w:rsidRDefault="00251D72">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FORM 10-K</w:t>
      </w:r>
    </w:p>
    <w:p w14:paraId="027AC84E" w14:textId="77777777" w:rsidR="00251D72" w:rsidRDefault="00251D72">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ANNUAL REPORT</w:t>
      </w:r>
    </w:p>
    <w:p w14:paraId="3B631C99" w14:textId="77777777" w:rsidR="00251D72" w:rsidRDefault="00251D72">
      <w:pPr>
        <w:pStyle w:val="a3"/>
        <w:pBdr>
          <w:bottom w:val="single" w:sz="6" w:space="1" w:color="auto"/>
        </w:pBdr>
        <w:spacing w:before="0" w:beforeAutospacing="0" w:after="0" w:afterAutospacing="0"/>
        <w:ind w:left="4762" w:right="4643"/>
        <w:jc w:val="center"/>
      </w:pPr>
      <w:r>
        <w:t> </w:t>
      </w:r>
    </w:p>
    <w:p w14:paraId="644CDF44" w14:textId="77777777" w:rsidR="00251D72" w:rsidRDefault="00251D72">
      <w:pPr>
        <w:pStyle w:val="a3"/>
        <w:spacing w:before="240" w:beforeAutospacing="0" w:after="0" w:afterAutospacing="0"/>
        <w:jc w:val="center"/>
        <w:rPr>
          <w:rFonts w:ascii="Calibri" w:hAnsi="Calibri" w:cs="Calibri"/>
          <w:b/>
          <w:bCs/>
          <w:sz w:val="20"/>
          <w:szCs w:val="20"/>
        </w:rPr>
      </w:pPr>
      <w:r>
        <w:rPr>
          <w:rFonts w:ascii="Calibri" w:hAnsi="Calibri" w:cs="Calibri"/>
          <w:b/>
          <w:bCs/>
          <w:sz w:val="20"/>
          <w:szCs w:val="20"/>
        </w:rPr>
        <w:t>TABLE OF CONTENTS</w:t>
      </w:r>
    </w:p>
    <w:p w14:paraId="741E21B2"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 </w:t>
      </w:r>
    </w:p>
    <w:tbl>
      <w:tblPr>
        <w:tblW w:w="5000" w:type="pct"/>
        <w:jc w:val="center"/>
        <w:tblCellMar>
          <w:left w:w="0" w:type="dxa"/>
          <w:right w:w="0" w:type="dxa"/>
        </w:tblCellMar>
        <w:tblLook w:val="04A0" w:firstRow="1" w:lastRow="0" w:firstColumn="1" w:lastColumn="0" w:noHBand="0" w:noVBand="1"/>
      </w:tblPr>
      <w:tblGrid>
        <w:gridCol w:w="665"/>
        <w:gridCol w:w="83"/>
        <w:gridCol w:w="6977"/>
        <w:gridCol w:w="83"/>
        <w:gridCol w:w="498"/>
      </w:tblGrid>
      <w:tr w:rsidR="00251D72" w14:paraId="16690BBE" w14:textId="77777777">
        <w:trPr>
          <w:divId w:val="1919753716"/>
          <w:jc w:val="center"/>
        </w:trPr>
        <w:tc>
          <w:tcPr>
            <w:tcW w:w="400" w:type="pct"/>
            <w:hideMark/>
          </w:tcPr>
          <w:p w14:paraId="42FF9C61" w14:textId="77777777" w:rsidR="00251D72" w:rsidRDefault="00251D72">
            <w:pPr>
              <w:pStyle w:val="a3"/>
              <w:spacing w:before="0" w:beforeAutospacing="0" w:after="0" w:afterAutospacing="0"/>
              <w:jc w:val="center"/>
              <w:rPr>
                <w:b/>
                <w:bCs/>
                <w:sz w:val="16"/>
                <w:szCs w:val="16"/>
              </w:rPr>
            </w:pPr>
            <w:r>
              <w:rPr>
                <w:b/>
                <w:bCs/>
                <w:sz w:val="16"/>
                <w:szCs w:val="16"/>
              </w:rPr>
              <w:t> </w:t>
            </w:r>
          </w:p>
        </w:tc>
        <w:tc>
          <w:tcPr>
            <w:tcW w:w="50" w:type="pct"/>
            <w:hideMark/>
          </w:tcPr>
          <w:p w14:paraId="631F12AC" w14:textId="77777777" w:rsidR="00251D72" w:rsidRDefault="00251D72">
            <w:pPr>
              <w:pStyle w:val="a3"/>
              <w:spacing w:before="0" w:beforeAutospacing="0" w:after="0" w:afterAutospacing="0"/>
              <w:jc w:val="center"/>
              <w:rPr>
                <w:b/>
                <w:bCs/>
                <w:sz w:val="16"/>
                <w:szCs w:val="16"/>
              </w:rPr>
            </w:pPr>
            <w:r>
              <w:rPr>
                <w:b/>
                <w:bCs/>
                <w:sz w:val="16"/>
                <w:szCs w:val="16"/>
              </w:rPr>
              <w:t> </w:t>
            </w:r>
          </w:p>
        </w:tc>
        <w:tc>
          <w:tcPr>
            <w:tcW w:w="4200" w:type="pct"/>
            <w:hideMark/>
          </w:tcPr>
          <w:p w14:paraId="3A1C3DBB" w14:textId="77777777" w:rsidR="00251D72" w:rsidRDefault="00251D72">
            <w:pPr>
              <w:pStyle w:val="a3"/>
              <w:spacing w:before="0" w:beforeAutospacing="0" w:after="0" w:afterAutospacing="0"/>
              <w:jc w:val="center"/>
              <w:rPr>
                <w:b/>
                <w:bCs/>
                <w:sz w:val="16"/>
                <w:szCs w:val="16"/>
              </w:rPr>
            </w:pPr>
            <w:r>
              <w:rPr>
                <w:b/>
                <w:bCs/>
                <w:sz w:val="16"/>
                <w:szCs w:val="16"/>
              </w:rPr>
              <w:t> </w:t>
            </w:r>
          </w:p>
        </w:tc>
        <w:tc>
          <w:tcPr>
            <w:tcW w:w="50" w:type="pct"/>
            <w:hideMark/>
          </w:tcPr>
          <w:p w14:paraId="68790254" w14:textId="77777777" w:rsidR="00251D72" w:rsidRDefault="00251D72">
            <w:pPr>
              <w:pStyle w:val="a3"/>
              <w:spacing w:before="0" w:beforeAutospacing="0" w:after="0" w:afterAutospacing="0"/>
              <w:jc w:val="center"/>
              <w:rPr>
                <w:b/>
                <w:bCs/>
                <w:sz w:val="16"/>
                <w:szCs w:val="16"/>
              </w:rPr>
            </w:pPr>
            <w:r>
              <w:rPr>
                <w:b/>
                <w:bCs/>
                <w:sz w:val="16"/>
                <w:szCs w:val="16"/>
              </w:rPr>
              <w:t> </w:t>
            </w:r>
          </w:p>
        </w:tc>
        <w:tc>
          <w:tcPr>
            <w:tcW w:w="300" w:type="pct"/>
            <w:hideMark/>
          </w:tcPr>
          <w:p w14:paraId="055B30BA"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u w:val="single"/>
              </w:rPr>
              <w:t>Page</w:t>
            </w:r>
          </w:p>
        </w:tc>
      </w:tr>
      <w:tr w:rsidR="00251D72" w14:paraId="19312656" w14:textId="77777777">
        <w:trPr>
          <w:divId w:val="1919753716"/>
          <w:jc w:val="center"/>
        </w:trPr>
        <w:tc>
          <w:tcPr>
            <w:tcW w:w="400" w:type="pct"/>
            <w:hideMark/>
          </w:tcPr>
          <w:p w14:paraId="56F42607" w14:textId="77777777" w:rsidR="00251D72" w:rsidRDefault="00251D72">
            <w:pPr>
              <w:pStyle w:val="a3"/>
              <w:spacing w:before="0" w:beforeAutospacing="0" w:after="0" w:afterAutospacing="0"/>
              <w:jc w:val="center"/>
              <w:rPr>
                <w:b/>
                <w:bCs/>
                <w:sz w:val="12"/>
                <w:szCs w:val="12"/>
              </w:rPr>
            </w:pPr>
            <w:r>
              <w:rPr>
                <w:b/>
                <w:bCs/>
                <w:sz w:val="12"/>
                <w:szCs w:val="12"/>
              </w:rPr>
              <w:t> </w:t>
            </w:r>
          </w:p>
        </w:tc>
        <w:tc>
          <w:tcPr>
            <w:tcW w:w="50" w:type="pct"/>
            <w:hideMark/>
          </w:tcPr>
          <w:p w14:paraId="6F63C89C" w14:textId="77777777" w:rsidR="00251D72" w:rsidRDefault="00251D72">
            <w:pPr>
              <w:pStyle w:val="a3"/>
              <w:spacing w:before="0" w:beforeAutospacing="0" w:after="0" w:afterAutospacing="0"/>
              <w:jc w:val="center"/>
              <w:rPr>
                <w:b/>
                <w:bCs/>
                <w:sz w:val="12"/>
                <w:szCs w:val="12"/>
              </w:rPr>
            </w:pPr>
            <w:r>
              <w:rPr>
                <w:b/>
                <w:bCs/>
                <w:sz w:val="12"/>
                <w:szCs w:val="12"/>
              </w:rPr>
              <w:t> </w:t>
            </w:r>
          </w:p>
        </w:tc>
        <w:tc>
          <w:tcPr>
            <w:tcW w:w="4200" w:type="pct"/>
            <w:hideMark/>
          </w:tcPr>
          <w:p w14:paraId="6214025B" w14:textId="77777777" w:rsidR="00251D72" w:rsidRDefault="00251D72">
            <w:pPr>
              <w:pStyle w:val="a3"/>
              <w:spacing w:before="0" w:beforeAutospacing="0" w:after="0" w:afterAutospacing="0"/>
              <w:jc w:val="center"/>
              <w:rPr>
                <w:b/>
                <w:bCs/>
                <w:sz w:val="12"/>
                <w:szCs w:val="12"/>
              </w:rPr>
            </w:pPr>
            <w:r>
              <w:rPr>
                <w:b/>
                <w:bCs/>
                <w:sz w:val="12"/>
                <w:szCs w:val="12"/>
              </w:rPr>
              <w:t> </w:t>
            </w:r>
          </w:p>
        </w:tc>
        <w:tc>
          <w:tcPr>
            <w:tcW w:w="50" w:type="pct"/>
            <w:hideMark/>
          </w:tcPr>
          <w:p w14:paraId="34AB364D" w14:textId="77777777" w:rsidR="00251D72" w:rsidRDefault="00251D72">
            <w:pPr>
              <w:pStyle w:val="a3"/>
              <w:spacing w:before="0" w:beforeAutospacing="0" w:after="0" w:afterAutospacing="0"/>
              <w:jc w:val="center"/>
              <w:rPr>
                <w:b/>
                <w:bCs/>
                <w:sz w:val="12"/>
                <w:szCs w:val="12"/>
              </w:rPr>
            </w:pPr>
            <w:r>
              <w:rPr>
                <w:b/>
                <w:bCs/>
                <w:sz w:val="12"/>
                <w:szCs w:val="12"/>
              </w:rPr>
              <w:t> </w:t>
            </w:r>
          </w:p>
        </w:tc>
        <w:tc>
          <w:tcPr>
            <w:tcW w:w="300" w:type="pct"/>
            <w:hideMark/>
          </w:tcPr>
          <w:p w14:paraId="274EE843" w14:textId="77777777" w:rsidR="00251D72" w:rsidRDefault="00251D72">
            <w:pPr>
              <w:pStyle w:val="a3"/>
              <w:spacing w:before="0" w:beforeAutospacing="0" w:after="0" w:afterAutospacing="0"/>
              <w:jc w:val="center"/>
              <w:rPr>
                <w:b/>
                <w:bCs/>
                <w:sz w:val="12"/>
                <w:szCs w:val="12"/>
              </w:rPr>
            </w:pPr>
            <w:r>
              <w:rPr>
                <w:b/>
                <w:bCs/>
                <w:sz w:val="12"/>
                <w:szCs w:val="12"/>
              </w:rPr>
              <w:t> </w:t>
            </w:r>
          </w:p>
        </w:tc>
      </w:tr>
      <w:tr w:rsidR="00251D72" w14:paraId="31192CB1" w14:textId="77777777">
        <w:trPr>
          <w:divId w:val="1919753716"/>
          <w:jc w:val="center"/>
        </w:trPr>
        <w:tc>
          <w:tcPr>
            <w:tcW w:w="400" w:type="pct"/>
            <w:hideMark/>
          </w:tcPr>
          <w:p w14:paraId="0D987C79" w14:textId="77777777" w:rsidR="00251D72" w:rsidRDefault="00251D72">
            <w:pPr>
              <w:pStyle w:val="a3"/>
              <w:spacing w:before="0" w:beforeAutospacing="0" w:after="0" w:afterAutospacing="0"/>
              <w:rPr>
                <w:rFonts w:ascii="Calibri" w:hAnsi="Calibri" w:cs="Calibri"/>
                <w:b/>
                <w:bCs/>
                <w:sz w:val="17"/>
                <w:szCs w:val="17"/>
              </w:rPr>
            </w:pPr>
            <w:r>
              <w:rPr>
                <w:rFonts w:ascii="Calibri" w:hAnsi="Calibri" w:cs="Calibri"/>
                <w:b/>
                <w:bCs/>
                <w:sz w:val="17"/>
                <w:szCs w:val="17"/>
              </w:rPr>
              <w:t>PART I.</w:t>
            </w:r>
          </w:p>
        </w:tc>
        <w:tc>
          <w:tcPr>
            <w:tcW w:w="50" w:type="pct"/>
            <w:hideMark/>
          </w:tcPr>
          <w:p w14:paraId="2DEBEF85"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4F5098AF" w14:textId="77777777" w:rsidR="00251D72" w:rsidRDefault="00251D72">
            <w:pPr>
              <w:pStyle w:val="a3"/>
              <w:spacing w:before="0" w:beforeAutospacing="0" w:after="0" w:afterAutospacing="0"/>
              <w:rPr>
                <w:sz w:val="17"/>
                <w:szCs w:val="17"/>
              </w:rPr>
            </w:pPr>
            <w:r>
              <w:rPr>
                <w:sz w:val="17"/>
                <w:szCs w:val="17"/>
              </w:rPr>
              <w:t> </w:t>
            </w:r>
          </w:p>
        </w:tc>
        <w:tc>
          <w:tcPr>
            <w:tcW w:w="50" w:type="pct"/>
            <w:hideMark/>
          </w:tcPr>
          <w:p w14:paraId="61FE4378"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726F40E3" w14:textId="77777777" w:rsidR="00251D72" w:rsidRDefault="00251D72">
            <w:pPr>
              <w:pStyle w:val="a3"/>
              <w:spacing w:before="0" w:beforeAutospacing="0" w:after="0" w:afterAutospacing="0"/>
              <w:jc w:val="right"/>
              <w:rPr>
                <w:sz w:val="17"/>
                <w:szCs w:val="17"/>
              </w:rPr>
            </w:pPr>
            <w:r>
              <w:rPr>
                <w:sz w:val="17"/>
                <w:szCs w:val="17"/>
              </w:rPr>
              <w:t> </w:t>
            </w:r>
          </w:p>
        </w:tc>
      </w:tr>
      <w:tr w:rsidR="00251D72" w14:paraId="5E62BE6C" w14:textId="77777777">
        <w:trPr>
          <w:divId w:val="1919753716"/>
          <w:jc w:val="center"/>
        </w:trPr>
        <w:tc>
          <w:tcPr>
            <w:tcW w:w="400" w:type="pct"/>
            <w:hideMark/>
          </w:tcPr>
          <w:p w14:paraId="2DD44F41" w14:textId="77777777" w:rsidR="00251D72" w:rsidRDefault="00251D72">
            <w:pPr>
              <w:pStyle w:val="a3"/>
              <w:spacing w:before="0" w:beforeAutospacing="0" w:after="0" w:afterAutospacing="0"/>
              <w:rPr>
                <w:b/>
                <w:bCs/>
                <w:sz w:val="12"/>
                <w:szCs w:val="12"/>
              </w:rPr>
            </w:pPr>
            <w:r>
              <w:rPr>
                <w:b/>
                <w:bCs/>
                <w:sz w:val="12"/>
                <w:szCs w:val="12"/>
              </w:rPr>
              <w:t> </w:t>
            </w:r>
          </w:p>
        </w:tc>
        <w:tc>
          <w:tcPr>
            <w:tcW w:w="50" w:type="pct"/>
            <w:hideMark/>
          </w:tcPr>
          <w:p w14:paraId="44F138FE"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752453F1"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0DB5456E"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7E35509E" w14:textId="77777777" w:rsidR="00251D72" w:rsidRDefault="00251D72">
            <w:pPr>
              <w:pStyle w:val="a3"/>
              <w:spacing w:before="0" w:beforeAutospacing="0" w:after="0" w:afterAutospacing="0"/>
              <w:jc w:val="right"/>
              <w:rPr>
                <w:sz w:val="12"/>
                <w:szCs w:val="12"/>
              </w:rPr>
            </w:pPr>
            <w:r>
              <w:rPr>
                <w:sz w:val="12"/>
                <w:szCs w:val="12"/>
              </w:rPr>
              <w:t> </w:t>
            </w:r>
          </w:p>
        </w:tc>
      </w:tr>
      <w:tr w:rsidR="00251D72" w14:paraId="313773CC" w14:textId="77777777">
        <w:trPr>
          <w:divId w:val="1919753716"/>
          <w:jc w:val="center"/>
        </w:trPr>
        <w:tc>
          <w:tcPr>
            <w:tcW w:w="400" w:type="pct"/>
            <w:hideMark/>
          </w:tcPr>
          <w:p w14:paraId="0D302D59"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1.</w:t>
            </w:r>
          </w:p>
        </w:tc>
        <w:tc>
          <w:tcPr>
            <w:tcW w:w="50" w:type="pct"/>
            <w:hideMark/>
          </w:tcPr>
          <w:p w14:paraId="0C486954"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50FD859E" w14:textId="77777777" w:rsidR="00251D72" w:rsidRDefault="00251D72">
            <w:pPr>
              <w:pStyle w:val="a3"/>
              <w:spacing w:before="0" w:beforeAutospacing="0" w:after="0" w:afterAutospacing="0"/>
              <w:rPr>
                <w:rFonts w:ascii="Calibri" w:hAnsi="Calibri" w:cs="Calibri"/>
                <w:sz w:val="17"/>
                <w:szCs w:val="17"/>
              </w:rPr>
            </w:pPr>
            <w:hyperlink w:anchor="ITEM_1_BUSINESS" w:history="1">
              <w:r>
                <w:rPr>
                  <w:rStyle w:val="a4"/>
                  <w:rFonts w:ascii="Calibri" w:hAnsi="Calibri" w:cs="Calibri"/>
                  <w:sz w:val="17"/>
                  <w:szCs w:val="17"/>
                </w:rPr>
                <w:t>Business</w:t>
              </w:r>
            </w:hyperlink>
          </w:p>
        </w:tc>
        <w:tc>
          <w:tcPr>
            <w:tcW w:w="50" w:type="pct"/>
            <w:hideMark/>
          </w:tcPr>
          <w:p w14:paraId="28FBF0E4"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64552348"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3</w:t>
            </w:r>
          </w:p>
        </w:tc>
      </w:tr>
      <w:tr w:rsidR="00251D72" w14:paraId="12798E5A" w14:textId="77777777">
        <w:trPr>
          <w:divId w:val="1919753716"/>
          <w:jc w:val="center"/>
        </w:trPr>
        <w:tc>
          <w:tcPr>
            <w:tcW w:w="400" w:type="pct"/>
            <w:hideMark/>
          </w:tcPr>
          <w:p w14:paraId="37622F81"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4CC52BE6"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4331EDB2"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6D78A904"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48F8F91C" w14:textId="77777777" w:rsidR="00251D72" w:rsidRDefault="00251D72">
            <w:pPr>
              <w:pStyle w:val="a3"/>
              <w:spacing w:before="0" w:beforeAutospacing="0" w:after="0" w:afterAutospacing="0"/>
              <w:jc w:val="right"/>
              <w:rPr>
                <w:sz w:val="12"/>
                <w:szCs w:val="12"/>
              </w:rPr>
            </w:pPr>
            <w:r>
              <w:rPr>
                <w:sz w:val="12"/>
                <w:szCs w:val="12"/>
              </w:rPr>
              <w:t> </w:t>
            </w:r>
          </w:p>
        </w:tc>
      </w:tr>
      <w:tr w:rsidR="00251D72" w14:paraId="317FAD08" w14:textId="77777777">
        <w:trPr>
          <w:divId w:val="1919753716"/>
          <w:jc w:val="center"/>
        </w:trPr>
        <w:tc>
          <w:tcPr>
            <w:tcW w:w="400" w:type="pct"/>
            <w:hideMark/>
          </w:tcPr>
          <w:p w14:paraId="5C56CABE"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1A.</w:t>
            </w:r>
          </w:p>
        </w:tc>
        <w:tc>
          <w:tcPr>
            <w:tcW w:w="50" w:type="pct"/>
            <w:hideMark/>
          </w:tcPr>
          <w:p w14:paraId="08ACAFC5"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63DFDCC0" w14:textId="77777777" w:rsidR="00251D72" w:rsidRDefault="00251D72">
            <w:pPr>
              <w:pStyle w:val="a3"/>
              <w:spacing w:before="0" w:beforeAutospacing="0" w:after="0" w:afterAutospacing="0"/>
              <w:rPr>
                <w:rFonts w:ascii="Calibri" w:hAnsi="Calibri" w:cs="Calibri"/>
                <w:sz w:val="17"/>
                <w:szCs w:val="17"/>
              </w:rPr>
            </w:pPr>
            <w:hyperlink w:anchor="ITEM_1A_RISK_FACTORS" w:history="1">
              <w:r>
                <w:rPr>
                  <w:rStyle w:val="a4"/>
                  <w:rFonts w:ascii="Calibri" w:hAnsi="Calibri" w:cs="Calibri"/>
                  <w:sz w:val="17"/>
                  <w:szCs w:val="17"/>
                </w:rPr>
                <w:t>Risk Factors</w:t>
              </w:r>
            </w:hyperlink>
          </w:p>
        </w:tc>
        <w:tc>
          <w:tcPr>
            <w:tcW w:w="50" w:type="pct"/>
            <w:hideMark/>
          </w:tcPr>
          <w:p w14:paraId="1E2496D5"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7CBB1E20"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16</w:t>
            </w:r>
          </w:p>
        </w:tc>
      </w:tr>
      <w:tr w:rsidR="00251D72" w14:paraId="1821DEF9" w14:textId="77777777">
        <w:trPr>
          <w:divId w:val="1919753716"/>
          <w:jc w:val="center"/>
        </w:trPr>
        <w:tc>
          <w:tcPr>
            <w:tcW w:w="400" w:type="pct"/>
            <w:hideMark/>
          </w:tcPr>
          <w:p w14:paraId="0A1DEC0B"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38F51732"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2D87B1A8"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49B7415D"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165363A1" w14:textId="77777777" w:rsidR="00251D72" w:rsidRDefault="00251D72">
            <w:pPr>
              <w:pStyle w:val="a3"/>
              <w:spacing w:before="0" w:beforeAutospacing="0" w:after="0" w:afterAutospacing="0"/>
              <w:jc w:val="right"/>
              <w:rPr>
                <w:sz w:val="12"/>
                <w:szCs w:val="12"/>
              </w:rPr>
            </w:pPr>
            <w:r>
              <w:rPr>
                <w:sz w:val="12"/>
                <w:szCs w:val="12"/>
              </w:rPr>
              <w:t> </w:t>
            </w:r>
          </w:p>
        </w:tc>
      </w:tr>
      <w:tr w:rsidR="00251D72" w14:paraId="0F465D80" w14:textId="77777777">
        <w:trPr>
          <w:divId w:val="1919753716"/>
          <w:jc w:val="center"/>
        </w:trPr>
        <w:tc>
          <w:tcPr>
            <w:tcW w:w="400" w:type="pct"/>
            <w:hideMark/>
          </w:tcPr>
          <w:p w14:paraId="6673B4DF"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1B.</w:t>
            </w:r>
          </w:p>
        </w:tc>
        <w:tc>
          <w:tcPr>
            <w:tcW w:w="50" w:type="pct"/>
            <w:hideMark/>
          </w:tcPr>
          <w:p w14:paraId="7FEEB49C"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0393D091" w14:textId="77777777" w:rsidR="00251D72" w:rsidRDefault="00251D72">
            <w:pPr>
              <w:pStyle w:val="a3"/>
              <w:spacing w:before="0" w:beforeAutospacing="0" w:after="0" w:afterAutospacing="0"/>
              <w:rPr>
                <w:rFonts w:ascii="Calibri" w:hAnsi="Calibri" w:cs="Calibri"/>
                <w:sz w:val="17"/>
                <w:szCs w:val="17"/>
              </w:rPr>
            </w:pPr>
            <w:hyperlink w:anchor="ITEM_1B_UNRESOLVED_STAFF_COMMENTS" w:history="1">
              <w:r>
                <w:rPr>
                  <w:rStyle w:val="a4"/>
                  <w:rFonts w:ascii="Calibri" w:hAnsi="Calibri" w:cs="Calibri"/>
                  <w:sz w:val="17"/>
                  <w:szCs w:val="17"/>
                </w:rPr>
                <w:t>Unresolved Staff Comments</w:t>
              </w:r>
            </w:hyperlink>
          </w:p>
        </w:tc>
        <w:tc>
          <w:tcPr>
            <w:tcW w:w="50" w:type="pct"/>
            <w:hideMark/>
          </w:tcPr>
          <w:p w14:paraId="58B502F2"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333EE790"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32</w:t>
            </w:r>
          </w:p>
        </w:tc>
      </w:tr>
      <w:tr w:rsidR="00251D72" w14:paraId="1A17F604" w14:textId="77777777">
        <w:trPr>
          <w:divId w:val="1919753716"/>
          <w:jc w:val="center"/>
        </w:trPr>
        <w:tc>
          <w:tcPr>
            <w:tcW w:w="400" w:type="pct"/>
            <w:hideMark/>
          </w:tcPr>
          <w:p w14:paraId="197DB757"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06EF5528"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26A29D20"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477293F0"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11A24AB0" w14:textId="77777777" w:rsidR="00251D72" w:rsidRDefault="00251D72">
            <w:pPr>
              <w:pStyle w:val="a3"/>
              <w:spacing w:before="0" w:beforeAutospacing="0" w:after="0" w:afterAutospacing="0"/>
              <w:jc w:val="right"/>
              <w:rPr>
                <w:sz w:val="12"/>
                <w:szCs w:val="12"/>
              </w:rPr>
            </w:pPr>
            <w:r>
              <w:rPr>
                <w:sz w:val="12"/>
                <w:szCs w:val="12"/>
              </w:rPr>
              <w:t> </w:t>
            </w:r>
          </w:p>
        </w:tc>
      </w:tr>
      <w:tr w:rsidR="00251D72" w14:paraId="004820D6" w14:textId="77777777">
        <w:trPr>
          <w:divId w:val="1919753716"/>
          <w:jc w:val="center"/>
        </w:trPr>
        <w:tc>
          <w:tcPr>
            <w:tcW w:w="400" w:type="pct"/>
            <w:hideMark/>
          </w:tcPr>
          <w:p w14:paraId="2445B426"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2.</w:t>
            </w:r>
          </w:p>
        </w:tc>
        <w:tc>
          <w:tcPr>
            <w:tcW w:w="50" w:type="pct"/>
            <w:hideMark/>
          </w:tcPr>
          <w:p w14:paraId="211CCE3A"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6920584A" w14:textId="77777777" w:rsidR="00251D72" w:rsidRDefault="00251D72">
            <w:pPr>
              <w:pStyle w:val="a3"/>
              <w:spacing w:before="0" w:beforeAutospacing="0" w:after="0" w:afterAutospacing="0"/>
              <w:rPr>
                <w:rFonts w:ascii="Calibri" w:hAnsi="Calibri" w:cs="Calibri"/>
                <w:sz w:val="17"/>
                <w:szCs w:val="17"/>
              </w:rPr>
            </w:pPr>
            <w:hyperlink w:anchor="ITEM_2_PROPERTIES" w:history="1">
              <w:r>
                <w:rPr>
                  <w:rStyle w:val="a4"/>
                  <w:rFonts w:ascii="Calibri" w:hAnsi="Calibri" w:cs="Calibri"/>
                  <w:sz w:val="17"/>
                  <w:szCs w:val="17"/>
                </w:rPr>
                <w:t>Properties</w:t>
              </w:r>
            </w:hyperlink>
          </w:p>
        </w:tc>
        <w:tc>
          <w:tcPr>
            <w:tcW w:w="50" w:type="pct"/>
            <w:hideMark/>
          </w:tcPr>
          <w:p w14:paraId="18E80B31"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19021764"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32</w:t>
            </w:r>
          </w:p>
        </w:tc>
      </w:tr>
      <w:tr w:rsidR="00251D72" w14:paraId="3049FE5C" w14:textId="77777777">
        <w:trPr>
          <w:divId w:val="1919753716"/>
          <w:jc w:val="center"/>
        </w:trPr>
        <w:tc>
          <w:tcPr>
            <w:tcW w:w="400" w:type="pct"/>
            <w:hideMark/>
          </w:tcPr>
          <w:p w14:paraId="6A206C7C"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78EEBA78"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79748B9F"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071D40AF"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08473F09" w14:textId="77777777" w:rsidR="00251D72" w:rsidRDefault="00251D72">
            <w:pPr>
              <w:pStyle w:val="a3"/>
              <w:spacing w:before="0" w:beforeAutospacing="0" w:after="0" w:afterAutospacing="0"/>
              <w:jc w:val="right"/>
              <w:rPr>
                <w:sz w:val="12"/>
                <w:szCs w:val="12"/>
              </w:rPr>
            </w:pPr>
            <w:r>
              <w:rPr>
                <w:sz w:val="12"/>
                <w:szCs w:val="12"/>
              </w:rPr>
              <w:t> </w:t>
            </w:r>
          </w:p>
        </w:tc>
      </w:tr>
      <w:tr w:rsidR="00251D72" w14:paraId="672669E8" w14:textId="77777777">
        <w:trPr>
          <w:divId w:val="1919753716"/>
          <w:jc w:val="center"/>
        </w:trPr>
        <w:tc>
          <w:tcPr>
            <w:tcW w:w="400" w:type="pct"/>
            <w:hideMark/>
          </w:tcPr>
          <w:p w14:paraId="21AFCAD8"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3.</w:t>
            </w:r>
          </w:p>
        </w:tc>
        <w:tc>
          <w:tcPr>
            <w:tcW w:w="50" w:type="pct"/>
            <w:hideMark/>
          </w:tcPr>
          <w:p w14:paraId="70057584"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1C7A39DF" w14:textId="77777777" w:rsidR="00251D72" w:rsidRDefault="00251D72">
            <w:pPr>
              <w:pStyle w:val="a3"/>
              <w:spacing w:before="0" w:beforeAutospacing="0" w:after="0" w:afterAutospacing="0"/>
              <w:rPr>
                <w:rFonts w:ascii="Calibri" w:hAnsi="Calibri" w:cs="Calibri"/>
                <w:sz w:val="17"/>
                <w:szCs w:val="17"/>
              </w:rPr>
            </w:pPr>
            <w:hyperlink w:anchor="ITEM_3_LEGAL_PROCEEDINGS" w:history="1">
              <w:r>
                <w:rPr>
                  <w:rStyle w:val="a4"/>
                  <w:rFonts w:ascii="Calibri" w:hAnsi="Calibri" w:cs="Calibri"/>
                  <w:sz w:val="17"/>
                  <w:szCs w:val="17"/>
                </w:rPr>
                <w:t>Legal Proceedings</w:t>
              </w:r>
            </w:hyperlink>
          </w:p>
        </w:tc>
        <w:tc>
          <w:tcPr>
            <w:tcW w:w="50" w:type="pct"/>
            <w:hideMark/>
          </w:tcPr>
          <w:p w14:paraId="180AEFAA"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76990374"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32</w:t>
            </w:r>
          </w:p>
        </w:tc>
      </w:tr>
      <w:tr w:rsidR="00251D72" w14:paraId="699804ED" w14:textId="77777777">
        <w:trPr>
          <w:divId w:val="1919753716"/>
          <w:jc w:val="center"/>
        </w:trPr>
        <w:tc>
          <w:tcPr>
            <w:tcW w:w="400" w:type="pct"/>
            <w:hideMark/>
          </w:tcPr>
          <w:p w14:paraId="47B9D15B"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3EA1755D"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53203A70"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166EC9BC"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333DEC1E" w14:textId="77777777" w:rsidR="00251D72" w:rsidRDefault="00251D72">
            <w:pPr>
              <w:pStyle w:val="a3"/>
              <w:spacing w:before="0" w:beforeAutospacing="0" w:after="0" w:afterAutospacing="0"/>
              <w:jc w:val="right"/>
              <w:rPr>
                <w:sz w:val="12"/>
                <w:szCs w:val="12"/>
              </w:rPr>
            </w:pPr>
            <w:r>
              <w:rPr>
                <w:sz w:val="12"/>
                <w:szCs w:val="12"/>
              </w:rPr>
              <w:t> </w:t>
            </w:r>
          </w:p>
        </w:tc>
      </w:tr>
      <w:tr w:rsidR="00251D72" w14:paraId="7C9D3E1C" w14:textId="77777777">
        <w:trPr>
          <w:divId w:val="1919753716"/>
          <w:jc w:val="center"/>
        </w:trPr>
        <w:tc>
          <w:tcPr>
            <w:tcW w:w="400" w:type="pct"/>
            <w:hideMark/>
          </w:tcPr>
          <w:p w14:paraId="0801E3A0"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4.</w:t>
            </w:r>
          </w:p>
        </w:tc>
        <w:tc>
          <w:tcPr>
            <w:tcW w:w="50" w:type="pct"/>
            <w:hideMark/>
          </w:tcPr>
          <w:p w14:paraId="4B861757"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723A3081" w14:textId="77777777" w:rsidR="00251D72" w:rsidRDefault="00251D72">
            <w:pPr>
              <w:pStyle w:val="a3"/>
              <w:spacing w:before="0" w:beforeAutospacing="0" w:after="0" w:afterAutospacing="0"/>
              <w:rPr>
                <w:rFonts w:ascii="Calibri" w:hAnsi="Calibri" w:cs="Calibri"/>
                <w:sz w:val="17"/>
                <w:szCs w:val="17"/>
              </w:rPr>
            </w:pPr>
            <w:hyperlink w:anchor="ITEM_4_MINE_SAFETY_DISCLOSURES" w:history="1">
              <w:r>
                <w:rPr>
                  <w:rStyle w:val="a4"/>
                  <w:rFonts w:ascii="Calibri" w:hAnsi="Calibri" w:cs="Calibri"/>
                  <w:sz w:val="17"/>
                  <w:szCs w:val="17"/>
                </w:rPr>
                <w:t>Mine Safety Disclosures</w:t>
              </w:r>
            </w:hyperlink>
          </w:p>
        </w:tc>
        <w:tc>
          <w:tcPr>
            <w:tcW w:w="50" w:type="pct"/>
            <w:hideMark/>
          </w:tcPr>
          <w:p w14:paraId="3D63C524"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378ECEB8"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32</w:t>
            </w:r>
          </w:p>
        </w:tc>
      </w:tr>
      <w:tr w:rsidR="00251D72" w14:paraId="68F6E049" w14:textId="77777777">
        <w:trPr>
          <w:divId w:val="1919753716"/>
          <w:jc w:val="center"/>
        </w:trPr>
        <w:tc>
          <w:tcPr>
            <w:tcW w:w="400" w:type="pct"/>
            <w:hideMark/>
          </w:tcPr>
          <w:p w14:paraId="3764AD23"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2C52E006"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02690486"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11DF40F4"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3CCB93EE" w14:textId="77777777" w:rsidR="00251D72" w:rsidRDefault="00251D72">
            <w:pPr>
              <w:pStyle w:val="a3"/>
              <w:spacing w:before="0" w:beforeAutospacing="0" w:after="0" w:afterAutospacing="0"/>
              <w:jc w:val="right"/>
              <w:rPr>
                <w:sz w:val="12"/>
                <w:szCs w:val="12"/>
              </w:rPr>
            </w:pPr>
            <w:r>
              <w:rPr>
                <w:sz w:val="12"/>
                <w:szCs w:val="12"/>
              </w:rPr>
              <w:t> </w:t>
            </w:r>
          </w:p>
        </w:tc>
      </w:tr>
      <w:tr w:rsidR="00251D72" w14:paraId="79353C0F" w14:textId="77777777">
        <w:trPr>
          <w:divId w:val="1919753716"/>
          <w:jc w:val="center"/>
        </w:trPr>
        <w:tc>
          <w:tcPr>
            <w:tcW w:w="400" w:type="pct"/>
            <w:hideMark/>
          </w:tcPr>
          <w:p w14:paraId="62072DA7" w14:textId="77777777" w:rsidR="00251D72" w:rsidRDefault="00251D72">
            <w:pPr>
              <w:pStyle w:val="a3"/>
              <w:spacing w:before="0" w:beforeAutospacing="0" w:after="0" w:afterAutospacing="0"/>
              <w:rPr>
                <w:rFonts w:ascii="Calibri" w:hAnsi="Calibri" w:cs="Calibri"/>
                <w:b/>
                <w:bCs/>
                <w:sz w:val="17"/>
                <w:szCs w:val="17"/>
              </w:rPr>
            </w:pPr>
            <w:r>
              <w:rPr>
                <w:rFonts w:ascii="Calibri" w:hAnsi="Calibri" w:cs="Calibri"/>
                <w:b/>
                <w:bCs/>
                <w:sz w:val="17"/>
                <w:szCs w:val="17"/>
              </w:rPr>
              <w:t>PART II.</w:t>
            </w:r>
          </w:p>
        </w:tc>
        <w:tc>
          <w:tcPr>
            <w:tcW w:w="50" w:type="pct"/>
            <w:hideMark/>
          </w:tcPr>
          <w:p w14:paraId="486F5767"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7278EE4B" w14:textId="77777777" w:rsidR="00251D72" w:rsidRDefault="00251D72">
            <w:pPr>
              <w:pStyle w:val="a3"/>
              <w:spacing w:before="0" w:beforeAutospacing="0" w:after="0" w:afterAutospacing="0"/>
              <w:rPr>
                <w:sz w:val="17"/>
                <w:szCs w:val="17"/>
              </w:rPr>
            </w:pPr>
            <w:r>
              <w:rPr>
                <w:sz w:val="17"/>
                <w:szCs w:val="17"/>
              </w:rPr>
              <w:t> </w:t>
            </w:r>
          </w:p>
        </w:tc>
        <w:tc>
          <w:tcPr>
            <w:tcW w:w="50" w:type="pct"/>
            <w:hideMark/>
          </w:tcPr>
          <w:p w14:paraId="245AB852"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475DEC0B" w14:textId="77777777" w:rsidR="00251D72" w:rsidRDefault="00251D72">
            <w:pPr>
              <w:pStyle w:val="a3"/>
              <w:spacing w:before="0" w:beforeAutospacing="0" w:after="0" w:afterAutospacing="0"/>
              <w:jc w:val="right"/>
              <w:rPr>
                <w:sz w:val="17"/>
                <w:szCs w:val="17"/>
              </w:rPr>
            </w:pPr>
            <w:r>
              <w:rPr>
                <w:sz w:val="17"/>
                <w:szCs w:val="17"/>
              </w:rPr>
              <w:t> </w:t>
            </w:r>
          </w:p>
        </w:tc>
      </w:tr>
      <w:tr w:rsidR="00251D72" w14:paraId="58B0D820" w14:textId="77777777">
        <w:trPr>
          <w:divId w:val="1919753716"/>
          <w:jc w:val="center"/>
        </w:trPr>
        <w:tc>
          <w:tcPr>
            <w:tcW w:w="400" w:type="pct"/>
            <w:hideMark/>
          </w:tcPr>
          <w:p w14:paraId="0A4DF208"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6B4AC3A4"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2E406743"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77C63267"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09889B0C" w14:textId="77777777" w:rsidR="00251D72" w:rsidRDefault="00251D72">
            <w:pPr>
              <w:pStyle w:val="a3"/>
              <w:spacing w:before="0" w:beforeAutospacing="0" w:after="0" w:afterAutospacing="0"/>
              <w:jc w:val="right"/>
              <w:rPr>
                <w:sz w:val="12"/>
                <w:szCs w:val="12"/>
              </w:rPr>
            </w:pPr>
            <w:r>
              <w:rPr>
                <w:sz w:val="12"/>
                <w:szCs w:val="12"/>
              </w:rPr>
              <w:t> </w:t>
            </w:r>
          </w:p>
        </w:tc>
      </w:tr>
      <w:tr w:rsidR="00251D72" w14:paraId="18602E4D" w14:textId="77777777">
        <w:trPr>
          <w:divId w:val="1919753716"/>
          <w:jc w:val="center"/>
        </w:trPr>
        <w:tc>
          <w:tcPr>
            <w:tcW w:w="400" w:type="pct"/>
            <w:hideMark/>
          </w:tcPr>
          <w:p w14:paraId="13602961"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5.</w:t>
            </w:r>
          </w:p>
        </w:tc>
        <w:tc>
          <w:tcPr>
            <w:tcW w:w="50" w:type="pct"/>
            <w:hideMark/>
          </w:tcPr>
          <w:p w14:paraId="6B203B56"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4E914EEC" w14:textId="77777777" w:rsidR="00251D72" w:rsidRDefault="00251D72">
            <w:pPr>
              <w:pStyle w:val="a3"/>
              <w:spacing w:before="0" w:beforeAutospacing="0" w:after="0" w:afterAutospacing="0"/>
              <w:rPr>
                <w:rFonts w:ascii="Calibri" w:hAnsi="Calibri" w:cs="Calibri"/>
                <w:sz w:val="17"/>
                <w:szCs w:val="17"/>
              </w:rPr>
            </w:pPr>
            <w:hyperlink w:anchor="ITEM_5_MARKET_FOR_REGISTRANTS_COMMON_EQ" w:history="1">
              <w:r>
                <w:rPr>
                  <w:rStyle w:val="a4"/>
                  <w:rFonts w:ascii="Calibri" w:hAnsi="Calibri" w:cs="Calibri"/>
                  <w:sz w:val="17"/>
                  <w:szCs w:val="17"/>
                </w:rPr>
                <w:t>Market for Registrant’s Common Equity, Related Stockholder Matters and Issuer Purchases of Equity Securities</w:t>
              </w:r>
            </w:hyperlink>
          </w:p>
        </w:tc>
        <w:tc>
          <w:tcPr>
            <w:tcW w:w="50" w:type="pct"/>
            <w:hideMark/>
          </w:tcPr>
          <w:p w14:paraId="378D972A"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4DED0185"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33</w:t>
            </w:r>
          </w:p>
        </w:tc>
      </w:tr>
      <w:tr w:rsidR="00251D72" w14:paraId="0485344C" w14:textId="77777777">
        <w:trPr>
          <w:divId w:val="1919753716"/>
          <w:jc w:val="center"/>
        </w:trPr>
        <w:tc>
          <w:tcPr>
            <w:tcW w:w="400" w:type="pct"/>
            <w:hideMark/>
          </w:tcPr>
          <w:p w14:paraId="3CDCF16D"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0326B7F2"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7F6B6E1E"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576C5F5F"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7393B49F" w14:textId="77777777" w:rsidR="00251D72" w:rsidRDefault="00251D72">
            <w:pPr>
              <w:pStyle w:val="a3"/>
              <w:spacing w:before="0" w:beforeAutospacing="0" w:after="0" w:afterAutospacing="0"/>
              <w:jc w:val="right"/>
              <w:rPr>
                <w:sz w:val="12"/>
                <w:szCs w:val="12"/>
              </w:rPr>
            </w:pPr>
            <w:r>
              <w:rPr>
                <w:sz w:val="12"/>
                <w:szCs w:val="12"/>
              </w:rPr>
              <w:t> </w:t>
            </w:r>
          </w:p>
        </w:tc>
      </w:tr>
      <w:tr w:rsidR="00251D72" w14:paraId="4374ED9C" w14:textId="77777777">
        <w:trPr>
          <w:divId w:val="1919753716"/>
          <w:jc w:val="center"/>
        </w:trPr>
        <w:tc>
          <w:tcPr>
            <w:tcW w:w="400" w:type="pct"/>
            <w:hideMark/>
          </w:tcPr>
          <w:p w14:paraId="0533F6E5"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6.</w:t>
            </w:r>
          </w:p>
        </w:tc>
        <w:tc>
          <w:tcPr>
            <w:tcW w:w="50" w:type="pct"/>
            <w:hideMark/>
          </w:tcPr>
          <w:p w14:paraId="359353E8"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7006C544" w14:textId="77777777" w:rsidR="00251D72" w:rsidRDefault="00251D72">
            <w:pPr>
              <w:pStyle w:val="a3"/>
              <w:spacing w:before="0" w:beforeAutospacing="0" w:after="0" w:afterAutospacing="0"/>
              <w:rPr>
                <w:rFonts w:ascii="Calibri" w:hAnsi="Calibri" w:cs="Calibri"/>
                <w:sz w:val="17"/>
                <w:szCs w:val="17"/>
              </w:rPr>
            </w:pPr>
            <w:hyperlink w:anchor="ITEM_6_SELECTED_FINANCIAL_DATA" w:history="1">
              <w:r>
                <w:rPr>
                  <w:rStyle w:val="a4"/>
                  <w:rFonts w:ascii="Calibri" w:hAnsi="Calibri" w:cs="Calibri"/>
                  <w:sz w:val="17"/>
                  <w:szCs w:val="17"/>
                </w:rPr>
                <w:t>Selected Financial Data</w:t>
              </w:r>
            </w:hyperlink>
          </w:p>
        </w:tc>
        <w:tc>
          <w:tcPr>
            <w:tcW w:w="50" w:type="pct"/>
            <w:hideMark/>
          </w:tcPr>
          <w:p w14:paraId="4ECAC7AD"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545B08FE"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35</w:t>
            </w:r>
          </w:p>
        </w:tc>
      </w:tr>
      <w:tr w:rsidR="00251D72" w14:paraId="5309FFA7" w14:textId="77777777">
        <w:trPr>
          <w:divId w:val="1919753716"/>
          <w:jc w:val="center"/>
        </w:trPr>
        <w:tc>
          <w:tcPr>
            <w:tcW w:w="400" w:type="pct"/>
            <w:hideMark/>
          </w:tcPr>
          <w:p w14:paraId="77CC64BE"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7741BC84"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2FE9F895"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3DF243DF"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12229064" w14:textId="77777777" w:rsidR="00251D72" w:rsidRDefault="00251D72">
            <w:pPr>
              <w:pStyle w:val="a3"/>
              <w:spacing w:before="0" w:beforeAutospacing="0" w:after="0" w:afterAutospacing="0"/>
              <w:jc w:val="right"/>
              <w:rPr>
                <w:sz w:val="12"/>
                <w:szCs w:val="12"/>
              </w:rPr>
            </w:pPr>
            <w:r>
              <w:rPr>
                <w:sz w:val="12"/>
                <w:szCs w:val="12"/>
              </w:rPr>
              <w:t> </w:t>
            </w:r>
          </w:p>
        </w:tc>
      </w:tr>
      <w:tr w:rsidR="00251D72" w14:paraId="5C0DB6D5" w14:textId="77777777">
        <w:trPr>
          <w:divId w:val="1919753716"/>
          <w:jc w:val="center"/>
        </w:trPr>
        <w:tc>
          <w:tcPr>
            <w:tcW w:w="400" w:type="pct"/>
            <w:hideMark/>
          </w:tcPr>
          <w:p w14:paraId="41A193C4"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7.</w:t>
            </w:r>
          </w:p>
        </w:tc>
        <w:tc>
          <w:tcPr>
            <w:tcW w:w="50" w:type="pct"/>
            <w:hideMark/>
          </w:tcPr>
          <w:p w14:paraId="6EAEA7D5"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3D698A38" w14:textId="77777777" w:rsidR="00251D72" w:rsidRDefault="00251D72">
            <w:pPr>
              <w:pStyle w:val="a3"/>
              <w:spacing w:before="0" w:beforeAutospacing="0" w:after="0" w:afterAutospacing="0"/>
              <w:rPr>
                <w:rFonts w:ascii="Calibri" w:hAnsi="Calibri" w:cs="Calibri"/>
                <w:sz w:val="17"/>
                <w:szCs w:val="17"/>
              </w:rPr>
            </w:pPr>
            <w:hyperlink w:anchor="ITEM_7_MANAGEMENTS_DISCUSSION_ANALYSIS" w:history="1">
              <w:r>
                <w:rPr>
                  <w:rStyle w:val="a4"/>
                  <w:rFonts w:ascii="Calibri" w:hAnsi="Calibri" w:cs="Calibri"/>
                  <w:sz w:val="17"/>
                  <w:szCs w:val="17"/>
                </w:rPr>
                <w:t>Management’s Discussion and Analysis of Financial Condition and Results of Operations</w:t>
              </w:r>
            </w:hyperlink>
          </w:p>
        </w:tc>
        <w:tc>
          <w:tcPr>
            <w:tcW w:w="50" w:type="pct"/>
            <w:hideMark/>
          </w:tcPr>
          <w:p w14:paraId="14E8594B"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30B648A5"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36</w:t>
            </w:r>
          </w:p>
        </w:tc>
      </w:tr>
      <w:tr w:rsidR="00251D72" w14:paraId="054B5496" w14:textId="77777777">
        <w:trPr>
          <w:divId w:val="1919753716"/>
          <w:jc w:val="center"/>
        </w:trPr>
        <w:tc>
          <w:tcPr>
            <w:tcW w:w="400" w:type="pct"/>
            <w:hideMark/>
          </w:tcPr>
          <w:p w14:paraId="152C01DE"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5450581F"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29517920"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35A08EA0"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6B8C6D55" w14:textId="77777777" w:rsidR="00251D72" w:rsidRDefault="00251D72">
            <w:pPr>
              <w:pStyle w:val="a3"/>
              <w:spacing w:before="0" w:beforeAutospacing="0" w:after="0" w:afterAutospacing="0"/>
              <w:jc w:val="right"/>
              <w:rPr>
                <w:sz w:val="12"/>
                <w:szCs w:val="12"/>
              </w:rPr>
            </w:pPr>
            <w:r>
              <w:rPr>
                <w:sz w:val="12"/>
                <w:szCs w:val="12"/>
              </w:rPr>
              <w:t> </w:t>
            </w:r>
          </w:p>
        </w:tc>
      </w:tr>
      <w:tr w:rsidR="00251D72" w14:paraId="05CFC01E" w14:textId="77777777">
        <w:trPr>
          <w:divId w:val="1919753716"/>
          <w:jc w:val="center"/>
        </w:trPr>
        <w:tc>
          <w:tcPr>
            <w:tcW w:w="400" w:type="pct"/>
            <w:hideMark/>
          </w:tcPr>
          <w:p w14:paraId="35F8B7F7"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7A.</w:t>
            </w:r>
          </w:p>
        </w:tc>
        <w:tc>
          <w:tcPr>
            <w:tcW w:w="50" w:type="pct"/>
            <w:hideMark/>
          </w:tcPr>
          <w:p w14:paraId="21B63E6C"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678577D8" w14:textId="77777777" w:rsidR="00251D72" w:rsidRDefault="00251D72">
            <w:pPr>
              <w:pStyle w:val="a3"/>
              <w:spacing w:before="0" w:beforeAutospacing="0" w:after="0" w:afterAutospacing="0"/>
              <w:rPr>
                <w:rFonts w:ascii="Calibri" w:hAnsi="Calibri" w:cs="Calibri"/>
                <w:sz w:val="17"/>
                <w:szCs w:val="17"/>
              </w:rPr>
            </w:pPr>
            <w:hyperlink w:anchor="ITEM_7A_QUANTITATIVE_QUALITATIVE_DISCLO" w:history="1">
              <w:r>
                <w:rPr>
                  <w:rStyle w:val="a4"/>
                  <w:rFonts w:ascii="Calibri" w:hAnsi="Calibri" w:cs="Calibri"/>
                  <w:sz w:val="17"/>
                  <w:szCs w:val="17"/>
                </w:rPr>
                <w:t>Quantitative and Qualitative Disclosures About Market Risk</w:t>
              </w:r>
            </w:hyperlink>
          </w:p>
        </w:tc>
        <w:tc>
          <w:tcPr>
            <w:tcW w:w="50" w:type="pct"/>
            <w:hideMark/>
          </w:tcPr>
          <w:p w14:paraId="065385AB"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4D3BAFB0"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59</w:t>
            </w:r>
          </w:p>
        </w:tc>
      </w:tr>
      <w:tr w:rsidR="00251D72" w14:paraId="4A2FDD93" w14:textId="77777777">
        <w:trPr>
          <w:divId w:val="1919753716"/>
          <w:jc w:val="center"/>
        </w:trPr>
        <w:tc>
          <w:tcPr>
            <w:tcW w:w="400" w:type="pct"/>
            <w:hideMark/>
          </w:tcPr>
          <w:p w14:paraId="0E09F5D3"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2F285899"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39DBC138"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3E9060CE"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43DE820C" w14:textId="77777777" w:rsidR="00251D72" w:rsidRDefault="00251D72">
            <w:pPr>
              <w:pStyle w:val="a3"/>
              <w:spacing w:before="0" w:beforeAutospacing="0" w:after="0" w:afterAutospacing="0"/>
              <w:jc w:val="right"/>
              <w:rPr>
                <w:sz w:val="12"/>
                <w:szCs w:val="12"/>
              </w:rPr>
            </w:pPr>
            <w:r>
              <w:rPr>
                <w:sz w:val="12"/>
                <w:szCs w:val="12"/>
              </w:rPr>
              <w:t> </w:t>
            </w:r>
          </w:p>
        </w:tc>
      </w:tr>
      <w:tr w:rsidR="00251D72" w14:paraId="1B5217E6" w14:textId="77777777">
        <w:trPr>
          <w:divId w:val="1919753716"/>
          <w:jc w:val="center"/>
        </w:trPr>
        <w:tc>
          <w:tcPr>
            <w:tcW w:w="400" w:type="pct"/>
            <w:hideMark/>
          </w:tcPr>
          <w:p w14:paraId="29543ABA"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8.</w:t>
            </w:r>
          </w:p>
        </w:tc>
        <w:tc>
          <w:tcPr>
            <w:tcW w:w="50" w:type="pct"/>
            <w:hideMark/>
          </w:tcPr>
          <w:p w14:paraId="1F5DC1BF"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6ADE7D7F" w14:textId="77777777" w:rsidR="00251D72" w:rsidRDefault="00251D72">
            <w:pPr>
              <w:pStyle w:val="a3"/>
              <w:spacing w:before="0" w:beforeAutospacing="0" w:after="0" w:afterAutospacing="0"/>
              <w:rPr>
                <w:rFonts w:ascii="Calibri" w:hAnsi="Calibri" w:cs="Calibri"/>
                <w:sz w:val="17"/>
                <w:szCs w:val="17"/>
              </w:rPr>
            </w:pPr>
            <w:hyperlink w:anchor="ITEM_8_FINANCIAL_STATEMENTS_SUPPLEMENTA" w:history="1">
              <w:r>
                <w:rPr>
                  <w:rStyle w:val="a4"/>
                  <w:rFonts w:ascii="Calibri" w:hAnsi="Calibri" w:cs="Calibri"/>
                  <w:sz w:val="17"/>
                  <w:szCs w:val="17"/>
                </w:rPr>
                <w:t>Financial Statements and Supplementary Data</w:t>
              </w:r>
            </w:hyperlink>
          </w:p>
        </w:tc>
        <w:tc>
          <w:tcPr>
            <w:tcW w:w="50" w:type="pct"/>
            <w:hideMark/>
          </w:tcPr>
          <w:p w14:paraId="74816B6B"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2402D27F"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61</w:t>
            </w:r>
          </w:p>
        </w:tc>
      </w:tr>
      <w:tr w:rsidR="00251D72" w14:paraId="51BD4A6A" w14:textId="77777777">
        <w:trPr>
          <w:divId w:val="1919753716"/>
          <w:jc w:val="center"/>
        </w:trPr>
        <w:tc>
          <w:tcPr>
            <w:tcW w:w="400" w:type="pct"/>
            <w:hideMark/>
          </w:tcPr>
          <w:p w14:paraId="376B8A27"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339FCB77"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144D7125"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79FA54E8"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13983887" w14:textId="77777777" w:rsidR="00251D72" w:rsidRDefault="00251D72">
            <w:pPr>
              <w:pStyle w:val="a3"/>
              <w:spacing w:before="0" w:beforeAutospacing="0" w:after="0" w:afterAutospacing="0"/>
              <w:jc w:val="right"/>
              <w:rPr>
                <w:sz w:val="12"/>
                <w:szCs w:val="12"/>
              </w:rPr>
            </w:pPr>
            <w:r>
              <w:rPr>
                <w:sz w:val="12"/>
                <w:szCs w:val="12"/>
              </w:rPr>
              <w:t> </w:t>
            </w:r>
          </w:p>
        </w:tc>
      </w:tr>
      <w:tr w:rsidR="00251D72" w14:paraId="0FEB0345" w14:textId="77777777">
        <w:trPr>
          <w:divId w:val="1919753716"/>
          <w:jc w:val="center"/>
        </w:trPr>
        <w:tc>
          <w:tcPr>
            <w:tcW w:w="400" w:type="pct"/>
            <w:hideMark/>
          </w:tcPr>
          <w:p w14:paraId="65DCA743"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9.</w:t>
            </w:r>
          </w:p>
        </w:tc>
        <w:tc>
          <w:tcPr>
            <w:tcW w:w="50" w:type="pct"/>
            <w:hideMark/>
          </w:tcPr>
          <w:p w14:paraId="5D099E9D"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5516CEBE" w14:textId="77777777" w:rsidR="00251D72" w:rsidRDefault="00251D72">
            <w:pPr>
              <w:pStyle w:val="a3"/>
              <w:spacing w:before="0" w:beforeAutospacing="0" w:after="0" w:afterAutospacing="0"/>
              <w:rPr>
                <w:rFonts w:ascii="Calibri" w:hAnsi="Calibri" w:cs="Calibri"/>
                <w:sz w:val="17"/>
                <w:szCs w:val="17"/>
              </w:rPr>
            </w:pPr>
            <w:hyperlink w:anchor="ITEM_9_CHANGES_IN_DISAGREEMENTS_WITH_AC" w:history="1">
              <w:r>
                <w:rPr>
                  <w:rStyle w:val="a4"/>
                  <w:rFonts w:ascii="Calibri" w:hAnsi="Calibri" w:cs="Calibri"/>
                  <w:sz w:val="17"/>
                  <w:szCs w:val="17"/>
                </w:rPr>
                <w:t>Changes in and Disagreements with Accountants on Accounting and Financial Disclosure</w:t>
              </w:r>
            </w:hyperlink>
          </w:p>
        </w:tc>
        <w:tc>
          <w:tcPr>
            <w:tcW w:w="50" w:type="pct"/>
            <w:hideMark/>
          </w:tcPr>
          <w:p w14:paraId="67062377"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718B8144"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61</w:t>
            </w:r>
          </w:p>
        </w:tc>
      </w:tr>
      <w:tr w:rsidR="00251D72" w14:paraId="517F90F3" w14:textId="77777777">
        <w:trPr>
          <w:divId w:val="1919753716"/>
          <w:jc w:val="center"/>
        </w:trPr>
        <w:tc>
          <w:tcPr>
            <w:tcW w:w="400" w:type="pct"/>
            <w:hideMark/>
          </w:tcPr>
          <w:p w14:paraId="45E92164"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1BB2E36E"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38CBAE3B"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78E7DAE8"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71C5EF70" w14:textId="77777777" w:rsidR="00251D72" w:rsidRDefault="00251D72">
            <w:pPr>
              <w:pStyle w:val="a3"/>
              <w:spacing w:before="0" w:beforeAutospacing="0" w:after="0" w:afterAutospacing="0"/>
              <w:jc w:val="right"/>
              <w:rPr>
                <w:sz w:val="12"/>
                <w:szCs w:val="12"/>
              </w:rPr>
            </w:pPr>
            <w:r>
              <w:rPr>
                <w:sz w:val="12"/>
                <w:szCs w:val="12"/>
              </w:rPr>
              <w:t> </w:t>
            </w:r>
          </w:p>
        </w:tc>
      </w:tr>
      <w:tr w:rsidR="00251D72" w14:paraId="13F72DDF" w14:textId="77777777">
        <w:trPr>
          <w:divId w:val="1919753716"/>
          <w:jc w:val="center"/>
        </w:trPr>
        <w:tc>
          <w:tcPr>
            <w:tcW w:w="400" w:type="pct"/>
            <w:hideMark/>
          </w:tcPr>
          <w:p w14:paraId="25E89E75"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9A.</w:t>
            </w:r>
          </w:p>
        </w:tc>
        <w:tc>
          <w:tcPr>
            <w:tcW w:w="50" w:type="pct"/>
            <w:hideMark/>
          </w:tcPr>
          <w:p w14:paraId="6813C2B9"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59221357" w14:textId="77777777" w:rsidR="00251D72" w:rsidRDefault="00251D72">
            <w:pPr>
              <w:pStyle w:val="a3"/>
              <w:spacing w:before="0" w:beforeAutospacing="0" w:after="0" w:afterAutospacing="0"/>
              <w:rPr>
                <w:rFonts w:ascii="Calibri" w:hAnsi="Calibri" w:cs="Calibri"/>
                <w:sz w:val="17"/>
                <w:szCs w:val="17"/>
              </w:rPr>
            </w:pPr>
            <w:hyperlink w:anchor="ITEM_9A_CONTROLS_PROCEDURES" w:history="1">
              <w:r>
                <w:rPr>
                  <w:rStyle w:val="a4"/>
                  <w:rFonts w:ascii="Calibri" w:hAnsi="Calibri" w:cs="Calibri"/>
                  <w:sz w:val="17"/>
                  <w:szCs w:val="17"/>
                </w:rPr>
                <w:t>Controls and Procedures</w:t>
              </w:r>
            </w:hyperlink>
          </w:p>
        </w:tc>
        <w:tc>
          <w:tcPr>
            <w:tcW w:w="50" w:type="pct"/>
            <w:hideMark/>
          </w:tcPr>
          <w:p w14:paraId="0B4CCC2C"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1C41661D"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61</w:t>
            </w:r>
          </w:p>
        </w:tc>
      </w:tr>
      <w:tr w:rsidR="00251D72" w14:paraId="3420EB79" w14:textId="77777777">
        <w:trPr>
          <w:divId w:val="1919753716"/>
          <w:jc w:val="center"/>
        </w:trPr>
        <w:tc>
          <w:tcPr>
            <w:tcW w:w="400" w:type="pct"/>
            <w:hideMark/>
          </w:tcPr>
          <w:p w14:paraId="0CA7747E"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0F2CCD42"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44CB1B64"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3EE6B0EE"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331E7FFD" w14:textId="77777777" w:rsidR="00251D72" w:rsidRDefault="00251D72">
            <w:pPr>
              <w:pStyle w:val="a3"/>
              <w:spacing w:before="0" w:beforeAutospacing="0" w:after="0" w:afterAutospacing="0"/>
              <w:jc w:val="right"/>
              <w:rPr>
                <w:sz w:val="12"/>
                <w:szCs w:val="12"/>
              </w:rPr>
            </w:pPr>
            <w:r>
              <w:rPr>
                <w:sz w:val="12"/>
                <w:szCs w:val="12"/>
              </w:rPr>
              <w:t> </w:t>
            </w:r>
          </w:p>
        </w:tc>
      </w:tr>
      <w:tr w:rsidR="00251D72" w14:paraId="2A60DABA" w14:textId="77777777">
        <w:trPr>
          <w:divId w:val="1919753716"/>
          <w:jc w:val="center"/>
        </w:trPr>
        <w:tc>
          <w:tcPr>
            <w:tcW w:w="400" w:type="pct"/>
            <w:hideMark/>
          </w:tcPr>
          <w:p w14:paraId="6DF63D46"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9B.</w:t>
            </w:r>
          </w:p>
        </w:tc>
        <w:tc>
          <w:tcPr>
            <w:tcW w:w="50" w:type="pct"/>
            <w:hideMark/>
          </w:tcPr>
          <w:p w14:paraId="1A9988BD"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0F1F7A21" w14:textId="77777777" w:rsidR="00251D72" w:rsidRDefault="00251D72">
            <w:pPr>
              <w:pStyle w:val="a3"/>
              <w:spacing w:before="0" w:beforeAutospacing="0" w:after="0" w:afterAutospacing="0"/>
              <w:rPr>
                <w:rFonts w:ascii="Calibri" w:hAnsi="Calibri" w:cs="Calibri"/>
                <w:sz w:val="17"/>
                <w:szCs w:val="17"/>
              </w:rPr>
            </w:pPr>
            <w:hyperlink w:anchor="ITEM_9B_OR_INFORMATION" w:history="1">
              <w:r>
                <w:rPr>
                  <w:rStyle w:val="a4"/>
                  <w:rFonts w:ascii="Calibri" w:hAnsi="Calibri" w:cs="Calibri"/>
                  <w:sz w:val="17"/>
                  <w:szCs w:val="17"/>
                </w:rPr>
                <w:t>Other Information</w:t>
              </w:r>
            </w:hyperlink>
          </w:p>
        </w:tc>
        <w:tc>
          <w:tcPr>
            <w:tcW w:w="50" w:type="pct"/>
            <w:hideMark/>
          </w:tcPr>
          <w:p w14:paraId="459CF1B2"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30F10BDD"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62</w:t>
            </w:r>
          </w:p>
        </w:tc>
      </w:tr>
      <w:tr w:rsidR="00251D72" w14:paraId="324319B9" w14:textId="77777777">
        <w:trPr>
          <w:divId w:val="1919753716"/>
          <w:jc w:val="center"/>
        </w:trPr>
        <w:tc>
          <w:tcPr>
            <w:tcW w:w="400" w:type="pct"/>
            <w:hideMark/>
          </w:tcPr>
          <w:p w14:paraId="60B3E94F"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710A706F"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38885261"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60CD170C"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36FA0FF6" w14:textId="77777777" w:rsidR="00251D72" w:rsidRDefault="00251D72">
            <w:pPr>
              <w:pStyle w:val="a3"/>
              <w:spacing w:before="0" w:beforeAutospacing="0" w:after="0" w:afterAutospacing="0"/>
              <w:jc w:val="right"/>
              <w:rPr>
                <w:sz w:val="12"/>
                <w:szCs w:val="12"/>
              </w:rPr>
            </w:pPr>
            <w:r>
              <w:rPr>
                <w:sz w:val="12"/>
                <w:szCs w:val="12"/>
              </w:rPr>
              <w:t> </w:t>
            </w:r>
          </w:p>
        </w:tc>
      </w:tr>
      <w:tr w:rsidR="00251D72" w14:paraId="0A611572" w14:textId="77777777">
        <w:trPr>
          <w:divId w:val="1919753716"/>
          <w:jc w:val="center"/>
        </w:trPr>
        <w:tc>
          <w:tcPr>
            <w:tcW w:w="400" w:type="pct"/>
            <w:hideMark/>
          </w:tcPr>
          <w:p w14:paraId="533EA160" w14:textId="77777777" w:rsidR="00251D72" w:rsidRDefault="00251D72">
            <w:pPr>
              <w:pStyle w:val="a3"/>
              <w:spacing w:before="0" w:beforeAutospacing="0" w:after="0" w:afterAutospacing="0"/>
              <w:rPr>
                <w:rFonts w:ascii="Calibri" w:hAnsi="Calibri" w:cs="Calibri"/>
                <w:b/>
                <w:bCs/>
                <w:sz w:val="17"/>
                <w:szCs w:val="17"/>
              </w:rPr>
            </w:pPr>
            <w:r>
              <w:rPr>
                <w:rFonts w:ascii="Calibri" w:hAnsi="Calibri" w:cs="Calibri"/>
                <w:b/>
                <w:bCs/>
                <w:sz w:val="17"/>
                <w:szCs w:val="17"/>
              </w:rPr>
              <w:t>PART III.</w:t>
            </w:r>
          </w:p>
        </w:tc>
        <w:tc>
          <w:tcPr>
            <w:tcW w:w="50" w:type="pct"/>
            <w:hideMark/>
          </w:tcPr>
          <w:p w14:paraId="24C1D18B"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3A908A07" w14:textId="77777777" w:rsidR="00251D72" w:rsidRDefault="00251D72">
            <w:pPr>
              <w:pStyle w:val="a3"/>
              <w:spacing w:before="0" w:beforeAutospacing="0" w:after="0" w:afterAutospacing="0"/>
              <w:rPr>
                <w:sz w:val="17"/>
                <w:szCs w:val="17"/>
              </w:rPr>
            </w:pPr>
            <w:r>
              <w:rPr>
                <w:sz w:val="17"/>
                <w:szCs w:val="17"/>
              </w:rPr>
              <w:t> </w:t>
            </w:r>
          </w:p>
        </w:tc>
        <w:tc>
          <w:tcPr>
            <w:tcW w:w="50" w:type="pct"/>
            <w:hideMark/>
          </w:tcPr>
          <w:p w14:paraId="560C01CA"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25AD74A8" w14:textId="77777777" w:rsidR="00251D72" w:rsidRDefault="00251D72">
            <w:pPr>
              <w:pStyle w:val="a3"/>
              <w:spacing w:before="0" w:beforeAutospacing="0" w:after="0" w:afterAutospacing="0"/>
              <w:jc w:val="right"/>
              <w:rPr>
                <w:sz w:val="17"/>
                <w:szCs w:val="17"/>
              </w:rPr>
            </w:pPr>
            <w:r>
              <w:rPr>
                <w:sz w:val="17"/>
                <w:szCs w:val="17"/>
              </w:rPr>
              <w:t> </w:t>
            </w:r>
          </w:p>
        </w:tc>
      </w:tr>
      <w:tr w:rsidR="00251D72" w14:paraId="1AD1BBDA" w14:textId="77777777">
        <w:trPr>
          <w:divId w:val="1919753716"/>
          <w:jc w:val="center"/>
        </w:trPr>
        <w:tc>
          <w:tcPr>
            <w:tcW w:w="400" w:type="pct"/>
            <w:hideMark/>
          </w:tcPr>
          <w:p w14:paraId="498063AC" w14:textId="77777777" w:rsidR="00251D72" w:rsidRDefault="00251D72">
            <w:pPr>
              <w:pStyle w:val="a3"/>
              <w:spacing w:before="0" w:beforeAutospacing="0" w:after="0" w:afterAutospacing="0"/>
              <w:rPr>
                <w:b/>
                <w:bCs/>
                <w:sz w:val="12"/>
                <w:szCs w:val="12"/>
              </w:rPr>
            </w:pPr>
            <w:r>
              <w:rPr>
                <w:b/>
                <w:bCs/>
                <w:sz w:val="12"/>
                <w:szCs w:val="12"/>
              </w:rPr>
              <w:t> </w:t>
            </w:r>
          </w:p>
        </w:tc>
        <w:tc>
          <w:tcPr>
            <w:tcW w:w="50" w:type="pct"/>
            <w:hideMark/>
          </w:tcPr>
          <w:p w14:paraId="5D7C8C3C"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0E1CAFF8"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7D976C38"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351FAA36" w14:textId="77777777" w:rsidR="00251D72" w:rsidRDefault="00251D72">
            <w:pPr>
              <w:pStyle w:val="a3"/>
              <w:spacing w:before="0" w:beforeAutospacing="0" w:after="0" w:afterAutospacing="0"/>
              <w:jc w:val="right"/>
              <w:rPr>
                <w:sz w:val="12"/>
                <w:szCs w:val="12"/>
              </w:rPr>
            </w:pPr>
            <w:r>
              <w:rPr>
                <w:sz w:val="12"/>
                <w:szCs w:val="12"/>
              </w:rPr>
              <w:t> </w:t>
            </w:r>
          </w:p>
        </w:tc>
      </w:tr>
      <w:tr w:rsidR="00251D72" w14:paraId="00460041" w14:textId="77777777">
        <w:trPr>
          <w:divId w:val="1919753716"/>
          <w:jc w:val="center"/>
        </w:trPr>
        <w:tc>
          <w:tcPr>
            <w:tcW w:w="400" w:type="pct"/>
            <w:hideMark/>
          </w:tcPr>
          <w:p w14:paraId="7B2052B0"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10.</w:t>
            </w:r>
          </w:p>
        </w:tc>
        <w:tc>
          <w:tcPr>
            <w:tcW w:w="50" w:type="pct"/>
            <w:hideMark/>
          </w:tcPr>
          <w:p w14:paraId="2211287E"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074B3BAD" w14:textId="77777777" w:rsidR="00251D72" w:rsidRDefault="00251D72">
            <w:pPr>
              <w:pStyle w:val="a3"/>
              <w:spacing w:before="0" w:beforeAutospacing="0" w:after="0" w:afterAutospacing="0"/>
              <w:rPr>
                <w:rFonts w:ascii="Calibri" w:hAnsi="Calibri" w:cs="Calibri"/>
                <w:sz w:val="17"/>
                <w:szCs w:val="17"/>
              </w:rPr>
            </w:pPr>
            <w:hyperlink w:anchor="ITEM_10_DIRECTORS_EXECUTIVE_FICERS_CORP" w:history="1">
              <w:r>
                <w:rPr>
                  <w:rStyle w:val="a4"/>
                  <w:rFonts w:ascii="Calibri" w:hAnsi="Calibri" w:cs="Calibri"/>
                  <w:sz w:val="17"/>
                  <w:szCs w:val="17"/>
                </w:rPr>
                <w:t>Directors, Executive Officers and Corporate Governance</w:t>
              </w:r>
            </w:hyperlink>
          </w:p>
        </w:tc>
        <w:tc>
          <w:tcPr>
            <w:tcW w:w="50" w:type="pct"/>
            <w:hideMark/>
          </w:tcPr>
          <w:p w14:paraId="6C3CFD6A"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7AD2B3BB"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63</w:t>
            </w:r>
          </w:p>
        </w:tc>
      </w:tr>
      <w:tr w:rsidR="00251D72" w14:paraId="5EF5965B" w14:textId="77777777">
        <w:trPr>
          <w:divId w:val="1919753716"/>
          <w:jc w:val="center"/>
        </w:trPr>
        <w:tc>
          <w:tcPr>
            <w:tcW w:w="400" w:type="pct"/>
            <w:hideMark/>
          </w:tcPr>
          <w:p w14:paraId="18845FB5"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29586F09"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40A86AAB"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1810E93B"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5BD03E5E" w14:textId="77777777" w:rsidR="00251D72" w:rsidRDefault="00251D72">
            <w:pPr>
              <w:pStyle w:val="a3"/>
              <w:spacing w:before="0" w:beforeAutospacing="0" w:after="0" w:afterAutospacing="0"/>
              <w:jc w:val="right"/>
              <w:rPr>
                <w:sz w:val="12"/>
                <w:szCs w:val="12"/>
              </w:rPr>
            </w:pPr>
            <w:r>
              <w:rPr>
                <w:sz w:val="12"/>
                <w:szCs w:val="12"/>
              </w:rPr>
              <w:t> </w:t>
            </w:r>
          </w:p>
        </w:tc>
      </w:tr>
      <w:tr w:rsidR="00251D72" w14:paraId="7D1E60AD" w14:textId="77777777">
        <w:trPr>
          <w:divId w:val="1919753716"/>
          <w:jc w:val="center"/>
        </w:trPr>
        <w:tc>
          <w:tcPr>
            <w:tcW w:w="400" w:type="pct"/>
            <w:hideMark/>
          </w:tcPr>
          <w:p w14:paraId="0E9604B7"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11.</w:t>
            </w:r>
          </w:p>
        </w:tc>
        <w:tc>
          <w:tcPr>
            <w:tcW w:w="50" w:type="pct"/>
            <w:hideMark/>
          </w:tcPr>
          <w:p w14:paraId="2C3FAA49"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21748924" w14:textId="77777777" w:rsidR="00251D72" w:rsidRDefault="00251D72">
            <w:pPr>
              <w:pStyle w:val="a3"/>
              <w:spacing w:before="0" w:beforeAutospacing="0" w:after="0" w:afterAutospacing="0"/>
              <w:rPr>
                <w:rFonts w:ascii="Calibri" w:hAnsi="Calibri" w:cs="Calibri"/>
                <w:sz w:val="17"/>
                <w:szCs w:val="17"/>
              </w:rPr>
            </w:pPr>
            <w:hyperlink w:anchor="ITEM_11_EXECUTIVE_COMPENSATION" w:history="1">
              <w:r>
                <w:rPr>
                  <w:rStyle w:val="a4"/>
                  <w:rFonts w:ascii="Calibri" w:hAnsi="Calibri" w:cs="Calibri"/>
                  <w:sz w:val="17"/>
                  <w:szCs w:val="17"/>
                </w:rPr>
                <w:t>Executive Compensation</w:t>
              </w:r>
            </w:hyperlink>
          </w:p>
        </w:tc>
        <w:tc>
          <w:tcPr>
            <w:tcW w:w="50" w:type="pct"/>
            <w:hideMark/>
          </w:tcPr>
          <w:p w14:paraId="0EBDDCA8"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24C6E3D0"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63</w:t>
            </w:r>
          </w:p>
        </w:tc>
      </w:tr>
      <w:tr w:rsidR="00251D72" w14:paraId="7A662527" w14:textId="77777777">
        <w:trPr>
          <w:divId w:val="1919753716"/>
          <w:jc w:val="center"/>
        </w:trPr>
        <w:tc>
          <w:tcPr>
            <w:tcW w:w="400" w:type="pct"/>
            <w:hideMark/>
          </w:tcPr>
          <w:p w14:paraId="116FBCF2"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06B03934"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318F3697"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5E2E0942"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272610FB" w14:textId="77777777" w:rsidR="00251D72" w:rsidRDefault="00251D72">
            <w:pPr>
              <w:pStyle w:val="a3"/>
              <w:spacing w:before="0" w:beforeAutospacing="0" w:after="0" w:afterAutospacing="0"/>
              <w:jc w:val="right"/>
              <w:rPr>
                <w:sz w:val="12"/>
                <w:szCs w:val="12"/>
              </w:rPr>
            </w:pPr>
            <w:r>
              <w:rPr>
                <w:sz w:val="12"/>
                <w:szCs w:val="12"/>
              </w:rPr>
              <w:t> </w:t>
            </w:r>
          </w:p>
        </w:tc>
      </w:tr>
      <w:tr w:rsidR="00251D72" w14:paraId="244140C2" w14:textId="77777777">
        <w:trPr>
          <w:divId w:val="1919753716"/>
          <w:jc w:val="center"/>
        </w:trPr>
        <w:tc>
          <w:tcPr>
            <w:tcW w:w="400" w:type="pct"/>
            <w:hideMark/>
          </w:tcPr>
          <w:p w14:paraId="3BAC3D4F"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12.</w:t>
            </w:r>
          </w:p>
        </w:tc>
        <w:tc>
          <w:tcPr>
            <w:tcW w:w="50" w:type="pct"/>
            <w:hideMark/>
          </w:tcPr>
          <w:p w14:paraId="59B8C827"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20E372CF" w14:textId="77777777" w:rsidR="00251D72" w:rsidRDefault="00251D72">
            <w:pPr>
              <w:pStyle w:val="a3"/>
              <w:spacing w:before="0" w:beforeAutospacing="0" w:after="0" w:afterAutospacing="0"/>
              <w:rPr>
                <w:rFonts w:ascii="Calibri" w:hAnsi="Calibri" w:cs="Calibri"/>
                <w:sz w:val="17"/>
                <w:szCs w:val="17"/>
              </w:rPr>
            </w:pPr>
            <w:hyperlink w:anchor="ITEM_12_SECURITY_OWNERSHIP_CERTAIN_BENE" w:history="1">
              <w:r>
                <w:rPr>
                  <w:rStyle w:val="a4"/>
                  <w:rFonts w:ascii="Calibri" w:hAnsi="Calibri" w:cs="Calibri"/>
                  <w:sz w:val="17"/>
                  <w:szCs w:val="17"/>
                </w:rPr>
                <w:t>Security Ownership of Certain Beneficial Owners and Management and Related Stockholder Matters</w:t>
              </w:r>
            </w:hyperlink>
          </w:p>
        </w:tc>
        <w:tc>
          <w:tcPr>
            <w:tcW w:w="50" w:type="pct"/>
            <w:hideMark/>
          </w:tcPr>
          <w:p w14:paraId="50B84597"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48529C41"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63</w:t>
            </w:r>
          </w:p>
        </w:tc>
      </w:tr>
      <w:tr w:rsidR="00251D72" w14:paraId="6CA62937" w14:textId="77777777">
        <w:trPr>
          <w:divId w:val="1919753716"/>
          <w:jc w:val="center"/>
        </w:trPr>
        <w:tc>
          <w:tcPr>
            <w:tcW w:w="400" w:type="pct"/>
            <w:hideMark/>
          </w:tcPr>
          <w:p w14:paraId="765E0F77"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118442E4"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1A06E5A5"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15A4A2FE"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680D98A7" w14:textId="77777777" w:rsidR="00251D72" w:rsidRDefault="00251D72">
            <w:pPr>
              <w:pStyle w:val="a3"/>
              <w:spacing w:before="0" w:beforeAutospacing="0" w:after="0" w:afterAutospacing="0"/>
              <w:jc w:val="right"/>
              <w:rPr>
                <w:sz w:val="12"/>
                <w:szCs w:val="12"/>
              </w:rPr>
            </w:pPr>
            <w:r>
              <w:rPr>
                <w:sz w:val="12"/>
                <w:szCs w:val="12"/>
              </w:rPr>
              <w:t> </w:t>
            </w:r>
          </w:p>
        </w:tc>
      </w:tr>
      <w:tr w:rsidR="00251D72" w14:paraId="4D3346C1" w14:textId="77777777">
        <w:trPr>
          <w:divId w:val="1919753716"/>
          <w:jc w:val="center"/>
        </w:trPr>
        <w:tc>
          <w:tcPr>
            <w:tcW w:w="400" w:type="pct"/>
            <w:hideMark/>
          </w:tcPr>
          <w:p w14:paraId="3D88080F"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13.</w:t>
            </w:r>
          </w:p>
        </w:tc>
        <w:tc>
          <w:tcPr>
            <w:tcW w:w="50" w:type="pct"/>
            <w:hideMark/>
          </w:tcPr>
          <w:p w14:paraId="26AA02A4"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6334033A" w14:textId="77777777" w:rsidR="00251D72" w:rsidRDefault="00251D72">
            <w:pPr>
              <w:pStyle w:val="a3"/>
              <w:spacing w:before="0" w:beforeAutospacing="0" w:after="0" w:afterAutospacing="0"/>
              <w:rPr>
                <w:rFonts w:ascii="Calibri" w:hAnsi="Calibri" w:cs="Calibri"/>
                <w:sz w:val="17"/>
                <w:szCs w:val="17"/>
              </w:rPr>
            </w:pPr>
            <w:hyperlink w:anchor="ITEM_13_CERTAIN_RELATIONSHIPS_RELATED_T" w:history="1">
              <w:r>
                <w:rPr>
                  <w:rStyle w:val="a4"/>
                  <w:rFonts w:ascii="Calibri" w:hAnsi="Calibri" w:cs="Calibri"/>
                  <w:sz w:val="17"/>
                  <w:szCs w:val="17"/>
                </w:rPr>
                <w:t>Certain Relationships and Related Transactions, and Director Independence</w:t>
              </w:r>
            </w:hyperlink>
          </w:p>
        </w:tc>
        <w:tc>
          <w:tcPr>
            <w:tcW w:w="50" w:type="pct"/>
            <w:hideMark/>
          </w:tcPr>
          <w:p w14:paraId="5D6CA401"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2BDCB5B2"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63</w:t>
            </w:r>
          </w:p>
        </w:tc>
      </w:tr>
      <w:tr w:rsidR="00251D72" w14:paraId="0323524D" w14:textId="77777777">
        <w:trPr>
          <w:divId w:val="1919753716"/>
          <w:jc w:val="center"/>
        </w:trPr>
        <w:tc>
          <w:tcPr>
            <w:tcW w:w="400" w:type="pct"/>
            <w:hideMark/>
          </w:tcPr>
          <w:p w14:paraId="432E32D4"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5E60CB40"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42624718"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4F4E2C53"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0507465F" w14:textId="77777777" w:rsidR="00251D72" w:rsidRDefault="00251D72">
            <w:pPr>
              <w:pStyle w:val="a3"/>
              <w:spacing w:before="0" w:beforeAutospacing="0" w:after="0" w:afterAutospacing="0"/>
              <w:jc w:val="right"/>
              <w:rPr>
                <w:sz w:val="12"/>
                <w:szCs w:val="12"/>
              </w:rPr>
            </w:pPr>
            <w:r>
              <w:rPr>
                <w:sz w:val="12"/>
                <w:szCs w:val="12"/>
              </w:rPr>
              <w:t> </w:t>
            </w:r>
          </w:p>
        </w:tc>
      </w:tr>
      <w:tr w:rsidR="00251D72" w14:paraId="1AF4DC1C" w14:textId="77777777">
        <w:trPr>
          <w:divId w:val="1919753716"/>
          <w:jc w:val="center"/>
        </w:trPr>
        <w:tc>
          <w:tcPr>
            <w:tcW w:w="400" w:type="pct"/>
            <w:hideMark/>
          </w:tcPr>
          <w:p w14:paraId="7D1918C1"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14.</w:t>
            </w:r>
          </w:p>
        </w:tc>
        <w:tc>
          <w:tcPr>
            <w:tcW w:w="50" w:type="pct"/>
            <w:hideMark/>
          </w:tcPr>
          <w:p w14:paraId="46D79A94"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5851F0E9" w14:textId="77777777" w:rsidR="00251D72" w:rsidRDefault="00251D72">
            <w:pPr>
              <w:pStyle w:val="a3"/>
              <w:spacing w:before="0" w:beforeAutospacing="0" w:after="0" w:afterAutospacing="0"/>
              <w:rPr>
                <w:rFonts w:ascii="Calibri" w:hAnsi="Calibri" w:cs="Calibri"/>
                <w:sz w:val="17"/>
                <w:szCs w:val="17"/>
              </w:rPr>
            </w:pPr>
            <w:hyperlink w:anchor="ITEM_14_PRINCIPAL_ACCOUNTING_FEES_SERVI" w:history="1">
              <w:r>
                <w:rPr>
                  <w:rStyle w:val="a4"/>
                  <w:rFonts w:ascii="Calibri" w:hAnsi="Calibri" w:cs="Calibri"/>
                  <w:sz w:val="17"/>
                  <w:szCs w:val="17"/>
                </w:rPr>
                <w:t>Principal Accounting Fees and Services</w:t>
              </w:r>
            </w:hyperlink>
          </w:p>
        </w:tc>
        <w:tc>
          <w:tcPr>
            <w:tcW w:w="50" w:type="pct"/>
            <w:hideMark/>
          </w:tcPr>
          <w:p w14:paraId="5A940FFB"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7D35FB41"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63</w:t>
            </w:r>
          </w:p>
        </w:tc>
      </w:tr>
      <w:tr w:rsidR="00251D72" w14:paraId="2BA99637" w14:textId="77777777">
        <w:trPr>
          <w:divId w:val="1919753716"/>
          <w:jc w:val="center"/>
        </w:trPr>
        <w:tc>
          <w:tcPr>
            <w:tcW w:w="400" w:type="pct"/>
            <w:hideMark/>
          </w:tcPr>
          <w:p w14:paraId="3EACDC70"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08918C5B"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52C24677"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0216210B"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25FE665C" w14:textId="77777777" w:rsidR="00251D72" w:rsidRDefault="00251D72">
            <w:pPr>
              <w:pStyle w:val="a3"/>
              <w:spacing w:before="0" w:beforeAutospacing="0" w:after="0" w:afterAutospacing="0"/>
              <w:jc w:val="right"/>
              <w:rPr>
                <w:sz w:val="12"/>
                <w:szCs w:val="12"/>
              </w:rPr>
            </w:pPr>
            <w:r>
              <w:rPr>
                <w:sz w:val="12"/>
                <w:szCs w:val="12"/>
              </w:rPr>
              <w:t> </w:t>
            </w:r>
          </w:p>
        </w:tc>
      </w:tr>
      <w:tr w:rsidR="00251D72" w14:paraId="6A26E016" w14:textId="77777777">
        <w:trPr>
          <w:divId w:val="1919753716"/>
          <w:jc w:val="center"/>
        </w:trPr>
        <w:tc>
          <w:tcPr>
            <w:tcW w:w="400" w:type="pct"/>
            <w:hideMark/>
          </w:tcPr>
          <w:p w14:paraId="23F48EB4" w14:textId="77777777" w:rsidR="00251D72" w:rsidRDefault="00251D72">
            <w:pPr>
              <w:pStyle w:val="a3"/>
              <w:spacing w:before="0" w:beforeAutospacing="0" w:after="0" w:afterAutospacing="0"/>
              <w:rPr>
                <w:rFonts w:ascii="Calibri" w:hAnsi="Calibri" w:cs="Calibri"/>
                <w:b/>
                <w:bCs/>
                <w:sz w:val="17"/>
                <w:szCs w:val="17"/>
              </w:rPr>
            </w:pPr>
            <w:r>
              <w:rPr>
                <w:rFonts w:ascii="Calibri" w:hAnsi="Calibri" w:cs="Calibri"/>
                <w:b/>
                <w:bCs/>
                <w:sz w:val="17"/>
                <w:szCs w:val="17"/>
              </w:rPr>
              <w:t>PART IV.</w:t>
            </w:r>
          </w:p>
        </w:tc>
        <w:tc>
          <w:tcPr>
            <w:tcW w:w="50" w:type="pct"/>
            <w:hideMark/>
          </w:tcPr>
          <w:p w14:paraId="7813573E"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1906ED25" w14:textId="77777777" w:rsidR="00251D72" w:rsidRDefault="00251D72">
            <w:pPr>
              <w:pStyle w:val="a3"/>
              <w:spacing w:before="0" w:beforeAutospacing="0" w:after="0" w:afterAutospacing="0"/>
              <w:rPr>
                <w:sz w:val="17"/>
                <w:szCs w:val="17"/>
              </w:rPr>
            </w:pPr>
            <w:r>
              <w:rPr>
                <w:sz w:val="17"/>
                <w:szCs w:val="17"/>
              </w:rPr>
              <w:t> </w:t>
            </w:r>
          </w:p>
        </w:tc>
        <w:tc>
          <w:tcPr>
            <w:tcW w:w="50" w:type="pct"/>
            <w:hideMark/>
          </w:tcPr>
          <w:p w14:paraId="39C47597"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40DFF0D5" w14:textId="77777777" w:rsidR="00251D72" w:rsidRDefault="00251D72">
            <w:pPr>
              <w:pStyle w:val="a3"/>
              <w:spacing w:before="0" w:beforeAutospacing="0" w:after="0" w:afterAutospacing="0"/>
              <w:jc w:val="right"/>
              <w:rPr>
                <w:sz w:val="17"/>
                <w:szCs w:val="17"/>
              </w:rPr>
            </w:pPr>
            <w:r>
              <w:rPr>
                <w:sz w:val="17"/>
                <w:szCs w:val="17"/>
              </w:rPr>
              <w:t> </w:t>
            </w:r>
          </w:p>
        </w:tc>
      </w:tr>
      <w:tr w:rsidR="00251D72" w14:paraId="256CDF1A" w14:textId="77777777">
        <w:trPr>
          <w:divId w:val="1919753716"/>
          <w:jc w:val="center"/>
        </w:trPr>
        <w:tc>
          <w:tcPr>
            <w:tcW w:w="400" w:type="pct"/>
            <w:hideMark/>
          </w:tcPr>
          <w:p w14:paraId="706F9B7C"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04ACC8AE"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739B6C96"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2CA1AB3B"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5132D046" w14:textId="77777777" w:rsidR="00251D72" w:rsidRDefault="00251D72">
            <w:pPr>
              <w:pStyle w:val="a3"/>
              <w:spacing w:before="0" w:beforeAutospacing="0" w:after="0" w:afterAutospacing="0"/>
              <w:jc w:val="right"/>
              <w:rPr>
                <w:sz w:val="12"/>
                <w:szCs w:val="12"/>
              </w:rPr>
            </w:pPr>
            <w:r>
              <w:rPr>
                <w:sz w:val="12"/>
                <w:szCs w:val="12"/>
              </w:rPr>
              <w:t> </w:t>
            </w:r>
          </w:p>
        </w:tc>
      </w:tr>
      <w:tr w:rsidR="00251D72" w14:paraId="0A60DD27" w14:textId="77777777">
        <w:trPr>
          <w:divId w:val="1919753716"/>
          <w:jc w:val="center"/>
        </w:trPr>
        <w:tc>
          <w:tcPr>
            <w:tcW w:w="400" w:type="pct"/>
            <w:hideMark/>
          </w:tcPr>
          <w:p w14:paraId="5CB7C1D5"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15.</w:t>
            </w:r>
          </w:p>
        </w:tc>
        <w:tc>
          <w:tcPr>
            <w:tcW w:w="50" w:type="pct"/>
            <w:hideMark/>
          </w:tcPr>
          <w:p w14:paraId="1093FCF8"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185C81D9" w14:textId="77777777" w:rsidR="00251D72" w:rsidRDefault="00251D72">
            <w:pPr>
              <w:pStyle w:val="a3"/>
              <w:spacing w:before="0" w:beforeAutospacing="0" w:after="0" w:afterAutospacing="0"/>
              <w:rPr>
                <w:rFonts w:ascii="Calibri" w:hAnsi="Calibri" w:cs="Calibri"/>
                <w:sz w:val="17"/>
                <w:szCs w:val="17"/>
              </w:rPr>
            </w:pPr>
            <w:hyperlink w:anchor="ITEM_15_EXHIBITS_FINANCIAL_STATEMENT_SC" w:history="1">
              <w:r>
                <w:rPr>
                  <w:rStyle w:val="a4"/>
                  <w:rFonts w:ascii="Calibri" w:hAnsi="Calibri" w:cs="Calibri"/>
                  <w:sz w:val="17"/>
                  <w:szCs w:val="17"/>
                </w:rPr>
                <w:t>Exhibits and Financial Statement Schedules</w:t>
              </w:r>
            </w:hyperlink>
          </w:p>
        </w:tc>
        <w:tc>
          <w:tcPr>
            <w:tcW w:w="50" w:type="pct"/>
            <w:hideMark/>
          </w:tcPr>
          <w:p w14:paraId="2FEE2DD0"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5F603F14"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64</w:t>
            </w:r>
          </w:p>
        </w:tc>
      </w:tr>
      <w:tr w:rsidR="00251D72" w14:paraId="0CE15B00" w14:textId="77777777">
        <w:trPr>
          <w:divId w:val="1919753716"/>
          <w:jc w:val="center"/>
        </w:trPr>
        <w:tc>
          <w:tcPr>
            <w:tcW w:w="400" w:type="pct"/>
            <w:hideMark/>
          </w:tcPr>
          <w:p w14:paraId="4110D073"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3D1996DB"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19BD298D"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08EFBF79"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70912FBD" w14:textId="77777777" w:rsidR="00251D72" w:rsidRDefault="00251D72">
            <w:pPr>
              <w:pStyle w:val="a3"/>
              <w:spacing w:before="0" w:beforeAutospacing="0" w:after="0" w:afterAutospacing="0"/>
              <w:jc w:val="right"/>
              <w:rPr>
                <w:sz w:val="12"/>
                <w:szCs w:val="12"/>
              </w:rPr>
            </w:pPr>
            <w:r>
              <w:rPr>
                <w:sz w:val="12"/>
                <w:szCs w:val="12"/>
              </w:rPr>
              <w:t> </w:t>
            </w:r>
          </w:p>
        </w:tc>
      </w:tr>
      <w:tr w:rsidR="00251D72" w14:paraId="72763A51" w14:textId="77777777">
        <w:trPr>
          <w:divId w:val="1919753716"/>
          <w:trHeight w:val="171"/>
          <w:jc w:val="center"/>
        </w:trPr>
        <w:tc>
          <w:tcPr>
            <w:tcW w:w="400" w:type="pct"/>
            <w:vAlign w:val="bottom"/>
            <w:hideMark/>
          </w:tcPr>
          <w:p w14:paraId="3C6CD3DC" w14:textId="77777777" w:rsidR="00251D72" w:rsidRDefault="00251D72">
            <w:pPr>
              <w:pStyle w:val="a3"/>
              <w:spacing w:before="0" w:beforeAutospacing="0" w:after="0" w:afterAutospacing="0"/>
              <w:rPr>
                <w:rFonts w:ascii="Calibri" w:hAnsi="Calibri" w:cs="Calibri"/>
                <w:sz w:val="17"/>
                <w:szCs w:val="17"/>
              </w:rPr>
            </w:pPr>
            <w:r>
              <w:rPr>
                <w:rFonts w:ascii="Calibri" w:hAnsi="Calibri" w:cs="Calibri"/>
                <w:sz w:val="17"/>
                <w:szCs w:val="17"/>
              </w:rPr>
              <w:t>Item 16.</w:t>
            </w:r>
          </w:p>
        </w:tc>
        <w:tc>
          <w:tcPr>
            <w:tcW w:w="50" w:type="pct"/>
            <w:vAlign w:val="bottom"/>
            <w:hideMark/>
          </w:tcPr>
          <w:p w14:paraId="360875FD" w14:textId="77777777" w:rsidR="00251D72" w:rsidRDefault="00251D72">
            <w:pPr>
              <w:pStyle w:val="a3"/>
              <w:spacing w:before="0" w:beforeAutospacing="0" w:after="0" w:afterAutospacing="0"/>
              <w:rPr>
                <w:sz w:val="17"/>
                <w:szCs w:val="17"/>
              </w:rPr>
            </w:pPr>
            <w:r>
              <w:rPr>
                <w:sz w:val="17"/>
                <w:szCs w:val="17"/>
              </w:rPr>
              <w:t> </w:t>
            </w:r>
          </w:p>
        </w:tc>
        <w:tc>
          <w:tcPr>
            <w:tcW w:w="4200" w:type="pct"/>
            <w:vAlign w:val="bottom"/>
            <w:hideMark/>
          </w:tcPr>
          <w:p w14:paraId="7DA3474B" w14:textId="77777777" w:rsidR="00251D72" w:rsidRDefault="00251D72">
            <w:pPr>
              <w:pStyle w:val="a3"/>
              <w:spacing w:before="0" w:beforeAutospacing="0" w:after="0" w:afterAutospacing="0"/>
              <w:rPr>
                <w:rFonts w:ascii="Calibri" w:hAnsi="Calibri" w:cs="Calibri"/>
                <w:sz w:val="17"/>
                <w:szCs w:val="17"/>
              </w:rPr>
            </w:pPr>
            <w:hyperlink w:anchor="FORM_10K_SUMMARY" w:history="1">
              <w:r>
                <w:rPr>
                  <w:rStyle w:val="a4"/>
                  <w:rFonts w:ascii="Calibri" w:hAnsi="Calibri" w:cs="Calibri"/>
                  <w:sz w:val="17"/>
                  <w:szCs w:val="17"/>
                </w:rPr>
                <w:t>Form 10-K Summary</w:t>
              </w:r>
            </w:hyperlink>
          </w:p>
        </w:tc>
        <w:tc>
          <w:tcPr>
            <w:tcW w:w="50" w:type="pct"/>
            <w:hideMark/>
          </w:tcPr>
          <w:p w14:paraId="7BF30705"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356157E8"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118</w:t>
            </w:r>
          </w:p>
        </w:tc>
      </w:tr>
      <w:tr w:rsidR="00251D72" w14:paraId="07707D7C" w14:textId="77777777">
        <w:trPr>
          <w:divId w:val="1919753716"/>
          <w:jc w:val="center"/>
        </w:trPr>
        <w:tc>
          <w:tcPr>
            <w:tcW w:w="400" w:type="pct"/>
            <w:hideMark/>
          </w:tcPr>
          <w:p w14:paraId="3CA829DD"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1A5AE79E" w14:textId="77777777" w:rsidR="00251D72" w:rsidRDefault="00251D72">
            <w:pPr>
              <w:pStyle w:val="a3"/>
              <w:spacing w:before="0" w:beforeAutospacing="0" w:after="0" w:afterAutospacing="0"/>
              <w:jc w:val="both"/>
              <w:rPr>
                <w:sz w:val="12"/>
                <w:szCs w:val="12"/>
              </w:rPr>
            </w:pPr>
            <w:r>
              <w:rPr>
                <w:sz w:val="12"/>
                <w:szCs w:val="12"/>
              </w:rPr>
              <w:t> </w:t>
            </w:r>
          </w:p>
        </w:tc>
        <w:tc>
          <w:tcPr>
            <w:tcW w:w="4200" w:type="pct"/>
            <w:hideMark/>
          </w:tcPr>
          <w:p w14:paraId="2C745431"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05CEB3B2" w14:textId="77777777" w:rsidR="00251D72" w:rsidRDefault="00251D72">
            <w:pPr>
              <w:pStyle w:val="a3"/>
              <w:spacing w:before="0" w:beforeAutospacing="0" w:after="0" w:afterAutospacing="0"/>
              <w:jc w:val="both"/>
              <w:rPr>
                <w:sz w:val="12"/>
                <w:szCs w:val="12"/>
              </w:rPr>
            </w:pPr>
            <w:r>
              <w:rPr>
                <w:sz w:val="12"/>
                <w:szCs w:val="12"/>
              </w:rPr>
              <w:t> </w:t>
            </w:r>
          </w:p>
        </w:tc>
        <w:tc>
          <w:tcPr>
            <w:tcW w:w="300" w:type="pct"/>
            <w:vAlign w:val="bottom"/>
            <w:hideMark/>
          </w:tcPr>
          <w:p w14:paraId="65D0699C" w14:textId="77777777" w:rsidR="00251D72" w:rsidRDefault="00251D72">
            <w:pPr>
              <w:pStyle w:val="a3"/>
              <w:spacing w:before="0" w:beforeAutospacing="0" w:after="0" w:afterAutospacing="0"/>
              <w:jc w:val="right"/>
              <w:rPr>
                <w:sz w:val="12"/>
                <w:szCs w:val="12"/>
              </w:rPr>
            </w:pPr>
            <w:r>
              <w:rPr>
                <w:sz w:val="12"/>
                <w:szCs w:val="12"/>
              </w:rPr>
              <w:t> </w:t>
            </w:r>
          </w:p>
        </w:tc>
      </w:tr>
      <w:tr w:rsidR="00251D72" w14:paraId="6EF75317" w14:textId="77777777">
        <w:trPr>
          <w:divId w:val="1919753716"/>
          <w:jc w:val="center"/>
        </w:trPr>
        <w:tc>
          <w:tcPr>
            <w:tcW w:w="400" w:type="pct"/>
            <w:hideMark/>
          </w:tcPr>
          <w:p w14:paraId="018AC289" w14:textId="77777777" w:rsidR="00251D72" w:rsidRDefault="00251D72">
            <w:pPr>
              <w:pStyle w:val="a3"/>
              <w:spacing w:before="0" w:beforeAutospacing="0" w:after="0" w:afterAutospacing="0"/>
              <w:rPr>
                <w:sz w:val="12"/>
                <w:szCs w:val="12"/>
              </w:rPr>
            </w:pPr>
            <w:r>
              <w:rPr>
                <w:sz w:val="12"/>
                <w:szCs w:val="12"/>
              </w:rPr>
              <w:t> </w:t>
            </w:r>
          </w:p>
        </w:tc>
        <w:tc>
          <w:tcPr>
            <w:tcW w:w="50" w:type="pct"/>
            <w:hideMark/>
          </w:tcPr>
          <w:p w14:paraId="4355B5FF" w14:textId="77777777" w:rsidR="00251D72" w:rsidRDefault="00251D72">
            <w:pPr>
              <w:pStyle w:val="a3"/>
              <w:spacing w:before="0" w:beforeAutospacing="0" w:after="0" w:afterAutospacing="0"/>
              <w:jc w:val="both"/>
              <w:rPr>
                <w:sz w:val="12"/>
                <w:szCs w:val="12"/>
              </w:rPr>
            </w:pPr>
            <w:r>
              <w:rPr>
                <w:sz w:val="12"/>
                <w:szCs w:val="12"/>
              </w:rPr>
              <w:t> </w:t>
            </w:r>
          </w:p>
        </w:tc>
        <w:tc>
          <w:tcPr>
            <w:tcW w:w="4200" w:type="pct"/>
            <w:vAlign w:val="bottom"/>
            <w:hideMark/>
          </w:tcPr>
          <w:p w14:paraId="4A33C244" w14:textId="77777777" w:rsidR="00251D72" w:rsidRDefault="00251D72">
            <w:pPr>
              <w:pStyle w:val="a3"/>
              <w:spacing w:before="0" w:beforeAutospacing="0" w:after="0" w:afterAutospacing="0"/>
              <w:rPr>
                <w:rFonts w:ascii="Calibri" w:hAnsi="Calibri" w:cs="Calibri"/>
                <w:sz w:val="17"/>
                <w:szCs w:val="17"/>
              </w:rPr>
            </w:pPr>
            <w:hyperlink w:anchor="SIGNATURES" w:history="1">
              <w:r>
                <w:rPr>
                  <w:rStyle w:val="a4"/>
                  <w:rFonts w:ascii="Calibri" w:hAnsi="Calibri" w:cs="Calibri"/>
                  <w:sz w:val="17"/>
                  <w:szCs w:val="17"/>
                </w:rPr>
                <w:t>Signatures</w:t>
              </w:r>
            </w:hyperlink>
          </w:p>
        </w:tc>
        <w:tc>
          <w:tcPr>
            <w:tcW w:w="50" w:type="pct"/>
            <w:hideMark/>
          </w:tcPr>
          <w:p w14:paraId="3EB08CB6"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1612EC13" w14:textId="77777777" w:rsidR="00251D72" w:rsidRDefault="00251D72">
            <w:pPr>
              <w:pStyle w:val="a3"/>
              <w:spacing w:before="0" w:beforeAutospacing="0" w:after="0" w:afterAutospacing="0"/>
              <w:jc w:val="right"/>
              <w:rPr>
                <w:rFonts w:ascii="Calibri" w:hAnsi="Calibri" w:cs="Calibri"/>
                <w:sz w:val="17"/>
                <w:szCs w:val="17"/>
              </w:rPr>
            </w:pPr>
            <w:r>
              <w:rPr>
                <w:rFonts w:ascii="Calibri" w:hAnsi="Calibri" w:cs="Calibri"/>
                <w:sz w:val="17"/>
                <w:szCs w:val="17"/>
              </w:rPr>
              <w:t>124</w:t>
            </w:r>
          </w:p>
        </w:tc>
      </w:tr>
      <w:tr w:rsidR="00251D72" w14:paraId="1A65172D" w14:textId="77777777">
        <w:trPr>
          <w:divId w:val="1919753716"/>
          <w:trHeight w:val="180"/>
          <w:jc w:val="center"/>
        </w:trPr>
        <w:tc>
          <w:tcPr>
            <w:tcW w:w="400" w:type="pct"/>
            <w:hideMark/>
          </w:tcPr>
          <w:p w14:paraId="213B906B" w14:textId="77777777" w:rsidR="00251D72" w:rsidRDefault="00251D72">
            <w:pPr>
              <w:pStyle w:val="a3"/>
              <w:spacing w:before="0" w:beforeAutospacing="0" w:after="0" w:afterAutospacing="0"/>
              <w:rPr>
                <w:sz w:val="17"/>
                <w:szCs w:val="17"/>
              </w:rPr>
            </w:pPr>
            <w:r>
              <w:rPr>
                <w:sz w:val="17"/>
                <w:szCs w:val="17"/>
              </w:rPr>
              <w:t> </w:t>
            </w:r>
          </w:p>
        </w:tc>
        <w:tc>
          <w:tcPr>
            <w:tcW w:w="50" w:type="pct"/>
            <w:hideMark/>
          </w:tcPr>
          <w:p w14:paraId="0520247A" w14:textId="77777777" w:rsidR="00251D72" w:rsidRDefault="00251D72">
            <w:pPr>
              <w:pStyle w:val="a3"/>
              <w:spacing w:before="0" w:beforeAutospacing="0" w:after="0" w:afterAutospacing="0"/>
              <w:jc w:val="both"/>
              <w:rPr>
                <w:sz w:val="17"/>
                <w:szCs w:val="17"/>
              </w:rPr>
            </w:pPr>
            <w:r>
              <w:rPr>
                <w:sz w:val="17"/>
                <w:szCs w:val="17"/>
              </w:rPr>
              <w:t> </w:t>
            </w:r>
          </w:p>
        </w:tc>
        <w:tc>
          <w:tcPr>
            <w:tcW w:w="4200" w:type="pct"/>
            <w:hideMark/>
          </w:tcPr>
          <w:p w14:paraId="3D241A5D" w14:textId="77777777" w:rsidR="00251D72" w:rsidRDefault="00251D72">
            <w:pPr>
              <w:pStyle w:val="a3"/>
              <w:spacing w:before="0" w:beforeAutospacing="0" w:after="0" w:afterAutospacing="0"/>
              <w:rPr>
                <w:sz w:val="17"/>
                <w:szCs w:val="17"/>
              </w:rPr>
            </w:pPr>
            <w:r>
              <w:rPr>
                <w:sz w:val="17"/>
                <w:szCs w:val="17"/>
              </w:rPr>
              <w:t> </w:t>
            </w:r>
          </w:p>
        </w:tc>
        <w:tc>
          <w:tcPr>
            <w:tcW w:w="50" w:type="pct"/>
            <w:hideMark/>
          </w:tcPr>
          <w:p w14:paraId="2D14248C" w14:textId="77777777" w:rsidR="00251D72" w:rsidRDefault="00251D72">
            <w:pPr>
              <w:pStyle w:val="a3"/>
              <w:spacing w:before="0" w:beforeAutospacing="0" w:after="0" w:afterAutospacing="0"/>
              <w:jc w:val="both"/>
              <w:rPr>
                <w:sz w:val="17"/>
                <w:szCs w:val="17"/>
              </w:rPr>
            </w:pPr>
            <w:r>
              <w:rPr>
                <w:sz w:val="17"/>
                <w:szCs w:val="17"/>
              </w:rPr>
              <w:t> </w:t>
            </w:r>
          </w:p>
        </w:tc>
        <w:tc>
          <w:tcPr>
            <w:tcW w:w="300" w:type="pct"/>
            <w:vAlign w:val="bottom"/>
            <w:hideMark/>
          </w:tcPr>
          <w:p w14:paraId="78CAE2A0" w14:textId="77777777" w:rsidR="00251D72" w:rsidRDefault="00251D72">
            <w:pPr>
              <w:pStyle w:val="a3"/>
              <w:spacing w:before="0" w:beforeAutospacing="0" w:after="0" w:afterAutospacing="0"/>
              <w:jc w:val="right"/>
              <w:rPr>
                <w:sz w:val="17"/>
                <w:szCs w:val="17"/>
              </w:rPr>
            </w:pPr>
            <w:r>
              <w:rPr>
                <w:sz w:val="17"/>
                <w:szCs w:val="17"/>
              </w:rPr>
              <w:t> </w:t>
            </w:r>
          </w:p>
        </w:tc>
      </w:tr>
    </w:tbl>
    <w:p w14:paraId="3336E759" w14:textId="77777777" w:rsidR="00251D72" w:rsidRDefault="00251D72">
      <w:pPr>
        <w:pStyle w:val="a3"/>
        <w:spacing w:before="0" w:beforeAutospacing="0" w:after="0" w:afterAutospacing="0"/>
        <w:rPr>
          <w:b/>
          <w:bCs/>
          <w:sz w:val="20"/>
          <w:szCs w:val="20"/>
        </w:rPr>
      </w:pPr>
      <w:r>
        <w:rPr>
          <w:b/>
          <w:bCs/>
          <w:sz w:val="20"/>
          <w:szCs w:val="20"/>
        </w:rPr>
        <w:t> </w:t>
      </w:r>
    </w:p>
    <w:p w14:paraId="5C561E8B" w14:textId="77777777" w:rsidR="00251D72" w:rsidRDefault="00251D72">
      <w:pPr>
        <w:pStyle w:val="a3"/>
        <w:spacing w:before="0" w:beforeAutospacing="0" w:after="0" w:afterAutospacing="0"/>
        <w:rPr>
          <w:b/>
          <w:bCs/>
          <w:sz w:val="20"/>
          <w:szCs w:val="20"/>
        </w:rPr>
      </w:pPr>
      <w:r>
        <w:rPr>
          <w:b/>
          <w:bCs/>
          <w:sz w:val="20"/>
          <w:szCs w:val="20"/>
        </w:rPr>
        <w:t> </w:t>
      </w:r>
    </w:p>
    <w:p w14:paraId="6EDE92D6" w14:textId="77777777" w:rsidR="00251D72" w:rsidRDefault="00251D72">
      <w:pPr>
        <w:pStyle w:val="a3"/>
        <w:spacing w:before="0" w:beforeAutospacing="0" w:after="0" w:afterAutospacing="0"/>
        <w:jc w:val="center"/>
        <w:rPr>
          <w:b/>
          <w:bCs/>
          <w:sz w:val="20"/>
          <w:szCs w:val="20"/>
        </w:rPr>
      </w:pPr>
      <w:r>
        <w:rPr>
          <w:b/>
          <w:bCs/>
          <w:sz w:val="20"/>
          <w:szCs w:val="20"/>
        </w:rPr>
        <w:t> </w:t>
      </w:r>
    </w:p>
    <w:p w14:paraId="6BB3FB80" w14:textId="77777777" w:rsidR="00251D72" w:rsidRDefault="00251D72">
      <w:pPr>
        <w:pStyle w:val="a3"/>
        <w:spacing w:before="240" w:beforeAutospacing="0" w:after="0" w:afterAutospacing="0"/>
        <w:jc w:val="center"/>
        <w:rPr>
          <w:sz w:val="20"/>
          <w:szCs w:val="20"/>
        </w:rPr>
      </w:pPr>
      <w:r>
        <w:rPr>
          <w:sz w:val="20"/>
          <w:szCs w:val="20"/>
        </w:rPr>
        <w:t> </w:t>
      </w:r>
    </w:p>
    <w:p w14:paraId="72C43CBB" w14:textId="77777777" w:rsidR="00251D72" w:rsidRDefault="00251D72">
      <w:pPr>
        <w:rPr>
          <w:rFonts w:eastAsia="Times New Roman"/>
          <w:sz w:val="24"/>
          <w:szCs w:val="24"/>
        </w:rPr>
      </w:pPr>
      <w:r>
        <w:rPr>
          <w:rFonts w:eastAsia="Times New Roman"/>
        </w:rPr>
        <w:pict w14:anchorId="5346859A">
          <v:rect id="_x0000_i1026" style="width:415.3pt;height:1.5pt" o:hralign="center" o:hrstd="t" o:hr="t" fillcolor="#a0a0a0" stroked="f"/>
        </w:pict>
      </w:r>
    </w:p>
    <w:p w14:paraId="6D5ACD0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F78E341"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BB320BC" w14:textId="77777777" w:rsidR="00251D72" w:rsidRDefault="00251D72">
      <w:pPr>
        <w:pStyle w:val="a3"/>
        <w:spacing w:before="120" w:beforeAutospacing="0" w:after="0" w:afterAutospacing="0"/>
        <w:rPr>
          <w:sz w:val="20"/>
          <w:szCs w:val="20"/>
        </w:rPr>
      </w:pPr>
      <w:r>
        <w:rPr>
          <w:sz w:val="20"/>
          <w:szCs w:val="20"/>
        </w:rPr>
        <w:t> </w:t>
      </w:r>
    </w:p>
    <w:p w14:paraId="51FBAA42" w14:textId="77777777" w:rsidR="00251D72" w:rsidRDefault="00251D72">
      <w:pPr>
        <w:pStyle w:val="a3"/>
        <w:spacing w:before="0" w:beforeAutospacing="0" w:after="0" w:afterAutospacing="0"/>
        <w:jc w:val="center"/>
        <w:rPr>
          <w:rFonts w:ascii="Calibri" w:hAnsi="Calibri" w:cs="Calibri"/>
          <w:b/>
          <w:bCs/>
          <w:sz w:val="20"/>
          <w:szCs w:val="20"/>
        </w:rPr>
      </w:pPr>
      <w:bookmarkStart w:id="2" w:name="_AEIOULastRenderedPageBreakAEIOU3"/>
      <w:bookmarkEnd w:id="2"/>
      <w:r>
        <w:rPr>
          <w:rFonts w:ascii="Calibri" w:hAnsi="Calibri" w:cs="Calibri"/>
          <w:b/>
          <w:bCs/>
          <w:sz w:val="20"/>
          <w:szCs w:val="20"/>
        </w:rPr>
        <w:t>Cautionary Note on Forward-Looking Statements</w:t>
      </w:r>
    </w:p>
    <w:p w14:paraId="3EBF776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For purposes of this Annual Report, the terms “Oracle,” “we,” “us” and “our” refer to Oracle Corporation and its consolidated subsidiaries. This Annual Report on Form 10-K contains statements that are not historical in nature, are predictive in nature, or that depend upon or refer to future events or conditions or otherwise contain forward-looking statements within the meaning of Section 21 of the Securities Exchange Act of 1934, as amended, and the Private Securities Litigation Reform Act of 1995. These include, among other things, statements regarding:</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B5A85FF" w14:textId="77777777">
        <w:tc>
          <w:tcPr>
            <w:tcW w:w="262" w:type="pct"/>
            <w:noWrap/>
            <w:hideMark/>
          </w:tcPr>
          <w:p w14:paraId="52555515"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EADE138"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FA5EBF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expectation that we will continue to acquire companies, products, services and technologies to further our corporate strategy;</w:t>
            </w:r>
          </w:p>
        </w:tc>
      </w:tr>
    </w:tbl>
    <w:p w14:paraId="5AD37FF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FB3C0A1" w14:textId="77777777">
        <w:tc>
          <w:tcPr>
            <w:tcW w:w="262" w:type="pct"/>
            <w:noWrap/>
            <w:hideMark/>
          </w:tcPr>
          <w:p w14:paraId="7EE14281"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2C140E8"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AE3C970"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belief that our acquisitions enhance the products and services that we can offer to customers, expand our customer base, provide greater scale to accelerate innovation, grow our revenues and earnings, and increase stockholder value;</w:t>
            </w:r>
          </w:p>
        </w:tc>
      </w:tr>
    </w:tbl>
    <w:p w14:paraId="6DF1AC8A"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21A2109" w14:textId="77777777">
        <w:tc>
          <w:tcPr>
            <w:tcW w:w="262" w:type="pct"/>
            <w:noWrap/>
            <w:hideMark/>
          </w:tcPr>
          <w:p w14:paraId="6B7511F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53FC11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9DF99BF"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expectation that, on a constant currency basis, our total cloud and license revenues generally will continue to increase due to expected growth in our cloud services and our license support offerings, continued demand for our cloud license and on-premise license offerings, and contributions from acquisitions;</w:t>
            </w:r>
          </w:p>
        </w:tc>
      </w:tr>
    </w:tbl>
    <w:p w14:paraId="0F72186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0DF00F5" w14:textId="77777777">
        <w:tc>
          <w:tcPr>
            <w:tcW w:w="262" w:type="pct"/>
            <w:noWrap/>
            <w:hideMark/>
          </w:tcPr>
          <w:p w14:paraId="27201CB6"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15FA496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DDF0C13"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belief that our Oracle Cloud Software-as-a-Service and Infrastructure-as-a-Service (SaaS and IaaS, respectively, and collectively, Oracle Cloud Services) offerings are opportunities for us to expand our cloud and license business, and that demand for our Oracle Cloud Services will continue to increase;</w:t>
            </w:r>
          </w:p>
        </w:tc>
      </w:tr>
    </w:tbl>
    <w:p w14:paraId="7634787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29A7603" w14:textId="77777777">
        <w:tc>
          <w:tcPr>
            <w:tcW w:w="262" w:type="pct"/>
            <w:noWrap/>
            <w:hideMark/>
          </w:tcPr>
          <w:p w14:paraId="55FF4A2C"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DCD501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885DDCB"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belief that we can market and sell our SaaS and IaaS offerings together to help customers migrate their extensive installed base of on-premise applications and infrastructure technologies to the Oracle Cloud while at the same time reaching a broader ecosystem of developers and partners;</w:t>
            </w:r>
          </w:p>
        </w:tc>
      </w:tr>
    </w:tbl>
    <w:p w14:paraId="4AAE0C9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416648F" w14:textId="77777777">
        <w:tc>
          <w:tcPr>
            <w:tcW w:w="262" w:type="pct"/>
            <w:noWrap/>
            <w:hideMark/>
          </w:tcPr>
          <w:p w14:paraId="12259283"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6727206"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F8D2021"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belief that we can market our SaaS and IaaS services to small and medium-sized businesses and non-IT lines of business purchasers;</w:t>
            </w:r>
          </w:p>
        </w:tc>
      </w:tr>
    </w:tbl>
    <w:p w14:paraId="7A1CA23B"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CA61E58" w14:textId="77777777">
        <w:tc>
          <w:tcPr>
            <w:tcW w:w="262" w:type="pct"/>
            <w:noWrap/>
            <w:hideMark/>
          </w:tcPr>
          <w:p w14:paraId="37889AEF"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EAC9313"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D9307FD"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expectation that substantially all of our customers will renew their license support contracts annually;</w:t>
            </w:r>
          </w:p>
        </w:tc>
      </w:tr>
    </w:tbl>
    <w:p w14:paraId="6BE700F7"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7E17116" w14:textId="77777777">
        <w:tc>
          <w:tcPr>
            <w:tcW w:w="262" w:type="pct"/>
            <w:noWrap/>
            <w:hideMark/>
          </w:tcPr>
          <w:p w14:paraId="181CEC4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8A06271"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BED40F3"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belief that our cloud ERP offerings drive adoption of our other SaaS offerings as our customers realize benefits of a common data model utilized across our SaaS offerings;</w:t>
            </w:r>
          </w:p>
        </w:tc>
      </w:tr>
    </w:tbl>
    <w:p w14:paraId="2EBC256C"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B17018C" w14:textId="77777777">
        <w:tc>
          <w:tcPr>
            <w:tcW w:w="262" w:type="pct"/>
            <w:noWrap/>
            <w:hideMark/>
          </w:tcPr>
          <w:p w14:paraId="02F45E34"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73CEACAE"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AC38D77"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expectations regarding the performance of our Oracle Autonomous Database, including its ability to reduce customer downtime and cost;</w:t>
            </w:r>
          </w:p>
        </w:tc>
      </w:tr>
    </w:tbl>
    <w:p w14:paraId="5CA3203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A0AE1DC" w14:textId="77777777">
        <w:tc>
          <w:tcPr>
            <w:tcW w:w="262" w:type="pct"/>
            <w:noWrap/>
            <w:hideMark/>
          </w:tcPr>
          <w:p w14:paraId="7918AFD4"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31E58E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E450CD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expectation that our hardware business will have lower operating margins as a percentage of revenues than our cloud and license business;</w:t>
            </w:r>
          </w:p>
        </w:tc>
      </w:tr>
    </w:tbl>
    <w:p w14:paraId="4E8786AB"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D75750B" w14:textId="77777777">
        <w:tc>
          <w:tcPr>
            <w:tcW w:w="262" w:type="pct"/>
            <w:noWrap/>
            <w:hideMark/>
          </w:tcPr>
          <w:p w14:paraId="40462E7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F71EEC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0E28783"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expectation that we will continue to make significant investments in research and development, and our belief that research and development efforts are essential to maintaining our competitive position;</w:t>
            </w:r>
          </w:p>
        </w:tc>
      </w:tr>
    </w:tbl>
    <w:p w14:paraId="1E1819A4"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8922EF5" w14:textId="77777777">
        <w:tc>
          <w:tcPr>
            <w:tcW w:w="262" w:type="pct"/>
            <w:noWrap/>
            <w:hideMark/>
          </w:tcPr>
          <w:p w14:paraId="1D9C58C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1205DC7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5E6F6AE"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expectation that our international operations will continue to provide a significant portion of our total revenues and expenses;</w:t>
            </w:r>
          </w:p>
        </w:tc>
      </w:tr>
    </w:tbl>
    <w:p w14:paraId="6B2013E4"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A7FCE0E" w14:textId="77777777">
        <w:tc>
          <w:tcPr>
            <w:tcW w:w="262" w:type="pct"/>
            <w:noWrap/>
            <w:hideMark/>
          </w:tcPr>
          <w:p w14:paraId="48A7F615"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E985EF7"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68013AD"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sufficiency of our sources of funding for working capital, capital expenditures, contractual obligations, acquisitions, dividends, stock repurchases, debt repayments and other matters;</w:t>
            </w:r>
          </w:p>
        </w:tc>
      </w:tr>
    </w:tbl>
    <w:p w14:paraId="7410D2B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194526A" w14:textId="77777777">
        <w:tc>
          <w:tcPr>
            <w:tcW w:w="262" w:type="pct"/>
            <w:noWrap/>
            <w:hideMark/>
          </w:tcPr>
          <w:p w14:paraId="44718CD4"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33477B5"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EE13AAA"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expectation that the U.S. Tax Cuts and Jobs Act of 2017 will continue to have a meaningful impact on our provision for income taxes;</w:t>
            </w:r>
          </w:p>
        </w:tc>
      </w:tr>
    </w:tbl>
    <w:p w14:paraId="722A915C"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D5BE17D" w14:textId="77777777">
        <w:tc>
          <w:tcPr>
            <w:tcW w:w="262" w:type="pct"/>
            <w:noWrap/>
            <w:hideMark/>
          </w:tcPr>
          <w:p w14:paraId="661762FE"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A3D8BC2"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6275105"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belief that we have adequately provided under U.S. generally accepted accounting principles for outcomes related to our tax audits and that the final outcome of our tax related examinations, agreements or judicial proceedings will not have a material effect on our results of operations, and our belief that our net deferred tax assets will be realized in the foreseeable future;</w:t>
            </w:r>
          </w:p>
        </w:tc>
      </w:tr>
    </w:tbl>
    <w:p w14:paraId="48E66CD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w:t>
      </w:r>
    </w:p>
    <w:p w14:paraId="4AEAA529" w14:textId="77777777" w:rsidR="00251D72" w:rsidRDefault="00251D72">
      <w:pPr>
        <w:rPr>
          <w:rFonts w:ascii="Times New Roman" w:eastAsia="Times New Roman" w:hAnsi="Times New Roman" w:cs="Times New Roman"/>
          <w:sz w:val="24"/>
          <w:szCs w:val="24"/>
        </w:rPr>
      </w:pPr>
      <w:r>
        <w:rPr>
          <w:rFonts w:eastAsia="Times New Roman"/>
        </w:rPr>
        <w:pict w14:anchorId="538034BE">
          <v:rect id="_x0000_i1027" style="width:415.3pt;height:1.5pt" o:hralign="center" o:hrstd="t" o:hr="t" fillcolor="#a0a0a0" stroked="f"/>
        </w:pict>
      </w:r>
    </w:p>
    <w:p w14:paraId="26CEF80D"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6D0EE29C"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F187D58" w14:textId="77777777" w:rsidR="00251D72" w:rsidRDefault="00251D72">
      <w:pPr>
        <w:pStyle w:val="a3"/>
        <w:spacing w:before="12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1C2ECA4" w14:textId="77777777">
        <w:tc>
          <w:tcPr>
            <w:tcW w:w="262" w:type="pct"/>
            <w:noWrap/>
            <w:hideMark/>
          </w:tcPr>
          <w:p w14:paraId="198D90C8"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6F80D37"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51FD889" w14:textId="77777777" w:rsidR="00251D72" w:rsidRDefault="00251D72">
            <w:pPr>
              <w:pStyle w:val="a3"/>
              <w:spacing w:before="120" w:beforeAutospacing="0" w:after="0" w:afterAutospacing="0"/>
              <w:jc w:val="both"/>
              <w:rPr>
                <w:sz w:val="20"/>
                <w:szCs w:val="20"/>
              </w:rPr>
            </w:pPr>
            <w:bookmarkStart w:id="3" w:name="_AEIOULastRenderedPageBreakAEIOU4"/>
            <w:bookmarkEnd w:id="3"/>
            <w:r>
              <w:rPr>
                <w:rFonts w:ascii="Calibri" w:hAnsi="Calibri" w:cs="Calibri"/>
                <w:sz w:val="20"/>
                <w:szCs w:val="20"/>
              </w:rPr>
              <w:t>our belief that the outcome of certain legal proceedings and claims to which we are a party will not, individually or in the aggregate, result in losses that are materially in excess of amounts already recognized, if any;</w:t>
            </w:r>
          </w:p>
        </w:tc>
      </w:tr>
    </w:tbl>
    <w:p w14:paraId="6DFD267E"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E52C68E" w14:textId="77777777">
        <w:tc>
          <w:tcPr>
            <w:tcW w:w="262" w:type="pct"/>
            <w:noWrap/>
            <w:hideMark/>
          </w:tcPr>
          <w:p w14:paraId="23BAA497"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A48EF3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B0E4AA7"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possibility that certain legal proceedings to which we are a party could have a material impact on our future cash flows and results of operations;</w:t>
            </w:r>
          </w:p>
        </w:tc>
      </w:tr>
    </w:tbl>
    <w:p w14:paraId="6897FFF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96073AC" w14:textId="77777777">
        <w:tc>
          <w:tcPr>
            <w:tcW w:w="262" w:type="pct"/>
            <w:noWrap/>
            <w:hideMark/>
          </w:tcPr>
          <w:p w14:paraId="2A4474EA"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1F45ECFB"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8A126F5"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expectations regarding the timing and amount of expenses relating to the Fiscal 2019 Oracle Restructuring Plan and the improved efficiencies in our operations that such a plan will create;</w:t>
            </w:r>
          </w:p>
        </w:tc>
      </w:tr>
    </w:tbl>
    <w:p w14:paraId="44427230"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2F170AF7" w14:textId="77777777">
        <w:tc>
          <w:tcPr>
            <w:tcW w:w="262" w:type="pct"/>
            <w:noWrap/>
            <w:hideMark/>
          </w:tcPr>
          <w:p w14:paraId="44237A1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00EEE31"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7D4859F"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timing and amount of future cash dividend payments and stock repurchases, including our expectation that the levels of our future stock repurchase activity may be modified in comparison to past periods in order to use available cash for other purposes;</w:t>
            </w:r>
          </w:p>
        </w:tc>
      </w:tr>
    </w:tbl>
    <w:p w14:paraId="220C764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2933E124" w14:textId="77777777">
        <w:tc>
          <w:tcPr>
            <w:tcW w:w="262" w:type="pct"/>
            <w:noWrap/>
            <w:hideMark/>
          </w:tcPr>
          <w:p w14:paraId="532265BF"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9A63610"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874F04F"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expectations regarding the impact of recent accounting pronouncements on our consolidated financial statements;</w:t>
            </w:r>
          </w:p>
        </w:tc>
      </w:tr>
    </w:tbl>
    <w:p w14:paraId="4650DEC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6464405" w14:textId="77777777">
        <w:tc>
          <w:tcPr>
            <w:tcW w:w="262" w:type="pct"/>
            <w:noWrap/>
            <w:hideMark/>
          </w:tcPr>
          <w:p w14:paraId="277F0A5A"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FBCEFEB"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E4CE051"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expectation that, to the extent customers renew support contracts or cloud SaaS and IaaS contracts from companies that we have acquired, we will recognize revenues for the full contracts’ values over the respective renewal periods;</w:t>
            </w:r>
          </w:p>
        </w:tc>
      </w:tr>
    </w:tbl>
    <w:p w14:paraId="50AC16F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29B095C" w14:textId="77777777">
        <w:tc>
          <w:tcPr>
            <w:tcW w:w="262" w:type="pct"/>
            <w:noWrap/>
            <w:hideMark/>
          </w:tcPr>
          <w:p w14:paraId="74F9961C"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600999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0114BF1"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ability to predict quarterly hardware revenues;</w:t>
            </w:r>
          </w:p>
        </w:tc>
      </w:tr>
    </w:tbl>
    <w:p w14:paraId="00C2D9BB"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0DC7DED" w14:textId="77777777">
        <w:tc>
          <w:tcPr>
            <w:tcW w:w="262" w:type="pct"/>
            <w:noWrap/>
            <w:hideMark/>
          </w:tcPr>
          <w:p w14:paraId="4E278ABD"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E024A27"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8E3A92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percentage of remaining performance obligations that we expect to recognize as revenues over the next twelve months;</w:t>
            </w:r>
          </w:p>
        </w:tc>
      </w:tr>
    </w:tbl>
    <w:p w14:paraId="55D7E19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as well as other statements regarding our future operations, financial condition and prospects, and business strategies. Forward-looking statements may be preceded by, followed by or include the words “expects,” “anticipates,” “intends,” “plans,” “believes,” “seeks,” “strives,” “endeavors,” “estimates,” “will,” “should,” “is designed to” and similar expressions. We claim the protection of the safe harbor for forward-looking statements contained in the Private Securities Litigation Reform Act of 1995 for all forward-looking statements. We have based these forward-looking statements on our current expectations and projections about future events. These forward-looking statements are subject to risks, uncertainties and assumptions about our business that could affect our future results and could cause those results or other outcomes to differ materially from those expressed or implied in the forward-looking statements. Factors that might cause or contribute to such differences include, but are not limited to, those discussed in “Risk Factors” included elsewhere in this Annual Report and as may be updated in filings we make from time to time with the U.S. Securities and Exchange Commission (the SEC), including our Quarterly Reports on Form 10-Q to be filed by us in our fiscal year 2020, which runs from June 1, 2019 to May 31, 2020. </w:t>
      </w:r>
    </w:p>
    <w:p w14:paraId="55F708E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statements, whether as a result of new information, future events or risks, except to the extent required by applicable securities laws. If we do update one or more forward-looking statements, no inference should be drawn that we will make additional updates with respect to those or other forward-looking statements. New information, future events or risks could cause the forward-looking events we discuss in this Annual Report not to occur. You should not place undue reliance on these forward-looking statements, which reflect our expectations only as of the date of this Annual Report.</w:t>
      </w:r>
    </w:p>
    <w:p w14:paraId="011D1043" w14:textId="77777777" w:rsidR="00251D72" w:rsidRDefault="00251D72">
      <w:pPr>
        <w:pStyle w:val="a3"/>
        <w:spacing w:before="120" w:beforeAutospacing="0" w:after="0" w:afterAutospacing="0"/>
        <w:jc w:val="both"/>
        <w:rPr>
          <w:sz w:val="20"/>
          <w:szCs w:val="20"/>
        </w:rPr>
      </w:pPr>
      <w:r>
        <w:rPr>
          <w:sz w:val="20"/>
          <w:szCs w:val="20"/>
        </w:rPr>
        <w:t> </w:t>
      </w:r>
    </w:p>
    <w:p w14:paraId="5305905D"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2</w:t>
      </w:r>
    </w:p>
    <w:p w14:paraId="17801834" w14:textId="77777777" w:rsidR="00251D72" w:rsidRDefault="00251D72">
      <w:pPr>
        <w:rPr>
          <w:rFonts w:ascii="Times New Roman" w:eastAsia="Times New Roman" w:hAnsi="Times New Roman" w:cs="Times New Roman"/>
          <w:sz w:val="24"/>
          <w:szCs w:val="24"/>
        </w:rPr>
      </w:pPr>
      <w:r>
        <w:rPr>
          <w:rFonts w:eastAsia="Times New Roman"/>
        </w:rPr>
        <w:pict w14:anchorId="78744805">
          <v:rect id="_x0000_i1028" style="width:415.3pt;height:1.5pt" o:hralign="center" o:hrstd="t" o:hr="t" fillcolor="#a0a0a0" stroked="f"/>
        </w:pict>
      </w:r>
    </w:p>
    <w:p w14:paraId="282D4EB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6D31BBC9"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7FE1125" w14:textId="77777777" w:rsidR="00251D72" w:rsidRDefault="00251D72">
      <w:pPr>
        <w:pStyle w:val="a3"/>
        <w:spacing w:before="120" w:beforeAutospacing="0" w:after="0" w:afterAutospacing="0"/>
        <w:rPr>
          <w:sz w:val="20"/>
          <w:szCs w:val="20"/>
        </w:rPr>
      </w:pPr>
      <w:r>
        <w:rPr>
          <w:sz w:val="20"/>
          <w:szCs w:val="20"/>
        </w:rPr>
        <w:t> </w:t>
      </w:r>
    </w:p>
    <w:p w14:paraId="58E48D7C" w14:textId="77777777" w:rsidR="00251D72" w:rsidRDefault="00251D72">
      <w:pPr>
        <w:pStyle w:val="a3"/>
        <w:spacing w:before="0" w:beforeAutospacing="0" w:after="0" w:afterAutospacing="0"/>
        <w:jc w:val="both"/>
        <w:rPr>
          <w:rFonts w:ascii="Calibri" w:hAnsi="Calibri" w:cs="Calibri"/>
          <w:b/>
          <w:bCs/>
          <w:sz w:val="20"/>
          <w:szCs w:val="20"/>
        </w:rPr>
      </w:pPr>
      <w:bookmarkStart w:id="4" w:name="_AEIOULastRenderedPageBreakAEIOU5"/>
      <w:bookmarkStart w:id="5" w:name="PART_I"/>
      <w:bookmarkEnd w:id="4"/>
      <w:bookmarkEnd w:id="5"/>
      <w:r>
        <w:rPr>
          <w:rFonts w:ascii="Calibri" w:hAnsi="Calibri" w:cs="Calibri"/>
          <w:b/>
          <w:bCs/>
          <w:sz w:val="20"/>
          <w:szCs w:val="20"/>
        </w:rPr>
        <w:t>PART I</w:t>
      </w:r>
    </w:p>
    <w:tbl>
      <w:tblPr>
        <w:tblW w:w="5000" w:type="pct"/>
        <w:tblCellMar>
          <w:left w:w="0" w:type="dxa"/>
          <w:right w:w="0" w:type="dxa"/>
        </w:tblCellMar>
        <w:tblLook w:val="04A0" w:firstRow="1" w:lastRow="0" w:firstColumn="1" w:lastColumn="0" w:noHBand="0" w:noVBand="1"/>
      </w:tblPr>
      <w:tblGrid>
        <w:gridCol w:w="587"/>
        <w:gridCol w:w="7719"/>
      </w:tblGrid>
      <w:tr w:rsidR="00251D72" w14:paraId="43304A08" w14:textId="77777777">
        <w:tc>
          <w:tcPr>
            <w:tcW w:w="213" w:type="pct"/>
            <w:noWrap/>
            <w:hideMark/>
          </w:tcPr>
          <w:p w14:paraId="5314AE1B" w14:textId="77777777" w:rsidR="00251D72" w:rsidRDefault="00251D72">
            <w:pPr>
              <w:pStyle w:val="a3"/>
              <w:spacing w:before="120" w:beforeAutospacing="0" w:after="0" w:afterAutospacing="0"/>
              <w:jc w:val="both"/>
              <w:rPr>
                <w:rFonts w:ascii="Calibri" w:hAnsi="Calibri" w:cs="Calibri"/>
                <w:b/>
                <w:bCs/>
                <w:sz w:val="20"/>
                <w:szCs w:val="20"/>
              </w:rPr>
            </w:pPr>
            <w:bookmarkStart w:id="6" w:name="ITEM_1_BUSINESS"/>
            <w:r>
              <w:rPr>
                <w:rFonts w:ascii="Calibri" w:hAnsi="Calibri" w:cs="Calibri"/>
                <w:b/>
                <w:bCs/>
                <w:sz w:val="20"/>
                <w:szCs w:val="20"/>
              </w:rPr>
              <w:t>Item 1.</w:t>
            </w:r>
          </w:p>
        </w:tc>
        <w:bookmarkEnd w:id="6"/>
        <w:tc>
          <w:tcPr>
            <w:tcW w:w="0" w:type="auto"/>
            <w:hideMark/>
          </w:tcPr>
          <w:p w14:paraId="5B681667"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Business</w:t>
            </w:r>
          </w:p>
        </w:tc>
      </w:tr>
    </w:tbl>
    <w:p w14:paraId="2E94DBD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Oracle provides products and services that address enterprise information technology (IT) environments. Our products and services include applications and infrastructure offerings that are delivered worldwide through a variety of flexible and interoperable IT deployment models. These models include on-premise deployments, cloud-based deployments, and hybrid deployments (an approach that combines both on-premise and cloud-based deployment) such as our Oracle Cloud at Customer offering (an instance of Oracle Cloud in a customer’s own data center). Accordingly, we offer choice and flexibility to our customers and facilitate the product, service and deployment combinations that best suit our customers’ needs. Our customers include businesses of many sizes, government agencies, educational institutions and resellers that we market and sell to directly through our worldwide sales force and indirectly through the Oracle Partner Network.</w:t>
      </w:r>
    </w:p>
    <w:p w14:paraId="1FC387A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Cloud Software-as-a-Service and Infrastructure-as-a-Service (SaaS and IaaS, respectively, and collectively, Oracle Cloud Services) offerings provide a comprehensive and integrated stack of applications and infrastructure services delivered via a cloud-based deployment model. Oracle Cloud Services integrate the software, hardware and services on a customer’s behalf in a cloud-based IT environment that Oracle deploys, upgrades, supports and manages for the customer. Oracle Cloud Services are designed to be rapidly deployable to enable customers shorter time to innovation; intuitive for casual and experienced users; easily maintainable to reduce upgrade, integration and testing work; connectable among differing deployment models to enable interchangeability and extendibility between IT environments; compatible to easily move workloads between the Oracle Cloud and other IT environments; cost-effective by requiring lower upfront customer investment; and secure, standards-based and reliable. </w:t>
      </w:r>
    </w:p>
    <w:p w14:paraId="2B37C76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cloud license and on-premise license deployment offerings include Oracle Applications, Oracle Database and Oracle Middleware software offerings, among others, which customers deploy using IT infrastructure from the Oracle Cloud or their own cloud-based or on-premise IT environments. Substantially all customers, at their option, purchase license support contracts when they purchase an Oracle license. </w:t>
      </w:r>
    </w:p>
    <w:p w14:paraId="15E92A3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hardware product offerings include Oracle Engineered Systems, servers, storage and industry-specific products, among others, and customers generally opt to purchase hardware support contracts when they purchase Oracle hardware. </w:t>
      </w:r>
    </w:p>
    <w:p w14:paraId="2D0610A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also offers services to assist our customers and partners to maximize the performance of their Oracle purchases. </w:t>
      </w:r>
    </w:p>
    <w:p w14:paraId="5CB9636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Providing choice and flexibility to Oracle customers as to when and how they deploy Oracle applications and infrastructure technologies is an important element of our corporate strategy. We believe that offering customers broad, comprehensive, flexible and interoperable deployment models for Oracle applications and infrastructure technologies is important to our growth strategy and better addresses customer needs relative to our competitors, many of whom provide fewer offerings and more restrictive deployment models.</w:t>
      </w:r>
    </w:p>
    <w:p w14:paraId="4F2761F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investments in, and innovation with respect to, Oracle products and services that we offer through our cloud and license, hardware and services businesses (described further below) are another important element of our corporate strategy. In fiscal 2019, 2018 and 2017, we invested $6.0 billion, $6.1 billion and $6.2 billion, respectively, in research and development to enhance our existing portfolio of offerings and products and to develop new technologies and services. We have a deep understanding as to how applications and infrastructure technologies interact and function with one another. We focus our development efforts on improving the performance, security, operation and integration of our technologies to improve the computing performance of our products and services relative to our competitors’ offerings, to be more cost-effective, and to be easier for customers to deploy, manage and maintain. For example, we believe that Oracle applications and platform technologies, such as the Oracle Database, when combined with other Oracle infrastructure technologies deliver improved performance at a lower cost relative to competing infrastructure technologies and provide customers flexibility through a choice of cloud-based and on-premise deployment models. After the initial purchase of Oracle products and services, our customers can continue to benefit from our research and development efforts and deep IT expertise by electing to purchase and renew Oracle support offerings for their license and hardware deployments, which may include product enhancements that we periodically deliver to our products, and by renewing their Oracle Cloud Services contracts with us.</w:t>
      </w:r>
    </w:p>
    <w:p w14:paraId="34E67B74"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3</w:t>
      </w:r>
    </w:p>
    <w:p w14:paraId="091ADD7F" w14:textId="77777777" w:rsidR="00251D72" w:rsidRDefault="00251D72">
      <w:pPr>
        <w:rPr>
          <w:rFonts w:ascii="Times New Roman" w:eastAsia="Times New Roman" w:hAnsi="Times New Roman" w:cs="Times New Roman"/>
          <w:sz w:val="24"/>
          <w:szCs w:val="24"/>
        </w:rPr>
      </w:pPr>
      <w:r>
        <w:rPr>
          <w:rFonts w:eastAsia="Times New Roman"/>
        </w:rPr>
        <w:pict w14:anchorId="1FFBD058">
          <v:rect id="_x0000_i1029" style="width:415.3pt;height:1.5pt" o:hralign="center" o:hrstd="t" o:hr="t" fillcolor="#a0a0a0" stroked="f"/>
        </w:pict>
      </w:r>
    </w:p>
    <w:p w14:paraId="66B00822"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A34E6A2"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A808602" w14:textId="77777777" w:rsidR="00251D72" w:rsidRDefault="00251D72">
      <w:pPr>
        <w:pStyle w:val="a3"/>
        <w:spacing w:before="120" w:beforeAutospacing="0" w:after="0" w:afterAutospacing="0"/>
        <w:rPr>
          <w:sz w:val="20"/>
          <w:szCs w:val="20"/>
        </w:rPr>
      </w:pPr>
      <w:r>
        <w:rPr>
          <w:sz w:val="20"/>
          <w:szCs w:val="20"/>
        </w:rPr>
        <w:t> </w:t>
      </w:r>
    </w:p>
    <w:p w14:paraId="1FA1B433" w14:textId="77777777" w:rsidR="00251D72" w:rsidRDefault="00251D72">
      <w:pPr>
        <w:pStyle w:val="a3"/>
        <w:spacing w:before="120" w:beforeAutospacing="0" w:after="0" w:afterAutospacing="0"/>
        <w:jc w:val="both"/>
        <w:rPr>
          <w:rFonts w:ascii="Calibri" w:hAnsi="Calibri" w:cs="Calibri"/>
          <w:sz w:val="20"/>
          <w:szCs w:val="20"/>
        </w:rPr>
      </w:pPr>
      <w:bookmarkStart w:id="7" w:name="_AEIOULastRenderedPageBreakAEIOU6"/>
      <w:bookmarkEnd w:id="7"/>
      <w:r>
        <w:rPr>
          <w:rFonts w:ascii="Calibri" w:hAnsi="Calibri" w:cs="Calibri"/>
          <w:sz w:val="20"/>
          <w:szCs w:val="20"/>
        </w:rPr>
        <w:t>Our selective and active acquisition program is another important element of our corporate strategy. We believe that our acquisitions enhance the products and services that we can offer to customers, expand our customer base, provide greater scale to accelerate innovation, grow our revenues and earnings, and increase stockholder value. In recent years, we have collectively invested billions of dollars to acquire a number of companies, products, services and technologies that add to, are complementary to, or have otherwise enhanced our existing offerings. We expect to continue to acquire companies, products, services and technologies to further our corporate strategy.</w:t>
      </w:r>
    </w:p>
    <w:p w14:paraId="198AC83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have three businesses: </w:t>
      </w:r>
    </w:p>
    <w:tbl>
      <w:tblPr>
        <w:tblW w:w="5000" w:type="pct"/>
        <w:tblCellMar>
          <w:left w:w="0" w:type="dxa"/>
          <w:right w:w="0" w:type="dxa"/>
        </w:tblCellMar>
        <w:tblLook w:val="04A0" w:firstRow="1" w:lastRow="0" w:firstColumn="1" w:lastColumn="0" w:noHBand="0" w:noVBand="1"/>
      </w:tblPr>
      <w:tblGrid>
        <w:gridCol w:w="399"/>
        <w:gridCol w:w="239"/>
        <w:gridCol w:w="7668"/>
      </w:tblGrid>
      <w:tr w:rsidR="00251D72" w14:paraId="1D4553AA" w14:textId="77777777">
        <w:tc>
          <w:tcPr>
            <w:tcW w:w="240" w:type="pct"/>
            <w:noWrap/>
            <w:hideMark/>
          </w:tcPr>
          <w:p w14:paraId="7C2FCEF4"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512352D6"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32DC0AB"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our cloud and license business, which is comprised of a single operating segment and includes our Oracle Cloud Services offerings, cloud license and on-premise license offerings, and license support offerings, represented 83%, 81% and 80% of our total revenues in fiscal 2019, 2018 and 2017, respectively; </w:t>
            </w:r>
          </w:p>
        </w:tc>
      </w:tr>
    </w:tbl>
    <w:p w14:paraId="07A757A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251D72" w14:paraId="293AEAA8" w14:textId="77777777">
        <w:tc>
          <w:tcPr>
            <w:tcW w:w="240" w:type="pct"/>
            <w:noWrap/>
            <w:hideMark/>
          </w:tcPr>
          <w:p w14:paraId="39DB8D85"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36D102F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B6B2A1A"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hardware business, which is comprised of a single operating segment and includes our hardware products and related hardware support services offerings, represented 9%, 10% and 11% of our total revenues in fiscal 2019, 2018 and 2017, respectively; and</w:t>
            </w:r>
          </w:p>
        </w:tc>
      </w:tr>
    </w:tbl>
    <w:p w14:paraId="5449063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251D72" w14:paraId="5DE8D3D7" w14:textId="77777777">
        <w:tc>
          <w:tcPr>
            <w:tcW w:w="240" w:type="pct"/>
            <w:noWrap/>
            <w:hideMark/>
          </w:tcPr>
          <w:p w14:paraId="10818937"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5479ACCA"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AE6A8DC"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our services business, which is comprised of a single operating segment, represented 8% of our total revenues in fiscal 2019 and 9% of our total revenues in each of fiscal 2018 and 2017. </w:t>
            </w:r>
          </w:p>
        </w:tc>
      </w:tr>
    </w:tbl>
    <w:p w14:paraId="4813C9B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Management’s Discussion and Analysis of Financial Condition and Results of Operations and Note 15 of Notes to Consolidated Financial Statements, both included elsewhere in this Annual Report, provide additional information related to our businesses and operating segments.</w:t>
      </w:r>
    </w:p>
    <w:p w14:paraId="3A2ED09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Corporation was incorporated in 2005 as a Delaware corporation and is the successor to operations originally begun in June 1977. </w:t>
      </w:r>
    </w:p>
    <w:p w14:paraId="3106146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Applications and Infrastructure Technologies</w:t>
      </w:r>
    </w:p>
    <w:p w14:paraId="514915B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Oracle’s comprehensive portfolio of applications and infrastructure technologies is designed to address an organization’s IT environment needs including business process, infrastructure and applications development requirements, among others. Oracle technologies are based upon industry standards and are designed to be enterprise-grade, reliable, scalable and secure. Oracle applications and infrastructure technologies including database and middleware software as well as enterprise applications, virtualization, clustering, large-scale systems management and related infrastructure products and services are the building blocks of Oracle Cloud Services, our partners’ cloud services, and our customers’ cloud IT environments. Oracle applications and infrastructure offerings are marketed and sold through our cloud and license, hardware, and services businesses and are delivered through the Oracle Cloud, or through other IT deployment models including cloud-based, hybrid and on-premise. We believe Oracle applications and infrastructure offerings enable flexibility, interoperability and choice to best meet customer IT needs. </w:t>
      </w:r>
    </w:p>
    <w:p w14:paraId="7BD41CE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believe that our Oracle Cloud Services offerings are opportunities for us to expand our cloud and license business. We believe that our customers increasingly recognize the value of access to cloud-based applications and infrastructure capabilities via a lower cost, rapidly deployable, flexible and interoperable services model that Oracle manages and maintains on the customer’s behalf. We believe that we can market and sell our SaaS and IaaS offerings together to help customers migrate their extensive installed base of on-premise applications and infrastructure technologies to the Oracle Cloud while at the same time reaching a broader ecosystem of developers and partners. We also believe we can market our SaaS and IaaS services to small and medium-sized businesses and non-IT lines of business purchasers due to the highly available, intuitive design, low touch and low cost characteristics of the Oracle Cloud. </w:t>
      </w:r>
    </w:p>
    <w:p w14:paraId="13667017"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4</w:t>
      </w:r>
    </w:p>
    <w:p w14:paraId="5BE6DAA0" w14:textId="77777777" w:rsidR="00251D72" w:rsidRDefault="00251D72">
      <w:pPr>
        <w:rPr>
          <w:rFonts w:ascii="Times New Roman" w:eastAsia="Times New Roman" w:hAnsi="Times New Roman" w:cs="Times New Roman"/>
          <w:sz w:val="24"/>
          <w:szCs w:val="24"/>
        </w:rPr>
      </w:pPr>
      <w:r>
        <w:rPr>
          <w:rFonts w:eastAsia="Times New Roman"/>
        </w:rPr>
        <w:pict w14:anchorId="1A74826F">
          <v:rect id="_x0000_i1030" style="width:415.3pt;height:1.5pt" o:hralign="center" o:hrstd="t" o:hr="t" fillcolor="#a0a0a0" stroked="f"/>
        </w:pict>
      </w:r>
    </w:p>
    <w:p w14:paraId="425E15C6"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E762B1E"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660DDBE" w14:textId="77777777" w:rsidR="00251D72" w:rsidRDefault="00251D72">
      <w:pPr>
        <w:pStyle w:val="a3"/>
        <w:spacing w:before="120" w:beforeAutospacing="0" w:after="0" w:afterAutospacing="0"/>
        <w:rPr>
          <w:sz w:val="20"/>
          <w:szCs w:val="20"/>
        </w:rPr>
      </w:pPr>
      <w:r>
        <w:rPr>
          <w:sz w:val="20"/>
          <w:szCs w:val="20"/>
        </w:rPr>
        <w:t> </w:t>
      </w:r>
    </w:p>
    <w:p w14:paraId="4D276C35" w14:textId="77777777" w:rsidR="00251D72" w:rsidRDefault="00251D72">
      <w:pPr>
        <w:pStyle w:val="a3"/>
        <w:spacing w:before="120" w:beforeAutospacing="0" w:after="0" w:afterAutospacing="0"/>
        <w:jc w:val="both"/>
        <w:rPr>
          <w:rFonts w:ascii="Calibri" w:hAnsi="Calibri" w:cs="Calibri"/>
          <w:sz w:val="20"/>
          <w:szCs w:val="20"/>
        </w:rPr>
      </w:pPr>
      <w:bookmarkStart w:id="8" w:name="_AEIOULastRenderedPageBreakAEIOU7"/>
      <w:bookmarkEnd w:id="8"/>
      <w:r>
        <w:rPr>
          <w:rFonts w:ascii="Calibri" w:hAnsi="Calibri" w:cs="Calibri"/>
          <w:sz w:val="20"/>
          <w:szCs w:val="20"/>
        </w:rPr>
        <w:t>In recent periods, customer demand for our applications and infrastructure technologies delivered through our Oracle Cloud Services deployment models has increased. To address customer demand and enable customer choice, we have introduced certain programs for customers to pivot their applications and infrastructure licenses and license support contracts to the Oracle Cloud for new deployments and to migrate to and expand with the Oracle Cloud for their existing workloads. We expect these trends to continue.</w:t>
      </w:r>
    </w:p>
    <w:p w14:paraId="7C6F113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u w:val="single"/>
        </w:rPr>
        <w:t>Oracle License Support</w:t>
      </w:r>
    </w:p>
    <w:p w14:paraId="4BF403E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Oracle license support offerings are marketed and sold as a part of our cloud and license business. Substantially all of our customers opt to purchase license support contracts when they purchase Oracle applications and infrastructure licenses to run within the Oracle Cloud or other cloud-based and on-premise IT environments. We believe our license support offerings protect and enhance our customers’ investments in Oracle applications and infrastructure technologies because they provide proactive and personalized support services including Oracle Lifetime Support and unspecified license enhancements and upgrades during the term of the support period. Substantially all license support customers renew their support contracts with us upon expiration in order to continue to benefit from technical support services and the periodic issuance of unspecified updates and enhancements, which current license support customers are entitled to receive. Our license support contracts are generally priced as a percentage of the net fees paid by the customer to access the license and are typically one year in duration.</w:t>
      </w:r>
    </w:p>
    <w:p w14:paraId="6B47AE08"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u w:val="single"/>
        </w:rPr>
        <w:t>Applications Technologies</w:t>
      </w:r>
    </w:p>
    <w:p w14:paraId="37EC4A5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applications technologies are marketed, sold and delivered through our cloud and license business and represented 35%, 34% and 33% of our cloud and license business revenues during fiscal 2019, 2018 and 2017, respectively. Oracle applications technologies consist of comprehensive cloud-based offerings including our Oracle Cloud SaaS offerings, which are available for customers as a subscription, and Oracle Applications license offerings, which are available for customers to purchase for use in Oracle Cloud IaaS, other cloud-based, and on-premise IT environments with the option to purchase related license support. Regardless of the deployment model selected, our applications technologies are designed to reduce the risk, cost and complexity of our customers’ IT infrastructures, while supporting customer choice with flexible deployment models that readily enable performance, agility, compatibility and extendibility. Our applications technologies are generally designed using industry standard architectures to manage and automate core business functions across the enterprise, as well as to help customers differentiate and innovate in those processes unique to their industries or organizations. We offer applications that are deployable to meet a number of business automation requirements across a broad range of industries. We also offer industry-specific applications through a focused strategy of investments in internal development and strategic acquisitions, which provide solutions to customers in communications, construction and engineering, financial services, health sciences, hospitality, manufacturing, public sector, retail and utilities, among other industries. </w:t>
      </w:r>
    </w:p>
    <w:p w14:paraId="7EEBBDFE"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Oracle Cloud Software as a Service (SaaS)</w:t>
      </w:r>
    </w:p>
    <w:p w14:paraId="34E4BEC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Oracle’s broad spectrum of Oracle Cloud SaaS offerings provides customers a choice of software applications that are delivered via a cloud-based IT environment that we host, manage, upgrade and support, and that customers access by entering into a subscription agreement with us for a stated period. Our SaaS offerings are built upon open industry standards such as SQL, Java and HTML5 for easier application accessibility, integration and development. Our SaaS offerings include a broad suite of modular, next-generation cloud software applications that span core business functions including enterprise resource planning (ERP), human capital management (HCM), customer experience (CX), and supply chain management (SCM), among others. We also offer a number of cloud-based industry solutions to address specific customer needs within certain industries.</w:t>
      </w:r>
    </w:p>
    <w:p w14:paraId="467865F6"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5</w:t>
      </w:r>
    </w:p>
    <w:p w14:paraId="13EC5DA5" w14:textId="77777777" w:rsidR="00251D72" w:rsidRDefault="00251D72">
      <w:pPr>
        <w:rPr>
          <w:rFonts w:ascii="Times New Roman" w:eastAsia="Times New Roman" w:hAnsi="Times New Roman" w:cs="Times New Roman"/>
          <w:sz w:val="24"/>
          <w:szCs w:val="24"/>
        </w:rPr>
      </w:pPr>
      <w:r>
        <w:rPr>
          <w:rFonts w:eastAsia="Times New Roman"/>
        </w:rPr>
        <w:pict w14:anchorId="02BC943A">
          <v:rect id="_x0000_i1031" style="width:415.3pt;height:1.5pt" o:hralign="center" o:hrstd="t" o:hr="t" fillcolor="#a0a0a0" stroked="f"/>
        </w:pict>
      </w:r>
    </w:p>
    <w:p w14:paraId="6DD13D29"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F242CE8"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9DB800B" w14:textId="77777777" w:rsidR="00251D72" w:rsidRDefault="00251D72">
      <w:pPr>
        <w:pStyle w:val="a3"/>
        <w:spacing w:before="120" w:beforeAutospacing="0" w:after="0" w:afterAutospacing="0"/>
        <w:rPr>
          <w:sz w:val="20"/>
          <w:szCs w:val="20"/>
        </w:rPr>
      </w:pPr>
      <w:r>
        <w:rPr>
          <w:sz w:val="20"/>
          <w:szCs w:val="20"/>
        </w:rPr>
        <w:t> </w:t>
      </w:r>
    </w:p>
    <w:p w14:paraId="74CC15F0" w14:textId="77777777" w:rsidR="00251D72" w:rsidRDefault="00251D72">
      <w:pPr>
        <w:pStyle w:val="a3"/>
        <w:spacing w:before="120" w:beforeAutospacing="0" w:after="0" w:afterAutospacing="0"/>
        <w:jc w:val="both"/>
        <w:rPr>
          <w:rFonts w:ascii="Calibri" w:hAnsi="Calibri" w:cs="Calibri"/>
          <w:sz w:val="20"/>
          <w:szCs w:val="20"/>
        </w:rPr>
      </w:pPr>
      <w:bookmarkStart w:id="9" w:name="_AEIOULastRenderedPageBreakAEIOU8"/>
      <w:bookmarkEnd w:id="9"/>
      <w:r>
        <w:rPr>
          <w:rFonts w:ascii="Calibri" w:hAnsi="Calibri" w:cs="Calibri"/>
          <w:sz w:val="20"/>
          <w:szCs w:val="20"/>
        </w:rPr>
        <w:t xml:space="preserve">We believe that the comprehensiveness and breadth of our SaaS offerings differentiate us from many of our competitors that offer more limited or specialized applications. Our SaaS offerings are designed to support connected business processes in the cloud and are centered on a responsive and flexible business core and a common data model. We believe our cloud ERP offerings drive adoption of our other SaaS offerings as our customers realize benefits of a common data model utilized across our SaaS offerings. Our SaaS offerings are designed to deliver a secure data isolation architecture and flexible upgrades; self-service access controls for users; a Service-Oriented Architecture (SOA); built-in social, mobile and business insight capabilities; and a high performance, high availability infrastructure based on our infrastructure technologies, including Oracle Engineered Systems. These SaaS capabilities are designed to simplify IT environments, reduce time to implementation and risk, provide an intuitive user experience for casual and experienced users, and enable customers to focus resources on business growth opportunities. Our SaaS offerings are also designed to incorporate emerging technologies such as Internet-of-Things (IoT), Artificial Intelligence (AI), Machine Learning (ML), blockchain, and advances in the “human interface” and how users interact with Oracle Cloud SaaS offerings. </w:t>
      </w:r>
    </w:p>
    <w:p w14:paraId="5472806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Oracle Cloud SaaS offerings include, among others:</w:t>
      </w:r>
    </w:p>
    <w:tbl>
      <w:tblPr>
        <w:tblW w:w="5000" w:type="pct"/>
        <w:tblCellMar>
          <w:left w:w="0" w:type="dxa"/>
          <w:right w:w="0" w:type="dxa"/>
        </w:tblCellMar>
        <w:tblLook w:val="04A0" w:firstRow="1" w:lastRow="0" w:firstColumn="1" w:lastColumn="0" w:noHBand="0" w:noVBand="1"/>
      </w:tblPr>
      <w:tblGrid>
        <w:gridCol w:w="399"/>
        <w:gridCol w:w="239"/>
        <w:gridCol w:w="7668"/>
      </w:tblGrid>
      <w:tr w:rsidR="00251D72" w14:paraId="05F20E77" w14:textId="77777777">
        <w:tc>
          <w:tcPr>
            <w:tcW w:w="240" w:type="pct"/>
            <w:noWrap/>
            <w:hideMark/>
          </w:tcPr>
          <w:p w14:paraId="47B52F76"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0CEA8A40"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CC67E90"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Oracle ERP Cloud, which is designed to be a complete, global and integrated ERP solution to help organizations improve decision making and workforce productivity, and to optimize back-office operations by utilizing a single data and security model with a common user interface. We also offer NetSuite ERP, which is a cloud-based ERP product that is generally marketed to small to medium-sized organizations and is designed to run back-office operations and financial processes and includes financial management, revenue management and billing, inventory, supply chain and warehouse management capabilities, among others;</w:t>
            </w:r>
          </w:p>
        </w:tc>
      </w:tr>
    </w:tbl>
    <w:p w14:paraId="3221AEE4"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251D72" w14:paraId="55776B2C" w14:textId="77777777">
        <w:tc>
          <w:tcPr>
            <w:tcW w:w="240" w:type="pct"/>
            <w:noWrap/>
            <w:hideMark/>
          </w:tcPr>
          <w:p w14:paraId="513F3B7E"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01DA2260"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86568EF"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Oracle HCM Cloud, which is designed to help organizations find, develop and retain their talent, enable collaboration, provide complete workforce insights, improve business process efficiency, and enable users to connect to an integrated suite of HCM applications from any device;</w:t>
            </w:r>
          </w:p>
        </w:tc>
      </w:tr>
    </w:tbl>
    <w:p w14:paraId="6157595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251D72" w14:paraId="79A4F7E4" w14:textId="77777777">
        <w:tc>
          <w:tcPr>
            <w:tcW w:w="240" w:type="pct"/>
            <w:noWrap/>
            <w:hideMark/>
          </w:tcPr>
          <w:p w14:paraId="6F0C3194"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41D6F11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DEB5EE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Oracle CX Cloud, which is designed to be a complete and integrated solution to help organizations deliver consistent and personalized customer experiences across their customer channels, touch points and interactions;</w:t>
            </w:r>
          </w:p>
        </w:tc>
      </w:tr>
    </w:tbl>
    <w:p w14:paraId="48C6F1B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251D72" w14:paraId="2392E0FF" w14:textId="77777777">
        <w:tc>
          <w:tcPr>
            <w:tcW w:w="240" w:type="pct"/>
            <w:noWrap/>
            <w:hideMark/>
          </w:tcPr>
          <w:p w14:paraId="1333FE7B"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4CB677F8"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F25434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Oracle SCM Cloud, which is designed to help organizations create, optimize and digitize their supply chains and innovate products quickly; and</w:t>
            </w:r>
          </w:p>
        </w:tc>
      </w:tr>
    </w:tbl>
    <w:p w14:paraId="54CE672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251D72" w14:paraId="7276E68B" w14:textId="77777777">
        <w:tc>
          <w:tcPr>
            <w:tcW w:w="240" w:type="pct"/>
            <w:noWrap/>
            <w:hideMark/>
          </w:tcPr>
          <w:p w14:paraId="0D595A08"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37DFA43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9ABE4D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Oracle Data Cloud, which is designed to enable organizations to leverage their own data and consumer data to inform and measure marketing strategies and programs.</w:t>
            </w:r>
          </w:p>
        </w:tc>
      </w:tr>
    </w:tbl>
    <w:p w14:paraId="5677458D"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Oracle Applications </w:t>
      </w:r>
    </w:p>
    <w:p w14:paraId="38B4112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Customers have the ability to license Oracle Applications for use within the Oracle Cloud or within their own cloud-based or on-premise IT environments. Oracle Applications are designed to manage and automate core business functions across the enterprise, including HCM; ERP; financial management and governance, risk and compliance; procurement; project portfolio management; SCM; business analytics and enterprise performance management; CX and customer relationship management; and industry-specific applications, among others. </w:t>
      </w:r>
    </w:p>
    <w:p w14:paraId="6F030AB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As described above, we provide customers with an option to purchase license support contracts in connection with the purchase of Oracle Applications licenses.</w:t>
      </w:r>
    </w:p>
    <w:p w14:paraId="62BDF600"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6</w:t>
      </w:r>
    </w:p>
    <w:p w14:paraId="2C9345C7" w14:textId="77777777" w:rsidR="00251D72" w:rsidRDefault="00251D72">
      <w:pPr>
        <w:rPr>
          <w:rFonts w:ascii="Times New Roman" w:eastAsia="Times New Roman" w:hAnsi="Times New Roman" w:cs="Times New Roman"/>
          <w:sz w:val="24"/>
          <w:szCs w:val="24"/>
        </w:rPr>
      </w:pPr>
      <w:r>
        <w:rPr>
          <w:rFonts w:eastAsia="Times New Roman"/>
        </w:rPr>
        <w:pict w14:anchorId="178F1584">
          <v:rect id="_x0000_i1032" style="width:415.3pt;height:1.5pt" o:hralign="center" o:hrstd="t" o:hr="t" fillcolor="#a0a0a0" stroked="f"/>
        </w:pict>
      </w:r>
    </w:p>
    <w:p w14:paraId="28E8ACB9"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1370F5A"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8549084" w14:textId="77777777" w:rsidR="00251D72" w:rsidRDefault="00251D72">
      <w:pPr>
        <w:pStyle w:val="a3"/>
        <w:spacing w:before="120" w:beforeAutospacing="0" w:after="0" w:afterAutospacing="0"/>
        <w:rPr>
          <w:sz w:val="20"/>
          <w:szCs w:val="20"/>
        </w:rPr>
      </w:pPr>
      <w:r>
        <w:rPr>
          <w:sz w:val="20"/>
          <w:szCs w:val="20"/>
        </w:rPr>
        <w:t> </w:t>
      </w:r>
    </w:p>
    <w:p w14:paraId="1F38E0DD" w14:textId="77777777" w:rsidR="00251D72" w:rsidRDefault="00251D72">
      <w:pPr>
        <w:pStyle w:val="a3"/>
        <w:spacing w:before="240" w:beforeAutospacing="0" w:after="0" w:afterAutospacing="0"/>
        <w:jc w:val="both"/>
        <w:rPr>
          <w:rFonts w:ascii="Calibri" w:hAnsi="Calibri" w:cs="Calibri"/>
          <w:b/>
          <w:bCs/>
          <w:sz w:val="20"/>
          <w:szCs w:val="20"/>
        </w:rPr>
      </w:pPr>
      <w:bookmarkStart w:id="10" w:name="_AEIOULastRenderedPageBreakAEIOU9"/>
      <w:bookmarkEnd w:id="10"/>
      <w:r>
        <w:rPr>
          <w:rFonts w:ascii="Calibri" w:hAnsi="Calibri" w:cs="Calibri"/>
          <w:b/>
          <w:bCs/>
          <w:sz w:val="20"/>
          <w:szCs w:val="20"/>
          <w:u w:val="single"/>
        </w:rPr>
        <w:t>Infrastructure Technologies</w:t>
      </w:r>
    </w:p>
    <w:p w14:paraId="6417331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infrastructure technologies are marketed, sold and delivered through our cloud and license business and through our hardware business. </w:t>
      </w:r>
    </w:p>
    <w:p w14:paraId="6910952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cloud and license business’ infrastructure technologies include the Oracle Database, which is the world’s most popular enterprise database; Java, which is the computer industry’s most widely-used software development language; middleware; and development tools, among others. These technologies are available through subscription to our Oracle Cloud IaaS offerings or with the purchase of a license to run within the Oracle Cloud or other cloud-based and on-premise IT environments and related license support at the customer’s option. Our infrastructure technologies are designed to provide cost-effective, standards-based, high-performance platforms and infrastructure to develop, run, integrate, manage and extend business applications. Our cloud and license infrastructure technologies also provide cloud-based compute, storage and networking capabilities through our Oracle Cloud IaaS offerings. Our customers are increasingly focused on developing innovations and reducing the total cost of their IT infrastructure, and we believe that Oracle infrastructure technologies help them achieve this goal. </w:t>
      </w:r>
    </w:p>
    <w:p w14:paraId="3C38080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addition to utilizing our cloud and license business’ infrastructure technologies to modernize approaches to their IT environments, customer interest is increasing for emerging technologies such as IoT, chatbots and AI/ML to automate business processes, reduce human error and provide a platform to build new and innovative applications. We deliver emerging technologies through certain of our applications and infrastructure technologies, including as a part of Oracle Autonomous Data Warehouse Cloud Service, which is described further below.</w:t>
      </w:r>
    </w:p>
    <w:p w14:paraId="4C98300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hardware business’ infrastructure technologies include hardware products and certain unique hardware-related software offerings, such as Oracle Engineered Systems, servers, storage, industry-specific hardware, virtualization software, operating systems, management software, and related hardware services including support at the customer’s option. </w:t>
      </w:r>
    </w:p>
    <w:p w14:paraId="0578888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design our infrastructure technologies to work in customer environments that may include other Oracle or non-Oracle hardware or software components. Our flexible and open approach provides Oracle customers a choice as to how they can utilize and deploy Oracle infrastructure technologies: through the use of Oracle Cloud offerings; in our customers’ data centers; or a hybrid combination of these two deployment models, such as in the Oracle Cloud at Customer deployment model. We focus on the operation and integration of Oracle infrastructure technologies to make them easier to deploy, extend, interconnect, manage and maintain for our customers and to improve computing performance relative to our competitors’ offerings. For example, we design Oracle Engineered Systems to integrate multiple Oracle technology components to work together to deliver improved performance, availability, security and operational efficiency relative to our competitors’ products.</w:t>
      </w:r>
    </w:p>
    <w:p w14:paraId="7C1AEED8"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Oracle Infrastructure Technologies – Cloud and License Business Offerings</w:t>
      </w:r>
    </w:p>
    <w:p w14:paraId="3049D71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infrastructure technologies are marketed, sold and delivered through our cloud and license business and represented 65%, 66% and 67% of our cloud and license business’ total revenues in fiscal 2019, 2018 and 2017, respectively. </w:t>
      </w:r>
    </w:p>
    <w:p w14:paraId="1BCC9818"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Oracle Cloud Infrastructure as a Service (IaaS)</w:t>
      </w:r>
    </w:p>
    <w:p w14:paraId="12F3A04C" w14:textId="77777777" w:rsidR="00251D72" w:rsidRDefault="00251D72">
      <w:pPr>
        <w:pStyle w:val="a3"/>
        <w:spacing w:before="120" w:beforeAutospacing="0" w:after="0" w:afterAutospacing="0"/>
        <w:jc w:val="both"/>
        <w:rPr>
          <w:rFonts w:ascii="Calibri" w:hAnsi="Calibri" w:cs="Calibri"/>
          <w:sz w:val="20"/>
          <w:szCs w:val="20"/>
        </w:rPr>
      </w:pPr>
      <w:bookmarkStart w:id="11" w:name="_AEIOULastRenderedPageBreakAEIOU10"/>
      <w:bookmarkEnd w:id="11"/>
      <w:r>
        <w:rPr>
          <w:rFonts w:ascii="Calibri" w:hAnsi="Calibri" w:cs="Calibri"/>
          <w:sz w:val="20"/>
          <w:szCs w:val="20"/>
        </w:rPr>
        <w:t xml:space="preserve">Oracle Cloud IaaS is based upon Oracle’s Generation 2 Cloud technology and is designed to deliver platform, compute, storage and networking services, among others, that Oracle runs, manages, upgrades and supports on behalf of the customer for a fee for a stated time period, or for certain of our IaaS services, on a “pay-as-you-go” basis for services at a specified rate. By utilizing Oracle Cloud IaaS, customers leverage the Oracle Cloud for enterprise-grade, scalable, cost-effective and secure infrastructure technologies that are designed to be rapidly deployable while reducing the amount of time and resources normally consumed by IT processes within on-premise environments. Oracle Generation 2 Cloud infrastructure technology is designed to be differentiated from other cloud vendors to provide better security by separating control code from customer data on separate </w:t>
      </w:r>
    </w:p>
    <w:p w14:paraId="27593357"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7</w:t>
      </w:r>
    </w:p>
    <w:p w14:paraId="24135F22" w14:textId="77777777" w:rsidR="00251D72" w:rsidRDefault="00251D72">
      <w:pPr>
        <w:rPr>
          <w:rFonts w:ascii="Times New Roman" w:eastAsia="Times New Roman" w:hAnsi="Times New Roman" w:cs="Times New Roman"/>
          <w:sz w:val="24"/>
          <w:szCs w:val="24"/>
        </w:rPr>
      </w:pPr>
      <w:r>
        <w:rPr>
          <w:rFonts w:eastAsia="Times New Roman"/>
        </w:rPr>
        <w:pict w14:anchorId="67393561">
          <v:rect id="_x0000_i1033" style="width:415.3pt;height:1.5pt" o:hralign="center" o:hrstd="t" o:hr="t" fillcolor="#a0a0a0" stroked="f"/>
        </w:pict>
      </w:r>
    </w:p>
    <w:p w14:paraId="16355C9E"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182ED4E5"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7AA1135" w14:textId="77777777" w:rsidR="00251D72" w:rsidRDefault="00251D72">
      <w:pPr>
        <w:pStyle w:val="a3"/>
        <w:spacing w:before="120" w:beforeAutospacing="0" w:after="0" w:afterAutospacing="0"/>
        <w:rPr>
          <w:sz w:val="20"/>
          <w:szCs w:val="20"/>
        </w:rPr>
      </w:pPr>
      <w:r>
        <w:rPr>
          <w:sz w:val="20"/>
          <w:szCs w:val="20"/>
        </w:rPr>
        <w:t> </w:t>
      </w:r>
    </w:p>
    <w:p w14:paraId="32630B0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computers with a different architecture. We continue to invest in Oracle Cloud IaaS to expand the catalog of tools and services we provide to simplify the process of migrating workloads to the Oracle Cloud, as well as to provide customers with the ability to run workloads across on-premise IT environments and the Oracle Cloud in a hybrid deployment model. Customers use Oracle Cloud IaaS offerings to build and operate new cloud-native applications, to run new workloads and to move their existing Oracle or non-Oracle workloads to the Oracle Cloud from their data centers or from other cloud-based IT environments, among other uses. </w:t>
      </w:r>
    </w:p>
    <w:p w14:paraId="1CABC1A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customers and partners utilize Oracle’s open, standards-based IaaS offerings for platform related services that are based upon the Oracle Database, Oracle Middleware including Java, open source, and other tools for a variety of use cases across data management, applications development, integration, content and experience, business analytics, IT operations management and security. </w:t>
      </w:r>
    </w:p>
    <w:p w14:paraId="0431B60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customers and partners also utilize Oracle Cloud IaaS for enterprise-grade compute, storage and networking services. Our Oracle Cloud IaaS offerings’ compute services range from virtual machines to GPU-based offerings to bare metal servers and include options for dense I/O workloads and high performance computing. Oracle Cloud IaaS also includes a range of storage offerings including block, object and archive storage services, as well as containers, networking and edge services to help mitigate denial of service attacks on customer networks. </w:t>
      </w:r>
    </w:p>
    <w:p w14:paraId="0222175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Cloud at Customer offerings are a direct response to restrictions imposed upon cloud-based IT environment adoption by businesses that operate within certain regulated industries or jurisdictions. Oracle Cloud at Customer enables customers to access certain IaaS capabilities of the Oracle Cloud in their own data centers behind their firewalls while having the services managed by Oracle. Oracle Cloud at Customer offerings allow customers to take advantage of the agility, innovation and subscription-based pricing of Oracle Cloud Services while meeting data sovereignty, data residency, data protection and regulatory business policy requirements. </w:t>
      </w:r>
    </w:p>
    <w:p w14:paraId="70E75AA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Oracle also offers Oracle Managed Cloud Services, which are designed to provide comprehensive software and hardware management, maintenance and security services for customer cloud-based, hybrid or other infrastructure for a fee for a stated term. Oracle Managed Cloud Services may be hosted at our Oracle data center facilities, select partner data centers or physically at our customers’ facilities.</w:t>
      </w:r>
    </w:p>
    <w:p w14:paraId="768D628D"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Oracle Database</w:t>
      </w:r>
    </w:p>
    <w:p w14:paraId="290AC0A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Oracle Database is the world’s most popular enterprise database and is designed to enable reliable and secure storage, retrieval and manipulation of all forms of data. The Oracle Database is licensed throughout the world by businesses and organizations of different sizes for a multitude of purposes, including, among others: for use within the Oracle Cloud to deliver our Cloud SaaS and Cloud IaaS offerings; for use by a number of cloud-based vendors in offering their cloud services; for packaged and custom applications for transactions processing; and for data warehousing and business intelligence. The Oracle Database may be deployed within different IT environments including Oracle Cloud and Oracle Cloud at Customer environments, other cloud-based IT environments, and on-premise data centers, among others. Customers may elect to purchase license support for Oracle Database licenses that are purchased at their option.</w:t>
      </w:r>
    </w:p>
    <w:p w14:paraId="1C8E4D4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Oracle Database Enterprise Edition is available with a number of optional add-on products to address specific customer requirements. In addition to the Oracle Database, we also offer a portfolio of specialized database products to address particular customer requirements including MySQL, Oracle TimesTen In-Memory Database, Oracle Berkeley DB and Oracle NoSQL Database.</w:t>
      </w:r>
    </w:p>
    <w:p w14:paraId="1A3802AD"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8</w:t>
      </w:r>
    </w:p>
    <w:p w14:paraId="71CB64D0" w14:textId="77777777" w:rsidR="00251D72" w:rsidRDefault="00251D72">
      <w:pPr>
        <w:rPr>
          <w:rFonts w:ascii="Times New Roman" w:eastAsia="Times New Roman" w:hAnsi="Times New Roman" w:cs="Times New Roman"/>
          <w:sz w:val="24"/>
          <w:szCs w:val="24"/>
        </w:rPr>
      </w:pPr>
      <w:r>
        <w:rPr>
          <w:rFonts w:eastAsia="Times New Roman"/>
        </w:rPr>
        <w:pict w14:anchorId="18C1C593">
          <v:rect id="_x0000_i1034" style="width:415.3pt;height:1.5pt" o:hralign="center" o:hrstd="t" o:hr="t" fillcolor="#a0a0a0" stroked="f"/>
        </w:pict>
      </w:r>
    </w:p>
    <w:p w14:paraId="22E761B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19CA7E3"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1E1735A" w14:textId="77777777" w:rsidR="00251D72" w:rsidRDefault="00251D72">
      <w:pPr>
        <w:pStyle w:val="a3"/>
        <w:spacing w:before="120" w:beforeAutospacing="0" w:after="0" w:afterAutospacing="0"/>
        <w:rPr>
          <w:sz w:val="20"/>
          <w:szCs w:val="20"/>
        </w:rPr>
      </w:pPr>
      <w:r>
        <w:rPr>
          <w:sz w:val="20"/>
          <w:szCs w:val="20"/>
        </w:rPr>
        <w:t> </w:t>
      </w:r>
    </w:p>
    <w:p w14:paraId="11130CE7" w14:textId="77777777" w:rsidR="00251D72" w:rsidRDefault="00251D72">
      <w:pPr>
        <w:pStyle w:val="a3"/>
        <w:spacing w:before="240" w:beforeAutospacing="0" w:after="0" w:afterAutospacing="0"/>
        <w:jc w:val="both"/>
        <w:rPr>
          <w:rFonts w:ascii="Calibri" w:hAnsi="Calibri" w:cs="Calibri"/>
          <w:i/>
          <w:iCs/>
          <w:sz w:val="20"/>
          <w:szCs w:val="20"/>
        </w:rPr>
      </w:pPr>
      <w:bookmarkStart w:id="12" w:name="_AEIOULastRenderedPageBreakAEIOU11"/>
      <w:bookmarkEnd w:id="12"/>
      <w:r>
        <w:rPr>
          <w:rFonts w:ascii="Calibri" w:hAnsi="Calibri" w:cs="Calibri"/>
          <w:i/>
          <w:iCs/>
          <w:sz w:val="20"/>
          <w:szCs w:val="20"/>
        </w:rPr>
        <w:t>Oracle Autonomous Database</w:t>
      </w:r>
    </w:p>
    <w:p w14:paraId="22E2BF2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Autonomous Database is an Oracle Cloud IaaS offering that utilizes Oracle’s Generation 2 Cloud infrastructure and is designed to deliver performance and scale with automated database operations and policy-driven optimization implemented with machine learning to lower labor costs and reduce human error for routine database administration tasks including maintenance, tuning, patching, security and backup, among others. Oracle Autonomous Database uses self-driving diagnostics for fault prediction and error handling. We believe Oracle Autonomous Database can deliver rapid insights and innovation by enabling organizations to quickly provision a data warehouse that automatically and elastically scales to millions of transactions per second while enabling organizations to pay only for the capacity used. Oracle Autonomous Database offerings include: </w:t>
      </w:r>
    </w:p>
    <w:tbl>
      <w:tblPr>
        <w:tblW w:w="5000" w:type="pct"/>
        <w:tblCellMar>
          <w:left w:w="0" w:type="dxa"/>
          <w:right w:w="0" w:type="dxa"/>
        </w:tblCellMar>
        <w:tblLook w:val="04A0" w:firstRow="1" w:lastRow="0" w:firstColumn="1" w:lastColumn="0" w:noHBand="0" w:noVBand="1"/>
      </w:tblPr>
      <w:tblGrid>
        <w:gridCol w:w="399"/>
        <w:gridCol w:w="239"/>
        <w:gridCol w:w="7668"/>
      </w:tblGrid>
      <w:tr w:rsidR="00251D72" w14:paraId="4934A35A" w14:textId="77777777">
        <w:tc>
          <w:tcPr>
            <w:tcW w:w="240" w:type="pct"/>
            <w:noWrap/>
            <w:hideMark/>
          </w:tcPr>
          <w:p w14:paraId="6FCC0EB6"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025D4A4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FF6C6C7"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Oracle Autonomous Data Warehouse Cloud Service (ADW), which is designed to be a fully managed, high-performance and elastic service optimized for data warehouse workloads. ADW’s self-patching and self-tuning capabilities are designed to enable upgrades while the database is running, eliminating human error. Oracle ADW automates manual IT tasks such as storing, securing, scaling and backing-up. In addition, the machine learning based technology of ADW is designed to enable customers to deploy new or move existing data marts and data warehouses to the cloud; and</w:t>
            </w:r>
          </w:p>
        </w:tc>
      </w:tr>
    </w:tbl>
    <w:p w14:paraId="036B8320"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251D72" w14:paraId="65600A41" w14:textId="77777777">
        <w:tc>
          <w:tcPr>
            <w:tcW w:w="240" w:type="pct"/>
            <w:noWrap/>
            <w:hideMark/>
          </w:tcPr>
          <w:p w14:paraId="4E92046B"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52C053A3"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7557B1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Oracle Autonomous Transaction Processing Cloud Service (ATP), which is designed to enable businesses to safely run a complex mix of high-performance transactions, reporting and batch processing using instant, elastic compute and storage through an Oracle Database running on an Oracle Exadata cloud-based instance. Oracle ATP is designed to enable organizations to conduct real-time transactional data analysis for faster results and lower administration costs, and to eliminate cyber-attacks on unpatched or unencrypted databases. Oracle ATP is designed to be simple and agile to develop and deploy new applications because no complex management or tuning is required. The integration of Oracle ATP with other Oracle Cloud services, such as Java Cloud and Oracle APEX, and the open interfaces and integrations of Oracle ATP provide developers with a modern, open platform to develop new innovative applications.</w:t>
            </w:r>
          </w:p>
        </w:tc>
      </w:tr>
    </w:tbl>
    <w:p w14:paraId="307644D8" w14:textId="77777777" w:rsidR="00251D72" w:rsidRDefault="00251D72">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Oracle Big Data and Analytics</w:t>
      </w:r>
    </w:p>
    <w:p w14:paraId="443BD52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Big data generally</w:t>
      </w:r>
      <w:r>
        <w:rPr>
          <w:rFonts w:ascii="Calibri" w:hAnsi="Calibri" w:cs="Calibri"/>
          <w:color w:val="000000"/>
          <w:sz w:val="20"/>
          <w:szCs w:val="20"/>
        </w:rPr>
        <w:t xml:space="preserve"> refers to a massive amount of unstructured, streaming and structured data that is so large that it is difficult to process using traditional IT techniques. Oracle offers big data and analytics solutions to complement and extend Oracle applications and infrastructure technologies. We believe that most businesses view big data as a potentially high-value source of analytics that can be used to gain new insights into their customers’ behaviors, to anticipate future demand more accurately, to align workforce deployment with business activity forecasts and to accelerate the pace of operations, among other benefits. We offer a broad portfolio of offerings to address an organization’s big data requirements including, among others, cloud-based services for data integration, data management, analytics and integrated machine learning.</w:t>
      </w:r>
    </w:p>
    <w:p w14:paraId="466D2C55"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Oracle Middleware</w:t>
      </w:r>
    </w:p>
    <w:p w14:paraId="654A99A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license our Oracle Middleware, which is a broad family of integrated application infrastructure software, for use in the Oracle Cloud, other cloud-based environments, on-premise data centers and related IT environments. Oracle Middleware is designed to form a reliable and scalable foundation on which customers can build, deploy, secure, access, extend and integrate business applications and automate their business processes. Built with Oracle’s Java technology platform, Oracle Middleware products are designed to be flexible across different deployment environments—cloud, on-premise or hybrid—as a foundation for custom, packaged and composite applications, thereby simplifying and reducing time to deployment. Oracle Middleware is designed to protect customers’ IT investments and work with both Oracle and non-Oracle database, middleware and applications software through an open architecture and adherence to industry standards. Specifically, Oracle Middleware is designed to enable customers to integrate Oracle and non-Oracle business applications, automate business processes, scale applications to meet customer demand, simplify security and compliance, manage lifecycles of documents and get actionable, targeted business intelligence. In addition, Oracle Middleware supports multiple development languages and tools, which enables developers to flexibly build and deploy web services, websites, portals and web-based applications globally across different IT environments. </w:t>
      </w:r>
    </w:p>
    <w:p w14:paraId="79F6C27C"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9</w:t>
      </w:r>
    </w:p>
    <w:p w14:paraId="0A900F2E" w14:textId="77777777" w:rsidR="00251D72" w:rsidRDefault="00251D72">
      <w:pPr>
        <w:rPr>
          <w:rFonts w:ascii="Times New Roman" w:eastAsia="Times New Roman" w:hAnsi="Times New Roman" w:cs="Times New Roman"/>
          <w:sz w:val="24"/>
          <w:szCs w:val="24"/>
        </w:rPr>
      </w:pPr>
      <w:r>
        <w:rPr>
          <w:rFonts w:eastAsia="Times New Roman"/>
        </w:rPr>
        <w:pict w14:anchorId="5CC54B21">
          <v:rect id="_x0000_i1035" style="width:415.3pt;height:1.5pt" o:hralign="center" o:hrstd="t" o:hr="t" fillcolor="#a0a0a0" stroked="f"/>
        </w:pict>
      </w:r>
    </w:p>
    <w:p w14:paraId="53A2FC33"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EB21BFA"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1E80B6F" w14:textId="77777777" w:rsidR="00251D72" w:rsidRDefault="00251D72">
      <w:pPr>
        <w:pStyle w:val="a3"/>
        <w:spacing w:before="120" w:beforeAutospacing="0" w:after="0" w:afterAutospacing="0"/>
        <w:rPr>
          <w:sz w:val="20"/>
          <w:szCs w:val="20"/>
        </w:rPr>
      </w:pPr>
      <w:r>
        <w:rPr>
          <w:sz w:val="20"/>
          <w:szCs w:val="20"/>
        </w:rPr>
        <w:t> </w:t>
      </w:r>
    </w:p>
    <w:p w14:paraId="3E0B4AFC" w14:textId="77777777" w:rsidR="00251D72" w:rsidRDefault="00251D72">
      <w:pPr>
        <w:pStyle w:val="a3"/>
        <w:spacing w:before="120" w:beforeAutospacing="0" w:after="0" w:afterAutospacing="0"/>
        <w:jc w:val="both"/>
        <w:rPr>
          <w:rFonts w:ascii="Calibri" w:hAnsi="Calibri" w:cs="Calibri"/>
          <w:sz w:val="20"/>
          <w:szCs w:val="20"/>
        </w:rPr>
      </w:pPr>
      <w:bookmarkStart w:id="13" w:name="_AEIOULastRenderedPageBreakAEIOU12"/>
      <w:bookmarkEnd w:id="13"/>
      <w:r>
        <w:rPr>
          <w:rFonts w:ascii="Calibri" w:hAnsi="Calibri" w:cs="Calibri"/>
          <w:sz w:val="20"/>
          <w:szCs w:val="20"/>
        </w:rPr>
        <w:t xml:space="preserve">Among our other middleware license offerings, we license a wide range of development tools, such as identity management and business analytics software for mobile computing development that are designed to address the needs of businesses that are increasingly focused on delivering mobile device applications to their customers. We also offer certain of these mobile development capabilities as a cloud service, including Oracle Mobile Cloud Service, among others. </w:t>
      </w:r>
    </w:p>
    <w:p w14:paraId="52487F1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Customers may elect to purchase license support, as described above, for Oracle Middleware licenses at their option.</w:t>
      </w:r>
    </w:p>
    <w:p w14:paraId="42406228"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Java</w:t>
      </w:r>
    </w:p>
    <w:p w14:paraId="3B02795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Java is the computer industry’s most widely-used software development language and is viewed as a global standard. We believe the Java programming language and platform together represent one of the most popular and powerful development environments in the world, one that is used by millions of developers globally to develop embedded applications, web content, enterprise software and games. Oracle Middleware software products and certain of our Oracle Applications are built using the Oracle Java technology platform, which we believe is a key advantage for our business. Customers may license the use of Java or access Java through Oracle Java Cloud Service.</w:t>
      </w:r>
    </w:p>
    <w:p w14:paraId="68F5CC2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Java is designed to enable developers to write software on a single platform and run it on many other different platforms, independent of operating system and hardware architecture. Java has been adopted by both independent software vendors (ISVs) that have built their products on Java and by enterprise organizations building custom applications or consuming Java-based ISV products.</w:t>
      </w:r>
    </w:p>
    <w:p w14:paraId="38A5F44C"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Oracle Infrastructure Technologies – Hardware Business Offerings</w:t>
      </w:r>
    </w:p>
    <w:p w14:paraId="5199D25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Oracle infrastructure technologies are also marketed, sold and delivered through our hardware business, including a broad selection of hardware products and related hardware support services for cloud-based IT environments, data centers and related IT environments.</w:t>
      </w:r>
    </w:p>
    <w:p w14:paraId="15262493"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Oracle Engineered Systems</w:t>
      </w:r>
    </w:p>
    <w:p w14:paraId="7355E94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Engineered Systems are core to our cloud-based and on-premise data center infrastructure offerings. Oracle Engineered Systems are pre-integrated products, combining multiple unique Oracle technology components, including database, storage, operating system or middleware software with server, storage and networking hardware and other technologies. Oracle Engineered Systems are designed to work together to deliver improved performance, scalability, availability, security and operational efficiency relative to our competitors’ products; to be upgraded effectively and efficiently; and to simplify maintenance cycles by providing a single solution for software patching. For example, Oracle Exadata Database Machine is a computing platform that is designed to be optimized for running Oracle Database to achieve higher performance and availability at a lower cost by combining Oracle Database, storage and operating system software with Oracle server, storage and networking hardware. We offer certain of our Oracle Engineered Systems, including Oracle Exadata Database Machine, among others, through flexible deployment options, including on-premise, and as an infrastructure cloud service and cloud at customer service. </w:t>
      </w:r>
    </w:p>
    <w:p w14:paraId="41E231E3"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 xml:space="preserve">Servers </w:t>
      </w:r>
    </w:p>
    <w:p w14:paraId="1DA0B23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offer a wide range of server products that are designed for mission-critical enterprise environments and that are key components of our engineered systems offerings and cloud offerings. We have two families of server products: those based on the Oracle SPARC microprocessor, which are designed to be differentiated by their reliability, security and scalability for UNIX environments; and those using microprocessors from Intel Corporation. By offering a range of server sizes and microprocessors, customers are offered the flexibility to choose the types of servers that they believe will be most appropriate and valuable for their particular IT environments. We believe the combination of Oracle server systems with Oracle software enhances our customers’ ability to shift data and workloads between data center and cloud deployments based on business requirements.</w:t>
      </w:r>
    </w:p>
    <w:p w14:paraId="38E1151C"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10</w:t>
      </w:r>
    </w:p>
    <w:p w14:paraId="2DF3B10F" w14:textId="77777777" w:rsidR="00251D72" w:rsidRDefault="00251D72">
      <w:pPr>
        <w:rPr>
          <w:rFonts w:ascii="Times New Roman" w:eastAsia="Times New Roman" w:hAnsi="Times New Roman" w:cs="Times New Roman"/>
          <w:sz w:val="24"/>
          <w:szCs w:val="24"/>
        </w:rPr>
      </w:pPr>
      <w:r>
        <w:rPr>
          <w:rFonts w:eastAsia="Times New Roman"/>
        </w:rPr>
        <w:pict w14:anchorId="17E009B5">
          <v:rect id="_x0000_i1036" style="width:415.3pt;height:1.5pt" o:hralign="center" o:hrstd="t" o:hr="t" fillcolor="#a0a0a0" stroked="f"/>
        </w:pict>
      </w:r>
    </w:p>
    <w:p w14:paraId="78DC56C6"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7F9F153"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AABDFB0" w14:textId="77777777" w:rsidR="00251D72" w:rsidRDefault="00251D72">
      <w:pPr>
        <w:pStyle w:val="a3"/>
        <w:spacing w:before="120" w:beforeAutospacing="0" w:after="0" w:afterAutospacing="0"/>
        <w:rPr>
          <w:sz w:val="20"/>
          <w:szCs w:val="20"/>
        </w:rPr>
      </w:pPr>
      <w:r>
        <w:rPr>
          <w:sz w:val="20"/>
          <w:szCs w:val="20"/>
        </w:rPr>
        <w:t> </w:t>
      </w:r>
    </w:p>
    <w:p w14:paraId="7EB110F1" w14:textId="77777777" w:rsidR="00251D72" w:rsidRDefault="00251D72">
      <w:pPr>
        <w:pStyle w:val="a3"/>
        <w:spacing w:before="240" w:beforeAutospacing="0" w:after="0" w:afterAutospacing="0"/>
        <w:jc w:val="both"/>
        <w:rPr>
          <w:rFonts w:ascii="Calibri" w:hAnsi="Calibri" w:cs="Calibri"/>
          <w:b/>
          <w:bCs/>
          <w:i/>
          <w:iCs/>
          <w:sz w:val="20"/>
          <w:szCs w:val="20"/>
        </w:rPr>
      </w:pPr>
      <w:bookmarkStart w:id="14" w:name="_AEIOULastRenderedPageBreakAEIOU13"/>
      <w:bookmarkEnd w:id="14"/>
      <w:r>
        <w:rPr>
          <w:rFonts w:ascii="Calibri" w:hAnsi="Calibri" w:cs="Calibri"/>
          <w:b/>
          <w:bCs/>
          <w:i/>
          <w:iCs/>
          <w:sz w:val="20"/>
          <w:szCs w:val="20"/>
          <w:u w:val="single"/>
        </w:rPr>
        <w:t>Storage</w:t>
      </w:r>
    </w:p>
    <w:p w14:paraId="69E3DB9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Oracle storage products are engineered for the cloud and designed to securely store, manage, protect and archive customers’ mission-critical data assets generated by any database or application. Oracle storage products combine flash, disk, tape and server technologies with optimized software and unique integrations with Oracle Database designed to offer greater performance and efficiency, and lower total cost relative to our competitors’ storage products. Certain of our storage products are also offered as cloud-based services through the Oracle Cloud. Our storage offerings include, among others, Oracle ZFS Storage Appliance, a unified storage system that combines network attached storage, storage area network and object storage capabilities; Oracle’s Zero Data Loss Recovery Appliance that provides unique, recovery-focused data protection for Oracle Database; and Oracle’s StorageTek tape storage and automation product line which includes tape drives, tape libraries, media and software packages that provide lifecycle data management and security for enterprise backup and archive requirements.</w:t>
      </w:r>
    </w:p>
    <w:p w14:paraId="656D3628"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 xml:space="preserve">Industry-Specific Hardware Offerings </w:t>
      </w:r>
    </w:p>
    <w:p w14:paraId="29C37CB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offer hardware products and services designed for certain specific industries including our point-of-sale terminals and related hardware that are designed for managing businesses within the food and beverage, hotel and retail industries; and hardware products and services for communications networks including network signaling, policy control and subscriber data management solutions, and session border control technology, among others.</w:t>
      </w:r>
    </w:p>
    <w:p w14:paraId="4B954131"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Operating Systems, Virtualization, Management and Other Hardware-Related Software</w:t>
      </w:r>
    </w:p>
    <w:p w14:paraId="37F2C92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offer a portfolio of operating systems, including Oracle Linux and Oracle Solaris, virtualization software including Oracle VM, and other hardware-related software including development, management and file systems tools that are designed to optimize the performance, efficiency, and security of customers’ hardware products while providing customers with high levels of flexibility, reliability and availability. We</w:t>
      </w:r>
      <w:r>
        <w:rPr>
          <w:rFonts w:ascii="Calibri" w:hAnsi="Calibri" w:cs="Calibri"/>
          <w:color w:val="000000"/>
          <w:sz w:val="20"/>
          <w:szCs w:val="20"/>
        </w:rPr>
        <w:t xml:space="preserve"> also offer a range of management technologies and products, including Oracle Enterprise Manager, designed to help customers efficiently operate complex IT environments, including both end users’ and service providers’ cloud environments. </w:t>
      </w:r>
    </w:p>
    <w:p w14:paraId="781C64B0"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 xml:space="preserve">Hardware Support </w:t>
      </w:r>
    </w:p>
    <w:p w14:paraId="744FAD9E" w14:textId="77777777" w:rsidR="00251D72" w:rsidRDefault="00251D72">
      <w:pPr>
        <w:pStyle w:val="a3"/>
        <w:spacing w:before="120" w:beforeAutospacing="0" w:after="0" w:afterAutospacing="0"/>
        <w:jc w:val="both"/>
        <w:rPr>
          <w:rFonts w:ascii="Calibri" w:hAnsi="Calibri" w:cs="Calibri"/>
          <w:color w:val="000000"/>
          <w:sz w:val="20"/>
          <w:szCs w:val="20"/>
        </w:rPr>
      </w:pPr>
      <w:r>
        <w:rPr>
          <w:rFonts w:ascii="Calibri" w:hAnsi="Calibri" w:cs="Calibri"/>
          <w:color w:val="000000"/>
          <w:sz w:val="20"/>
          <w:szCs w:val="20"/>
        </w:rPr>
        <w:t xml:space="preserve">Our hardware support offerings provide customers with unspecified software updates for software components that are essential to the functionality of our hardware products and associated software products such as Oracle Solaris. These offerings can also include product repairs, maintenance services and technical support services. We continue to evolve hardware support processes that are intended to proactively identify and solve quality issues and to increase the amount of new and renewed hardware support contracts sold in connection with the sales of our hardware products. Hardware support contracts are generally priced as a percentage of the net hardware products fees. </w:t>
      </w:r>
    </w:p>
    <w:p w14:paraId="2FC48601"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u w:val="single"/>
        </w:rPr>
        <w:t>Services</w:t>
      </w:r>
      <w:r>
        <w:rPr>
          <w:rFonts w:ascii="Calibri" w:hAnsi="Calibri" w:cs="Calibri"/>
          <w:b/>
          <w:bCs/>
          <w:i/>
          <w:iCs/>
          <w:sz w:val="20"/>
          <w:szCs w:val="20"/>
        </w:rPr>
        <w:t xml:space="preserve"> </w:t>
      </w:r>
    </w:p>
    <w:p w14:paraId="215594B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offer services solutions to help customers and partners maximize the performance of their investments in Oracle applications and infrastructure technologies. We believe that our services are differentiated based on our focus on Oracle technologies, extensive experience and broad sets of intellectual property and best practices. Our services offerings include, among others:</w:t>
      </w:r>
    </w:p>
    <w:tbl>
      <w:tblPr>
        <w:tblW w:w="5000" w:type="pct"/>
        <w:tblCellMar>
          <w:left w:w="0" w:type="dxa"/>
          <w:right w:w="0" w:type="dxa"/>
        </w:tblCellMar>
        <w:tblLook w:val="04A0" w:firstRow="1" w:lastRow="0" w:firstColumn="1" w:lastColumn="0" w:noHBand="0" w:noVBand="1"/>
      </w:tblPr>
      <w:tblGrid>
        <w:gridCol w:w="395"/>
        <w:gridCol w:w="243"/>
        <w:gridCol w:w="7668"/>
      </w:tblGrid>
      <w:tr w:rsidR="00251D72" w14:paraId="43434990" w14:textId="77777777">
        <w:tc>
          <w:tcPr>
            <w:tcW w:w="238" w:type="pct"/>
            <w:noWrap/>
            <w:hideMark/>
          </w:tcPr>
          <w:p w14:paraId="6B377E88" w14:textId="77777777" w:rsidR="00251D72" w:rsidRDefault="00251D72">
            <w:pPr>
              <w:pStyle w:val="a3"/>
              <w:spacing w:before="120" w:beforeAutospacing="0" w:after="0" w:afterAutospacing="0"/>
              <w:jc w:val="both"/>
              <w:rPr>
                <w:sz w:val="20"/>
                <w:szCs w:val="20"/>
              </w:rPr>
            </w:pPr>
            <w:r>
              <w:rPr>
                <w:sz w:val="20"/>
                <w:szCs w:val="20"/>
              </w:rPr>
              <w:t> </w:t>
            </w:r>
          </w:p>
        </w:tc>
        <w:tc>
          <w:tcPr>
            <w:tcW w:w="146" w:type="pct"/>
            <w:noWrap/>
            <w:hideMark/>
          </w:tcPr>
          <w:p w14:paraId="4AFE14E0"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073BDC1"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consulting services, which are designed to help our customers and global system integrator partners more successfully architect and deploy our cloud and license offerings, including IT strategy alignment, enterprise architecture planning and design, initial software implementation and integration, application development and integration services, security assessments and ongoing software enhancements and upgrades. We utilize a global, blended delivery model to optimize value for our customers and partners, consisting of consultants from local geographies, industry specialists and consultants from our global delivery and solution centers;</w:t>
            </w:r>
          </w:p>
        </w:tc>
      </w:tr>
    </w:tbl>
    <w:p w14:paraId="0769F8DA"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11</w:t>
      </w:r>
    </w:p>
    <w:p w14:paraId="077C6704" w14:textId="77777777" w:rsidR="00251D72" w:rsidRDefault="00251D72">
      <w:pPr>
        <w:rPr>
          <w:rFonts w:ascii="Times New Roman" w:eastAsia="Times New Roman" w:hAnsi="Times New Roman" w:cs="Times New Roman"/>
          <w:sz w:val="24"/>
          <w:szCs w:val="24"/>
        </w:rPr>
      </w:pPr>
      <w:r>
        <w:rPr>
          <w:rFonts w:eastAsia="Times New Roman"/>
        </w:rPr>
        <w:pict w14:anchorId="08E11AA2">
          <v:rect id="_x0000_i1037" style="width:415.3pt;height:1.5pt" o:hralign="center" o:hrstd="t" o:hr="t" fillcolor="#a0a0a0" stroked="f"/>
        </w:pict>
      </w:r>
    </w:p>
    <w:p w14:paraId="4A88B12F"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90242C5"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6C87294" w14:textId="77777777" w:rsidR="00251D72" w:rsidRDefault="00251D72">
      <w:pPr>
        <w:pStyle w:val="a3"/>
        <w:spacing w:before="12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5"/>
        <w:gridCol w:w="243"/>
        <w:gridCol w:w="7668"/>
      </w:tblGrid>
      <w:tr w:rsidR="00251D72" w14:paraId="7D4520DC" w14:textId="77777777">
        <w:tc>
          <w:tcPr>
            <w:tcW w:w="238" w:type="pct"/>
            <w:noWrap/>
            <w:hideMark/>
          </w:tcPr>
          <w:p w14:paraId="32E09113" w14:textId="77777777" w:rsidR="00251D72" w:rsidRDefault="00251D72">
            <w:pPr>
              <w:pStyle w:val="a3"/>
              <w:spacing w:before="120" w:beforeAutospacing="0" w:after="0" w:afterAutospacing="0"/>
              <w:jc w:val="both"/>
              <w:rPr>
                <w:sz w:val="20"/>
                <w:szCs w:val="20"/>
              </w:rPr>
            </w:pPr>
            <w:r>
              <w:rPr>
                <w:sz w:val="20"/>
                <w:szCs w:val="20"/>
              </w:rPr>
              <w:t> </w:t>
            </w:r>
          </w:p>
        </w:tc>
        <w:tc>
          <w:tcPr>
            <w:tcW w:w="146" w:type="pct"/>
            <w:noWrap/>
            <w:hideMark/>
          </w:tcPr>
          <w:p w14:paraId="6C2A62A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117E8A7" w14:textId="77777777" w:rsidR="00251D72" w:rsidRDefault="00251D72">
            <w:pPr>
              <w:pStyle w:val="a3"/>
              <w:spacing w:before="120" w:beforeAutospacing="0" w:after="0" w:afterAutospacing="0"/>
              <w:jc w:val="both"/>
              <w:rPr>
                <w:sz w:val="20"/>
                <w:szCs w:val="20"/>
              </w:rPr>
            </w:pPr>
            <w:bookmarkStart w:id="15" w:name="_AEIOULastRenderedPageBreakAEIOU14"/>
            <w:bookmarkEnd w:id="15"/>
            <w:r>
              <w:rPr>
                <w:rFonts w:ascii="Calibri" w:hAnsi="Calibri" w:cs="Calibri"/>
                <w:sz w:val="20"/>
                <w:szCs w:val="20"/>
              </w:rPr>
              <w:t>advanced customer support services, which are provided at customer facilities and remotely to enable increased performance and higher availability of their Oracle products and services; and</w:t>
            </w:r>
          </w:p>
        </w:tc>
      </w:tr>
    </w:tbl>
    <w:p w14:paraId="600AA217"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5"/>
        <w:gridCol w:w="243"/>
        <w:gridCol w:w="7668"/>
      </w:tblGrid>
      <w:tr w:rsidR="00251D72" w14:paraId="51BF44F9" w14:textId="77777777">
        <w:tc>
          <w:tcPr>
            <w:tcW w:w="238" w:type="pct"/>
            <w:noWrap/>
            <w:hideMark/>
          </w:tcPr>
          <w:p w14:paraId="12F92419" w14:textId="77777777" w:rsidR="00251D72" w:rsidRDefault="00251D72">
            <w:pPr>
              <w:pStyle w:val="a3"/>
              <w:spacing w:before="120" w:beforeAutospacing="0" w:after="0" w:afterAutospacing="0"/>
              <w:jc w:val="both"/>
              <w:rPr>
                <w:sz w:val="20"/>
                <w:szCs w:val="20"/>
              </w:rPr>
            </w:pPr>
            <w:r>
              <w:rPr>
                <w:sz w:val="20"/>
                <w:szCs w:val="20"/>
              </w:rPr>
              <w:t> </w:t>
            </w:r>
          </w:p>
        </w:tc>
        <w:tc>
          <w:tcPr>
            <w:tcW w:w="146" w:type="pct"/>
            <w:noWrap/>
            <w:hideMark/>
          </w:tcPr>
          <w:p w14:paraId="7AEAA17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640DF32"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education services for Oracle’s cloud and license offerings, including training and certification programs that are offered to customers, partners and employees through a variety of formats including instructor-led classes, live virtual training, video-based training on demand, online learning subscriptions, private events and custom training.</w:t>
            </w:r>
          </w:p>
        </w:tc>
      </w:tr>
    </w:tbl>
    <w:p w14:paraId="31C5ED0F" w14:textId="77777777" w:rsidR="00251D72" w:rsidRDefault="00251D72">
      <w:pPr>
        <w:pStyle w:val="a3"/>
        <w:spacing w:before="240" w:beforeAutospacing="0" w:after="0" w:afterAutospacing="0"/>
        <w:rPr>
          <w:rFonts w:ascii="Calibri" w:hAnsi="Calibri" w:cs="Calibri"/>
          <w:b/>
          <w:bCs/>
          <w:sz w:val="20"/>
          <w:szCs w:val="20"/>
        </w:rPr>
      </w:pPr>
      <w:r>
        <w:rPr>
          <w:rFonts w:ascii="Calibri" w:hAnsi="Calibri" w:cs="Calibri"/>
          <w:b/>
          <w:bCs/>
          <w:sz w:val="20"/>
          <w:szCs w:val="20"/>
        </w:rPr>
        <w:t>Oracle Cloud Operations</w:t>
      </w:r>
    </w:p>
    <w:p w14:paraId="112421C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Cloud Operations deliver our Oracle Cloud Services to customers through a secure, reliable, scalable, enterprise grade cloud infrastructure platform managed by our employees within a global network of data centers, which we refer to as the Oracle Cloud. Oracle Cloud Operations leverage automated software tools to enable the rapid delivery of the latest cloud technology capabilities to the Oracle Cloud as they become available. The Oracle Cloud enables secure and isolated cloud-based instances for each of our customers to access the functionality of our Oracle Cloud Services via a broad spectrum of devices. </w:t>
      </w:r>
    </w:p>
    <w:p w14:paraId="3231AF02"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Manufacturing </w:t>
      </w:r>
    </w:p>
    <w:p w14:paraId="3713AB0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To produce our hardware products that we market and sell to third-party customers and that we utilize internally to deliver as a part of our Oracle Cloud operations, we rely on both our internal manufacturing operations as well as third-party manufacturing partners. Our internal manufacturing operations consist primarily of materials procurement, assembly, testing and quality control of our Oracle Engineered Systems and certain of our enterprise and data center servers and storage products. For all other manufacturing, we generally rely on third-party manufacturing partners to produce our hardware-related components and hardware products and we may involve our internal manufacturing operations in the final assembly, testing and quality control processes for these components and products. We distribute most of our hardware products from either our facilities or partner facilities. Our manufacturing processes are substantially based on standardization of components across product types, centralization of assembly and distribution centers and a “build-to-order” methodology in which products generally are built only after customers have placed firm orders. Production of our hardware products requires that we purchase materials, supplies, product subassemblies and full assemblies from a number of vendors. For most of our hardware products, we have existing alternate sources of supply or such sources are readily available. However, we do rely on sole sources for certain of our hardware products. As a result, we continue to evaluate potential risks of disruption to our supply chain operations. Refer to “Risk Factors” included in Item 1A within this Annual Report for additional discussion of the challenges we encounter with respect to the sources and availability of supplies for our products and the related risks to our business. </w:t>
      </w:r>
    </w:p>
    <w:p w14:paraId="08951A71"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Sales and Marketing</w:t>
      </w:r>
    </w:p>
    <w:p w14:paraId="5B240DE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directly market and sell our cloud, license, hardware and services offerings to businesses of many sizes and in many industries, government agencies and educational institutions. We also market and sell our offerings through indirect channels. No single customer accounted for 10% or more of our total revenues in fiscal 2019, 2018 and 2017. </w:t>
      </w:r>
    </w:p>
    <w:p w14:paraId="11375C1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the United States (U.S.), our sales and services employees are based in our headquarters and in field offices throughout the country. Outside the U.S., our international subsidiaries sell, support and service our offerings in their local countries as well as within other foreign countries where we do not operate through a direct sales subsidiary. Our geographic coverage allows us to draw on business and technical expertise from a global workforce, provides stability to our operations and revenue streams to offset geography specific economic trends and offers us an opportunity to take advantage of new markets for our offerings. Our international operations subject us to certain risks, which are more fully described in “Risk Factors” included in Item 1A of this Annual Report. A summary of our domestic and international revenues and long-lived assets is set forth in Note 15 of Notes to Consolidated Financial Statements included elsewhere in this Annual Report.</w:t>
      </w:r>
    </w:p>
    <w:p w14:paraId="13D4EF7F"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12</w:t>
      </w:r>
    </w:p>
    <w:p w14:paraId="6AF48864" w14:textId="77777777" w:rsidR="00251D72" w:rsidRDefault="00251D72">
      <w:pPr>
        <w:rPr>
          <w:rFonts w:ascii="Times New Roman" w:eastAsia="Times New Roman" w:hAnsi="Times New Roman" w:cs="Times New Roman"/>
          <w:sz w:val="24"/>
          <w:szCs w:val="24"/>
        </w:rPr>
      </w:pPr>
      <w:r>
        <w:rPr>
          <w:rFonts w:eastAsia="Times New Roman"/>
        </w:rPr>
        <w:pict w14:anchorId="3EC75CF8">
          <v:rect id="_x0000_i1038" style="width:415.3pt;height:1.5pt" o:hralign="center" o:hrstd="t" o:hr="t" fillcolor="#a0a0a0" stroked="f"/>
        </w:pict>
      </w:r>
    </w:p>
    <w:p w14:paraId="42215971"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14711A4C"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20A8BB5" w14:textId="77777777" w:rsidR="00251D72" w:rsidRDefault="00251D72">
      <w:pPr>
        <w:pStyle w:val="a3"/>
        <w:spacing w:before="120" w:beforeAutospacing="0" w:after="0" w:afterAutospacing="0"/>
        <w:rPr>
          <w:sz w:val="20"/>
          <w:szCs w:val="20"/>
        </w:rPr>
      </w:pPr>
      <w:r>
        <w:rPr>
          <w:sz w:val="20"/>
          <w:szCs w:val="20"/>
        </w:rPr>
        <w:t> </w:t>
      </w:r>
    </w:p>
    <w:p w14:paraId="799E7E22" w14:textId="77777777" w:rsidR="00251D72" w:rsidRDefault="00251D72">
      <w:pPr>
        <w:pStyle w:val="a3"/>
        <w:spacing w:before="120" w:beforeAutospacing="0" w:after="0" w:afterAutospacing="0"/>
        <w:jc w:val="both"/>
        <w:rPr>
          <w:rFonts w:ascii="Calibri" w:hAnsi="Calibri" w:cs="Calibri"/>
          <w:sz w:val="20"/>
          <w:szCs w:val="20"/>
        </w:rPr>
      </w:pPr>
      <w:bookmarkStart w:id="16" w:name="_AEIOULastRenderedPageBreakAEIOU15"/>
      <w:bookmarkEnd w:id="16"/>
      <w:r>
        <w:rPr>
          <w:rFonts w:ascii="Calibri" w:hAnsi="Calibri" w:cs="Calibri"/>
          <w:sz w:val="20"/>
          <w:szCs w:val="20"/>
        </w:rPr>
        <w:t xml:space="preserve">We also market our product offerings worldwide through indirect channels. The companies that comprise our indirect channel network are members of the Oracle Partner Network. The Oracle Partner Network is a global program that manages our business relationships with a large, broad-based network of companies, including independent software and hardware vendors, system integrators and resellers that deliver innovative solutions and services based upon our product offerings. By offering our partners access to our product offerings, educational information, technical services, marketing and sales support, the Oracle Partner Network program extends our market reach by providing our partners with the resources they need to be successful in delivering solutions to customers globally. </w:t>
      </w:r>
      <w:r>
        <w:rPr>
          <w:rFonts w:ascii="Calibri" w:hAnsi="Calibri" w:cs="Calibri"/>
          <w:color w:val="000000"/>
          <w:sz w:val="20"/>
          <w:szCs w:val="20"/>
        </w:rPr>
        <w:t>The majority of our hardware products are sold through indirect channels including independent distributors and value-added resellers.</w:t>
      </w:r>
    </w:p>
    <w:p w14:paraId="5059E752"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Research and Development</w:t>
      </w:r>
    </w:p>
    <w:p w14:paraId="240C102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develop the substantial majority of our product offerings internally. In addition, we have extended our product offerings and intellectual property through acquisitions of businesses and technologies. We also purchase or license intellectual property rights in certain circumstances. Internal development allows us to maintain technical control over the design and development of our products. We have a number of U.S. and foreign patents and pending applications that relate to various aspects of our products and technology. While we believe that our patents have value, no single patent is essential to us or to any of our principal businesses. Rapid technological advances in hardware and software development, evolving standards in computer hardware and software technology, changing customer needs and frequent new product introductions, offerings and enhancements characterize the markets in which we compete. We plan to continue to dedicate a significant amount of resources to research and development efforts to maintain and improve our current product and service offerings. </w:t>
      </w:r>
    </w:p>
    <w:p w14:paraId="7DD38592"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Employees</w:t>
      </w:r>
    </w:p>
    <w:p w14:paraId="36B82C1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As of May 31, 2019, we employed approximately 136,000 full-time employees, including approximately 39,000 in sales and marketing, approximately 18,000 in our cloud services and license support operations, approximately 4,000 in hardware, approximately 24,000 in services, approximately 38,000 in research and development and approximately 13,000 in general and administrative positions. Of these employees, approximately 48,000 were employed in the U.S. and approximately 88,000 were employed internationally. None of our employees in the U.S. is represented by a labor union; however, in certain foreign subsidiaries, labor unions or workers’ councils represent some of our employees.</w:t>
      </w:r>
    </w:p>
    <w:p w14:paraId="528090E0"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Seasonality and Cyclicality</w:t>
      </w:r>
    </w:p>
    <w:p w14:paraId="2942BA6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quarterly revenues have historically been affected by a variety of seasonal factors, including the structure of our sales force incentive compensation plans, which are common in the technology industry. In each fiscal year, our total revenues and operating margins are typically highest in our fourth fiscal quarter and lowest in our first fiscal quarter. The operating margins of our businesses (in particular, our cloud and license business and hardware business) are generally affected by seasonal factors in a similar manner as our revenues because certain expenses within our cost structure are relatively fixed in the short term. See “Cloud and License Business” and “Selected Quarterly Financial Data” in Item 7 of this Annual Report for more information regarding the seasonality and cyclicality of our revenues, expenses and margins.</w:t>
      </w:r>
    </w:p>
    <w:p w14:paraId="7FF56012"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Competition</w:t>
      </w:r>
    </w:p>
    <w:p w14:paraId="0373994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face intense competition in all aspects of our business. The nature of the IT industry creates a competitive landscape that is constantly evolving as firms emerge, expand or are acquired, as technology evolves and as customer demands and competitive pressures otherwise change.</w:t>
      </w:r>
    </w:p>
    <w:p w14:paraId="04CB699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13</w:t>
      </w:r>
    </w:p>
    <w:p w14:paraId="0A9EC649" w14:textId="77777777" w:rsidR="00251D72" w:rsidRDefault="00251D72">
      <w:pPr>
        <w:rPr>
          <w:rFonts w:ascii="Times New Roman" w:eastAsia="Times New Roman" w:hAnsi="Times New Roman" w:cs="Times New Roman"/>
          <w:sz w:val="24"/>
          <w:szCs w:val="24"/>
        </w:rPr>
      </w:pPr>
      <w:r>
        <w:rPr>
          <w:rFonts w:eastAsia="Times New Roman"/>
        </w:rPr>
        <w:pict w14:anchorId="01465EB4">
          <v:rect id="_x0000_i1039" style="width:415.3pt;height:1.5pt" o:hralign="center" o:hrstd="t" o:hr="t" fillcolor="#a0a0a0" stroked="f"/>
        </w:pict>
      </w:r>
    </w:p>
    <w:p w14:paraId="08299EBD"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FBB5F53"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244C281" w14:textId="77777777" w:rsidR="00251D72" w:rsidRDefault="00251D72">
      <w:pPr>
        <w:pStyle w:val="a3"/>
        <w:spacing w:before="120" w:beforeAutospacing="0" w:after="0" w:afterAutospacing="0"/>
        <w:rPr>
          <w:sz w:val="20"/>
          <w:szCs w:val="20"/>
        </w:rPr>
      </w:pPr>
      <w:r>
        <w:rPr>
          <w:sz w:val="20"/>
          <w:szCs w:val="20"/>
        </w:rPr>
        <w:t> </w:t>
      </w:r>
    </w:p>
    <w:p w14:paraId="72E6900C" w14:textId="77777777" w:rsidR="00251D72" w:rsidRDefault="00251D72">
      <w:pPr>
        <w:pStyle w:val="a3"/>
        <w:spacing w:before="120" w:beforeAutospacing="0" w:after="0" w:afterAutospacing="0"/>
        <w:jc w:val="both"/>
        <w:rPr>
          <w:rFonts w:ascii="Calibri" w:hAnsi="Calibri" w:cs="Calibri"/>
          <w:sz w:val="20"/>
          <w:szCs w:val="20"/>
        </w:rPr>
      </w:pPr>
      <w:bookmarkStart w:id="17" w:name="_AEIOULastRenderedPageBreakAEIOU16"/>
      <w:bookmarkEnd w:id="17"/>
      <w:r>
        <w:rPr>
          <w:rFonts w:ascii="Calibri" w:hAnsi="Calibri" w:cs="Calibri"/>
          <w:sz w:val="20"/>
          <w:szCs w:val="20"/>
        </w:rPr>
        <w:t xml:space="preserve">Our customers are demanding less complexity and lower total cost in the implementation, sourcing, integration and ongoing maintenance of their enterprise software and hardware. Our enterprise cloud license and on-premise license, and hardware offerings compete directly with certain offerings from some of the largest and most competitive companies in the world, including Amazon.com, Inc., Microsoft Corporation, International Business Machines Corporation (IBM), Intel Corporation, Cisco Systems, Inc., Adobe Systems Incorporated, Alphabet Inc. and SAP SE, as well as other companies like Hewlett-Packard Enterprise, salesforce.com, inc. and Workday, Inc. In addition, due to the low barriers to entry in many of our market segments, new technologies and new and growing competitors frequently emerge to challenge our offerings. Our competitors range from companies offering broad IT solutions across many of our lines of business to vendors providing point solutions, or offerings focused on a specific functionality, product area or industry. In addition, as we expand into new market segments, we face increased competition as we compete with existing competitors, as well as firms that may be partners in other areas of our business and other firms with whom we have not previously competed. Moreover, we or our competitors may take certain strategic actions—including acquisitions, partnerships and joint ventures, or repositioning of product lines—which invite even greater competition in one or more product offering categories. </w:t>
      </w:r>
    </w:p>
    <w:p w14:paraId="12311D9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Key competitive factors in each of the segments in which we currently compete and may compete in the future include: total cost of ownership, performance, scalability, reliability, security, functionality, efficiency, speed to production and quality of technical support. Our product and service sales (and the relative strength of our products and services versus those of our competitors) are also directly and indirectly affected by the following, among other things:</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702B321" w14:textId="77777777">
        <w:tc>
          <w:tcPr>
            <w:tcW w:w="262" w:type="pct"/>
            <w:noWrap/>
            <w:hideMark/>
          </w:tcPr>
          <w:p w14:paraId="0149D041"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7C6F448"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696172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the adoption of cloud-based IT offerings including SaaS and IaaS offerings; </w:t>
            </w:r>
          </w:p>
        </w:tc>
      </w:tr>
    </w:tbl>
    <w:p w14:paraId="3D9EE290"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6D8EB577" w14:textId="77777777">
        <w:tc>
          <w:tcPr>
            <w:tcW w:w="262" w:type="pct"/>
            <w:noWrap/>
            <w:hideMark/>
          </w:tcPr>
          <w:p w14:paraId="1366859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F20563C"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6992E36"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ease of deployment, use and maintenance of our products and services offerings;</w:t>
            </w:r>
          </w:p>
        </w:tc>
      </w:tr>
    </w:tbl>
    <w:p w14:paraId="16D48D2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7338683" w14:textId="77777777">
        <w:tc>
          <w:tcPr>
            <w:tcW w:w="262" w:type="pct"/>
            <w:noWrap/>
            <w:hideMark/>
          </w:tcPr>
          <w:p w14:paraId="7337821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3873275"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4A774AA"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compatibility between Oracle products and services deployed within local IT environments and public cloud IT environments, including our Oracle Cloud environments;</w:t>
            </w:r>
          </w:p>
        </w:tc>
      </w:tr>
    </w:tbl>
    <w:p w14:paraId="5EBC0084"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E54EBFA" w14:textId="77777777">
        <w:tc>
          <w:tcPr>
            <w:tcW w:w="262" w:type="pct"/>
            <w:noWrap/>
            <w:hideMark/>
          </w:tcPr>
          <w:p w14:paraId="6D6CB93E"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7F0B71EF"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51EEC1C"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adoption of commodity servers and microprocessors;</w:t>
            </w:r>
          </w:p>
        </w:tc>
      </w:tr>
    </w:tbl>
    <w:p w14:paraId="5AEDAEC2"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0267E1D" w14:textId="77777777">
        <w:tc>
          <w:tcPr>
            <w:tcW w:w="262" w:type="pct"/>
            <w:noWrap/>
            <w:hideMark/>
          </w:tcPr>
          <w:p w14:paraId="6B56399E"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5ED46E0"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AC4EF8B"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broader “platform” competition between our industry standard Java technology platform and the .NET programming environment of Microsoft;</w:t>
            </w:r>
          </w:p>
        </w:tc>
      </w:tr>
    </w:tbl>
    <w:p w14:paraId="6FC0F779"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9D0706D" w14:textId="77777777">
        <w:tc>
          <w:tcPr>
            <w:tcW w:w="262" w:type="pct"/>
            <w:noWrap/>
            <w:hideMark/>
          </w:tcPr>
          <w:p w14:paraId="58E2CE19"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100979B7"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68F12C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operating system competition among our Oracle Solaris and Linux operating systems, with alternatives including Microsoft’s Windows Server, and other UNIX and Linux operating systems;</w:t>
            </w:r>
          </w:p>
        </w:tc>
      </w:tr>
    </w:tbl>
    <w:p w14:paraId="5C75E36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EC25FB2" w14:textId="77777777">
        <w:tc>
          <w:tcPr>
            <w:tcW w:w="262" w:type="pct"/>
            <w:noWrap/>
            <w:hideMark/>
          </w:tcPr>
          <w:p w14:paraId="31A1F68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D7A9805"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326B38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adoption of open source alternatives to commercial software by enterprise software customers;</w:t>
            </w:r>
          </w:p>
        </w:tc>
      </w:tr>
    </w:tbl>
    <w:p w14:paraId="51DDE9BC"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AA84390" w14:textId="77777777">
        <w:tc>
          <w:tcPr>
            <w:tcW w:w="262" w:type="pct"/>
            <w:noWrap/>
            <w:hideMark/>
          </w:tcPr>
          <w:p w14:paraId="495CA25E"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1CDDE86"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1DE5D25"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products, features and functionality developed internally by customers and their IT staff; </w:t>
            </w:r>
          </w:p>
        </w:tc>
      </w:tr>
    </w:tbl>
    <w:p w14:paraId="0434C41B"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E530D51" w14:textId="77777777">
        <w:tc>
          <w:tcPr>
            <w:tcW w:w="262" w:type="pct"/>
            <w:noWrap/>
            <w:hideMark/>
          </w:tcPr>
          <w:p w14:paraId="7753FCA6"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C105906"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A342A9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products, features and functionality customized and implemented for customers by consultants, systems integrators or other third parties; and</w:t>
            </w:r>
          </w:p>
        </w:tc>
      </w:tr>
    </w:tbl>
    <w:p w14:paraId="6332BF2E"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6354951F" w14:textId="77777777">
        <w:tc>
          <w:tcPr>
            <w:tcW w:w="262" w:type="pct"/>
            <w:noWrap/>
            <w:hideMark/>
          </w:tcPr>
          <w:p w14:paraId="2CDD30FD"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CAD1541"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715330E"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attractiveness of offerings from business processing outsourcers.</w:t>
            </w:r>
          </w:p>
        </w:tc>
      </w:tr>
    </w:tbl>
    <w:p w14:paraId="3EE9BBD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For more information about the competitive risks we face, refer to Item 1A. “Risk Factors” included elsewhere in this Annual Report. </w:t>
      </w:r>
    </w:p>
    <w:p w14:paraId="27D76745"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Available Information</w:t>
      </w:r>
    </w:p>
    <w:p w14:paraId="0DA17ED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Annual Report on Form 10-K, Quarterly Reports on Form 10-Q, Current Reports on Form 8-K and amendments to those reports filed pursuant to Sections 13(a) and 15(d) of the Securities Exchange Act of 1934, as amended, are available, free of charge, on the SEC’s website at www.sec.gov and our Investor Relations website at www.oracle.com/investor as soon as reasonably practicable after we electronically file such materials with, or furnish it to, the SEC. We use our Investor Relations website as a means of disclosing material non-public information. Accordingly, investors should monitor our Investor Relations website, in addition to following our press releases, SEC filings and public conference calls and webcasts. In addition, information regarding our environmental policy and global sustainability initiatives and solutions are also available on our website www.oracle.com/corporate/citizenship</w:t>
      </w:r>
      <w:r>
        <w:rPr>
          <w:sz w:val="20"/>
          <w:szCs w:val="20"/>
        </w:rPr>
        <w:t xml:space="preserve">. </w:t>
      </w:r>
      <w:r>
        <w:rPr>
          <w:rFonts w:ascii="Calibri" w:hAnsi="Calibri" w:cs="Calibri"/>
          <w:sz w:val="20"/>
          <w:szCs w:val="20"/>
        </w:rPr>
        <w:t>The information posted on or accessible through our website is not incorporated into this Annual Report.</w:t>
      </w:r>
    </w:p>
    <w:p w14:paraId="078B9723"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14</w:t>
      </w:r>
    </w:p>
    <w:p w14:paraId="1131C075" w14:textId="77777777" w:rsidR="00251D72" w:rsidRDefault="00251D72">
      <w:pPr>
        <w:rPr>
          <w:rFonts w:ascii="Times New Roman" w:eastAsia="Times New Roman" w:hAnsi="Times New Roman" w:cs="Times New Roman"/>
          <w:sz w:val="24"/>
          <w:szCs w:val="24"/>
        </w:rPr>
      </w:pPr>
      <w:r>
        <w:rPr>
          <w:rFonts w:eastAsia="Times New Roman"/>
        </w:rPr>
        <w:pict w14:anchorId="03ABD33F">
          <v:rect id="_x0000_i1040" style="width:415.3pt;height:1.5pt" o:hralign="center" o:hrstd="t" o:hr="t" fillcolor="#a0a0a0" stroked="f"/>
        </w:pict>
      </w:r>
    </w:p>
    <w:p w14:paraId="3CB0F875"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6C3883EE"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4F2A4316" w14:textId="77777777" w:rsidR="00251D72" w:rsidRDefault="00251D72">
      <w:pPr>
        <w:pStyle w:val="a3"/>
        <w:spacing w:before="120" w:beforeAutospacing="0" w:after="0" w:afterAutospacing="0"/>
        <w:rPr>
          <w:sz w:val="20"/>
          <w:szCs w:val="20"/>
        </w:rPr>
      </w:pPr>
      <w:r>
        <w:rPr>
          <w:sz w:val="20"/>
          <w:szCs w:val="20"/>
        </w:rPr>
        <w:t> </w:t>
      </w:r>
    </w:p>
    <w:p w14:paraId="235C8620" w14:textId="77777777" w:rsidR="00251D72" w:rsidRDefault="00251D72">
      <w:pPr>
        <w:pStyle w:val="a3"/>
        <w:spacing w:before="240" w:beforeAutospacing="0" w:after="0" w:afterAutospacing="0"/>
        <w:jc w:val="both"/>
        <w:rPr>
          <w:rFonts w:ascii="Calibri" w:hAnsi="Calibri" w:cs="Calibri"/>
          <w:b/>
          <w:bCs/>
          <w:sz w:val="20"/>
          <w:szCs w:val="20"/>
        </w:rPr>
      </w:pPr>
      <w:bookmarkStart w:id="18" w:name="_AEIOULastRenderedPageBreakAEIOU17"/>
      <w:bookmarkEnd w:id="18"/>
      <w:r>
        <w:rPr>
          <w:rFonts w:ascii="Calibri" w:hAnsi="Calibri" w:cs="Calibri"/>
          <w:b/>
          <w:bCs/>
          <w:sz w:val="20"/>
          <w:szCs w:val="20"/>
        </w:rPr>
        <w:t>Information about our Executive Officers</w:t>
      </w:r>
    </w:p>
    <w:p w14:paraId="2F92390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executive officers are listed below.</w:t>
      </w:r>
    </w:p>
    <w:p w14:paraId="17A21B8F"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2409"/>
        <w:gridCol w:w="83"/>
        <w:gridCol w:w="5814"/>
      </w:tblGrid>
      <w:tr w:rsidR="00251D72" w14:paraId="79FE5C32" w14:textId="77777777">
        <w:trPr>
          <w:divId w:val="606351272"/>
          <w:jc w:val="center"/>
        </w:trPr>
        <w:tc>
          <w:tcPr>
            <w:tcW w:w="1450" w:type="pct"/>
            <w:tcBorders>
              <w:bottom w:val="single" w:sz="6" w:space="0" w:color="000000"/>
            </w:tcBorders>
            <w:hideMark/>
          </w:tcPr>
          <w:p w14:paraId="4107ECE7" w14:textId="77777777" w:rsidR="00251D72" w:rsidRDefault="00251D72">
            <w:pPr>
              <w:pStyle w:val="a3"/>
              <w:spacing w:before="0" w:beforeAutospacing="0" w:after="0" w:afterAutospacing="0"/>
              <w:jc w:val="both"/>
              <w:rPr>
                <w:rFonts w:ascii="Calibri" w:hAnsi="Calibri" w:cs="Calibri"/>
                <w:b/>
                <w:bCs/>
                <w:sz w:val="16"/>
                <w:szCs w:val="16"/>
              </w:rPr>
            </w:pPr>
            <w:r>
              <w:rPr>
                <w:rFonts w:ascii="Calibri" w:hAnsi="Calibri" w:cs="Calibri"/>
                <w:b/>
                <w:bCs/>
                <w:sz w:val="16"/>
                <w:szCs w:val="16"/>
              </w:rPr>
              <w:t>Name</w:t>
            </w:r>
          </w:p>
        </w:tc>
        <w:tc>
          <w:tcPr>
            <w:tcW w:w="50" w:type="pct"/>
            <w:hideMark/>
          </w:tcPr>
          <w:p w14:paraId="68183D58" w14:textId="77777777" w:rsidR="00251D72" w:rsidRDefault="00251D72">
            <w:pPr>
              <w:pStyle w:val="a3"/>
              <w:spacing w:before="0" w:beforeAutospacing="0" w:after="0" w:afterAutospacing="0"/>
              <w:jc w:val="both"/>
              <w:rPr>
                <w:b/>
                <w:bCs/>
                <w:sz w:val="16"/>
                <w:szCs w:val="16"/>
              </w:rPr>
            </w:pPr>
            <w:r>
              <w:rPr>
                <w:b/>
                <w:bCs/>
                <w:sz w:val="16"/>
                <w:szCs w:val="16"/>
              </w:rPr>
              <w:t> </w:t>
            </w:r>
          </w:p>
        </w:tc>
        <w:tc>
          <w:tcPr>
            <w:tcW w:w="3500" w:type="pct"/>
            <w:tcBorders>
              <w:bottom w:val="single" w:sz="6" w:space="0" w:color="000000"/>
            </w:tcBorders>
            <w:hideMark/>
          </w:tcPr>
          <w:p w14:paraId="04F65A99" w14:textId="77777777" w:rsidR="00251D72" w:rsidRDefault="00251D72">
            <w:pPr>
              <w:pStyle w:val="a3"/>
              <w:spacing w:before="0" w:beforeAutospacing="0" w:after="0" w:afterAutospacing="0"/>
              <w:jc w:val="both"/>
              <w:rPr>
                <w:rFonts w:ascii="Calibri" w:hAnsi="Calibri" w:cs="Calibri"/>
                <w:b/>
                <w:bCs/>
                <w:sz w:val="16"/>
                <w:szCs w:val="16"/>
              </w:rPr>
            </w:pPr>
            <w:r>
              <w:rPr>
                <w:rFonts w:ascii="Calibri" w:hAnsi="Calibri" w:cs="Calibri"/>
                <w:b/>
                <w:bCs/>
                <w:sz w:val="16"/>
                <w:szCs w:val="16"/>
              </w:rPr>
              <w:t>Office(s)</w:t>
            </w:r>
          </w:p>
        </w:tc>
      </w:tr>
      <w:tr w:rsidR="00251D72" w14:paraId="0667C9F7" w14:textId="77777777">
        <w:trPr>
          <w:divId w:val="606351272"/>
          <w:jc w:val="center"/>
        </w:trPr>
        <w:tc>
          <w:tcPr>
            <w:tcW w:w="1450" w:type="pct"/>
            <w:tcBorders>
              <w:top w:val="single" w:sz="6" w:space="0" w:color="000000"/>
            </w:tcBorders>
            <w:shd w:val="clear" w:color="auto" w:fill="CFF0FC"/>
            <w:vAlign w:val="bottom"/>
            <w:hideMark/>
          </w:tcPr>
          <w:p w14:paraId="2E23E858"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Lawrence J. Ellison</w:t>
            </w:r>
          </w:p>
        </w:tc>
        <w:tc>
          <w:tcPr>
            <w:tcW w:w="50" w:type="pct"/>
            <w:shd w:val="clear" w:color="auto" w:fill="CFF0FC"/>
            <w:hideMark/>
          </w:tcPr>
          <w:p w14:paraId="32954D50" w14:textId="77777777" w:rsidR="00251D72" w:rsidRDefault="00251D72">
            <w:pPr>
              <w:pStyle w:val="a3"/>
              <w:spacing w:before="0" w:beforeAutospacing="0" w:after="0" w:afterAutospacing="0"/>
              <w:jc w:val="both"/>
            </w:pPr>
            <w:r>
              <w:t> </w:t>
            </w:r>
          </w:p>
        </w:tc>
        <w:tc>
          <w:tcPr>
            <w:tcW w:w="3500" w:type="pct"/>
            <w:tcBorders>
              <w:top w:val="single" w:sz="6" w:space="0" w:color="000000"/>
            </w:tcBorders>
            <w:shd w:val="clear" w:color="auto" w:fill="CFF0FC"/>
            <w:vAlign w:val="bottom"/>
            <w:hideMark/>
          </w:tcPr>
          <w:p w14:paraId="24C3CBA2"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Chairman of the Board of Directors and Chief Technology Officer</w:t>
            </w:r>
          </w:p>
        </w:tc>
      </w:tr>
      <w:tr w:rsidR="00251D72" w14:paraId="0A8E2C59" w14:textId="77777777">
        <w:trPr>
          <w:divId w:val="606351272"/>
          <w:jc w:val="center"/>
        </w:trPr>
        <w:tc>
          <w:tcPr>
            <w:tcW w:w="1450" w:type="pct"/>
            <w:vAlign w:val="bottom"/>
            <w:hideMark/>
          </w:tcPr>
          <w:p w14:paraId="56BBC07A"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Safra A. Catz</w:t>
            </w:r>
          </w:p>
        </w:tc>
        <w:tc>
          <w:tcPr>
            <w:tcW w:w="50" w:type="pct"/>
            <w:hideMark/>
          </w:tcPr>
          <w:p w14:paraId="7BD3E78D" w14:textId="77777777" w:rsidR="00251D72" w:rsidRDefault="00251D72">
            <w:pPr>
              <w:pStyle w:val="a3"/>
              <w:spacing w:before="0" w:beforeAutospacing="0" w:after="0" w:afterAutospacing="0"/>
              <w:jc w:val="both"/>
            </w:pPr>
            <w:r>
              <w:t> </w:t>
            </w:r>
          </w:p>
        </w:tc>
        <w:tc>
          <w:tcPr>
            <w:tcW w:w="3500" w:type="pct"/>
            <w:vAlign w:val="bottom"/>
            <w:hideMark/>
          </w:tcPr>
          <w:p w14:paraId="0B670742"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Chief Executive Officer and Director</w:t>
            </w:r>
          </w:p>
        </w:tc>
      </w:tr>
      <w:tr w:rsidR="00251D72" w14:paraId="41AA281C" w14:textId="77777777">
        <w:trPr>
          <w:divId w:val="606351272"/>
          <w:jc w:val="center"/>
        </w:trPr>
        <w:tc>
          <w:tcPr>
            <w:tcW w:w="1450" w:type="pct"/>
            <w:shd w:val="clear" w:color="auto" w:fill="CFF0FC"/>
            <w:vAlign w:val="bottom"/>
            <w:hideMark/>
          </w:tcPr>
          <w:p w14:paraId="0B47FCBF"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Mark V. Hurd</w:t>
            </w:r>
          </w:p>
        </w:tc>
        <w:tc>
          <w:tcPr>
            <w:tcW w:w="50" w:type="pct"/>
            <w:shd w:val="clear" w:color="auto" w:fill="CFF0FC"/>
            <w:hideMark/>
          </w:tcPr>
          <w:p w14:paraId="63B7D785" w14:textId="77777777" w:rsidR="00251D72" w:rsidRDefault="00251D72">
            <w:pPr>
              <w:pStyle w:val="a3"/>
              <w:spacing w:before="0" w:beforeAutospacing="0" w:after="0" w:afterAutospacing="0"/>
              <w:jc w:val="both"/>
            </w:pPr>
            <w:r>
              <w:t> </w:t>
            </w:r>
          </w:p>
        </w:tc>
        <w:tc>
          <w:tcPr>
            <w:tcW w:w="3500" w:type="pct"/>
            <w:shd w:val="clear" w:color="auto" w:fill="CFF0FC"/>
            <w:vAlign w:val="bottom"/>
            <w:hideMark/>
          </w:tcPr>
          <w:p w14:paraId="1ED3E2A2"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Chief Executive Officer and Director</w:t>
            </w:r>
          </w:p>
        </w:tc>
      </w:tr>
      <w:tr w:rsidR="00251D72" w14:paraId="14BACCB2" w14:textId="77777777">
        <w:trPr>
          <w:divId w:val="606351272"/>
          <w:jc w:val="center"/>
        </w:trPr>
        <w:tc>
          <w:tcPr>
            <w:tcW w:w="1450" w:type="pct"/>
            <w:vAlign w:val="bottom"/>
            <w:hideMark/>
          </w:tcPr>
          <w:p w14:paraId="37D18A0C"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Jeffrey O. Henley</w:t>
            </w:r>
          </w:p>
        </w:tc>
        <w:tc>
          <w:tcPr>
            <w:tcW w:w="50" w:type="pct"/>
            <w:hideMark/>
          </w:tcPr>
          <w:p w14:paraId="7CA9B9F5" w14:textId="77777777" w:rsidR="00251D72" w:rsidRDefault="00251D72">
            <w:pPr>
              <w:pStyle w:val="a3"/>
              <w:spacing w:before="0" w:beforeAutospacing="0" w:after="0" w:afterAutospacing="0"/>
              <w:jc w:val="both"/>
            </w:pPr>
            <w:r>
              <w:t> </w:t>
            </w:r>
          </w:p>
        </w:tc>
        <w:tc>
          <w:tcPr>
            <w:tcW w:w="3500" w:type="pct"/>
            <w:vAlign w:val="bottom"/>
            <w:hideMark/>
          </w:tcPr>
          <w:p w14:paraId="164FF6C6"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Vice Chairman of the Board of Directors</w:t>
            </w:r>
          </w:p>
        </w:tc>
      </w:tr>
      <w:tr w:rsidR="00251D72" w14:paraId="182967E2" w14:textId="77777777">
        <w:trPr>
          <w:divId w:val="606351272"/>
          <w:jc w:val="center"/>
        </w:trPr>
        <w:tc>
          <w:tcPr>
            <w:tcW w:w="1450" w:type="pct"/>
            <w:shd w:val="clear" w:color="auto" w:fill="CFF0FC"/>
            <w:vAlign w:val="bottom"/>
            <w:hideMark/>
          </w:tcPr>
          <w:p w14:paraId="5D4B7612"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Edward Screven</w:t>
            </w:r>
          </w:p>
        </w:tc>
        <w:tc>
          <w:tcPr>
            <w:tcW w:w="50" w:type="pct"/>
            <w:shd w:val="clear" w:color="auto" w:fill="CFF0FC"/>
            <w:hideMark/>
          </w:tcPr>
          <w:p w14:paraId="32FD6D3A" w14:textId="77777777" w:rsidR="00251D72" w:rsidRDefault="00251D72">
            <w:pPr>
              <w:pStyle w:val="a3"/>
              <w:spacing w:before="0" w:beforeAutospacing="0" w:after="0" w:afterAutospacing="0"/>
              <w:jc w:val="both"/>
            </w:pPr>
            <w:r>
              <w:t> </w:t>
            </w:r>
          </w:p>
        </w:tc>
        <w:tc>
          <w:tcPr>
            <w:tcW w:w="3500" w:type="pct"/>
            <w:shd w:val="clear" w:color="auto" w:fill="CFF0FC"/>
            <w:vAlign w:val="bottom"/>
            <w:hideMark/>
          </w:tcPr>
          <w:p w14:paraId="3F5417FF"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Executive Vice President, Chief Corporate Architect</w:t>
            </w:r>
          </w:p>
        </w:tc>
      </w:tr>
      <w:tr w:rsidR="00251D72" w14:paraId="627AC196" w14:textId="77777777">
        <w:trPr>
          <w:divId w:val="606351272"/>
          <w:jc w:val="center"/>
        </w:trPr>
        <w:tc>
          <w:tcPr>
            <w:tcW w:w="1450" w:type="pct"/>
            <w:vAlign w:val="bottom"/>
            <w:hideMark/>
          </w:tcPr>
          <w:p w14:paraId="0782FF34"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Dorian E. Daley</w:t>
            </w:r>
          </w:p>
        </w:tc>
        <w:tc>
          <w:tcPr>
            <w:tcW w:w="50" w:type="pct"/>
            <w:hideMark/>
          </w:tcPr>
          <w:p w14:paraId="478526E9" w14:textId="77777777" w:rsidR="00251D72" w:rsidRDefault="00251D72">
            <w:pPr>
              <w:pStyle w:val="a3"/>
              <w:spacing w:before="0" w:beforeAutospacing="0" w:after="0" w:afterAutospacing="0"/>
              <w:jc w:val="both"/>
            </w:pPr>
            <w:r>
              <w:t> </w:t>
            </w:r>
          </w:p>
        </w:tc>
        <w:tc>
          <w:tcPr>
            <w:tcW w:w="3500" w:type="pct"/>
            <w:vAlign w:val="bottom"/>
            <w:hideMark/>
          </w:tcPr>
          <w:p w14:paraId="5A329B40"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Executive Vice President and General Counsel</w:t>
            </w:r>
          </w:p>
        </w:tc>
      </w:tr>
      <w:tr w:rsidR="00251D72" w14:paraId="24C535DB" w14:textId="77777777">
        <w:trPr>
          <w:divId w:val="606351272"/>
          <w:jc w:val="center"/>
        </w:trPr>
        <w:tc>
          <w:tcPr>
            <w:tcW w:w="1450" w:type="pct"/>
            <w:shd w:val="clear" w:color="auto" w:fill="CFF0FC"/>
            <w:vAlign w:val="bottom"/>
            <w:hideMark/>
          </w:tcPr>
          <w:p w14:paraId="1A618172"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William Corey West</w:t>
            </w:r>
          </w:p>
        </w:tc>
        <w:tc>
          <w:tcPr>
            <w:tcW w:w="50" w:type="pct"/>
            <w:shd w:val="clear" w:color="auto" w:fill="CFF0FC"/>
            <w:hideMark/>
          </w:tcPr>
          <w:p w14:paraId="29AF9FBF" w14:textId="77777777" w:rsidR="00251D72" w:rsidRDefault="00251D72">
            <w:pPr>
              <w:pStyle w:val="a3"/>
              <w:spacing w:before="0" w:beforeAutospacing="0" w:after="0" w:afterAutospacing="0"/>
              <w:jc w:val="both"/>
            </w:pPr>
            <w:r>
              <w:t> </w:t>
            </w:r>
          </w:p>
        </w:tc>
        <w:tc>
          <w:tcPr>
            <w:tcW w:w="3500" w:type="pct"/>
            <w:shd w:val="clear" w:color="auto" w:fill="CFF0FC"/>
            <w:vAlign w:val="bottom"/>
            <w:hideMark/>
          </w:tcPr>
          <w:p w14:paraId="5190381B"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Executive Vice President, Corporate Controller and Chief Accounting Officer</w:t>
            </w:r>
          </w:p>
        </w:tc>
      </w:tr>
    </w:tbl>
    <w:p w14:paraId="3CAFE86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Mr. Ellison, 74, has been our Chairman of the Board and Chief Technology Officer since September 2014. He served as our Chief Executive Officer from June 1977, when he founded Oracle, until September 2014. He has served as a Director since June 1977. He previously served as our Chairman of the Board from May 1995 to January 2004. He currently serves as a director of Tesla, Inc.</w:t>
      </w:r>
    </w:p>
    <w:p w14:paraId="43747D9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Ms. Catz, 57, has been our Chief Executive Officer since September 2014. She served as our President from January 2004 to September 2014, our Chief Financial Officer most recently from April 2011 until September 2014 and a Director since October 2001. She was previously our Chief Financial Officer from November 2005 until September 2008 and our Interim Chief Financial Officer from April 2005 until July 2005. Prior to being named our President, she held various other positions with us since joining Oracle in 1999. She currently serves as a director of The Walt Disney Company and she previously served as a director of HSBC Holdings plc.</w:t>
      </w:r>
    </w:p>
    <w:p w14:paraId="67028AC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Mr. Hurd, 62, has been our Chief Executive Officer since September 2014. He served as our President from September 2010 to September 2014 and a Director since September 2010. Prior to joining us, he served as Chairman of the Board of Directors of Hewlett-Packard Company from September 2006 to August 2010 and as Chief Executive Officer, President and a member of the Board of Directors of Hewlett-Packard Company from April 2005 to August 2010.</w:t>
      </w:r>
    </w:p>
    <w:p w14:paraId="6791EED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Mr. Henley, 74, has served as our Vice Chairman of the Board since September 2014. He previously served as our Chairman of the Board from January 2004 to September 2014 and has served as a Director since June 1995. He served as our Executive Vice President and Chief Financial Officer from March 1991 to July 2004.</w:t>
      </w:r>
    </w:p>
    <w:p w14:paraId="6484C16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Mr. Screven, 54, has been Executive Vice President, Chief Corporate Architect since May 2015. He served as our Senior Vice President, Chief Corporate Architect from November 2006 to April 2015 and as Vice President, Chief Corporate Architect from January 2003 to November 2006. He held various other positions with us since joining Oracle in 1986.</w:t>
      </w:r>
    </w:p>
    <w:p w14:paraId="53FCDD64" w14:textId="77777777" w:rsidR="00251D72" w:rsidRDefault="00251D72">
      <w:pPr>
        <w:pStyle w:val="a3"/>
        <w:spacing w:before="120" w:beforeAutospacing="0" w:after="0" w:afterAutospacing="0"/>
        <w:jc w:val="both"/>
        <w:rPr>
          <w:rFonts w:ascii="Calibri" w:hAnsi="Calibri" w:cs="Calibri"/>
          <w:sz w:val="20"/>
          <w:szCs w:val="20"/>
        </w:rPr>
      </w:pPr>
      <w:bookmarkStart w:id="19" w:name="eolPage24"/>
      <w:r>
        <w:rPr>
          <w:rFonts w:ascii="Calibri" w:hAnsi="Calibri" w:cs="Calibri"/>
          <w:sz w:val="20"/>
          <w:szCs w:val="20"/>
        </w:rPr>
        <w:t>Ms. Daley, 60, has been our Executive Vice President and General Counsel since April 2015. She served as our Secretary from October 2007 until October 2017 and she was our Senior Vice President, General Counsel from October 2007 to April 2015. She served as our Vice President, Legal, Associate General Counsel and Assistant Secretary from June 2004 to October 2007, as Associate General Counsel and Assistant Secretary from Oc</w:t>
      </w:r>
      <w:bookmarkEnd w:id="19"/>
      <w:r>
        <w:rPr>
          <w:rFonts w:ascii="Calibri" w:hAnsi="Calibri" w:cs="Calibri"/>
          <w:sz w:val="20"/>
          <w:szCs w:val="20"/>
        </w:rPr>
        <w:t>tober 2001 to June 2004 and as Associate General Counsel from February 2001 to October 2001. She held various other positions with us since joining Oracle’s Legal Department in 1992.</w:t>
      </w:r>
    </w:p>
    <w:p w14:paraId="26C6360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Mr. West, 57, has been our Executive Vice President, Corporate Controller and Chief Accounting Officer since April 2015. He served as our Senior Vice President, Corporate Controller and Chief Accounting Officer from February 2008 to April 2015 and served as our Vice President, Corporate Controller and Chief Accounting Officer from April 2007 to February 2008. His previous experience includes 14 years with Arthur Andersen LLP, most recently as a partner.</w:t>
      </w:r>
    </w:p>
    <w:p w14:paraId="1D133EDA"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15</w:t>
      </w:r>
    </w:p>
    <w:p w14:paraId="065EED4B" w14:textId="77777777" w:rsidR="00251D72" w:rsidRDefault="00251D72">
      <w:pPr>
        <w:rPr>
          <w:rFonts w:ascii="Times New Roman" w:eastAsia="Times New Roman" w:hAnsi="Times New Roman" w:cs="Times New Roman"/>
          <w:sz w:val="24"/>
          <w:szCs w:val="24"/>
        </w:rPr>
      </w:pPr>
      <w:r>
        <w:rPr>
          <w:rFonts w:eastAsia="Times New Roman"/>
        </w:rPr>
        <w:pict w14:anchorId="71D3BFAC">
          <v:rect id="_x0000_i1041" style="width:415.3pt;height:1.5pt" o:hralign="center" o:hrstd="t" o:hr="t" fillcolor="#a0a0a0" stroked="f"/>
        </w:pict>
      </w:r>
    </w:p>
    <w:p w14:paraId="02C1FD4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671EA558"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DBA1A48" w14:textId="77777777" w:rsidR="00251D72" w:rsidRDefault="00251D72">
      <w:pPr>
        <w:pStyle w:val="a3"/>
        <w:spacing w:before="12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
        <w:gridCol w:w="7598"/>
      </w:tblGrid>
      <w:tr w:rsidR="00251D72" w14:paraId="4B026B3D" w14:textId="77777777">
        <w:tc>
          <w:tcPr>
            <w:tcW w:w="213" w:type="pct"/>
            <w:noWrap/>
            <w:hideMark/>
          </w:tcPr>
          <w:p w14:paraId="078F0990" w14:textId="77777777" w:rsidR="00251D72" w:rsidRDefault="00251D72">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Item 1A.</w:t>
            </w:r>
          </w:p>
        </w:tc>
        <w:tc>
          <w:tcPr>
            <w:tcW w:w="0" w:type="auto"/>
            <w:hideMark/>
          </w:tcPr>
          <w:p w14:paraId="156E7EC8" w14:textId="77777777" w:rsidR="00251D72" w:rsidRDefault="00251D72">
            <w:pPr>
              <w:pStyle w:val="a3"/>
              <w:spacing w:before="0" w:beforeAutospacing="0" w:after="0" w:afterAutospacing="0"/>
              <w:jc w:val="both"/>
              <w:rPr>
                <w:rFonts w:ascii="Calibri" w:hAnsi="Calibri" w:cs="Calibri"/>
                <w:b/>
                <w:bCs/>
                <w:sz w:val="20"/>
                <w:szCs w:val="20"/>
              </w:rPr>
            </w:pPr>
            <w:bookmarkStart w:id="20" w:name="ITEM_1A_RISK_FACTORS"/>
            <w:bookmarkStart w:id="21" w:name="_AEIOULastRenderedPageBreakAEIOU18"/>
            <w:bookmarkEnd w:id="20"/>
            <w:bookmarkEnd w:id="21"/>
            <w:r>
              <w:rPr>
                <w:rFonts w:ascii="Calibri" w:hAnsi="Calibri" w:cs="Calibri"/>
                <w:b/>
                <w:bCs/>
                <w:sz w:val="20"/>
                <w:szCs w:val="20"/>
              </w:rPr>
              <w:t>Risk Factors</w:t>
            </w:r>
          </w:p>
        </w:tc>
      </w:tr>
    </w:tbl>
    <w:p w14:paraId="36D8DFE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operate in rapidly changing economic and technological environments that present numerous risks, many of which are driven by factors that we cannot control or predict. The following discussion, as well as our “Critical Accounting Policies and Estimates” discussion in Management’s Discussion and Analysis of Financial Condition and Results of Operations (Item 7), highlights some of these risks. The risks described below are not exhaustive and you should carefully consider these risks and uncertainties before investing in our securities.</w:t>
      </w:r>
    </w:p>
    <w:p w14:paraId="391335A1"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Our success depends upon our ability to develop new products and services, integrate acquired products and services and enhance our existing products and services.</w:t>
      </w:r>
      <w:r>
        <w:rPr>
          <w:rFonts w:ascii="Calibri" w:hAnsi="Calibri" w:cs="Calibri"/>
          <w:sz w:val="20"/>
          <w:szCs w:val="20"/>
        </w:rPr>
        <w:t xml:space="preserve">     Rapid technological advances, intense competition, changing delivery models and evolving standards in computer hardware and software development and communications infrastructure, changing and increasingly sophisticated customer needs and frequent new product introductions and enhancements characterize the industries in which we compete. If we are unable to develop new or sufficiently differentiated products and services, enhance and improve our product offerings and support services in a timely manner or position and price our products and services to meet demand, customers may not purchase or subscribe to our license, hardware or cloud offerings or renew license support, hardware support or cloud subscriptions contracts. Renewals of these contracts are important to the growth of our business. In addition, we cannot provide any assurance that the standards on which we choose to develop new products will allow us to compete effectively for business opportunities in emerging areas.</w:t>
      </w:r>
    </w:p>
    <w:p w14:paraId="30FD339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continued to refresh and release new offerings of our cloud products and services, including the launch of the Oracle Autonomous Data Warehouse Cloud Service. The Oracle Autonomous Data Warehouse Cloud Service offers automation based on machine learning and we have guaranteed, among other matters, that it will reduce customer downtime to less than 30 minutes a year and that Amazon Data Warehouse customers will see a significant cost reduction if they migrate their workloads to our offering. Machine learning and artificial intelligence are increasingly driving innovations in technology but if they fail to operate as anticipated or the Oracle Autonomous Data Warehouse Cloud Service or our other products do not perform as promised, our business and reputation may be harmed.</w:t>
      </w:r>
    </w:p>
    <w:p w14:paraId="7CB1C48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addition, our business may be adversely affected if:</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1DD7A31" w14:textId="77777777">
        <w:tc>
          <w:tcPr>
            <w:tcW w:w="262" w:type="pct"/>
            <w:noWrap/>
            <w:hideMark/>
          </w:tcPr>
          <w:p w14:paraId="4ACC8B17"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400BF82"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BBFA303"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do not continue to develop and release new or enhanced products and services within the anticipated time frames;</w:t>
            </w:r>
          </w:p>
        </w:tc>
      </w:tr>
    </w:tbl>
    <w:p w14:paraId="78A563F1"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8713057" w14:textId="77777777">
        <w:tc>
          <w:tcPr>
            <w:tcW w:w="262" w:type="pct"/>
            <w:noWrap/>
            <w:hideMark/>
          </w:tcPr>
          <w:p w14:paraId="7BF812F4"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76FC04F6"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D5747FB"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infrastructure costs to deliver new or enhanced products and services take longer or result in greater costs than anticipated; </w:t>
            </w:r>
          </w:p>
        </w:tc>
      </w:tr>
    </w:tbl>
    <w:p w14:paraId="09585060"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280CEA4" w14:textId="77777777">
        <w:tc>
          <w:tcPr>
            <w:tcW w:w="262" w:type="pct"/>
            <w:noWrap/>
            <w:hideMark/>
          </w:tcPr>
          <w:p w14:paraId="1C103364"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49045DE"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DD5148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there is a delay in market acceptance of and difficulty in transitioning new and existing customers to new, enhanced or acquired product lines or services;</w:t>
            </w:r>
          </w:p>
        </w:tc>
      </w:tr>
    </w:tbl>
    <w:p w14:paraId="72843660"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EFD03D8" w14:textId="77777777">
        <w:tc>
          <w:tcPr>
            <w:tcW w:w="262" w:type="pct"/>
            <w:noWrap/>
            <w:hideMark/>
          </w:tcPr>
          <w:p w14:paraId="5527080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56C81E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EC0A16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there are changes in information technology (IT) trends that we do not adequately anticipate or address with our product development efforts;</w:t>
            </w:r>
          </w:p>
        </w:tc>
      </w:tr>
    </w:tbl>
    <w:p w14:paraId="4B89795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A348CF2" w14:textId="77777777">
        <w:tc>
          <w:tcPr>
            <w:tcW w:w="262" w:type="pct"/>
            <w:noWrap/>
            <w:hideMark/>
          </w:tcPr>
          <w:p w14:paraId="7400F2D1"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3703190"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22A420B"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do not optimize complementary product lines and services in a timely manner; or</w:t>
            </w:r>
          </w:p>
        </w:tc>
      </w:tr>
    </w:tbl>
    <w:p w14:paraId="1D0FD770"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CBA8D44" w14:textId="77777777">
        <w:tc>
          <w:tcPr>
            <w:tcW w:w="262" w:type="pct"/>
            <w:noWrap/>
            <w:hideMark/>
          </w:tcPr>
          <w:p w14:paraId="03C8AE05"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4C8B07C"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2276780"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fail to adequately integrate, support or enhance acquired product lines or services.</w:t>
            </w:r>
          </w:p>
        </w:tc>
      </w:tr>
    </w:tbl>
    <w:p w14:paraId="3BCA3588" w14:textId="77777777" w:rsidR="00251D72" w:rsidRDefault="00251D72">
      <w:pPr>
        <w:pStyle w:val="a3"/>
        <w:spacing w:before="120" w:beforeAutospacing="0" w:after="0" w:afterAutospacing="0"/>
        <w:jc w:val="both"/>
        <w:rPr>
          <w:rFonts w:ascii="Calibri" w:hAnsi="Calibri" w:cs="Calibri"/>
          <w:b/>
          <w:bCs/>
          <w:i/>
          <w:iCs/>
          <w:sz w:val="20"/>
          <w:szCs w:val="20"/>
        </w:rPr>
      </w:pPr>
      <w:bookmarkStart w:id="22" w:name="eolPage17"/>
      <w:r>
        <w:rPr>
          <w:rFonts w:ascii="Calibri" w:hAnsi="Calibri" w:cs="Calibri"/>
          <w:b/>
          <w:bCs/>
          <w:i/>
          <w:iCs/>
          <w:sz w:val="20"/>
          <w:szCs w:val="20"/>
        </w:rPr>
        <w:t>Our Oracle Cloud strategy, including our Oracle Software-as-a-Service (SaaS) and Infrastructure-as-a-Service (IaaS) offerings, may adversely affect our revenues and profitability.</w:t>
      </w:r>
      <w:bookmarkEnd w:id="22"/>
      <w:r>
        <w:rPr>
          <w:rFonts w:ascii="Calibri" w:hAnsi="Calibri" w:cs="Calibri"/>
          <w:sz w:val="20"/>
          <w:szCs w:val="20"/>
        </w:rPr>
        <w:t xml:space="preserve">     We provide our cloud and other offerings to customers worldwide via deployment models that best suit their needs, including via our cloud-based SaaS and IaaS offerings. As these business models continue to evolve, we may not be able to compete effectively, generate significant revenues or maintain the profitability of our cloud offerings. Additionally, the increasing prevalence of cloud and SaaS delivery models offered by us and our competitors may unfavorably impact the pricing of our cloud and license offerings. If we do not successfully execute our cloud computing strategy or anticipate the cloud computing needs of our customers, our reputation as a cloud services provider could be harmed and our revenues and profitability could decline.</w:t>
      </w:r>
    </w:p>
    <w:p w14:paraId="5774755A"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16</w:t>
      </w:r>
    </w:p>
    <w:p w14:paraId="29C6DA75" w14:textId="77777777" w:rsidR="00251D72" w:rsidRDefault="00251D72">
      <w:pPr>
        <w:rPr>
          <w:rFonts w:ascii="Times New Roman" w:eastAsia="Times New Roman" w:hAnsi="Times New Roman" w:cs="Times New Roman"/>
          <w:sz w:val="24"/>
          <w:szCs w:val="24"/>
        </w:rPr>
      </w:pPr>
      <w:r>
        <w:rPr>
          <w:rFonts w:eastAsia="Times New Roman"/>
        </w:rPr>
        <w:pict w14:anchorId="636D2020">
          <v:rect id="_x0000_i1042" style="width:415.3pt;height:1.5pt" o:hralign="center" o:hrstd="t" o:hr="t" fillcolor="#a0a0a0" stroked="f"/>
        </w:pict>
      </w:r>
    </w:p>
    <w:p w14:paraId="4CB78F66"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9050E2D"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1FDB130" w14:textId="77777777" w:rsidR="00251D72" w:rsidRDefault="00251D72">
      <w:pPr>
        <w:pStyle w:val="a3"/>
        <w:spacing w:before="120" w:beforeAutospacing="0" w:after="0" w:afterAutospacing="0"/>
        <w:rPr>
          <w:sz w:val="20"/>
          <w:szCs w:val="20"/>
        </w:rPr>
      </w:pPr>
      <w:r>
        <w:rPr>
          <w:sz w:val="20"/>
          <w:szCs w:val="20"/>
        </w:rPr>
        <w:t> </w:t>
      </w:r>
    </w:p>
    <w:p w14:paraId="4C8333F0" w14:textId="77777777" w:rsidR="00251D72" w:rsidRDefault="00251D72">
      <w:pPr>
        <w:pStyle w:val="a3"/>
        <w:spacing w:before="120" w:beforeAutospacing="0" w:after="0" w:afterAutospacing="0"/>
        <w:jc w:val="both"/>
        <w:rPr>
          <w:rFonts w:ascii="Calibri" w:hAnsi="Calibri" w:cs="Calibri"/>
          <w:sz w:val="20"/>
          <w:szCs w:val="20"/>
        </w:rPr>
      </w:pPr>
      <w:bookmarkStart w:id="23" w:name="_AEIOULastRenderedPageBreakAEIOU19"/>
      <w:bookmarkEnd w:id="23"/>
      <w:r>
        <w:rPr>
          <w:rFonts w:ascii="Calibri" w:hAnsi="Calibri" w:cs="Calibri"/>
          <w:sz w:val="20"/>
          <w:szCs w:val="20"/>
        </w:rPr>
        <w:t xml:space="preserve">As customer demand for our cloud offerings increases, we experience volatility in our reported revenues and operating results due to the differences in timing of revenue recognition between our cloud license and on-premise license, and hardware product arrangements relative to our cloud offering arrangements. Customers generally purchase our cloud offerings on a subscription basis and revenues from these offerings are generally recognized ratably over the terms of the subscriptions. Consequently, any deterioration in sales activity associated with our cloud offerings may not be immediately observable in our consolidated statement of operations. This is in contrast to revenues associated with our license and hardware product arrangements, which are generally recognized in full at the time of delivery of the related licenses and hardware products. </w:t>
      </w:r>
    </w:p>
    <w:p w14:paraId="606C4C3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also acquired a number of cloud computing companies, and the integration of these companies into our Oracle Cloud strategy may not be as efficient or scalable as anticipated, which could adversely affect our ability to fully realize the benefits anticipated from these acquisitions.</w:t>
      </w:r>
    </w:p>
    <w:p w14:paraId="35B3AAA6"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We might experience significant coding, manufacturing or configuration errors in our cloud, license and hardware offerings.     </w:t>
      </w:r>
      <w:r>
        <w:rPr>
          <w:rFonts w:ascii="Calibri" w:hAnsi="Calibri" w:cs="Calibri"/>
          <w:sz w:val="20"/>
          <w:szCs w:val="20"/>
        </w:rPr>
        <w:t>Despite testing prior to the release and throughout the lifecycle of a product or service, our cloud, license and hardware offerings sometimes contain coding or manufacturing errors that can impact their function, performance and security, and result in other negative consequences. The detection and correction of any errors in released cloud, license or hardware offerings can be time consuming and costly. Errors in our cloud, license or hardware offerings could affect their ability to properly function, integrate or operate with other cloud, license or hardware offerings, could delay the development or release of new products or services or new versions of products or services, could create security vulnerabilities in our products or services, and could adversely affect market acceptance of our products or services. This includes third-party software products or services incorporated into our own. If we experience errors or delays in releasing our cloud, license or hardware offerings or new versions of these offerings, our sales could be affected and revenues could decline. In addition, we run Oracle’s business operations as well as cloud and other services that we offer to our customers on our products and networks. Therefore, any flaws could affect our and our customers’ abilities to conduct business operations and to ensure accuracy in financial processes and reporting, and may result in unanticipated costs. Enterprise customers rely on our cloud, license and hardware offerings and related services to run their businesses and errors in our cloud, license and hardware offerings and related services could expose us to product liability, performance and warranty claims as well as significant harm to our brand and reputation, which could impact our future sales.</w:t>
      </w:r>
    </w:p>
    <w:p w14:paraId="48A67AA5"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If our security measures for our products and services are compromised and as a result, our data, our customers’ data or our IT systems are accessed improperly, made unavailable, or improperly modified, our products and services may be perceived as vulnerable, our brand and reputation could be damaged, the IT services we provide to our customers could be disrupted, and customers may stop using our products and services, all of which could reduce our revenue and earnings, increase our expenses and expose us to legal claims and regulatory actions.</w:t>
      </w:r>
      <w:r>
        <w:rPr>
          <w:rFonts w:ascii="Calibri" w:hAnsi="Calibri" w:cs="Calibri"/>
          <w:sz w:val="20"/>
          <w:szCs w:val="20"/>
        </w:rPr>
        <w:t xml:space="preserve">     We are in the IT business, and our products and services, including our Oracle Cloud Services, store, retrieve, manipulate and manage our customers’ information and data, external data, as well as our own data. We have a reputation for secure and reliable product offerings and related services and we have invested a great deal of time and resources in protecting the integrity and security of our products, services and the internal and external data that we manage. At times, we encounter attempts by third parties (which may include individuals or groups of hackers and sophisticated organizations, such as state-sponsored organizations, nation states and individuals sponsored by them) to identify and exploit product and service vulnerabilities, penetrate or bypass our security measures, and gain unauthorized access to our or our customers’, partners’ and suppliers’ software, hardware and cloud offerings, networks and systems, any of which could lead to the compromise of personal information or the confidential information or data of Oracle or our customers. Computer hackers and others may be able to develop and deploy IT related viruses, worms, and other malicious software programs that could attack our networks, systems, products and services, exploit potential security vulnerabilities of our networks, systems, products and services, create system disruptions and cause shutdowns or denials of service. This is also true for third-party data, products or services incorporated into our own. Our products and services, including our Oracle Cloud Services may also be accessed or modified improperly as a result of customer, partner, employee or supplier error or malfeasance and third parties may attempt to fraudulently induce customers, partners, employees or suppliers into disclosing sensitive information such as user names, passwords or other information in order to gain access to our data, our customers’, suppliers’ or partners’ data or the IT systems of Oracle, our customers, suppliers or partners.</w:t>
      </w:r>
    </w:p>
    <w:p w14:paraId="35BBEBB3"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17</w:t>
      </w:r>
    </w:p>
    <w:p w14:paraId="054E111E" w14:textId="77777777" w:rsidR="00251D72" w:rsidRDefault="00251D72">
      <w:pPr>
        <w:rPr>
          <w:rFonts w:ascii="Times New Roman" w:eastAsia="Times New Roman" w:hAnsi="Times New Roman" w:cs="Times New Roman"/>
          <w:sz w:val="24"/>
          <w:szCs w:val="24"/>
        </w:rPr>
      </w:pPr>
      <w:r>
        <w:rPr>
          <w:rFonts w:eastAsia="Times New Roman"/>
        </w:rPr>
        <w:pict w14:anchorId="6C766921">
          <v:rect id="_x0000_i1043" style="width:415.3pt;height:1.5pt" o:hralign="center" o:hrstd="t" o:hr="t" fillcolor="#a0a0a0" stroked="f"/>
        </w:pict>
      </w:r>
    </w:p>
    <w:p w14:paraId="1EF34C45"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6C1B886"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0D0D522" w14:textId="77777777" w:rsidR="00251D72" w:rsidRDefault="00251D72">
      <w:pPr>
        <w:pStyle w:val="a3"/>
        <w:spacing w:before="120" w:beforeAutospacing="0" w:after="0" w:afterAutospacing="0"/>
        <w:rPr>
          <w:sz w:val="20"/>
          <w:szCs w:val="20"/>
        </w:rPr>
      </w:pPr>
      <w:r>
        <w:rPr>
          <w:sz w:val="20"/>
          <w:szCs w:val="20"/>
        </w:rPr>
        <w:t> </w:t>
      </w:r>
    </w:p>
    <w:p w14:paraId="668D34EB" w14:textId="77777777" w:rsidR="00251D72" w:rsidRDefault="00251D72">
      <w:pPr>
        <w:pStyle w:val="a3"/>
        <w:spacing w:before="120" w:beforeAutospacing="0" w:after="0" w:afterAutospacing="0"/>
        <w:jc w:val="both"/>
        <w:rPr>
          <w:rFonts w:ascii="Calibri" w:hAnsi="Calibri" w:cs="Calibri"/>
          <w:sz w:val="20"/>
          <w:szCs w:val="20"/>
        </w:rPr>
      </w:pPr>
      <w:bookmarkStart w:id="24" w:name="_AEIOULastRenderedPageBreakAEIOU20"/>
      <w:bookmarkEnd w:id="24"/>
      <w:r>
        <w:rPr>
          <w:rFonts w:ascii="Calibri" w:hAnsi="Calibri" w:cs="Calibri"/>
          <w:sz w:val="20"/>
          <w:szCs w:val="20"/>
        </w:rPr>
        <w:t>Security industry experts and government officials have warned about the risks of hackers and cyber-attacks targeting IT products and businesses. Although this is an industry-wide problem that affects software and hardware companies generally, it affects Oracle in particular because computer hackers tend to focus their efforts on the most prominent IT companies, and they may focus on Oracle because of our reputation for, and marketing efforts associated with, having secure products and services. These risks will increase as we continue to grow our cloud offerings and store and process increasingly large amounts of data, including personal information and our customers’ confidential information and data, and host or manage parts of our customers’ businesses in cloud-based IT environments, especially in customer sectors involving particularly sensitive data such as health sciences, financial services, retail, hospitality and the government. We also have an active acquisition program and have acquired a number of companies, products, services and technologies over the years. While we make significant efforts to address any IT security issues with respect to our acquired companies, we may still inherit such risks when we integrate these companies within Oracle.</w:t>
      </w:r>
    </w:p>
    <w:p w14:paraId="523404B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Because the techniques used to obtain unauthorized access to, or sabotage IT systems change frequently, grow more complex over time, and often are not recognized until launched against a target, we may be unable to anticipate or implement adequate measures to prevent against such techniques.</w:t>
      </w:r>
      <w:r>
        <w:rPr>
          <w:rFonts w:ascii="Calibri" w:hAnsi="Calibri" w:cs="Calibri"/>
          <w:sz w:val="17"/>
          <w:szCs w:val="17"/>
          <w:vertAlign w:val="superscript"/>
        </w:rPr>
        <w:t xml:space="preserve"> </w:t>
      </w:r>
      <w:r>
        <w:rPr>
          <w:rFonts w:ascii="Calibri" w:hAnsi="Calibri" w:cs="Calibri"/>
          <w:sz w:val="20"/>
          <w:szCs w:val="20"/>
        </w:rPr>
        <w:t>Our internal IT systems continue to evolve and we are often early adapters of new technologies.</w:t>
      </w:r>
      <w:r>
        <w:rPr>
          <w:rFonts w:ascii="Calibri" w:hAnsi="Calibri" w:cs="Calibri"/>
          <w:sz w:val="17"/>
          <w:szCs w:val="17"/>
          <w:vertAlign w:val="superscript"/>
        </w:rPr>
        <w:t xml:space="preserve"> </w:t>
      </w:r>
      <w:r>
        <w:rPr>
          <w:rFonts w:ascii="Calibri" w:hAnsi="Calibri" w:cs="Calibri"/>
          <w:sz w:val="20"/>
          <w:szCs w:val="20"/>
        </w:rPr>
        <w:t>However, our business policies and internal security controls may not keep pace with these changes as new threats emerge. In addition, we may not discover any security breach and loss of information for a significant period of time after the security breach.</w:t>
      </w:r>
    </w:p>
    <w:p w14:paraId="30A5FAF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could suffer significant damage to our brand and reputation if a cyber-attack or other security incident were to allow unauthorized access to or modification of our customers’ or suppliers’ data, other external data, or our own data or our IT systems or if the services we provide to our customers were disrupted, or if our products or services are reported to have or are perceived as having security vulnerabilities. Customers could lose confidence in the security and reliability of our products and services, including our cloud offerings, and perceive them to not be secure. This could lead to fewer customers using our products and services and result in reduced revenues and earnings. The costs we would incur to address and fix these security incidents would increase our expenses. These types of security incidents could also lead to loss or destruction of information, inappropriate use of proprietary and sensitive data, lawsuits, indemnity obligations, regulatory investigations and financial penalties, and claims and increased legal liability, including in some cases contractual costs related to customer notification and fraud monitoring.</w:t>
      </w:r>
    </w:p>
    <w:p w14:paraId="6A9A5DD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products operate in conjunction with and are dependent on products and components across a broad ecosystem. If there is a security vulnerability in one of these components, and if there is a security exploit targeting it, we could face increased costs, liability claims, customer dissatisfaction, reduced revenue, or harm to our reputation or competitive position.</w:t>
      </w:r>
    </w:p>
    <w:p w14:paraId="3F0F58E6"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Our business practices with respect to data could give rise to operational interruption, liabilities or reputational harm as a result of governmental regulation, legal requirements or industry standards relating to consumer privacy and data protection.</w:t>
      </w:r>
      <w:r>
        <w:rPr>
          <w:rFonts w:ascii="Calibri" w:hAnsi="Calibri" w:cs="Calibri"/>
          <w:sz w:val="20"/>
          <w:szCs w:val="20"/>
        </w:rPr>
        <w:t xml:space="preserve">     As regulatory focus on privacy issues continues to increase and worldwide laws and regulations concerning the handling of personal information expand and become more complex, potential risks related to data collection and use within our business will intensify. In addition, U.S. and foreign governments have enacted or are considering enacting legislation or regulations, or may in the near future interpret existing legislation or regulations, in a manner that could significantly impact our ability, as well as the ability of our customers, partners and data providers, to collect, augment, analyze, use, transfer and share personal and other information that is integral to certain services we provide. For example, certain data transfer mechanisms are currently subject to challenges in European courts, which may lead to uncertainty about the legal basis for data transfers to the U.S. or interruption of such transfers. In the event any court blocks transfers to or from a particular jurisdiction on the basis that no transfer mechanisms are legally adequate, this could give rise to operational interruption in the performance of services for customers and internal processing of employee information, regulatory liabilities or reputational harm. This impact could also occur in those jurisdictions where privacy laws or regulators take a broader view of how personal information is defined, therefore subjecting the handling of such data to heightened restrictions that may be obstructive to our operations and the operations of our customers, partners and data providers. This impact could be acute in countries that have passed or are considering passing legislation that requires data to remain localized “in country,” as this imposes financial costs on any service provider that is required to store data in jurisdictions not of its choosing and nonstandard operational processes that are difficult and costly to integrate with global processes.</w:t>
      </w:r>
    </w:p>
    <w:p w14:paraId="4AD24E30"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18</w:t>
      </w:r>
    </w:p>
    <w:p w14:paraId="010E7117" w14:textId="77777777" w:rsidR="00251D72" w:rsidRDefault="00251D72">
      <w:pPr>
        <w:rPr>
          <w:rFonts w:ascii="Times New Roman" w:eastAsia="Times New Roman" w:hAnsi="Times New Roman" w:cs="Times New Roman"/>
          <w:sz w:val="24"/>
          <w:szCs w:val="24"/>
        </w:rPr>
      </w:pPr>
      <w:r>
        <w:rPr>
          <w:rFonts w:eastAsia="Times New Roman"/>
        </w:rPr>
        <w:pict w14:anchorId="15ABFA59">
          <v:rect id="_x0000_i1044" style="width:415.3pt;height:1.5pt" o:hralign="center" o:hrstd="t" o:hr="t" fillcolor="#a0a0a0" stroked="f"/>
        </w:pict>
      </w:r>
    </w:p>
    <w:p w14:paraId="2215372E"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2F29F8E"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0DFC045" w14:textId="77777777" w:rsidR="00251D72" w:rsidRDefault="00251D72">
      <w:pPr>
        <w:pStyle w:val="a3"/>
        <w:spacing w:before="120" w:beforeAutospacing="0" w:after="0" w:afterAutospacing="0"/>
        <w:rPr>
          <w:sz w:val="20"/>
          <w:szCs w:val="20"/>
        </w:rPr>
      </w:pPr>
      <w:r>
        <w:rPr>
          <w:sz w:val="20"/>
          <w:szCs w:val="20"/>
        </w:rPr>
        <w:t> </w:t>
      </w:r>
    </w:p>
    <w:p w14:paraId="32E009AC" w14:textId="77777777" w:rsidR="00251D72" w:rsidRDefault="00251D72">
      <w:pPr>
        <w:pStyle w:val="a3"/>
        <w:spacing w:before="120" w:beforeAutospacing="0" w:after="0" w:afterAutospacing="0"/>
        <w:jc w:val="both"/>
        <w:rPr>
          <w:rFonts w:ascii="Calibri" w:hAnsi="Calibri" w:cs="Calibri"/>
          <w:sz w:val="20"/>
          <w:szCs w:val="20"/>
        </w:rPr>
      </w:pPr>
      <w:bookmarkStart w:id="25" w:name="_AEIOULastRenderedPageBreakAEIOU21"/>
      <w:bookmarkEnd w:id="25"/>
      <w:r>
        <w:rPr>
          <w:rFonts w:ascii="Calibri" w:hAnsi="Calibri" w:cs="Calibri"/>
          <w:sz w:val="20"/>
          <w:szCs w:val="20"/>
        </w:rPr>
        <w:t>In the wake of the European Union General Data Protection Regulation (GDPR), the rate of global consideration and adoption of privacy laws has increased, giving rise to more global jurisdictions in which regulatory inquiries and audits may be requested of Oracle, and if not deemed to be in compliance, could result in enforcement actions and/or fines. This is true in the U.S. where California recently enacted the California Consumer Privacy Act (CCPA) effective in January 2020, Congress is considering several privacy bills at the federal level, and other state legislatures are considering privacy laws. Regulators globally are also imposing greater monetary fines for privacy violations. The GDPR, which became effective in May 2018, provides for monetary penalties of up to 4% of an organization’s worldwide revenue. One European data protection regulator has fined a major U.S. technology company EUR 50 million for its data handling practices. The U.S. Federal Trade Commission continues to fine companies on a regular basis for unfair and deceptive data protection practices, and these fines may increase in size. The CCPA provides for statutory damages on a per violation basis that could be very large in the event of a significant data security breach or other CCPA violation. Taken together, the changes in laws or regulations associated with the enhanced protection of personal and other types of data could greatly increase the size of potential fines related to data protection, and our cost of providing our products and services could result in changes to our business practices or even prevent us from offering certain services in jurisdictions in which we operate. Although we have implemented contracts, policies and procedures designed to ensure compliance with applicable laws and regulations, there can be no assurance that our employees, contractors, partners, data providers or agents will not violate such laws and regulations or our contracts, policies and procedures. Additionally, public perception and standards related to the privacy of personal information can shift rapidly, in ways that may affect our reputation or influence regulators to enact regulations and laws that may limit our ability to provide certain products.</w:t>
      </w:r>
    </w:p>
    <w:p w14:paraId="57DFCB2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make statements about our use and disclosure of personal information through our privacy policy, information provided on our website and press statements. Any failure, or perceived failure, by us to comply with these public statements or with U.S. federal, state, or foreign laws and regulations, including laws and regulations regulating privacy, data security, or consumer protection, public perception, standards, self-regulatory requirements or legal obligations, could result in lost or restricted business, proceedings, actions or fines brought against us or levied by governmental entities or others, or could adversely affect our business and harm our reputation.</w:t>
      </w:r>
    </w:p>
    <w:p w14:paraId="3F823FF6"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Economic, political and market conditions can adversely affect our business, results of operations and financial condition, including our revenue growth and profitability, which in turn could adversely affect our stock price.      </w:t>
      </w:r>
      <w:r>
        <w:rPr>
          <w:rFonts w:ascii="Calibri" w:hAnsi="Calibri" w:cs="Calibri"/>
          <w:sz w:val="20"/>
          <w:szCs w:val="20"/>
        </w:rPr>
        <w:t>Our business is influenced by a range of factors that are beyond our control and that we have no comparative advantage in forecasting. These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620D177F" w14:textId="77777777">
        <w:tc>
          <w:tcPr>
            <w:tcW w:w="262" w:type="pct"/>
            <w:noWrap/>
            <w:hideMark/>
          </w:tcPr>
          <w:p w14:paraId="02DC8634"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115377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5FD50B0"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general economic and business conditions;</w:t>
            </w:r>
          </w:p>
        </w:tc>
      </w:tr>
    </w:tbl>
    <w:p w14:paraId="2B4B5FBE"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E100803" w14:textId="77777777">
        <w:tc>
          <w:tcPr>
            <w:tcW w:w="262" w:type="pct"/>
            <w:noWrap/>
            <w:hideMark/>
          </w:tcPr>
          <w:p w14:paraId="05A4D87D"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011EC6F"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AA81A90"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overall demand for enterprise cloud, license and hardware products and services;</w:t>
            </w:r>
          </w:p>
        </w:tc>
      </w:tr>
    </w:tbl>
    <w:p w14:paraId="5810450A"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0B03E58" w14:textId="77777777">
        <w:tc>
          <w:tcPr>
            <w:tcW w:w="262" w:type="pct"/>
            <w:noWrap/>
            <w:hideMark/>
          </w:tcPr>
          <w:p w14:paraId="03356455"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256C03C"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5198FD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governmental budgetary constraints or shifts in government spending priorities; and</w:t>
            </w:r>
          </w:p>
        </w:tc>
      </w:tr>
    </w:tbl>
    <w:p w14:paraId="04546687"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CBE0100" w14:textId="77777777">
        <w:tc>
          <w:tcPr>
            <w:tcW w:w="262" w:type="pct"/>
            <w:noWrap/>
            <w:hideMark/>
          </w:tcPr>
          <w:p w14:paraId="34EDF12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7486B25"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0433110"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general legal, regulatory and political developments.</w:t>
            </w:r>
          </w:p>
        </w:tc>
      </w:tr>
    </w:tbl>
    <w:p w14:paraId="3039387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Macroeconomic developments like the developments associated with the United Kingdom’s vote to exit the EU (Brexit), evolving trade policies between the U.S. and international trade partners, or the occurrence of similar events in other countries that lead to uncertainty or instability in economic, political or market conditions could negatively affect our business, operating results, financial condition and outlook, which, in turn, could adversely affect our stock price. Any general weakening of, and related declining corporate confidence in, the global economy or the curtailment of government or corporate spending could cause current or potential customers to reduce or eliminate their IT budgets and spending, which could cause customers to delay, decrease or cancel purchases of our products and services or cause customers not to pay us or to delay paying us for previously purchased products and services.</w:t>
      </w:r>
    </w:p>
    <w:p w14:paraId="1E37750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19</w:t>
      </w:r>
    </w:p>
    <w:p w14:paraId="5091AB44" w14:textId="77777777" w:rsidR="00251D72" w:rsidRDefault="00251D72">
      <w:pPr>
        <w:rPr>
          <w:rFonts w:ascii="Times New Roman" w:eastAsia="Times New Roman" w:hAnsi="Times New Roman" w:cs="Times New Roman"/>
          <w:sz w:val="24"/>
          <w:szCs w:val="24"/>
        </w:rPr>
      </w:pPr>
      <w:r>
        <w:rPr>
          <w:rFonts w:eastAsia="Times New Roman"/>
        </w:rPr>
        <w:pict w14:anchorId="01AFD66B">
          <v:rect id="_x0000_i1045" style="width:415.3pt;height:1.5pt" o:hralign="center" o:hrstd="t" o:hr="t" fillcolor="#a0a0a0" stroked="f"/>
        </w:pict>
      </w:r>
    </w:p>
    <w:p w14:paraId="7F64371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2A2D3C3"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BA2A84B" w14:textId="77777777" w:rsidR="00251D72" w:rsidRDefault="00251D72">
      <w:pPr>
        <w:pStyle w:val="a3"/>
        <w:spacing w:before="120" w:beforeAutospacing="0" w:after="0" w:afterAutospacing="0"/>
        <w:rPr>
          <w:sz w:val="20"/>
          <w:szCs w:val="20"/>
        </w:rPr>
      </w:pPr>
      <w:r>
        <w:rPr>
          <w:sz w:val="20"/>
          <w:szCs w:val="20"/>
        </w:rPr>
        <w:t> </w:t>
      </w:r>
    </w:p>
    <w:p w14:paraId="2A1F37E3" w14:textId="77777777" w:rsidR="00251D72" w:rsidRDefault="00251D72">
      <w:pPr>
        <w:pStyle w:val="a3"/>
        <w:spacing w:before="120" w:beforeAutospacing="0" w:after="0" w:afterAutospacing="0"/>
        <w:jc w:val="both"/>
        <w:rPr>
          <w:rFonts w:ascii="Calibri" w:hAnsi="Calibri" w:cs="Calibri"/>
          <w:sz w:val="20"/>
          <w:szCs w:val="20"/>
        </w:rPr>
      </w:pPr>
      <w:bookmarkStart w:id="26" w:name="_AEIOULastRenderedPageBreakAEIOU22"/>
      <w:bookmarkEnd w:id="26"/>
      <w:r>
        <w:rPr>
          <w:rFonts w:ascii="Calibri" w:hAnsi="Calibri" w:cs="Calibri"/>
          <w:sz w:val="20"/>
          <w:szCs w:val="20"/>
        </w:rPr>
        <w:t>In addition, international, regional or domestic political unrest and the related potential impact on global stability, terrorist attacks and the potential for other hostilities in various parts of the world, potential public health crises and natural disasters continue to contribute to a climate of economic and political uncertainty that could adversely affect our results of operations and financial condition, including our revenue growth and profitability. These factors generally have the strongest effect on our sales of cloud license and on-premise license, hardware and related services and, to a lesser extent, also may affect our renewal rates for license support and our subscription-based cloud offerings.</w:t>
      </w:r>
    </w:p>
    <w:p w14:paraId="0AAFD603"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If we are unable to compete effectively, the results of operations and prospects for our business could be harmed.     </w:t>
      </w:r>
      <w:r>
        <w:rPr>
          <w:rFonts w:ascii="Calibri" w:hAnsi="Calibri" w:cs="Calibri"/>
          <w:sz w:val="20"/>
          <w:szCs w:val="20"/>
        </w:rPr>
        <w:t>We face intense competition in all aspects of our business. The nature of the IT industry creates a competitive landscape that is constantly evolving as firms emerge, expand or are acquired, as technology evolves and as delivery models change. Many vendors spend amounts in excess of what Oracle spends to develop and market applications and infrastructure technologies including databases, middleware products, application development tools, business applications, collaboration products and business intelligence, compute, storage and networking products, among others, which compete with Oracle applications and infrastructure offerings. Use of our competitors’ technologies may influence a customer’s purchasing decision or create an environment that makes it less efficient to utilize or migrate to Oracle products and services. Our competition may also adopt business practices that provide customers access to competing products and services at a risk profile that we may not generally find acceptable, which may convince customers to purchase competitor products and services. We could lose customers if our competitors introduce new competitive products, add new functionality, acquire competitive products, reduce prices, better execute on their sales and marketing strategies, offer more flexible business practices or form strategic alliances with other companies. We may also face increasing competition from open source software initiatives in which competitors may provide software and intellectual property for free. Existing or new competitors could gain sales opportunities or customers at our expense.</w:t>
      </w:r>
    </w:p>
    <w:p w14:paraId="16B1DCB3"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We may need to change our pricing models to compete successfully.</w:t>
      </w:r>
      <w:r>
        <w:rPr>
          <w:rFonts w:ascii="Calibri" w:hAnsi="Calibri" w:cs="Calibri"/>
          <w:sz w:val="20"/>
          <w:szCs w:val="20"/>
        </w:rPr>
        <w:t xml:space="preserve">     The intense competition we face in the sales of our products and services and general economic and business conditions can put pressure on us to change our prices. If our competitors offer deep discounts on certain products or services or develop products that the marketplace considers more valuable, we may need to lower prices or offer other favorable terms in order to compete successfully. Any such changes may reduce margins and could adversely affect operating results. Additionally, the increasing prevalence of cloud delivery models offered by us and our competitors may unfavorably impact the pricing of our other cloud and license, hardware and services offerings, and we may also incur increased cloud delivery expenses as we expand our cloud operations and update our infrastructure, all of which could reduce our revenues and/or profitability. Our license support fees and hardware support fees are generally priced as a percentage of our net license fees and net new hardware products fees, respectively. Our competitors may offer lower pricing on their support offerings, which could put pressure on us to further discount our offerings. </w:t>
      </w:r>
    </w:p>
    <w:p w14:paraId="406C8DE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introduced Oracle Bring Your Own License (BYOL) and Universal Credit Pricing to simplify the way customers purchase and consume our cloud services. Oracle BYOL enables customers to maintain their existing software licenses for Oracle Infrastructure while expanding their platform technology footprint at a discounted price. Oracle Universal Credit Pricing provides a flexible model for customers to access Oracle Infrastructure services on demand via a single contract. Any future changes to our prices and pricing policies could cause our revenues to decline or be delayed as our sales force implements and our customers adjust to the new pricing policies. Some of our competitors may bundle products for promotional purposes or as a long-term pricing strategy, commit to large customer deployments at prices that are unprofitable, or provide guarantees of prices and product implementations. These practices could, over time, significantly constrain the prices that we can charge for certain of our products. If we do not adapt our pricing models to reflect changes in customer use of our products or changes in customer demand, our revenues could decrease. The increase in open source software distribution may also cause us to change our pricing models.</w:t>
      </w:r>
    </w:p>
    <w:p w14:paraId="1F8DA134"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20</w:t>
      </w:r>
    </w:p>
    <w:p w14:paraId="176E1525" w14:textId="77777777" w:rsidR="00251D72" w:rsidRDefault="00251D72">
      <w:pPr>
        <w:rPr>
          <w:rFonts w:ascii="Times New Roman" w:eastAsia="Times New Roman" w:hAnsi="Times New Roman" w:cs="Times New Roman"/>
          <w:sz w:val="24"/>
          <w:szCs w:val="24"/>
        </w:rPr>
      </w:pPr>
      <w:r>
        <w:rPr>
          <w:rFonts w:eastAsia="Times New Roman"/>
        </w:rPr>
        <w:pict w14:anchorId="51C16F2F">
          <v:rect id="_x0000_i1046" style="width:415.3pt;height:1.5pt" o:hralign="center" o:hrstd="t" o:hr="t" fillcolor="#a0a0a0" stroked="f"/>
        </w:pict>
      </w:r>
    </w:p>
    <w:p w14:paraId="752DEA54"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D839A10"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CBA5A43" w14:textId="77777777" w:rsidR="00251D72" w:rsidRDefault="00251D72">
      <w:pPr>
        <w:pStyle w:val="a3"/>
        <w:spacing w:before="120" w:beforeAutospacing="0" w:after="0" w:afterAutospacing="0"/>
        <w:rPr>
          <w:sz w:val="20"/>
          <w:szCs w:val="20"/>
        </w:rPr>
      </w:pPr>
      <w:r>
        <w:rPr>
          <w:sz w:val="20"/>
          <w:szCs w:val="20"/>
        </w:rPr>
        <w:t> </w:t>
      </w:r>
    </w:p>
    <w:p w14:paraId="54259F52" w14:textId="77777777" w:rsidR="00251D72" w:rsidRDefault="00251D72">
      <w:pPr>
        <w:pStyle w:val="a3"/>
        <w:spacing w:before="120" w:beforeAutospacing="0" w:after="0" w:afterAutospacing="0"/>
        <w:jc w:val="both"/>
        <w:rPr>
          <w:rFonts w:ascii="Calibri" w:hAnsi="Calibri" w:cs="Calibri"/>
          <w:b/>
          <w:bCs/>
          <w:i/>
          <w:iCs/>
          <w:sz w:val="20"/>
          <w:szCs w:val="20"/>
        </w:rPr>
      </w:pPr>
      <w:bookmarkStart w:id="27" w:name="_AEIOULastRenderedPageBreakAEIOU23"/>
      <w:bookmarkEnd w:id="27"/>
      <w:r>
        <w:rPr>
          <w:rFonts w:ascii="Calibri" w:hAnsi="Calibri" w:cs="Calibri"/>
          <w:b/>
          <w:bCs/>
          <w:i/>
          <w:iCs/>
          <w:sz w:val="20"/>
          <w:szCs w:val="20"/>
        </w:rPr>
        <w:t>Our international sales and operations subject us to additional risks that can adversely affect our operating results.</w:t>
      </w:r>
      <w:r>
        <w:rPr>
          <w:rFonts w:ascii="Calibri" w:hAnsi="Calibri" w:cs="Calibri"/>
          <w:sz w:val="20"/>
          <w:szCs w:val="20"/>
        </w:rPr>
        <w:t xml:space="preserve">     We derive a substantial portion of our revenues from, and have significant operations, outside of the U.S. Our international operations include cloud operations, cloud, software and hardware development, manufacturing, assembly, sales, customer support, consulting and other services and shared administrative service centers.</w:t>
      </w:r>
    </w:p>
    <w:p w14:paraId="425DE49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Compliance with international and U.S. laws and regulations that apply to our international operations increases our cost of doing business in foreign jurisdictions. These laws and regulations include U.S. laws and local laws which include data privacy requirements, labor relations laws, tax laws, foreign currency-related regulations, anti-competition regulations, prohibitions on payments to governmental officials, market access, tariffs, import, export and general trade regulations, including but not limited to economic sanctions and embargos. Violations of these laws and regulations could result in fines and penalties, criminal sanctions against us, our officers or our employees, and prohibitions on the conduct of our business, including the loss of trade privileges. Any such violations could result in prohibitions on our ability to offer our products and services in one or more countries, could delay or prevent potential acquisitions and could also materially damage our reputation, our brand, our international expansion efforts, our ability to attract and retain employees, our business and our operating results. Compliance with these laws requires a significant amount of management attention and effort, which may divert management’s attention from running our business operations and could harm our ability to grow our business, or may increase our expenses as we engage specialized or other additional resources to assist us with our compliance efforts. Our success depends, in part, on our ability to anticipate these risks and manage these difficulties. We monitor our operations and investigate allegations of improprieties relating to transactions and the way in which such transactions are recorded. Where circumstances warrant, we provide information and report our findings to government authorities, but no assurance can be given that action will not be taken by such authorities.</w:t>
      </w:r>
    </w:p>
    <w:p w14:paraId="2717E3A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are also subject to a variety of other risks and challenges in managing an organization operating globally, including those related to:</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34DA595" w14:textId="77777777">
        <w:tc>
          <w:tcPr>
            <w:tcW w:w="262" w:type="pct"/>
            <w:noWrap/>
            <w:hideMark/>
          </w:tcPr>
          <w:p w14:paraId="5A85533C"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7D70F45"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071A82E"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general economic conditions in each country or region;</w:t>
            </w:r>
          </w:p>
        </w:tc>
      </w:tr>
    </w:tbl>
    <w:p w14:paraId="14D619C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B3F52B6" w14:textId="77777777">
        <w:tc>
          <w:tcPr>
            <w:tcW w:w="262" w:type="pct"/>
            <w:noWrap/>
            <w:hideMark/>
          </w:tcPr>
          <w:p w14:paraId="74A88AB0"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0DD6B2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963F87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fluctuations in currency exchange rates and related impacts on customer demand and our operating results;</w:t>
            </w:r>
          </w:p>
        </w:tc>
      </w:tr>
    </w:tbl>
    <w:p w14:paraId="6754C384"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F994E6D" w14:textId="77777777">
        <w:tc>
          <w:tcPr>
            <w:tcW w:w="262" w:type="pct"/>
            <w:noWrap/>
            <w:hideMark/>
          </w:tcPr>
          <w:p w14:paraId="39DD9005"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3EAED55"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69F7D5D"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difficulties in transferring funds from or converting currencies in certain countries that could lead to a devaluation of our net assets, in particular our cash assets, in that country’s currency;</w:t>
            </w:r>
          </w:p>
        </w:tc>
      </w:tr>
    </w:tbl>
    <w:p w14:paraId="076265D2"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450496B" w14:textId="77777777">
        <w:tc>
          <w:tcPr>
            <w:tcW w:w="262" w:type="pct"/>
            <w:noWrap/>
            <w:hideMark/>
          </w:tcPr>
          <w:p w14:paraId="64E8E1EF"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53073F3"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EDD213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regulatory changes, including government austerity measures in certain countries that we may not be able to sufficiently plan for or avoid that may unexpectedly impair bank deposits or other cash assets that we hold in these countries or that impose additional taxes that we may be required to pay in these countries;</w:t>
            </w:r>
          </w:p>
        </w:tc>
      </w:tr>
    </w:tbl>
    <w:p w14:paraId="571D732C"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6BF0EBBD" w14:textId="77777777">
        <w:tc>
          <w:tcPr>
            <w:tcW w:w="262" w:type="pct"/>
            <w:noWrap/>
            <w:hideMark/>
          </w:tcPr>
          <w:p w14:paraId="1FD84F01"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85BA20B"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E64612D"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political unrest, terrorism and the potential for other hostilities;</w:t>
            </w:r>
          </w:p>
        </w:tc>
      </w:tr>
    </w:tbl>
    <w:p w14:paraId="14909D2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62098D8F" w14:textId="77777777">
        <w:tc>
          <w:tcPr>
            <w:tcW w:w="262" w:type="pct"/>
            <w:noWrap/>
            <w:hideMark/>
          </w:tcPr>
          <w:p w14:paraId="0AEAE0B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FBC1270"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D1C4ED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common local business behaviors that are in direct conflict with our business ethics, practices and conduct policies;</w:t>
            </w:r>
          </w:p>
        </w:tc>
      </w:tr>
    </w:tbl>
    <w:p w14:paraId="23887FAB"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96A1B14" w14:textId="77777777">
        <w:tc>
          <w:tcPr>
            <w:tcW w:w="262" w:type="pct"/>
            <w:noWrap/>
            <w:hideMark/>
          </w:tcPr>
          <w:p w14:paraId="469678FF"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15AC991E"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97ADC82"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natural disasters;</w:t>
            </w:r>
          </w:p>
        </w:tc>
      </w:tr>
    </w:tbl>
    <w:p w14:paraId="169D9C6B"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48A2C2E" w14:textId="77777777">
        <w:tc>
          <w:tcPr>
            <w:tcW w:w="262" w:type="pct"/>
            <w:noWrap/>
            <w:hideMark/>
          </w:tcPr>
          <w:p w14:paraId="378679A8"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CF5F221"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256BC7F"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effects of climate change (such as sea level rise, drought, flooding, wildfires and increased storm sensitivity);</w:t>
            </w:r>
          </w:p>
        </w:tc>
      </w:tr>
    </w:tbl>
    <w:p w14:paraId="13CDA499"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B61D7C5" w14:textId="77777777">
        <w:tc>
          <w:tcPr>
            <w:tcW w:w="262" w:type="pct"/>
            <w:noWrap/>
            <w:hideMark/>
          </w:tcPr>
          <w:p w14:paraId="53304AC9"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7EB1EC9D"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ACF3CF2"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longer payment cycles and difficulties in collecting accounts receivable;</w:t>
            </w:r>
          </w:p>
        </w:tc>
      </w:tr>
    </w:tbl>
    <w:p w14:paraId="039F81D4"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0FA5F36" w14:textId="77777777">
        <w:tc>
          <w:tcPr>
            <w:tcW w:w="262" w:type="pct"/>
            <w:noWrap/>
            <w:hideMark/>
          </w:tcPr>
          <w:p w14:paraId="19444CA7"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C3D63B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A26E3B5"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overlapping tax regimes;</w:t>
            </w:r>
          </w:p>
        </w:tc>
      </w:tr>
    </w:tbl>
    <w:p w14:paraId="702366E4"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0CF9951" w14:textId="77777777">
        <w:tc>
          <w:tcPr>
            <w:tcW w:w="262" w:type="pct"/>
            <w:noWrap/>
            <w:hideMark/>
          </w:tcPr>
          <w:p w14:paraId="192F3596"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3277F9A"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D57150E"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public health risks, social risks and supporting infrastructure stability risks, particularly in areas in which we have significant operations; and</w:t>
            </w:r>
          </w:p>
        </w:tc>
      </w:tr>
    </w:tbl>
    <w:p w14:paraId="6739B37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99B6515" w14:textId="77777777">
        <w:tc>
          <w:tcPr>
            <w:tcW w:w="262" w:type="pct"/>
            <w:noWrap/>
            <w:hideMark/>
          </w:tcPr>
          <w:p w14:paraId="2BA6733C"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B9F9592"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439D48A"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reduced protection for intellectual property rights in some countries.</w:t>
            </w:r>
          </w:p>
        </w:tc>
      </w:tr>
    </w:tbl>
    <w:p w14:paraId="3981C440"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21</w:t>
      </w:r>
    </w:p>
    <w:p w14:paraId="42529B20" w14:textId="77777777" w:rsidR="00251D72" w:rsidRDefault="00251D72">
      <w:pPr>
        <w:rPr>
          <w:rFonts w:ascii="Times New Roman" w:eastAsia="Times New Roman" w:hAnsi="Times New Roman" w:cs="Times New Roman"/>
          <w:sz w:val="24"/>
          <w:szCs w:val="24"/>
        </w:rPr>
      </w:pPr>
      <w:r>
        <w:rPr>
          <w:rFonts w:eastAsia="Times New Roman"/>
        </w:rPr>
        <w:pict w14:anchorId="04D32D48">
          <v:rect id="_x0000_i1047" style="width:415.3pt;height:1.5pt" o:hralign="center" o:hrstd="t" o:hr="t" fillcolor="#a0a0a0" stroked="f"/>
        </w:pict>
      </w:r>
    </w:p>
    <w:p w14:paraId="7615E63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12E2379"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213C215" w14:textId="77777777" w:rsidR="00251D72" w:rsidRDefault="00251D72">
      <w:pPr>
        <w:pStyle w:val="a3"/>
        <w:spacing w:before="120" w:beforeAutospacing="0" w:after="0" w:afterAutospacing="0"/>
        <w:rPr>
          <w:sz w:val="20"/>
          <w:szCs w:val="20"/>
        </w:rPr>
      </w:pPr>
      <w:r>
        <w:rPr>
          <w:sz w:val="20"/>
          <w:szCs w:val="20"/>
        </w:rPr>
        <w:t> </w:t>
      </w:r>
    </w:p>
    <w:p w14:paraId="6B097365" w14:textId="77777777" w:rsidR="00251D72" w:rsidRDefault="00251D72">
      <w:pPr>
        <w:pStyle w:val="a3"/>
        <w:spacing w:before="120" w:beforeAutospacing="0" w:after="0" w:afterAutospacing="0"/>
        <w:rPr>
          <w:rFonts w:ascii="Calibri" w:hAnsi="Calibri" w:cs="Calibri"/>
          <w:sz w:val="20"/>
          <w:szCs w:val="20"/>
        </w:rPr>
      </w:pPr>
      <w:bookmarkStart w:id="28" w:name="_AEIOULastRenderedPageBreakAEIOU24"/>
      <w:bookmarkEnd w:id="28"/>
      <w:r>
        <w:rPr>
          <w:rFonts w:ascii="Calibri" w:hAnsi="Calibri" w:cs="Calibri"/>
          <w:sz w:val="20"/>
          <w:szCs w:val="20"/>
        </w:rPr>
        <w:t>The variety of risks and challenges listed above could also disrupt or otherwise negatively impact the supply chain operations for our hardware business and the sales of our products and services in affected countries or regions.</w:t>
      </w:r>
    </w:p>
    <w:p w14:paraId="649CECB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As the majority shareholder of Oracle Financial Services Software Limited, a publicly traded company in India, and Oracle Corporation Japan, a publicly traded company in Japan, we are faced with several additional risks, including being subject to local securities regulations and being unable to exert full control that we would otherwise have if these entities were wholly-owned subsidiaries.</w:t>
      </w:r>
    </w:p>
    <w:p w14:paraId="73330305"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Any failure to offer high-quality technical support services may adversely affect our relationships with our customers and our financial results</w:t>
      </w:r>
      <w:r>
        <w:rPr>
          <w:rFonts w:ascii="Calibri" w:hAnsi="Calibri" w:cs="Calibri"/>
          <w:sz w:val="20"/>
          <w:szCs w:val="20"/>
        </w:rPr>
        <w:t>.     Our customers depend on our support organization to resolve technical issues relating to our applications and infrastructure offerings. We may be unable to respond quickly enough to accommodate short-term increases in customer demand for support services. Increased customer demand for these services, without corresponding revenues, could increase costs and adversely affect our operating results. Any failure to maintain high-quality technical support, or a market perception that we do not maintain high-quality technical support, could adversely affect our reputation, our ability to sell our applications to existing and prospective customers, and our business, operating results, and financial position.</w:t>
      </w:r>
    </w:p>
    <w:p w14:paraId="0707DA65"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We may fail to achieve our financial forecasts due to inaccurate sales forecasts or other factors.     </w:t>
      </w:r>
      <w:r>
        <w:rPr>
          <w:rFonts w:ascii="Calibri" w:hAnsi="Calibri" w:cs="Calibri"/>
          <w:sz w:val="20"/>
          <w:szCs w:val="20"/>
        </w:rPr>
        <w:t>Our revenues, particularly certain of our cloud license and on-premise license revenues and hardware revenues, can be difficult to forecast. As a result, our quarterly operating results can fluctuate.</w:t>
      </w:r>
    </w:p>
    <w:p w14:paraId="535206A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For our Oracle Cloud Services, our actual conversion or renewal rates may differ from those used in our forecasts because this business is continuing to evolve and such rates may be unpredictable which could have an adverse effect on our long-term results. For our license business, we use a “pipeline” system, a common industry practice, to forecast sales and trends in that business. Our sales personnel monitor the status of all proposals and estimate when a customer will make a purchase decision and the dollar amount of the sale. These estimates are aggregated periodically to generate a sales pipeline. Our pipeline estimates can be unreliable both in a particular quarter and over a longer period of time, in part because the conversion rate or closure rate of the pipeline into contracts can be very difficult to estimate. A reduction in the conversion rates, renewal rates, or in the pipeline itself, could adversely affect our business or results of operations. In particular, a slowdown in IT spending or economic conditions generally can unexpectedly reduce the conversion rates and renewal rates in particular periods as purchasing decisions are delayed, reduced in amount or cancelled. The conversion rates can also be affected by the tendency of some of our customers to wait until the end of a fiscal period in the hope of obtaining more favorable terms, which can also impede our ability to negotiate, execute and deliver upon these contracts in a timely manner. In addition, for newly acquired companies, we have limited ability to predict how their pipelines will convert into sales or revenues for a number of quarters following the acquisition. Conversion rates and renewal rates post-acquisition may be quite different from the acquired companies’ historical conversion rates. Differences in conversion rates and renewal rates can also be affected by changes in business practices that we implement in our newly acquired companies. These changes may negatively affect customer behavior.</w:t>
      </w:r>
    </w:p>
    <w:p w14:paraId="0CD6ADE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 substantial portion of the revenue value of our cloud license and on-premise license, and hardware contracts is completed in the latter part of a quarter and a significant percentage of these are larger value orders. Because a significant portion of our cost structure is largely fixed in the short term, sales and revenue shortfalls tend to have a disproportionately negative impact on our profitability. The number of large license transactions and, to a lesser extent, hardware products transactions increases the risk of fluctuations in our quarterly results because a delay in even a small number of these transactions could cause our quarterly sales, revenues and profitability to fall significantly short of our predictions.</w:t>
      </w:r>
    </w:p>
    <w:p w14:paraId="22D96FD3"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22</w:t>
      </w:r>
    </w:p>
    <w:p w14:paraId="0AA3B863" w14:textId="77777777" w:rsidR="00251D72" w:rsidRDefault="00251D72">
      <w:pPr>
        <w:rPr>
          <w:rFonts w:ascii="Times New Roman" w:eastAsia="Times New Roman" w:hAnsi="Times New Roman" w:cs="Times New Roman"/>
          <w:sz w:val="24"/>
          <w:szCs w:val="24"/>
        </w:rPr>
      </w:pPr>
      <w:r>
        <w:rPr>
          <w:rFonts w:eastAsia="Times New Roman"/>
        </w:rPr>
        <w:pict w14:anchorId="347CC70C">
          <v:rect id="_x0000_i1048" style="width:415.3pt;height:1.5pt" o:hralign="center" o:hrstd="t" o:hr="t" fillcolor="#a0a0a0" stroked="f"/>
        </w:pict>
      </w:r>
    </w:p>
    <w:p w14:paraId="45E5736C"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E89DEB0"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A30C15B" w14:textId="77777777" w:rsidR="00251D72" w:rsidRDefault="00251D72">
      <w:pPr>
        <w:pStyle w:val="a3"/>
        <w:spacing w:before="120" w:beforeAutospacing="0" w:after="0" w:afterAutospacing="0"/>
        <w:rPr>
          <w:sz w:val="20"/>
          <w:szCs w:val="20"/>
        </w:rPr>
      </w:pPr>
      <w:r>
        <w:rPr>
          <w:sz w:val="20"/>
          <w:szCs w:val="20"/>
        </w:rPr>
        <w:t> </w:t>
      </w:r>
    </w:p>
    <w:p w14:paraId="1B769B79" w14:textId="77777777" w:rsidR="00251D72" w:rsidRDefault="00251D72">
      <w:pPr>
        <w:pStyle w:val="a3"/>
        <w:spacing w:before="120" w:beforeAutospacing="0" w:after="0" w:afterAutospacing="0"/>
        <w:jc w:val="both"/>
        <w:rPr>
          <w:rFonts w:ascii="Calibri" w:hAnsi="Calibri" w:cs="Calibri"/>
          <w:b/>
          <w:bCs/>
          <w:i/>
          <w:iCs/>
          <w:sz w:val="20"/>
          <w:szCs w:val="20"/>
        </w:rPr>
      </w:pPr>
      <w:bookmarkStart w:id="29" w:name="_AEIOULastRenderedPageBreakAEIOU25"/>
      <w:bookmarkEnd w:id="29"/>
      <w:r>
        <w:rPr>
          <w:rFonts w:ascii="Calibri" w:hAnsi="Calibri" w:cs="Calibri"/>
          <w:b/>
          <w:bCs/>
          <w:i/>
          <w:iCs/>
          <w:sz w:val="20"/>
          <w:szCs w:val="20"/>
        </w:rPr>
        <w:t>We may experience foreign currency gains and losses. Changes in currency exchange rates can adversely affect customer demand and our revenue and profitability.</w:t>
      </w:r>
      <w:r>
        <w:rPr>
          <w:rFonts w:ascii="Calibri" w:hAnsi="Calibri" w:cs="Calibri"/>
          <w:sz w:val="20"/>
          <w:szCs w:val="20"/>
        </w:rPr>
        <w:t xml:space="preserve">     We conduct a significant number of transactions and hold cash in currencies other than the U.S. Dollar. Changes in the values of major foreign currencies, particularly the Euro, Japanese Yen and British Pound, relative to the U.S. Dollar can significantly affect our total assets, revenues, operating results and cash flows, which are reported in U.S. Dollars. In particular, the economic uncertainties relating to Brexit and European sovereign and other debt obligations may cause the value of the British Pound and Euro to fluctuate relative to the U.S. Dollar. Fluctuations in foreign currency rates, including the strengthening of the U.S. Dollar against the Euro and most other major international currencies, adversely affects our revenue growth in terms of the amounts that we report in U.S. Dollars after converting our foreign currency results into U.S. Dollars and in terms of actual demand for our products and services as certain of these products may become relatively more expensive for foreign currency-based enterprises to purchase. In addition, currency variations can adversely affect margins on sales of our products in countries outside of the U.S. Generally, our reported revenues and operating results are adversely affected when the dollar strengthens relative to other currencies and are positively affected when the dollar weakens. In addition, our reported assets generally are adversely affected when the dollar strengthens relative to other currencies as a portion of our consolidated cash and bank deposits, among other assets, are held in foreign currencies.</w:t>
      </w:r>
    </w:p>
    <w:p w14:paraId="30373B8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addition, we incur foreign currency transaction gains and losses, primarily related to sublicense fees and other intercompany agreements among us and our subsidiaries that we expect to cash settle in the near term, which are charged against earnings in the period incurred. We have a program which primarily utilizes foreign currency forward contracts designed to offset the risks associated with certain foreign currency exposures. We may suspend the program from time to time. As part of this program, we enter into foreign currency forward contracts so that increases or decreases in our foreign currency exposures are offset at least in part by gains or losses on the foreign currency forward contracts in an effort to mitigate the risks and volatility associated with our foreign currency transaction gains or losses. A large portion of our consolidated operations are international, and we expect that we will continue to realize gains or losses with respect to our foreign currency exposures, net of gains or losses from our foreign currency forward contracts. For example, we will experience foreign currency gains and losses in certain instances if it is not possible or cost-effective to hedge our foreign currency exposures, if our hedging efforts are ineffective, or should we suspend our foreign currency forward contract program. Our ultimate realized loss or gain with respect to currency fluctuations will generally depend on the size and type of cross-currency exposures that we enter into, the currency exchange rates associated with these exposures and changes in those rates, whether we have entered into foreign currency forward contracts to offset these exposures and other factors. All of these factors could materially impact our results of operations, financial position and cash flows.</w:t>
      </w:r>
    </w:p>
    <w:p w14:paraId="51F2E02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incurred foreign currency losses associated with the devaluation of currencies in certain highly inflationary economies relative to the U.S. Dollar. We could incur future losses in emerging market countries where we do business should their currencies become designated as highly inflationary.</w:t>
      </w:r>
    </w:p>
    <w:p w14:paraId="6D8E8159"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Our periodic workforce restructurings and reorganizations can be disruptive.</w:t>
      </w:r>
      <w:r>
        <w:rPr>
          <w:rFonts w:ascii="Calibri" w:hAnsi="Calibri" w:cs="Calibri"/>
          <w:sz w:val="20"/>
          <w:szCs w:val="20"/>
        </w:rPr>
        <w:t xml:space="preserve">     We have in the past restructured or made other adjustments to our workforce in response to management changes, product changes, performance issues, change in strategies, acquisitions and other internal and external considerations. In the past, these types of restructurings have resulted in increased restructuring costs and temporary reduced productivity while the employees adjusted to their new roles and responsibilities. In addition, we may not achieve or sustain the expected growth, resource redeployment or cost savings benefits of these restructurings, or may not do so within the expected timeframe. These effects could recur in connection with future acquisitions and other restructurings and our revenues and other results of operations could be negatively affected.</w:t>
      </w:r>
    </w:p>
    <w:p w14:paraId="0F05283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23</w:t>
      </w:r>
    </w:p>
    <w:p w14:paraId="53E4D3F8" w14:textId="77777777" w:rsidR="00251D72" w:rsidRDefault="00251D72">
      <w:pPr>
        <w:rPr>
          <w:rFonts w:ascii="Times New Roman" w:eastAsia="Times New Roman" w:hAnsi="Times New Roman" w:cs="Times New Roman"/>
          <w:sz w:val="24"/>
          <w:szCs w:val="24"/>
        </w:rPr>
      </w:pPr>
      <w:r>
        <w:rPr>
          <w:rFonts w:eastAsia="Times New Roman"/>
        </w:rPr>
        <w:pict w14:anchorId="31ECF16D">
          <v:rect id="_x0000_i1049" style="width:415.3pt;height:1.5pt" o:hralign="center" o:hrstd="t" o:hr="t" fillcolor="#a0a0a0" stroked="f"/>
        </w:pict>
      </w:r>
    </w:p>
    <w:p w14:paraId="0CA4B2F4"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571F6A9"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01077D4" w14:textId="77777777" w:rsidR="00251D72" w:rsidRDefault="00251D72">
      <w:pPr>
        <w:pStyle w:val="a3"/>
        <w:spacing w:before="120" w:beforeAutospacing="0" w:after="0" w:afterAutospacing="0"/>
        <w:rPr>
          <w:sz w:val="20"/>
          <w:szCs w:val="20"/>
        </w:rPr>
      </w:pPr>
      <w:r>
        <w:rPr>
          <w:sz w:val="20"/>
          <w:szCs w:val="20"/>
        </w:rPr>
        <w:t> </w:t>
      </w:r>
    </w:p>
    <w:p w14:paraId="32D1CFF7" w14:textId="77777777" w:rsidR="00251D72" w:rsidRDefault="00251D72">
      <w:pPr>
        <w:pStyle w:val="a3"/>
        <w:spacing w:before="120" w:beforeAutospacing="0" w:after="0" w:afterAutospacing="0"/>
        <w:jc w:val="both"/>
        <w:rPr>
          <w:rFonts w:ascii="Calibri" w:hAnsi="Calibri" w:cs="Calibri"/>
          <w:b/>
          <w:bCs/>
          <w:i/>
          <w:iCs/>
          <w:sz w:val="20"/>
          <w:szCs w:val="20"/>
        </w:rPr>
      </w:pPr>
      <w:bookmarkStart w:id="30" w:name="_AEIOULastRenderedPageBreakAEIOU26"/>
      <w:bookmarkEnd w:id="30"/>
      <w:r>
        <w:rPr>
          <w:rFonts w:ascii="Calibri" w:hAnsi="Calibri" w:cs="Calibri"/>
          <w:b/>
          <w:bCs/>
          <w:i/>
          <w:iCs/>
          <w:sz w:val="20"/>
          <w:szCs w:val="20"/>
        </w:rPr>
        <w:t>We may lose key employees or may be unable to hire enough qualified employees.</w:t>
      </w:r>
      <w:r>
        <w:rPr>
          <w:rFonts w:ascii="Calibri" w:hAnsi="Calibri" w:cs="Calibri"/>
          <w:sz w:val="20"/>
          <w:szCs w:val="20"/>
        </w:rPr>
        <w:t xml:space="preserve">     We rely on hiring qualified employees and the continued service of our senior management, including our Chairman of the Board of Directors, Chief Technology Officer and founder; our Chief Executive Officers; other members of our executive team; and other key employees. In the technology industry, there is substantial and continuous competition for highly skilled business, product development, technical and other personnel. We may also experience increased compensation costs that are not offset by either improved productivity or higher sales. We may not be successful in recruiting new personnel and in retaining and motivating existing personnel. With rare exceptions, we do not have long-term employment or non-competition agreements with our employees. Members of our senior management team have left Oracle over the years for a variety of reasons, and we cannot guarantee that there will not be additional departures, which may be disruptive to our operations. </w:t>
      </w:r>
    </w:p>
    <w:p w14:paraId="3624094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continually focus on improving our cost structure by hiring personnel in countries where advanced technical expertise and other expertise are available at lower costs. When we make adjustments to our workforce, we may incur expenses associated with workforce reductions that delay the benefit of a more efficient workforce structure. We may also experience increased competition for employees in these countries as the trend toward globalization continues, which may affect our employee retention efforts and increase our expenses in an effort to offer a competitive compensation program. In addition, changes to immigration and labor law policies may adversely impact our access to technical and professional talent.</w:t>
      </w:r>
    </w:p>
    <w:p w14:paraId="1F85AF4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general compensation program includes restricted stock units and performance-based equity, which are important tools in attracting and retaining employees in our industry. If our stock price performs poorly, it may adversely affect our ability to retain or attract employees. We continually evaluate our compensation practices and consider changes from time to time, such as reducing the number of employees granted equity awards or the number of equity awards granted per employee and granting alternative forms of stock-based compensation, which may have an impact on our ability to retain employees and the amount of stock-based compensation expense that we record. Any changes in our compensation practices or those of our competitors could affect our ability to retain and motivate existing personnel and recruit new personnel.</w:t>
      </w:r>
    </w:p>
    <w:p w14:paraId="66A13A1C"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Our sales to government clients expose us to business volatility and risks, including government budgeting cycles and appropriations, procurement regulations, governmental policy shifts, early termination of contracts, audits, investigations, sanctions and penalties.</w:t>
      </w:r>
      <w:r>
        <w:rPr>
          <w:rFonts w:ascii="Calibri" w:hAnsi="Calibri" w:cs="Calibri"/>
          <w:sz w:val="20"/>
          <w:szCs w:val="20"/>
        </w:rPr>
        <w:t xml:space="preserve">     We derive revenues from contracts with the U.S. government, state and local governments, and foreign governments and are subject to procurement laws and regulations relating to the award, administration and performance of those contracts.</w:t>
      </w:r>
    </w:p>
    <w:p w14:paraId="523F3AC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Governmental entities are variously pursuing policies that affect our ability to sell our products and services. Changes in government procurement policy, priorities, technology initiatives, and/or contract award criteria may negatively impact our potential for growth in the government sector.</w:t>
      </w:r>
    </w:p>
    <w:p w14:paraId="5EBEF91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are also subject to early termination of our contracts. Many governmental entities have the right to terminate contracts at any time, without cause. For example, the U.S. federal government may terminate any of our government contracts and subcontracts at its convenience, or for default based on our performance.</w:t>
      </w:r>
    </w:p>
    <w:p w14:paraId="5F672A3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U.S. federal contracts are subject to the congressional approval of appropriations to fund the expenditures under these contracts. Similarly, our contracts with U.S. state and local governments, foreign governments and their agencies are generally subject to government funding authorizations. Contracts may be terminated based upon a lack of appropriated funds.</w:t>
      </w:r>
    </w:p>
    <w:p w14:paraId="13CC778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There is increased pressure on governments and their agencies, both domestically and internationally, to reduce spending as governments continue to face significant deficit reduction pressures. This may adversely impact spending on government programs.</w:t>
      </w:r>
    </w:p>
    <w:p w14:paraId="261211D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Government contracts laws and regulations impose certain risks, and contracts are generally subject to audits and investigations. If violations of law are found, they could result in civil and criminal penalties and administrative sanctions, including termination of contracts, refund of a portion of fees received, forfeiture of profits, suspension of payments, fines and suspensions or debarment from future government business.</w:t>
      </w:r>
    </w:p>
    <w:p w14:paraId="1E434DDC"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24</w:t>
      </w:r>
    </w:p>
    <w:p w14:paraId="170EA1DA" w14:textId="77777777" w:rsidR="00251D72" w:rsidRDefault="00251D72">
      <w:pPr>
        <w:rPr>
          <w:rFonts w:ascii="Times New Roman" w:eastAsia="Times New Roman" w:hAnsi="Times New Roman" w:cs="Times New Roman"/>
          <w:sz w:val="24"/>
          <w:szCs w:val="24"/>
        </w:rPr>
      </w:pPr>
      <w:r>
        <w:rPr>
          <w:rFonts w:eastAsia="Times New Roman"/>
        </w:rPr>
        <w:pict w14:anchorId="69F6A2CF">
          <v:rect id="_x0000_i1050" style="width:415.3pt;height:1.5pt" o:hralign="center" o:hrstd="t" o:hr="t" fillcolor="#a0a0a0" stroked="f"/>
        </w:pict>
      </w:r>
    </w:p>
    <w:p w14:paraId="2763F320"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072DEAD"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1D57AB4" w14:textId="77777777" w:rsidR="00251D72" w:rsidRDefault="00251D72">
      <w:pPr>
        <w:pStyle w:val="a3"/>
        <w:spacing w:before="120" w:beforeAutospacing="0" w:after="0" w:afterAutospacing="0"/>
        <w:rPr>
          <w:sz w:val="20"/>
          <w:szCs w:val="20"/>
        </w:rPr>
      </w:pPr>
      <w:r>
        <w:rPr>
          <w:sz w:val="20"/>
          <w:szCs w:val="20"/>
        </w:rPr>
        <w:t> </w:t>
      </w:r>
    </w:p>
    <w:p w14:paraId="45D0F56D" w14:textId="77777777" w:rsidR="00251D72" w:rsidRDefault="00251D72">
      <w:pPr>
        <w:pStyle w:val="a3"/>
        <w:spacing w:before="120" w:beforeAutospacing="0" w:after="0" w:afterAutospacing="0"/>
        <w:jc w:val="both"/>
        <w:rPr>
          <w:rFonts w:ascii="Calibri" w:hAnsi="Calibri" w:cs="Calibri"/>
          <w:b/>
          <w:bCs/>
          <w:i/>
          <w:iCs/>
          <w:sz w:val="20"/>
          <w:szCs w:val="20"/>
        </w:rPr>
      </w:pPr>
      <w:bookmarkStart w:id="31" w:name="_AEIOULastRenderedPageBreakAEIOU27"/>
      <w:bookmarkEnd w:id="31"/>
      <w:r>
        <w:rPr>
          <w:rFonts w:ascii="Calibri" w:hAnsi="Calibri" w:cs="Calibri"/>
          <w:b/>
          <w:bCs/>
          <w:i/>
          <w:iCs/>
          <w:sz w:val="20"/>
          <w:szCs w:val="20"/>
        </w:rPr>
        <w:t>Acquisitions present many risks and we may not achieve the financial and strategic goals that were contemplated at the time of a transaction.</w:t>
      </w:r>
      <w:r>
        <w:rPr>
          <w:rFonts w:ascii="Calibri" w:hAnsi="Calibri" w:cs="Calibri"/>
          <w:sz w:val="20"/>
          <w:szCs w:val="20"/>
        </w:rPr>
        <w:t>     We continue to make strategic acquisitions of companies, products, services and technologies. We have a selective and active acquisition program and we expect to continue to make acquisitions in the future because acquisitions are an important element of our overall corporate strategy. Risks we may face in connection with our acquisition program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E189352" w14:textId="77777777">
        <w:tc>
          <w:tcPr>
            <w:tcW w:w="262" w:type="pct"/>
            <w:noWrap/>
            <w:hideMark/>
          </w:tcPr>
          <w:p w14:paraId="7C642C9D"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A1070F5"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3CA2C76"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ongoing business may be disrupted and our management’s attention may be diverted by acquisition, transition or integration activities;</w:t>
            </w:r>
          </w:p>
        </w:tc>
      </w:tr>
    </w:tbl>
    <w:p w14:paraId="5FD86C3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96EB354" w14:textId="77777777">
        <w:tc>
          <w:tcPr>
            <w:tcW w:w="262" w:type="pct"/>
            <w:noWrap/>
            <w:hideMark/>
          </w:tcPr>
          <w:p w14:paraId="0CBC08A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4A552AD"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561866B"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may have difficulties (1) managing an acquired company’s technologies or lines of business; (2) entering new markets where we have no, or limited, direct prior experience or where competitors may have stronger market positions; or (3) retaining key personnel from the acquired companies;</w:t>
            </w:r>
          </w:p>
        </w:tc>
      </w:tr>
    </w:tbl>
    <w:p w14:paraId="66E26C1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BDF2BA3" w14:textId="77777777">
        <w:tc>
          <w:tcPr>
            <w:tcW w:w="262" w:type="pct"/>
            <w:noWrap/>
            <w:hideMark/>
          </w:tcPr>
          <w:p w14:paraId="175A832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66566BA"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B22A9F6"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an acquisition may not further our business strategy as we expected, we may not integrate an acquired company or technology as successfully as we expected, we may impose our business practices or alter go-to-market strategies that adversely impact the acquired business or we may overpay for, or otherwise not realize the expected return on our investments, which could adversely affect our business or operating results and potentially cause impairment to assets that we recorded as a part of an acquisition including intangible assets and goodwill;</w:t>
            </w:r>
          </w:p>
        </w:tc>
      </w:tr>
    </w:tbl>
    <w:p w14:paraId="3B9A145C"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0DCFC5E" w14:textId="77777777">
        <w:tc>
          <w:tcPr>
            <w:tcW w:w="262" w:type="pct"/>
            <w:noWrap/>
            <w:hideMark/>
          </w:tcPr>
          <w:p w14:paraId="210BE8E9"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0F3042A"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5F3B112"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operating results or financial condition may be adversely impacted by (1) claims or liabilities that we assume from an acquired company or technology or that are otherwise related to an acquisition, including, among others, claims from government agencies, terminated employees, current or former customers, former stockholders or other third parties; (2) pre-existing contractual relationships that we assume from an acquired company that we would not have otherwise entered into, the termination or modification of which may be costly or disruptive to our business; (3) unfavorable revenue recognition or other accounting treatment as a result of an acquired company’s practices; and (4) intellectual property claims or disputes;</w:t>
            </w:r>
          </w:p>
        </w:tc>
      </w:tr>
    </w:tbl>
    <w:p w14:paraId="48CA9384"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CEE7D1D" w14:textId="77777777">
        <w:tc>
          <w:tcPr>
            <w:tcW w:w="262" w:type="pct"/>
            <w:noWrap/>
            <w:hideMark/>
          </w:tcPr>
          <w:p w14:paraId="1E8A01FA"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F7A9130"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C20AF37"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may fail to identify or assess the magnitude of certain liabilities, shortcomings or other circumstances prior to acquiring a company or technology, which could result in (1) unexpected litigation or regulatory exposure, (2) unfavorable accounting treatment, unexpected increases in taxes due, (3) the loss of anticipated tax benefits or (4) other adverse effects on our business, operating results or financial condition;</w:t>
            </w:r>
          </w:p>
        </w:tc>
      </w:tr>
    </w:tbl>
    <w:p w14:paraId="44429ADA"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4D2E47E" w14:textId="77777777">
        <w:tc>
          <w:tcPr>
            <w:tcW w:w="262" w:type="pct"/>
            <w:noWrap/>
            <w:hideMark/>
          </w:tcPr>
          <w:p w14:paraId="4A3B6474"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3898603"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DE7130F"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may not realize any anticipated increase in our revenues from an acquisition for a number of reasons, including (1) if a larger than predicted number of customers decline to renew cloud-based subscription contracts or license support or hardware support contracts, (2) if we are unable to sell the acquired products or service offerings to our customer base, (3) if acquired customers do not elect to purchase our technologies due to differing business practices or (4) if contract models utilized by an acquired company do not allow us to recognize revenues on a timely basis;</w:t>
            </w:r>
          </w:p>
        </w:tc>
      </w:tr>
    </w:tbl>
    <w:p w14:paraId="7994788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58F6F02" w14:textId="77777777">
        <w:tc>
          <w:tcPr>
            <w:tcW w:w="262" w:type="pct"/>
            <w:noWrap/>
            <w:hideMark/>
          </w:tcPr>
          <w:p w14:paraId="4FE0F38A"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3EBD1F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8E2F2F6"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may have difficulty incorporating acquired technologies, products, services and their related supply chain operations with our existing lines of business and supply chain infrastructure and maintaining uniform standards, architecture, controls, procedures and policies;</w:t>
            </w:r>
          </w:p>
        </w:tc>
      </w:tr>
    </w:tbl>
    <w:p w14:paraId="6AA25692"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91FC380" w14:textId="77777777">
        <w:tc>
          <w:tcPr>
            <w:tcW w:w="262" w:type="pct"/>
            <w:noWrap/>
            <w:hideMark/>
          </w:tcPr>
          <w:p w14:paraId="70E01DBD"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0E1E1C8"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49F94E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may have multiple product lines or services offerings as a result of our acquisitions that are offered, priced, delivered and supported differently, which could cause customer confusion and delays;</w:t>
            </w:r>
          </w:p>
        </w:tc>
      </w:tr>
    </w:tbl>
    <w:p w14:paraId="229BC2B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2D046C4" w14:textId="77777777">
        <w:tc>
          <w:tcPr>
            <w:tcW w:w="262" w:type="pct"/>
            <w:noWrap/>
            <w:hideMark/>
          </w:tcPr>
          <w:p w14:paraId="4C89CFAE"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DF120F3"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689E2D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may incur higher than anticipated costs (1) to support, develop and deliver acquired products or services, (2) for general and administrative functions that support new business models, or (3) to comply with regulations applicable to an acquired business that are more complicated than we had anticipated;</w:t>
            </w:r>
          </w:p>
        </w:tc>
      </w:tr>
    </w:tbl>
    <w:p w14:paraId="3B37C64A"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7D7EC8D" w14:textId="77777777">
        <w:tc>
          <w:tcPr>
            <w:tcW w:w="262" w:type="pct"/>
            <w:noWrap/>
            <w:hideMark/>
          </w:tcPr>
          <w:p w14:paraId="65BECCBD"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3C14FEA"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A23BB5F"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may be unable to obtain timely approvals from, or may otherwise have certain limitations, restrictions, penalties or other sanctions imposed on us by worker councils or similar bodies under applicable employment laws as a result of an acquisition, which could adversely affect our integration plans in certain jurisdictions and potentially increase our integration and restructuring expenses;</w:t>
            </w:r>
          </w:p>
        </w:tc>
      </w:tr>
    </w:tbl>
    <w:p w14:paraId="519AAA2C"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25</w:t>
      </w:r>
    </w:p>
    <w:p w14:paraId="357F48BB" w14:textId="77777777" w:rsidR="00251D72" w:rsidRDefault="00251D72">
      <w:pPr>
        <w:rPr>
          <w:rFonts w:ascii="Times New Roman" w:eastAsia="Times New Roman" w:hAnsi="Times New Roman" w:cs="Times New Roman"/>
          <w:sz w:val="24"/>
          <w:szCs w:val="24"/>
        </w:rPr>
      </w:pPr>
      <w:r>
        <w:rPr>
          <w:rFonts w:eastAsia="Times New Roman"/>
        </w:rPr>
        <w:pict w14:anchorId="35D0D297">
          <v:rect id="_x0000_i1051" style="width:415.3pt;height:1.5pt" o:hralign="center" o:hrstd="t" o:hr="t" fillcolor="#a0a0a0" stroked="f"/>
        </w:pict>
      </w:r>
    </w:p>
    <w:p w14:paraId="6F15F33D"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8216C0A"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53A7F4A" w14:textId="77777777" w:rsidR="00251D72" w:rsidRDefault="00251D72">
      <w:pPr>
        <w:pStyle w:val="a3"/>
        <w:spacing w:before="12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D7FD40B" w14:textId="77777777">
        <w:tc>
          <w:tcPr>
            <w:tcW w:w="262" w:type="pct"/>
            <w:noWrap/>
            <w:hideMark/>
          </w:tcPr>
          <w:p w14:paraId="60323AE8"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20ACE65"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39CB2AF" w14:textId="77777777" w:rsidR="00251D72" w:rsidRDefault="00251D72">
            <w:pPr>
              <w:pStyle w:val="a3"/>
              <w:spacing w:before="120" w:beforeAutospacing="0" w:after="0" w:afterAutospacing="0"/>
              <w:jc w:val="both"/>
              <w:rPr>
                <w:sz w:val="20"/>
                <w:szCs w:val="20"/>
              </w:rPr>
            </w:pPr>
            <w:bookmarkStart w:id="32" w:name="_AEIOULastRenderedPageBreakAEIOU28"/>
            <w:bookmarkEnd w:id="32"/>
            <w:r>
              <w:rPr>
                <w:rFonts w:ascii="Calibri" w:hAnsi="Calibri" w:cs="Calibri"/>
                <w:sz w:val="20"/>
                <w:szCs w:val="20"/>
              </w:rPr>
              <w:t>we may be unable to obtain required approvals from governmental authorities under competition and antitrust laws on a timely basis, if at all, which could, among other things, (1) delay or prevent us from completing a transaction, (2) adversely affect our integration plans in certain jurisdictions, (3) restrict our ability to realize the expected financial or strategic goals of an acquisition, or (4) have other adverse effects on our current business and operations;</w:t>
            </w:r>
          </w:p>
        </w:tc>
      </w:tr>
    </w:tbl>
    <w:p w14:paraId="0BF68D21"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F495C2A" w14:textId="77777777">
        <w:tc>
          <w:tcPr>
            <w:tcW w:w="262" w:type="pct"/>
            <w:noWrap/>
            <w:hideMark/>
          </w:tcPr>
          <w:p w14:paraId="0C90EA6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E7C5857"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355D7EC"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use of cash to pay for acquisitions may limit other potential uses of our cash, including (1) stock repurchases, (2) dividend payments and (3) retirement of outstanding indebtedness, among others;</w:t>
            </w:r>
          </w:p>
        </w:tc>
      </w:tr>
    </w:tbl>
    <w:p w14:paraId="7C61929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61A7A45" w14:textId="77777777">
        <w:tc>
          <w:tcPr>
            <w:tcW w:w="262" w:type="pct"/>
            <w:noWrap/>
            <w:hideMark/>
          </w:tcPr>
          <w:p w14:paraId="4641BB2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2B63477"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3079CE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may significantly increase our interest expense, leverage and debt service requirements if we incur additional debt to pay for an acquisition and we may have to delay or not proceed with a substantial acquisition if we cannot obtain the necessary funding to complete the acquisition in a timely manner or on favorable terms;</w:t>
            </w:r>
          </w:p>
        </w:tc>
      </w:tr>
    </w:tbl>
    <w:p w14:paraId="50D17FA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F8B877C" w14:textId="77777777">
        <w:tc>
          <w:tcPr>
            <w:tcW w:w="262" w:type="pct"/>
            <w:noWrap/>
            <w:hideMark/>
          </w:tcPr>
          <w:p w14:paraId="101C4C85"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8B04C08"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E618DD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to the extent that we issue a significant amount of equity securities in connection with future acquisitions, existing stockholders may be diluted and earnings per share may decrease; and</w:t>
            </w:r>
          </w:p>
        </w:tc>
      </w:tr>
    </w:tbl>
    <w:p w14:paraId="36D98F17"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1993B73" w14:textId="77777777">
        <w:tc>
          <w:tcPr>
            <w:tcW w:w="262" w:type="pct"/>
            <w:noWrap/>
            <w:hideMark/>
          </w:tcPr>
          <w:p w14:paraId="53534689"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CC5E62A"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F1B9E6C"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may experience additional or unexpected changes in how we are required to account for our acquisitions pursuant to U.S. generally accepted accounting principles, including arrangements that we may assume in an acquisition.</w:t>
            </w:r>
          </w:p>
        </w:tc>
      </w:tr>
    </w:tbl>
    <w:p w14:paraId="5E8A76A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occurrence of any of these risks could have a material adverse effect on our business, results of operations, financial condition or cash flows, particularly in the case of a larger acquisition or several concurrent acquisitions.</w:t>
      </w:r>
    </w:p>
    <w:p w14:paraId="00F7CB21"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Our hardware revenues and profitability have declined and could continue to decline.</w:t>
      </w:r>
      <w:r>
        <w:rPr>
          <w:rFonts w:ascii="Calibri" w:hAnsi="Calibri" w:cs="Calibri"/>
          <w:sz w:val="20"/>
          <w:szCs w:val="20"/>
        </w:rPr>
        <w:t xml:space="preserve">     Our hardware business may adversely affect our overall profitability. We may not achieve our estimated revenue, profit or other financial projections with respect to our hardware business in a timely manner or at all due to a number of factors, including:</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5CBF2E5" w14:textId="77777777">
        <w:tc>
          <w:tcPr>
            <w:tcW w:w="262" w:type="pct"/>
            <w:noWrap/>
            <w:hideMark/>
          </w:tcPr>
          <w:p w14:paraId="3D386344"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744FCF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CA9B685"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changes in hardware strategies, offerings and technologies which could adversely affect demand for our hardware products;</w:t>
            </w:r>
          </w:p>
        </w:tc>
      </w:tr>
    </w:tbl>
    <w:p w14:paraId="3C32084B"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69DEAD7F" w14:textId="77777777">
        <w:tc>
          <w:tcPr>
            <w:tcW w:w="262" w:type="pct"/>
            <w:noWrap/>
            <w:hideMark/>
          </w:tcPr>
          <w:p w14:paraId="6674FB90"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0E3A6BE"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880A24A"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our hardware business has higher expenses as a percentage of revenues, and thus has been less profitable, than our cloud and license business;</w:t>
            </w:r>
          </w:p>
        </w:tc>
      </w:tr>
    </w:tbl>
    <w:p w14:paraId="1EB2DF51"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47190C2" w14:textId="77777777">
        <w:tc>
          <w:tcPr>
            <w:tcW w:w="262" w:type="pct"/>
            <w:noWrap/>
            <w:hideMark/>
          </w:tcPr>
          <w:p w14:paraId="4F2DFBC5"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2208A23"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56024D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our focus on our more profitable Oracle Engineered Systems and the de-emphasis of our lower profit margin commodity hardware products could adversely affect our hardware revenues; </w:t>
            </w:r>
          </w:p>
        </w:tc>
      </w:tr>
    </w:tbl>
    <w:p w14:paraId="43CB6813"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2B628344" w14:textId="77777777">
        <w:tc>
          <w:tcPr>
            <w:tcW w:w="262" w:type="pct"/>
            <w:noWrap/>
            <w:hideMark/>
          </w:tcPr>
          <w:p w14:paraId="6D6475A5"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202257D"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76511A3"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changes in strategies and frequency for the development and introduction of new versions or next generations of our hardware products could adversely affect our hardware revenues;</w:t>
            </w:r>
          </w:p>
        </w:tc>
      </w:tr>
    </w:tbl>
    <w:p w14:paraId="7D529480"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2D56BBF9" w14:textId="77777777">
        <w:tc>
          <w:tcPr>
            <w:tcW w:w="262" w:type="pct"/>
            <w:noWrap/>
            <w:hideMark/>
          </w:tcPr>
          <w:p w14:paraId="6417F9A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6D2090A"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2B1780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a greater risk of material charges that could adversely affect our operating results, such as potential write-downs and impairments of our inventories; higher warranty expenses than what we experience in our cloud and license and services businesses; and amortization and potential impairment of intangible assets associated with our hardware business;</w:t>
            </w:r>
          </w:p>
        </w:tc>
      </w:tr>
    </w:tbl>
    <w:p w14:paraId="73761CF7"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A7C2CB8" w14:textId="77777777">
        <w:tc>
          <w:tcPr>
            <w:tcW w:w="262" w:type="pct"/>
            <w:noWrap/>
            <w:hideMark/>
          </w:tcPr>
          <w:p w14:paraId="154223F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569CA4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68153E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decreased customer demand for related hardware support as hardware products approach the end of their useful lives could adversely affect our hardware revenues; and</w:t>
            </w:r>
          </w:p>
        </w:tc>
      </w:tr>
    </w:tbl>
    <w:p w14:paraId="58CC4EFB"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1339F01" w14:textId="77777777">
        <w:tc>
          <w:tcPr>
            <w:tcW w:w="262" w:type="pct"/>
            <w:noWrap/>
            <w:hideMark/>
          </w:tcPr>
          <w:p w14:paraId="30FEDF9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CD510C7"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4F1897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may acquire hardware companies that are strategically important to us but (1) operate in hardware businesses with historically lower operating margins than our own; (2) have different legacy business practices and go-to-market strategies than our own that we may alter as a part of our integration efforts, which may significantly impact our estimated revenues and profits from the acquired company; (3) leverage different platforms or competing technologies that we may encounter difficulties in integrating; or (4) utilize unique manufacturing processes that affect our ability to scale these acquired products within our own manufacturing operations.</w:t>
            </w:r>
          </w:p>
        </w:tc>
      </w:tr>
    </w:tbl>
    <w:p w14:paraId="4467BE1B"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26</w:t>
      </w:r>
    </w:p>
    <w:p w14:paraId="5AF4FC5B" w14:textId="77777777" w:rsidR="00251D72" w:rsidRDefault="00251D72">
      <w:pPr>
        <w:rPr>
          <w:rFonts w:ascii="Times New Roman" w:eastAsia="Times New Roman" w:hAnsi="Times New Roman" w:cs="Times New Roman"/>
          <w:sz w:val="24"/>
          <w:szCs w:val="24"/>
        </w:rPr>
      </w:pPr>
      <w:r>
        <w:rPr>
          <w:rFonts w:eastAsia="Times New Roman"/>
        </w:rPr>
        <w:pict w14:anchorId="272BBA35">
          <v:rect id="_x0000_i1052" style="width:415.3pt;height:1.5pt" o:hralign="center" o:hrstd="t" o:hr="t" fillcolor="#a0a0a0" stroked="f"/>
        </w:pict>
      </w:r>
    </w:p>
    <w:p w14:paraId="03821424"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04B5DD4"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65B630F" w14:textId="77777777" w:rsidR="00251D72" w:rsidRDefault="00251D72">
      <w:pPr>
        <w:pStyle w:val="a3"/>
        <w:spacing w:before="120" w:beforeAutospacing="0" w:after="0" w:afterAutospacing="0"/>
        <w:rPr>
          <w:sz w:val="20"/>
          <w:szCs w:val="20"/>
        </w:rPr>
      </w:pPr>
      <w:r>
        <w:rPr>
          <w:sz w:val="20"/>
          <w:szCs w:val="20"/>
        </w:rPr>
        <w:t> </w:t>
      </w:r>
    </w:p>
    <w:p w14:paraId="0AF41683" w14:textId="77777777" w:rsidR="00251D72" w:rsidRDefault="00251D72">
      <w:pPr>
        <w:pStyle w:val="a3"/>
        <w:spacing w:before="120" w:beforeAutospacing="0" w:after="0" w:afterAutospacing="0"/>
        <w:jc w:val="both"/>
        <w:rPr>
          <w:rFonts w:ascii="Calibri" w:hAnsi="Calibri" w:cs="Calibri"/>
          <w:b/>
          <w:bCs/>
          <w:i/>
          <w:iCs/>
          <w:sz w:val="20"/>
          <w:szCs w:val="20"/>
        </w:rPr>
      </w:pPr>
      <w:bookmarkStart w:id="33" w:name="_AEIOULastRenderedPageBreakAEIOU29"/>
      <w:bookmarkEnd w:id="33"/>
      <w:r>
        <w:rPr>
          <w:rFonts w:ascii="Calibri" w:hAnsi="Calibri" w:cs="Calibri"/>
          <w:b/>
          <w:bCs/>
          <w:i/>
          <w:iCs/>
          <w:sz w:val="20"/>
          <w:szCs w:val="20"/>
        </w:rPr>
        <w:t>Our hardware offerings are complex products, and if we cannot successfully manage this complexity, the results of our hardware business will suffer.</w:t>
      </w:r>
      <w:r>
        <w:rPr>
          <w:rFonts w:ascii="Calibri" w:hAnsi="Calibri" w:cs="Calibri"/>
          <w:sz w:val="20"/>
          <w:szCs w:val="20"/>
        </w:rPr>
        <w:t xml:space="preserve">     We depend on suppliers to develop, manufacture and deliver on a timely basis the necessary technologies and components for our hardware products, and there are some technologies and components that can only be purchased from a single vendor due to price, quality, technology, availability or other business constraints. As a result, our supply chain operations could be disrupted or negatively impacted by industry consolidation and component constraints or shortages, natural disasters, political unrest, port stoppages or other transportation disruptions or slowdowns, or other factors affecting the countries or regions where these single source component vendors are located or where the products are being shipped. We may be unable to purchase these items from the respective single vendors on acceptable terms or may experience significant shortages, delays or quality issues in the delivery of necessary technologies, parts or components from a particular vendor. If one or more of the risks described above occurs, our hardware business and related operating results could be materially and adversely affected.</w:t>
      </w:r>
    </w:p>
    <w:p w14:paraId="51104DD2"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We are susceptible to third-party manufacturing and logistics delays, which could result in the loss of sales and customers.</w:t>
      </w:r>
      <w:r>
        <w:rPr>
          <w:rFonts w:ascii="Calibri" w:hAnsi="Calibri" w:cs="Calibri"/>
          <w:sz w:val="20"/>
          <w:szCs w:val="20"/>
        </w:rPr>
        <w:t xml:space="preserve">     We outsource the manufacturing, assembly, delivery and technology or component design of certain of our hardware products to a variety of companies, many of which are located outside the U.S. If these partners experience production problems or delays or cannot meet our demand for products, we may not be able to find alternate manufacturing sources in a timely or cost-effective manner, if at all. Therefore, we continue to explore additional third-party manufacturing partners to drive supply chain continuity. This could cause the loss of sales and existing or potential customers, delayed revenue recognition or an increase in our hardware products expenses, all of which could adversely affect the margins of our hardware business.</w:t>
      </w:r>
    </w:p>
    <w:p w14:paraId="79864DE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These challenges and risks also exist when we acquire companies with hardware products and related supply chain operations. In some cases, we may be dependent, at least initially, on these acquired companies’ supply chain operations that we are less familiar with and thus we may be slower to adjust or react to these challenges and risks.</w:t>
      </w:r>
    </w:p>
    <w:p w14:paraId="30675DE0"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Our cloud and license, and hardware indirect sales channel could affect our future operating results.</w:t>
      </w:r>
      <w:r>
        <w:rPr>
          <w:rFonts w:ascii="Calibri" w:hAnsi="Calibri" w:cs="Calibri"/>
          <w:sz w:val="20"/>
          <w:szCs w:val="20"/>
        </w:rPr>
        <w:t xml:space="preserve">     Our cloud and license, and hardware indirect channel network is comprised primarily of resellers, system integrators/implementers, consultants, education providers, internet service providers, network integrators and independent software vendors. Our relationships with these channel participants are important elements of our cloud, software and hardware marketing and sales efforts. Our financial results could be adversely affected if our contracts with channel participants were terminated, if our relationships with channel participants were to deteriorate, if any of our competitors enter into strategic relationships with or acquire a significant channel participant, if the financial condition or operations of our channel participants were to weaken or if the level of demand for our channel participants’ products and services were to decrease. There can be no assurance that we will be successful in maintaining, expanding or developing our relationships with channel participants. If we are not successful, we may lose sales opportunities, customers and revenues.</w:t>
      </w:r>
    </w:p>
    <w:p w14:paraId="088934D1"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We may not be able to protect our intellectual property rights.</w:t>
      </w:r>
      <w:r>
        <w:rPr>
          <w:rFonts w:ascii="Calibri" w:hAnsi="Calibri" w:cs="Calibri"/>
          <w:sz w:val="20"/>
          <w:szCs w:val="20"/>
        </w:rPr>
        <w:t xml:space="preserve">     We rely on copyright, trademark, patent and trade secret laws, confidentiality procedures, controls and contractual commitments to protect our intellectual property rights. Despite our efforts, these protections may be limited. Unauthorized third parties may try to copy or reverse engineer portions of our products or otherwise obtain and use our intellectual property. Any patents owned by us may be invalidated, circumvented or challenged. Any of our pending or future patent applications, whether or not being currently challenged, may not be issued with the scope of the claims we seek, if at all. In addition, the laws of some countries do not provide the same level of protection of our intellectual property rights as do the laws and courts of the U.S. If we cannot protect our intellectual property rights against unauthorized copying or use, or other misappropriation, we may not remain competitive.</w:t>
      </w:r>
    </w:p>
    <w:p w14:paraId="12BBF29F"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27</w:t>
      </w:r>
    </w:p>
    <w:p w14:paraId="4F57762F" w14:textId="77777777" w:rsidR="00251D72" w:rsidRDefault="00251D72">
      <w:pPr>
        <w:rPr>
          <w:rFonts w:ascii="Times New Roman" w:eastAsia="Times New Roman" w:hAnsi="Times New Roman" w:cs="Times New Roman"/>
          <w:sz w:val="24"/>
          <w:szCs w:val="24"/>
        </w:rPr>
      </w:pPr>
      <w:r>
        <w:rPr>
          <w:rFonts w:eastAsia="Times New Roman"/>
        </w:rPr>
        <w:pict w14:anchorId="53934471">
          <v:rect id="_x0000_i1053" style="width:415.3pt;height:1.5pt" o:hralign="center" o:hrstd="t" o:hr="t" fillcolor="#a0a0a0" stroked="f"/>
        </w:pict>
      </w:r>
    </w:p>
    <w:p w14:paraId="695DBA4B"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BC0CB8D"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E4DC72D" w14:textId="77777777" w:rsidR="00251D72" w:rsidRDefault="00251D72">
      <w:pPr>
        <w:pStyle w:val="a3"/>
        <w:spacing w:before="120" w:beforeAutospacing="0" w:after="0" w:afterAutospacing="0"/>
        <w:rPr>
          <w:sz w:val="20"/>
          <w:szCs w:val="20"/>
        </w:rPr>
      </w:pPr>
      <w:r>
        <w:rPr>
          <w:sz w:val="20"/>
          <w:szCs w:val="20"/>
        </w:rPr>
        <w:t> </w:t>
      </w:r>
    </w:p>
    <w:p w14:paraId="48DED2DA" w14:textId="77777777" w:rsidR="00251D72" w:rsidRDefault="00251D72">
      <w:pPr>
        <w:pStyle w:val="a3"/>
        <w:spacing w:before="120" w:beforeAutospacing="0" w:after="0" w:afterAutospacing="0"/>
        <w:jc w:val="both"/>
        <w:rPr>
          <w:rFonts w:ascii="Calibri" w:hAnsi="Calibri" w:cs="Calibri"/>
          <w:b/>
          <w:bCs/>
          <w:i/>
          <w:iCs/>
          <w:sz w:val="20"/>
          <w:szCs w:val="20"/>
        </w:rPr>
      </w:pPr>
      <w:bookmarkStart w:id="34" w:name="_AEIOULastRenderedPageBreakAEIOU30"/>
      <w:bookmarkEnd w:id="34"/>
      <w:r>
        <w:rPr>
          <w:rFonts w:ascii="Calibri" w:hAnsi="Calibri" w:cs="Calibri"/>
          <w:b/>
          <w:bCs/>
          <w:i/>
          <w:iCs/>
          <w:sz w:val="20"/>
          <w:szCs w:val="20"/>
        </w:rPr>
        <w:t>Third parties have claimed, and in the future may claim, infringement or misuse of intellectual property rights and/or breach of license agreement provisions.</w:t>
      </w:r>
      <w:r>
        <w:rPr>
          <w:rFonts w:ascii="Calibri" w:hAnsi="Calibri" w:cs="Calibri"/>
          <w:sz w:val="20"/>
          <w:szCs w:val="20"/>
        </w:rPr>
        <w:t xml:space="preserve">     We periodically receive notices from, or have lawsuits filed against us by, others claiming infringement or other misuse of their intellectual property rights and/or breach of our agreements with them. These third parties include entities that do not have the capabilities to design, manufacture, or distribute products or services or that acquire intellectual property like patents for the sole purpose of monetizing their acquired intellectual property through asserting claims of infringement and misuse. We expect to continue to receive such claims as:</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24BCB272" w14:textId="77777777">
        <w:tc>
          <w:tcPr>
            <w:tcW w:w="262" w:type="pct"/>
            <w:noWrap/>
            <w:hideMark/>
          </w:tcPr>
          <w:p w14:paraId="274BD64E"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3693166"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598DF56"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we continue to expand into new businesses and acquire companies;</w:t>
            </w:r>
          </w:p>
        </w:tc>
      </w:tr>
    </w:tbl>
    <w:p w14:paraId="76168ED6"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6020D83" w14:textId="77777777">
        <w:tc>
          <w:tcPr>
            <w:tcW w:w="262" w:type="pct"/>
            <w:noWrap/>
            <w:hideMark/>
          </w:tcPr>
          <w:p w14:paraId="5A729643"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78FB5F2E"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E7F558E"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number of products and competitors in our industry segments grows;</w:t>
            </w:r>
          </w:p>
        </w:tc>
      </w:tr>
    </w:tbl>
    <w:p w14:paraId="27CD4E22"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2534EE12" w14:textId="77777777">
        <w:tc>
          <w:tcPr>
            <w:tcW w:w="262" w:type="pct"/>
            <w:noWrap/>
            <w:hideMark/>
          </w:tcPr>
          <w:p w14:paraId="0A3B2547"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1A11CDBE"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80EA74C"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use and support of third-party code (including open source code) becomes more prevalent in the industry;</w:t>
            </w:r>
          </w:p>
        </w:tc>
      </w:tr>
    </w:tbl>
    <w:p w14:paraId="7A9DEBB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12B3575" w14:textId="77777777">
        <w:tc>
          <w:tcPr>
            <w:tcW w:w="262" w:type="pct"/>
            <w:noWrap/>
            <w:hideMark/>
          </w:tcPr>
          <w:p w14:paraId="1769FBF8"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7F41D0D"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B0B7242"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volume of issued patents continues to increase; and</w:t>
            </w:r>
          </w:p>
        </w:tc>
      </w:tr>
    </w:tbl>
    <w:p w14:paraId="41AE770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D4EDE78" w14:textId="77777777">
        <w:tc>
          <w:tcPr>
            <w:tcW w:w="262" w:type="pct"/>
            <w:noWrap/>
            <w:hideMark/>
          </w:tcPr>
          <w:p w14:paraId="5D1A651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8A44F96"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28E047C"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non-practicing entities continue to assert intellectual property infringement in our industry segments.</w:t>
            </w:r>
          </w:p>
        </w:tc>
      </w:tr>
    </w:tbl>
    <w:p w14:paraId="25B957C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Responding to any such claim, regardless of its validity, could:</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7BB49AD" w14:textId="77777777">
        <w:tc>
          <w:tcPr>
            <w:tcW w:w="262" w:type="pct"/>
            <w:noWrap/>
            <w:hideMark/>
          </w:tcPr>
          <w:p w14:paraId="5268E08E"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1C7B8613"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9D33C40"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be time consuming, costly and result in litigation;</w:t>
            </w:r>
          </w:p>
        </w:tc>
      </w:tr>
    </w:tbl>
    <w:p w14:paraId="7706574C"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494B979" w14:textId="77777777">
        <w:tc>
          <w:tcPr>
            <w:tcW w:w="262" w:type="pct"/>
            <w:noWrap/>
            <w:hideMark/>
          </w:tcPr>
          <w:p w14:paraId="494FFC90"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1C990731"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5B5A557"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divert management’s time and attention from developing our business;</w:t>
            </w:r>
          </w:p>
        </w:tc>
      </w:tr>
    </w:tbl>
    <w:p w14:paraId="289C19A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ED6443A" w14:textId="77777777">
        <w:tc>
          <w:tcPr>
            <w:tcW w:w="262" w:type="pct"/>
            <w:noWrap/>
            <w:hideMark/>
          </w:tcPr>
          <w:p w14:paraId="07909BBF"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1B3A8D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460C0ED"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require us to pay monetary damages or enter into royalty and licensing agreements that we would not normally find acceptable;</w:t>
            </w:r>
          </w:p>
        </w:tc>
      </w:tr>
    </w:tbl>
    <w:p w14:paraId="3D042FE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22132820" w14:textId="77777777">
        <w:tc>
          <w:tcPr>
            <w:tcW w:w="262" w:type="pct"/>
            <w:noWrap/>
            <w:hideMark/>
          </w:tcPr>
          <w:p w14:paraId="64AF5C2E"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6703CAF"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AD4D59A"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require us to stop selling or to redesign certain of our products;</w:t>
            </w:r>
          </w:p>
        </w:tc>
      </w:tr>
    </w:tbl>
    <w:p w14:paraId="53F7096C"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E96A55D" w14:textId="77777777">
        <w:tc>
          <w:tcPr>
            <w:tcW w:w="262" w:type="pct"/>
            <w:noWrap/>
            <w:hideMark/>
          </w:tcPr>
          <w:p w14:paraId="47315E1C"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BF424E6"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038656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require us to release source code to third parties, possibly under open source license terms;</w:t>
            </w:r>
          </w:p>
        </w:tc>
      </w:tr>
    </w:tbl>
    <w:p w14:paraId="3452BA53"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2A71ADD9" w14:textId="77777777">
        <w:tc>
          <w:tcPr>
            <w:tcW w:w="262" w:type="pct"/>
            <w:noWrap/>
            <w:hideMark/>
          </w:tcPr>
          <w:p w14:paraId="64C2DE50"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2D78CF0"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2469FEA"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require us to satisfy indemnification obligations to our customers; or</w:t>
            </w:r>
          </w:p>
        </w:tc>
      </w:tr>
    </w:tbl>
    <w:p w14:paraId="66272F80"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66C342F9" w14:textId="77777777">
        <w:tc>
          <w:tcPr>
            <w:tcW w:w="262" w:type="pct"/>
            <w:noWrap/>
            <w:hideMark/>
          </w:tcPr>
          <w:p w14:paraId="0856414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701228D6"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3B58BDD"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otherwise adversely affect our business, results of operations, financial condition or cash flows.</w:t>
            </w:r>
          </w:p>
        </w:tc>
      </w:tr>
    </w:tbl>
    <w:p w14:paraId="6BED324E"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We may not receive significant revenues from our current research and development efforts for several years, if at all.</w:t>
      </w:r>
      <w:r>
        <w:rPr>
          <w:rFonts w:ascii="Calibri" w:hAnsi="Calibri" w:cs="Calibri"/>
          <w:sz w:val="20"/>
          <w:szCs w:val="20"/>
        </w:rPr>
        <w:t xml:space="preserve">     Developing our various product offerings is expensive and the investment in the development of these offerings often involves a long return on investment cycle. An important element of our corporate strategy is to continue to dedicate a significant amount of resources to research and development and related product and service opportunities both through internal investments and the acquisition of intellectual property from companies that we have acquired. Accelerated product and service introductions and short life cycles require high levels of expenditures for research and development that could adversely affect our operating results if not offset by revenue increases. We believe that we must continue to dedicate a significant amount of resources to our research and development efforts to maintain our competitive position. However, we do not expect to receive significant revenues from these investments for several years, if at all.</w:t>
      </w:r>
    </w:p>
    <w:p w14:paraId="05AFD11A"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Business disruptions could adversely affect our operating results.</w:t>
      </w:r>
      <w:r>
        <w:rPr>
          <w:rFonts w:ascii="Calibri" w:hAnsi="Calibri" w:cs="Calibri"/>
          <w:sz w:val="20"/>
          <w:szCs w:val="20"/>
        </w:rPr>
        <w:t xml:space="preserve">     A significant portion of our critical business operations are concentrated in a few geographic areas, some of which include emerging market international locations that may be less stable relative to running such business operations solely within the U.S. We are a highly automated business and a disruption or failure of our systems and processes could cause delays in completing sales, providing services, including some of our cloud offerings, and enabling a seamless customer experience with respect to our customer facing back office processes. A major earthquake or fire, political, social or other disruption to infrastructure that supports our operations or other catastrophic event or the effects of climate change (such as increased storm severity, drought and pandemics) that results in the destruction or disruption of any of our critical business or IT systems could severely affect our ability to conduct normal business operations and, as a result, our future operating results could be materially and adversely affected.</w:t>
      </w:r>
    </w:p>
    <w:p w14:paraId="44F5822D"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28</w:t>
      </w:r>
    </w:p>
    <w:p w14:paraId="198FC6E0" w14:textId="77777777" w:rsidR="00251D72" w:rsidRDefault="00251D72">
      <w:pPr>
        <w:rPr>
          <w:rFonts w:ascii="Times New Roman" w:eastAsia="Times New Roman" w:hAnsi="Times New Roman" w:cs="Times New Roman"/>
          <w:sz w:val="24"/>
          <w:szCs w:val="24"/>
        </w:rPr>
      </w:pPr>
      <w:r>
        <w:rPr>
          <w:rFonts w:eastAsia="Times New Roman"/>
        </w:rPr>
        <w:pict w14:anchorId="53B57DF0">
          <v:rect id="_x0000_i1054" style="width:415.3pt;height:1.5pt" o:hralign="center" o:hrstd="t" o:hr="t" fillcolor="#a0a0a0" stroked="f"/>
        </w:pict>
      </w:r>
    </w:p>
    <w:p w14:paraId="3BCD40A3"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C358F12"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DBE87EC" w14:textId="77777777" w:rsidR="00251D72" w:rsidRDefault="00251D72">
      <w:pPr>
        <w:pStyle w:val="a3"/>
        <w:spacing w:before="120" w:beforeAutospacing="0" w:after="0" w:afterAutospacing="0"/>
        <w:rPr>
          <w:sz w:val="20"/>
          <w:szCs w:val="20"/>
        </w:rPr>
      </w:pPr>
      <w:r>
        <w:rPr>
          <w:sz w:val="20"/>
          <w:szCs w:val="20"/>
        </w:rPr>
        <w:t> </w:t>
      </w:r>
    </w:p>
    <w:p w14:paraId="51712F2B" w14:textId="77777777" w:rsidR="00251D72" w:rsidRDefault="00251D72">
      <w:pPr>
        <w:pStyle w:val="a3"/>
        <w:spacing w:before="120" w:beforeAutospacing="0" w:after="0" w:afterAutospacing="0"/>
        <w:jc w:val="both"/>
        <w:rPr>
          <w:rFonts w:ascii="Calibri" w:hAnsi="Calibri" w:cs="Calibri"/>
          <w:b/>
          <w:bCs/>
          <w:i/>
          <w:iCs/>
          <w:sz w:val="20"/>
          <w:szCs w:val="20"/>
        </w:rPr>
      </w:pPr>
      <w:bookmarkStart w:id="35" w:name="_AEIOULastRenderedPageBreakAEIOU31"/>
      <w:bookmarkEnd w:id="35"/>
      <w:r>
        <w:rPr>
          <w:rFonts w:ascii="Calibri" w:hAnsi="Calibri" w:cs="Calibri"/>
          <w:b/>
          <w:bCs/>
          <w:i/>
          <w:iCs/>
          <w:sz w:val="20"/>
          <w:szCs w:val="20"/>
        </w:rPr>
        <w:t>Adverse litigation results could affect our business.</w:t>
      </w:r>
      <w:r>
        <w:rPr>
          <w:rFonts w:ascii="Calibri" w:hAnsi="Calibri" w:cs="Calibri"/>
          <w:sz w:val="20"/>
          <w:szCs w:val="20"/>
        </w:rPr>
        <w:t xml:space="preserve">     We are subject to various legal proceedings. Litigation can be lengthy, expensive and disruptive to our operations, and can divert our management’s attention away from running our core business. The results of our litigation also cannot be predicted with certainty. An adverse decision could result in monetary damages or injunctive relief that could affect our business, operating results or financial condition. Additional information regarding certain of the lawsuits we are involved in is discussed under Note 17 of Notes to Consolidated Financial Statements included elsewhere in this Annual Report.</w:t>
      </w:r>
    </w:p>
    <w:p w14:paraId="7E2B5491"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We may have exposure to additional tax liabilities.</w:t>
      </w:r>
      <w:r>
        <w:rPr>
          <w:rFonts w:ascii="Calibri" w:hAnsi="Calibri" w:cs="Calibri"/>
          <w:sz w:val="20"/>
          <w:szCs w:val="20"/>
        </w:rPr>
        <w:t xml:space="preserve">     As a multinational corporation, we are subject to income taxes as well as non-income based taxes, in both the U.S. and various foreign jurisdictions. Significant uncertainties exist with respect to the amount of our tax liabilities, including those arising from potential changes in laws in the countries in which we do business and the possibility of adverse determinations with respect to the application of existing laws. Many judgments are required in determining our worldwide provision for income taxes and other tax liabilities, and we are regularly under audit by tax authorities, which often do not agree with positions taken by us on our tax returns. Any unfavorable resolution of these uncertainties may have a significant adverse impact on our tax rate.</w:t>
      </w:r>
    </w:p>
    <w:p w14:paraId="5F58379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Increasingly, countries around the world are actively considering or have enacted changes in relevant tax, accounting and other laws, regulations and interpretations. In particular, the U.S. Tax Cuts and Jobs Act of 2017 (the Tax Act) significantly changed how corporations are taxed in the U.S., which has had and we expect will continue to have a meaningful impact on our provision for income taxes. Due to the complexity involved in applying the provisions of the Tax Act, we made reasonable estimates of the effects and recorded provisional amounts in our financial statements for the year ended May 31, 2018. The U.S. Treasury Department and the Internal Revenue Service (IRS), and other standards-setting bodies may issue guidance on how the provisions of the Tax Act will be applied that is different from our interpretation. The Tax Act requires complex computations not previously required or produced, and significant judgments and assumptions in the interpretation of the law were made in producing our provisional estimates. We have adjusted the provisional amounts and reflected the adjustments in our financial statements for the year ended May 31, 2019 based on the regulatory and other guidance issued to date by the Treasury Department and IRS, but also on judgments and assumptions where uncertainty continues to exist. Such uncertainty in the application of the Tax Act to our ongoing operations as well as possible adverse future law changes attributable to changes in the U.S. political environment could have an adverse impact on our future tax rate. </w:t>
      </w:r>
    </w:p>
    <w:p w14:paraId="565A3C1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Other countries also continue to consider enacting changes to their tax laws that could adversely affect us by increasing taxes imposed on our foreign subsidiaries, including changes in withholding tax regimes and the imposition of taxes targeted at certain technology businesses. More fundamentally, longstanding international tax principles that determine each country’s right to tax cross-border transactions are being reconsidered, creating significant uncertainty as to the future level of corporate income tax on our international operations. This re-examination is driven by a perceived need to provide greater taxing rights to market jurisdictions where customers or users are located. Various measures are being discussed, including adjustments to transfer pricing rules, limitations on deductions, and imposition of additional withholding taxes. </w:t>
      </w:r>
    </w:p>
    <w:p w14:paraId="5EC0A8E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As a part of our income tax structure, there are many intercompany transactions and calculations made in the ordinary course of business where the ultimate tax determination is uncertain. Our intercompany transfer pricing has been and is currently being reviewed by the IRS and by foreign tax jurisdictions and will likely be subject to additional audits in the future. Although we have negotiated a number of agreements with certain taxing jurisdictions, these agreements do not cover substantial elements of our transfer pricing. In recent periods, transfer pricing audits in many foreign jurisdictions have become increasingly contentious. Similarly, certain jurisdictions are increasingly raising concerns about certain withholding tax matters under current law. In addition, our provision for income taxes could be adversely affected by shifts of earnings from jurisdictions or regimes that have relatively lower statutory tax rates to those in which the rates are relatively higher.</w:t>
      </w:r>
    </w:p>
    <w:p w14:paraId="201BAE1C"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29</w:t>
      </w:r>
    </w:p>
    <w:p w14:paraId="60F33100" w14:textId="77777777" w:rsidR="00251D72" w:rsidRDefault="00251D72">
      <w:pPr>
        <w:rPr>
          <w:rFonts w:ascii="Times New Roman" w:eastAsia="Times New Roman" w:hAnsi="Times New Roman" w:cs="Times New Roman"/>
          <w:sz w:val="24"/>
          <w:szCs w:val="24"/>
        </w:rPr>
      </w:pPr>
      <w:r>
        <w:rPr>
          <w:rFonts w:eastAsia="Times New Roman"/>
        </w:rPr>
        <w:pict w14:anchorId="74AD46B0">
          <v:rect id="_x0000_i1055" style="width:415.3pt;height:1.5pt" o:hralign="center" o:hrstd="t" o:hr="t" fillcolor="#a0a0a0" stroked="f"/>
        </w:pict>
      </w:r>
    </w:p>
    <w:p w14:paraId="6CABBC1E"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135CB30D"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64DBFC7" w14:textId="77777777" w:rsidR="00251D72" w:rsidRDefault="00251D72">
      <w:pPr>
        <w:pStyle w:val="a3"/>
        <w:spacing w:before="120" w:beforeAutospacing="0" w:after="0" w:afterAutospacing="0"/>
        <w:rPr>
          <w:sz w:val="20"/>
          <w:szCs w:val="20"/>
        </w:rPr>
      </w:pPr>
      <w:r>
        <w:rPr>
          <w:sz w:val="20"/>
          <w:szCs w:val="20"/>
        </w:rPr>
        <w:t> </w:t>
      </w:r>
    </w:p>
    <w:p w14:paraId="4FC32F20" w14:textId="77777777" w:rsidR="00251D72" w:rsidRDefault="00251D72">
      <w:pPr>
        <w:pStyle w:val="a3"/>
        <w:spacing w:before="120" w:beforeAutospacing="0" w:after="0" w:afterAutospacing="0"/>
        <w:jc w:val="both"/>
        <w:rPr>
          <w:rFonts w:ascii="Calibri" w:hAnsi="Calibri" w:cs="Calibri"/>
          <w:sz w:val="20"/>
          <w:szCs w:val="20"/>
        </w:rPr>
      </w:pPr>
      <w:bookmarkStart w:id="36" w:name="_AEIOULastRenderedPageBreakAEIOU32"/>
      <w:bookmarkEnd w:id="36"/>
      <w:r>
        <w:rPr>
          <w:rFonts w:ascii="Calibri" w:hAnsi="Calibri" w:cs="Calibri"/>
          <w:sz w:val="20"/>
          <w:szCs w:val="20"/>
        </w:rPr>
        <w:t>We are also subject to non-income based taxes, such as payroll, sales, use, value-added, net worth, property and goods and services taxes, in both the U.S. and various foreign jurisdictions that have uncertain applicability to the businesses in which we are engaged. Although we believe that our income and non-income based tax estimates are reasonable, there is no assurance that the final determination of tax audits or tax disputes will not be different from what is reflected in our historical income tax provisions and accruals.</w:t>
      </w:r>
    </w:p>
    <w:p w14:paraId="0DF3C5CE"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Charges to earnings resulting from acquisitions may adversely affect our operating results.</w:t>
      </w:r>
      <w:r>
        <w:rPr>
          <w:rFonts w:ascii="Calibri" w:hAnsi="Calibri" w:cs="Calibri"/>
          <w:sz w:val="20"/>
          <w:szCs w:val="20"/>
        </w:rPr>
        <w:t xml:space="preserve">     Under business combination accounting standards pursuant to Accounting Standards Codification (ASC) 805, </w:t>
      </w:r>
      <w:r>
        <w:rPr>
          <w:rFonts w:ascii="Calibri" w:hAnsi="Calibri" w:cs="Calibri"/>
          <w:i/>
          <w:iCs/>
          <w:sz w:val="20"/>
          <w:szCs w:val="20"/>
        </w:rPr>
        <w:t>Business Combinations</w:t>
      </w:r>
      <w:r>
        <w:rPr>
          <w:rFonts w:ascii="Calibri" w:hAnsi="Calibri" w:cs="Calibri"/>
          <w:sz w:val="20"/>
          <w:szCs w:val="20"/>
        </w:rPr>
        <w:t>, we recognize the identifiable assets acquired, the liabilities assumed and any non-controlling interests in acquired companies generally at their acquisition date fair values and, in each case, separately from goodwill. Goodwill as of the acquisition date is measured as the excess amount of consideration transferred, which is also generally measured at fair value, and the net of the acquisition date amounts of the identifiable assets acquired and the liabilities assumed. Our estimates of fair value are based upon assumptions believed to be reasonable but which are inherently uncertain. After we complete an acquisition, the following factors could result in material charges and adversely affect our operating results and may adversely affect our cash flows:</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21BB8889" w14:textId="77777777">
        <w:tc>
          <w:tcPr>
            <w:tcW w:w="262" w:type="pct"/>
            <w:noWrap/>
            <w:hideMark/>
          </w:tcPr>
          <w:p w14:paraId="5BF827E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A1EDDD8"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D31920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costs incurred to combine the operations of companies we acquire, such as transitional employee expenses and employee retention, redeployment or relocation expenses;</w:t>
            </w:r>
          </w:p>
        </w:tc>
      </w:tr>
    </w:tbl>
    <w:p w14:paraId="3271A49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6E7812C5" w14:textId="77777777">
        <w:tc>
          <w:tcPr>
            <w:tcW w:w="262" w:type="pct"/>
            <w:noWrap/>
            <w:hideMark/>
          </w:tcPr>
          <w:p w14:paraId="4CC4373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1E87AE5F"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639477B"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impairment of goodwill or impairment of intangible assets;</w:t>
            </w:r>
          </w:p>
        </w:tc>
      </w:tr>
    </w:tbl>
    <w:p w14:paraId="0F750EA6"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7F1D2FF" w14:textId="77777777">
        <w:tc>
          <w:tcPr>
            <w:tcW w:w="262" w:type="pct"/>
            <w:noWrap/>
            <w:hideMark/>
          </w:tcPr>
          <w:p w14:paraId="18BFAC2E"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C3D2B31"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1AEBF6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amortization of intangible assets acquired;</w:t>
            </w:r>
          </w:p>
        </w:tc>
      </w:tr>
    </w:tbl>
    <w:p w14:paraId="23384ECA"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FFA04BC" w14:textId="77777777">
        <w:tc>
          <w:tcPr>
            <w:tcW w:w="262" w:type="pct"/>
            <w:noWrap/>
            <w:hideMark/>
          </w:tcPr>
          <w:p w14:paraId="4233602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7FD21B8"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503705A"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a reduction in the useful lives of intangible assets acquired;</w:t>
            </w:r>
          </w:p>
        </w:tc>
      </w:tr>
    </w:tbl>
    <w:p w14:paraId="35948A8C"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6BC0F87C" w14:textId="77777777">
        <w:tc>
          <w:tcPr>
            <w:tcW w:w="262" w:type="pct"/>
            <w:noWrap/>
            <w:hideMark/>
          </w:tcPr>
          <w:p w14:paraId="1E93E637"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AF39F27"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F2D667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identification of, or changes to, assumed contingent liabilities, both income tax and non-income tax related, after our final determination of the amounts for these contingencies or the conclusion of the measurement period (generally up to one year from the acquisition date), whichever comes first;</w:t>
            </w:r>
          </w:p>
        </w:tc>
      </w:tr>
    </w:tbl>
    <w:p w14:paraId="6509A6A7"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5F1C7AF" w14:textId="77777777">
        <w:tc>
          <w:tcPr>
            <w:tcW w:w="262" w:type="pct"/>
            <w:noWrap/>
            <w:hideMark/>
          </w:tcPr>
          <w:p w14:paraId="3E4B4D61"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9E44D9D"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68275E5"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charges to our operating results to maintain certain duplicative pre-merger activities for an extended period of time or to maintain these activities for a period of time that is longer than we had anticipated, charges to eliminate certain duplicative pre-merger activities, and charges to restructure our operations or to reduce our cost structure;</w:t>
            </w:r>
          </w:p>
        </w:tc>
      </w:tr>
    </w:tbl>
    <w:p w14:paraId="278630DC"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294488E4" w14:textId="77777777">
        <w:tc>
          <w:tcPr>
            <w:tcW w:w="262" w:type="pct"/>
            <w:noWrap/>
            <w:hideMark/>
          </w:tcPr>
          <w:p w14:paraId="620D28CF"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2DE3729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9AF686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charges to our operating results due to expenses incurred to effect the acquisition; and</w:t>
            </w:r>
          </w:p>
        </w:tc>
      </w:tr>
    </w:tbl>
    <w:p w14:paraId="45444E0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0D1BD76" w14:textId="77777777">
        <w:tc>
          <w:tcPr>
            <w:tcW w:w="262" w:type="pct"/>
            <w:noWrap/>
            <w:hideMark/>
          </w:tcPr>
          <w:p w14:paraId="687202AF"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78DDF0DA"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56DD001"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charges to our operating results due to the expensing of certain stock awards assumed in an acquisition.</w:t>
            </w:r>
          </w:p>
        </w:tc>
      </w:tr>
    </w:tbl>
    <w:p w14:paraId="595E1E8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Substantially all of these costs will be accounted for as expenses that will adversely impact our operating results for the periods in which those costs are incurred. Charges to our operating results in any given period could differ substantially from other periods based on the timing and size of our future acquisitions and the extent of integration activities. A more detailed discussion of our accounting for business combinations and other items is presented in the “Critical Accounting Policies and Estimates” section of Management’s Discussion and Analysis of Financial Condition and Results of Operations (Item 7) included elsewhere in this Annual Report.</w:t>
      </w:r>
    </w:p>
    <w:p w14:paraId="0AC5DF89"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There are risks associated with our outstanding and future indebtedness.</w:t>
      </w:r>
      <w:r>
        <w:rPr>
          <w:rFonts w:ascii="Calibri" w:hAnsi="Calibri" w:cs="Calibri"/>
          <w:sz w:val="20"/>
          <w:szCs w:val="20"/>
        </w:rPr>
        <w:t xml:space="preserve">     As of May 31, 2019, we had an aggregate of $56.3 billion of outstanding indebtedness that will mature between calendar year 2019 and calendar year 2055 and we may incur additional indebtedness in the future. Our ability to pay interest and repay the principal for our indebtedness is dependent upon our ability to manage our business operations, generate sufficient cash flows to service such debt and the other factors discussed in this section. There can be no assurance that we will be able to manage any of these risks successfully.</w:t>
      </w:r>
    </w:p>
    <w:p w14:paraId="641D50FA"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30</w:t>
      </w:r>
    </w:p>
    <w:p w14:paraId="53B8683A" w14:textId="77777777" w:rsidR="00251D72" w:rsidRDefault="00251D72">
      <w:pPr>
        <w:rPr>
          <w:rFonts w:ascii="Times New Roman" w:eastAsia="Times New Roman" w:hAnsi="Times New Roman" w:cs="Times New Roman"/>
          <w:sz w:val="24"/>
          <w:szCs w:val="24"/>
        </w:rPr>
      </w:pPr>
      <w:r>
        <w:rPr>
          <w:rFonts w:eastAsia="Times New Roman"/>
        </w:rPr>
        <w:pict w14:anchorId="367DBA5C">
          <v:rect id="_x0000_i1056" style="width:415.3pt;height:1.5pt" o:hralign="center" o:hrstd="t" o:hr="t" fillcolor="#a0a0a0" stroked="f"/>
        </w:pict>
      </w:r>
    </w:p>
    <w:p w14:paraId="64835801"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1DD3FD86"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8B1CB61" w14:textId="77777777" w:rsidR="00251D72" w:rsidRDefault="00251D72">
      <w:pPr>
        <w:pStyle w:val="a3"/>
        <w:spacing w:before="120" w:beforeAutospacing="0" w:after="0" w:afterAutospacing="0"/>
        <w:rPr>
          <w:sz w:val="20"/>
          <w:szCs w:val="20"/>
        </w:rPr>
      </w:pPr>
      <w:r>
        <w:rPr>
          <w:sz w:val="20"/>
          <w:szCs w:val="20"/>
        </w:rPr>
        <w:t> </w:t>
      </w:r>
    </w:p>
    <w:p w14:paraId="07D42FF1" w14:textId="77777777" w:rsidR="00251D72" w:rsidRDefault="00251D72">
      <w:pPr>
        <w:pStyle w:val="a3"/>
        <w:spacing w:before="120" w:beforeAutospacing="0" w:after="0" w:afterAutospacing="0"/>
        <w:jc w:val="both"/>
        <w:rPr>
          <w:rFonts w:ascii="Calibri" w:hAnsi="Calibri" w:cs="Calibri"/>
          <w:sz w:val="20"/>
          <w:szCs w:val="20"/>
        </w:rPr>
      </w:pPr>
      <w:bookmarkStart w:id="37" w:name="_AEIOULastRenderedPageBreakAEIOU33"/>
      <w:bookmarkEnd w:id="37"/>
      <w:r>
        <w:rPr>
          <w:rFonts w:ascii="Calibri" w:hAnsi="Calibri" w:cs="Calibri"/>
          <w:sz w:val="20"/>
          <w:szCs w:val="20"/>
        </w:rPr>
        <w:t xml:space="preserve">We may also need to refinance a portion of our outstanding debt as it matures. There is a risk that we may not be able to refinance existing debt or that the terms of any refinancing may not be as favorable as the terms of our existing debt. Furthermore, if prevailing interest rates or other factors at the time of refinancing result in higher interest rates upon refinancing, then the interest expense relating to that refinanced indebtedness would increase. </w:t>
      </w:r>
    </w:p>
    <w:p w14:paraId="723FF30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Should we incur future increases in interest expense, our ability to utilize certain of our foreign tax credits to reduce our U.S. federal income tax could be limited, which could unfavorably affect our provision for income taxes and effective tax rate. In addition, changes by any rating agency to our outlook or credit rating could negatively affect the value of both our debt and equity securities and increase the interest amounts we pay on certain outstanding or future debt. These risks could adversely affect our financial condition and results of operations.</w:t>
      </w:r>
    </w:p>
    <w:p w14:paraId="1A5A985A"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Environmental and other related laws and regulations subject us to a number of risks and could result in significant liabilities and costs.    </w:t>
      </w:r>
      <w:r>
        <w:rPr>
          <w:rFonts w:ascii="Calibri" w:hAnsi="Calibri" w:cs="Calibri"/>
          <w:sz w:val="20"/>
          <w:szCs w:val="20"/>
        </w:rPr>
        <w:t xml:space="preserve"> Some of our cloud and hardware operations are subject to state, federal and international laws governing protection of the environment, proper handling and disposal of materials used for these products, human health and safety, the use of certain chemical substances and the labor practices of suppliers, as well as local testing and labelling requirements. Compliance with these ever-changing environmental and other laws in a timely manner could increase our product design, development, procurement, manufacturing, delivery, cloud operations and administration costs, limit our ability to manage excess and obsolete non-compliant inventory, change our sales activities, or otherwise impact future financial results of our cloud and hardware businesses. Any violation of these laws can subject us to significant liability, including fines, penalties and possible prohibition of sales of our products and services into one or more states or countries and result in a material adverse effect on the financial condition or results of operations of our cloud and hardware businesses. Regulatory, market, and competitive pressures regarding the energy intensity and energy mix for our data center operations may also grow.</w:t>
      </w:r>
    </w:p>
    <w:p w14:paraId="20937BA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SEC has adopted disclosure requirements for companies that use certain “conflict minerals” (tantalum, tin, tungsten and gold) in their products. Our supply chain is multi-tiered, global and highly complex. As a provider of hardware end-products, we are several steps removed from the mining and smelting or refining of any conflict minerals in our supply chain. Accordingly, our ability to determine with certainty the origin and chain of custody of conflict minerals is limited. Our relationships with customers and suppliers could suffer if we are unable to describe our products as “conflict-free.” We may also face increased costs in complying with conflict minerals disclosure requirements.</w:t>
      </w:r>
    </w:p>
    <w:p w14:paraId="54FB900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 significant portion of our hardware revenues come from international sales. Environmental legislation, such as the EU Directive on Restriction of Hazardous Substances (RoHS), the EU Waste Electrical and Electronic Equipment Directive (WEEE Directive) and China’s regulation on Management Methods for Controlling Pollution Caused by Electronic Information Products, may increase our cost of doing business internationally and impact our hardware revenues from the EU, China and other countries with similar environmental legislation as we endeavor to comply with and implement these requirements. The cumulative impact of international environmental legislation could be significant.</w:t>
      </w:r>
    </w:p>
    <w:p w14:paraId="51D15EFE"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Our stock price could become more volatile and your investment could lose value.</w:t>
      </w:r>
      <w:r>
        <w:rPr>
          <w:rFonts w:ascii="Calibri" w:hAnsi="Calibri" w:cs="Calibri"/>
          <w:sz w:val="20"/>
          <w:szCs w:val="20"/>
        </w:rPr>
        <w:t xml:space="preserve">    All of the factors discussed in this section could affect our stock price. The timing of announcements in the public market by us or by our competitors regarding new products, product enhancements, technological advances, acquisitions or major transactions could also affect our stock price. Changes in the amounts and frequency of share repurchases or dividends could affect our stock price. Our stock price could also be affected by factors, some of which are beyond our control, including, among others: speculation in the press and the analyst community, changes in recommendations or earnings estimates by financial analysts, changes in investors’ or analysts’ valuation measures for our stock, earnings announcements where our financial results differ from our guidance or investors’ expectations, our credit ratings and market trends unrelated to our performance. A significant drop in our stock price could also expose us to the risk of securities class action lawsuits, which could result in substantial costs and divert management’s attention and resources, which could adversely affect our business.</w:t>
      </w:r>
    </w:p>
    <w:p w14:paraId="6836192D"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31</w:t>
      </w:r>
    </w:p>
    <w:p w14:paraId="7E70CA8E" w14:textId="77777777" w:rsidR="00251D72" w:rsidRDefault="00251D72">
      <w:pPr>
        <w:rPr>
          <w:rFonts w:ascii="Times New Roman" w:eastAsia="Times New Roman" w:hAnsi="Times New Roman" w:cs="Times New Roman"/>
          <w:sz w:val="24"/>
          <w:szCs w:val="24"/>
        </w:rPr>
      </w:pPr>
      <w:r>
        <w:rPr>
          <w:rFonts w:eastAsia="Times New Roman"/>
        </w:rPr>
        <w:pict w14:anchorId="10632EF8">
          <v:rect id="_x0000_i1057" style="width:415.3pt;height:1.5pt" o:hralign="center" o:hrstd="t" o:hr="t" fillcolor="#a0a0a0" stroked="f"/>
        </w:pict>
      </w:r>
    </w:p>
    <w:p w14:paraId="4817A96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ECB1CDA"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11EACC3" w14:textId="77777777" w:rsidR="00251D72" w:rsidRDefault="00251D72">
      <w:pPr>
        <w:pStyle w:val="a3"/>
        <w:spacing w:before="120" w:beforeAutospacing="0" w:after="0" w:afterAutospacing="0"/>
        <w:rPr>
          <w:sz w:val="20"/>
          <w:szCs w:val="20"/>
        </w:rPr>
      </w:pPr>
      <w:r>
        <w:rPr>
          <w:sz w:val="20"/>
          <w:szCs w:val="20"/>
        </w:rPr>
        <w:t> </w:t>
      </w:r>
    </w:p>
    <w:p w14:paraId="70D69F4F" w14:textId="77777777" w:rsidR="00251D72" w:rsidRDefault="00251D72">
      <w:pPr>
        <w:pStyle w:val="a3"/>
        <w:spacing w:before="120" w:beforeAutospacing="0" w:after="0" w:afterAutospacing="0"/>
        <w:jc w:val="both"/>
        <w:rPr>
          <w:rFonts w:ascii="Calibri" w:hAnsi="Calibri" w:cs="Calibri"/>
          <w:b/>
          <w:bCs/>
          <w:i/>
          <w:iCs/>
          <w:sz w:val="20"/>
          <w:szCs w:val="20"/>
        </w:rPr>
      </w:pPr>
      <w:bookmarkStart w:id="38" w:name="_AEIOULastRenderedPageBreakAEIOU34"/>
      <w:bookmarkEnd w:id="38"/>
      <w:r>
        <w:rPr>
          <w:rFonts w:ascii="Calibri" w:hAnsi="Calibri" w:cs="Calibri"/>
          <w:b/>
          <w:bCs/>
          <w:i/>
          <w:iCs/>
          <w:sz w:val="20"/>
          <w:szCs w:val="20"/>
        </w:rPr>
        <w:t xml:space="preserve">We cannot guarantee that our stock repurchase program will be fully implemented or that it will enhance long-term stockholder value.   </w:t>
      </w:r>
      <w:r>
        <w:rPr>
          <w:rFonts w:ascii="Calibri" w:hAnsi="Calibri" w:cs="Calibri"/>
          <w:sz w:val="20"/>
          <w:szCs w:val="20"/>
        </w:rPr>
        <w:t>In fiscal 2019, our Board of Directors approved expansions of our stock repurchase program totaling $24.0 billion. The repurchase program does not have an expiration date and we are not obligated to repurchase a specified number or dollar value of shares. Our repurchase program may be suspended or terminated at any time and, even if fully implemented, may not enhance long-term stockholder value.</w:t>
      </w:r>
    </w:p>
    <w:tbl>
      <w:tblPr>
        <w:tblW w:w="5000" w:type="pct"/>
        <w:tblCellMar>
          <w:left w:w="0" w:type="dxa"/>
          <w:right w:w="0" w:type="dxa"/>
        </w:tblCellMar>
        <w:tblLook w:val="04A0" w:firstRow="1" w:lastRow="0" w:firstColumn="1" w:lastColumn="0" w:noHBand="0" w:noVBand="1"/>
      </w:tblPr>
      <w:tblGrid>
        <w:gridCol w:w="699"/>
        <w:gridCol w:w="7607"/>
      </w:tblGrid>
      <w:tr w:rsidR="00251D72" w14:paraId="476D8216" w14:textId="77777777">
        <w:tc>
          <w:tcPr>
            <w:tcW w:w="213" w:type="pct"/>
            <w:noWrap/>
            <w:hideMark/>
          </w:tcPr>
          <w:p w14:paraId="74AA9E2B"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1B.</w:t>
            </w:r>
          </w:p>
        </w:tc>
        <w:tc>
          <w:tcPr>
            <w:tcW w:w="0" w:type="auto"/>
            <w:hideMark/>
          </w:tcPr>
          <w:p w14:paraId="5082DD38" w14:textId="77777777" w:rsidR="00251D72" w:rsidRDefault="00251D72">
            <w:pPr>
              <w:pStyle w:val="a3"/>
              <w:spacing w:before="240" w:beforeAutospacing="0" w:after="0" w:afterAutospacing="0"/>
              <w:jc w:val="both"/>
              <w:rPr>
                <w:rFonts w:ascii="Calibri" w:hAnsi="Calibri" w:cs="Calibri"/>
                <w:b/>
                <w:bCs/>
                <w:sz w:val="20"/>
                <w:szCs w:val="20"/>
              </w:rPr>
            </w:pPr>
            <w:bookmarkStart w:id="39" w:name="ITEM_1B_UNRESOLVED_STAFF_COMMENTS"/>
            <w:bookmarkEnd w:id="39"/>
            <w:r>
              <w:rPr>
                <w:rFonts w:ascii="Calibri" w:hAnsi="Calibri" w:cs="Calibri"/>
                <w:b/>
                <w:bCs/>
                <w:sz w:val="20"/>
                <w:szCs w:val="20"/>
              </w:rPr>
              <w:t>Unresolved Staff Comments</w:t>
            </w:r>
          </w:p>
        </w:tc>
      </w:tr>
    </w:tbl>
    <w:p w14:paraId="4F24708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None. </w:t>
      </w:r>
    </w:p>
    <w:tbl>
      <w:tblPr>
        <w:tblW w:w="5000" w:type="pct"/>
        <w:tblCellMar>
          <w:left w:w="0" w:type="dxa"/>
          <w:right w:w="0" w:type="dxa"/>
        </w:tblCellMar>
        <w:tblLook w:val="04A0" w:firstRow="1" w:lastRow="0" w:firstColumn="1" w:lastColumn="0" w:noHBand="0" w:noVBand="1"/>
      </w:tblPr>
      <w:tblGrid>
        <w:gridCol w:w="587"/>
        <w:gridCol w:w="7719"/>
      </w:tblGrid>
      <w:tr w:rsidR="00251D72" w14:paraId="24CA5FFB" w14:textId="77777777">
        <w:tc>
          <w:tcPr>
            <w:tcW w:w="213" w:type="pct"/>
            <w:noWrap/>
            <w:hideMark/>
          </w:tcPr>
          <w:p w14:paraId="43FE4336"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2.</w:t>
            </w:r>
          </w:p>
        </w:tc>
        <w:tc>
          <w:tcPr>
            <w:tcW w:w="0" w:type="auto"/>
            <w:hideMark/>
          </w:tcPr>
          <w:p w14:paraId="0C6549BC" w14:textId="77777777" w:rsidR="00251D72" w:rsidRDefault="00251D72">
            <w:pPr>
              <w:pStyle w:val="a3"/>
              <w:spacing w:before="240" w:beforeAutospacing="0" w:after="0" w:afterAutospacing="0"/>
              <w:jc w:val="both"/>
              <w:rPr>
                <w:rFonts w:ascii="Calibri" w:hAnsi="Calibri" w:cs="Calibri"/>
                <w:b/>
                <w:bCs/>
                <w:sz w:val="20"/>
                <w:szCs w:val="20"/>
              </w:rPr>
            </w:pPr>
            <w:bookmarkStart w:id="40" w:name="ITEM_2_PROPERTIES"/>
            <w:bookmarkEnd w:id="40"/>
            <w:r>
              <w:rPr>
                <w:rFonts w:ascii="Calibri" w:hAnsi="Calibri" w:cs="Calibri"/>
                <w:b/>
                <w:bCs/>
                <w:sz w:val="20"/>
                <w:szCs w:val="20"/>
              </w:rPr>
              <w:t>Properties</w:t>
            </w:r>
          </w:p>
        </w:tc>
      </w:tr>
    </w:tbl>
    <w:p w14:paraId="02D0D9E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properties consist of owned and leased office facilities for sales, support, research and development, services, manufacturing, cloud operations and administrative and other functions. Our headquarters facility consists of approximately 2.1 million square feet in Redwood City, California, substantially all of which we own. We also own or lease other facilities for current use consisting of approximately 27.7 million square feet in various other locations in the U.S. and abroad. Approximately 3.1 million square feet, or 10%, of our total owned and leased space is sublet or is being actively marketed for sublease or disposition. We lease our principal internal manufacturing facility for our hardware products in Hillsboro, Oregon. Our cloud operations deliver our Oracle Cloud Services through the use of global data centers including those that we own and operate and those that we utilize through colocation suppliers. We believe that our facilities are in good condition and suitable for the conduct of our business. </w:t>
      </w:r>
    </w:p>
    <w:tbl>
      <w:tblPr>
        <w:tblW w:w="5000" w:type="pct"/>
        <w:tblCellMar>
          <w:left w:w="0" w:type="dxa"/>
          <w:right w:w="0" w:type="dxa"/>
        </w:tblCellMar>
        <w:tblLook w:val="04A0" w:firstRow="1" w:lastRow="0" w:firstColumn="1" w:lastColumn="0" w:noHBand="0" w:noVBand="1"/>
      </w:tblPr>
      <w:tblGrid>
        <w:gridCol w:w="587"/>
        <w:gridCol w:w="7719"/>
      </w:tblGrid>
      <w:tr w:rsidR="00251D72" w14:paraId="7BA67DBB" w14:textId="77777777">
        <w:tc>
          <w:tcPr>
            <w:tcW w:w="213" w:type="pct"/>
            <w:noWrap/>
            <w:hideMark/>
          </w:tcPr>
          <w:p w14:paraId="21436156"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3.</w:t>
            </w:r>
          </w:p>
        </w:tc>
        <w:tc>
          <w:tcPr>
            <w:tcW w:w="0" w:type="auto"/>
            <w:hideMark/>
          </w:tcPr>
          <w:p w14:paraId="30F9D67E" w14:textId="77777777" w:rsidR="00251D72" w:rsidRDefault="00251D72">
            <w:pPr>
              <w:pStyle w:val="a3"/>
              <w:spacing w:before="240" w:beforeAutospacing="0" w:after="0" w:afterAutospacing="0"/>
              <w:jc w:val="both"/>
              <w:rPr>
                <w:rFonts w:ascii="Calibri" w:hAnsi="Calibri" w:cs="Calibri"/>
                <w:b/>
                <w:bCs/>
                <w:sz w:val="20"/>
                <w:szCs w:val="20"/>
              </w:rPr>
            </w:pPr>
            <w:bookmarkStart w:id="41" w:name="ITEM_3_LEGAL_PROCEEDINGS"/>
            <w:bookmarkEnd w:id="41"/>
            <w:r>
              <w:rPr>
                <w:rFonts w:ascii="Calibri" w:hAnsi="Calibri" w:cs="Calibri"/>
                <w:b/>
                <w:bCs/>
                <w:sz w:val="20"/>
                <w:szCs w:val="20"/>
              </w:rPr>
              <w:t>Legal Proceedings</w:t>
            </w:r>
          </w:p>
        </w:tc>
      </w:tr>
    </w:tbl>
    <w:p w14:paraId="3D32669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material set forth in Note 14 (pertaining to information regarding contingencies related to our income taxes) and Note 17 (pertaining to information regarding legal contingencies) of Notes to Consolidated Financial Statements in Item 15 of this Annual Report on Form 10-K is incorporated herein by reference.</w:t>
      </w:r>
    </w:p>
    <w:tbl>
      <w:tblPr>
        <w:tblW w:w="5000" w:type="pct"/>
        <w:tblCellMar>
          <w:left w:w="0" w:type="dxa"/>
          <w:right w:w="0" w:type="dxa"/>
        </w:tblCellMar>
        <w:tblLook w:val="04A0" w:firstRow="1" w:lastRow="0" w:firstColumn="1" w:lastColumn="0" w:noHBand="0" w:noVBand="1"/>
      </w:tblPr>
      <w:tblGrid>
        <w:gridCol w:w="587"/>
        <w:gridCol w:w="7719"/>
      </w:tblGrid>
      <w:tr w:rsidR="00251D72" w14:paraId="23207210" w14:textId="77777777">
        <w:tc>
          <w:tcPr>
            <w:tcW w:w="213" w:type="pct"/>
            <w:noWrap/>
            <w:hideMark/>
          </w:tcPr>
          <w:p w14:paraId="5196B23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4.</w:t>
            </w:r>
          </w:p>
        </w:tc>
        <w:tc>
          <w:tcPr>
            <w:tcW w:w="0" w:type="auto"/>
            <w:hideMark/>
          </w:tcPr>
          <w:p w14:paraId="1D3F5EB1" w14:textId="77777777" w:rsidR="00251D72" w:rsidRDefault="00251D72">
            <w:pPr>
              <w:pStyle w:val="a3"/>
              <w:spacing w:before="240" w:beforeAutospacing="0" w:after="0" w:afterAutospacing="0"/>
              <w:jc w:val="both"/>
              <w:rPr>
                <w:rFonts w:ascii="Calibri" w:hAnsi="Calibri" w:cs="Calibri"/>
                <w:b/>
                <w:bCs/>
                <w:sz w:val="20"/>
                <w:szCs w:val="20"/>
              </w:rPr>
            </w:pPr>
            <w:bookmarkStart w:id="42" w:name="ITEM_4_MINE_SAFETY_DISCLOSURES"/>
            <w:bookmarkEnd w:id="42"/>
            <w:r>
              <w:rPr>
                <w:rFonts w:ascii="Calibri" w:hAnsi="Calibri" w:cs="Calibri"/>
                <w:b/>
                <w:bCs/>
                <w:sz w:val="20"/>
                <w:szCs w:val="20"/>
              </w:rPr>
              <w:t>Mine Safety Disclosures</w:t>
            </w:r>
          </w:p>
        </w:tc>
      </w:tr>
    </w:tbl>
    <w:p w14:paraId="2EC4876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Not applicable. </w:t>
      </w:r>
    </w:p>
    <w:p w14:paraId="448B9871" w14:textId="77777777" w:rsidR="00251D72" w:rsidRDefault="00251D72">
      <w:pPr>
        <w:pStyle w:val="a3"/>
        <w:spacing w:before="120" w:beforeAutospacing="0" w:after="0" w:afterAutospacing="0"/>
        <w:jc w:val="both"/>
        <w:rPr>
          <w:sz w:val="20"/>
          <w:szCs w:val="20"/>
        </w:rPr>
      </w:pPr>
      <w:r>
        <w:rPr>
          <w:sz w:val="20"/>
          <w:szCs w:val="20"/>
        </w:rPr>
        <w:t> </w:t>
      </w:r>
    </w:p>
    <w:p w14:paraId="3A6403F6"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32</w:t>
      </w:r>
    </w:p>
    <w:p w14:paraId="29F8D733" w14:textId="77777777" w:rsidR="00251D72" w:rsidRDefault="00251D72">
      <w:pPr>
        <w:rPr>
          <w:rFonts w:ascii="Times New Roman" w:eastAsia="Times New Roman" w:hAnsi="Times New Roman" w:cs="Times New Roman"/>
          <w:sz w:val="24"/>
          <w:szCs w:val="24"/>
        </w:rPr>
      </w:pPr>
      <w:r>
        <w:rPr>
          <w:rFonts w:eastAsia="Times New Roman"/>
        </w:rPr>
        <w:pict w14:anchorId="480DA7E0">
          <v:rect id="_x0000_i1058" style="width:415.3pt;height:1.5pt" o:hralign="center" o:hrstd="t" o:hr="t" fillcolor="#a0a0a0" stroked="f"/>
        </w:pict>
      </w:r>
    </w:p>
    <w:p w14:paraId="4A64896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DF8385F"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69742F9" w14:textId="77777777" w:rsidR="00251D72" w:rsidRDefault="00251D72">
      <w:pPr>
        <w:pStyle w:val="a3"/>
        <w:spacing w:before="120" w:beforeAutospacing="0" w:after="0" w:afterAutospacing="0"/>
        <w:rPr>
          <w:sz w:val="20"/>
          <w:szCs w:val="20"/>
        </w:rPr>
      </w:pPr>
      <w:r>
        <w:rPr>
          <w:sz w:val="20"/>
          <w:szCs w:val="20"/>
        </w:rPr>
        <w:t> </w:t>
      </w:r>
    </w:p>
    <w:p w14:paraId="73F0EF3E" w14:textId="77777777" w:rsidR="00251D72" w:rsidRDefault="00251D72">
      <w:pPr>
        <w:pStyle w:val="a3"/>
        <w:spacing w:before="0" w:beforeAutospacing="0" w:after="0" w:afterAutospacing="0"/>
        <w:jc w:val="both"/>
        <w:rPr>
          <w:rFonts w:ascii="Calibri" w:hAnsi="Calibri" w:cs="Calibri"/>
          <w:b/>
          <w:bCs/>
          <w:sz w:val="20"/>
          <w:szCs w:val="20"/>
        </w:rPr>
      </w:pPr>
      <w:bookmarkStart w:id="43" w:name="_AEIOULastRenderedPageBreakAEIOU35"/>
      <w:bookmarkStart w:id="44" w:name="PART_II"/>
      <w:bookmarkEnd w:id="43"/>
      <w:bookmarkEnd w:id="44"/>
      <w:r>
        <w:rPr>
          <w:rFonts w:ascii="Calibri" w:hAnsi="Calibri" w:cs="Calibri"/>
          <w:b/>
          <w:bCs/>
          <w:sz w:val="20"/>
          <w:szCs w:val="20"/>
        </w:rPr>
        <w:t>PART II</w:t>
      </w:r>
    </w:p>
    <w:tbl>
      <w:tblPr>
        <w:tblW w:w="5000" w:type="pct"/>
        <w:tblCellMar>
          <w:left w:w="0" w:type="dxa"/>
          <w:right w:w="0" w:type="dxa"/>
        </w:tblCellMar>
        <w:tblLook w:val="04A0" w:firstRow="1" w:lastRow="0" w:firstColumn="1" w:lastColumn="0" w:noHBand="0" w:noVBand="1"/>
      </w:tblPr>
      <w:tblGrid>
        <w:gridCol w:w="587"/>
        <w:gridCol w:w="7719"/>
      </w:tblGrid>
      <w:tr w:rsidR="00251D72" w14:paraId="59DA4157" w14:textId="77777777">
        <w:tc>
          <w:tcPr>
            <w:tcW w:w="213" w:type="pct"/>
            <w:noWrap/>
            <w:hideMark/>
          </w:tcPr>
          <w:p w14:paraId="7D1724D7"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Item 5.</w:t>
            </w:r>
          </w:p>
        </w:tc>
        <w:tc>
          <w:tcPr>
            <w:tcW w:w="0" w:type="auto"/>
            <w:hideMark/>
          </w:tcPr>
          <w:p w14:paraId="7BED4E1A" w14:textId="77777777" w:rsidR="00251D72" w:rsidRDefault="00251D72">
            <w:pPr>
              <w:pStyle w:val="a3"/>
              <w:spacing w:before="120" w:beforeAutospacing="0" w:after="0" w:afterAutospacing="0"/>
              <w:jc w:val="both"/>
              <w:rPr>
                <w:rFonts w:ascii="Calibri" w:hAnsi="Calibri" w:cs="Calibri"/>
                <w:b/>
                <w:bCs/>
                <w:sz w:val="20"/>
                <w:szCs w:val="20"/>
              </w:rPr>
            </w:pPr>
            <w:bookmarkStart w:id="45" w:name="ITEM_5_MARKET_FOR_REGISTRANTS_COMMON_EQU"/>
            <w:bookmarkEnd w:id="45"/>
            <w:r>
              <w:rPr>
                <w:rFonts w:ascii="Calibri" w:hAnsi="Calibri" w:cs="Calibri"/>
                <w:b/>
                <w:bCs/>
                <w:sz w:val="20"/>
                <w:szCs w:val="20"/>
              </w:rPr>
              <w:t>Market for Registrant’s Common Equity, Related Stockholder</w:t>
            </w:r>
            <w:r>
              <w:rPr>
                <w:rFonts w:ascii="Calibri" w:hAnsi="Calibri" w:cs="Calibri"/>
                <w:sz w:val="20"/>
                <w:szCs w:val="20"/>
              </w:rPr>
              <w:t xml:space="preserve"> </w:t>
            </w:r>
            <w:r>
              <w:rPr>
                <w:rFonts w:ascii="Calibri" w:hAnsi="Calibri" w:cs="Calibri"/>
                <w:b/>
                <w:bCs/>
                <w:sz w:val="20"/>
                <w:szCs w:val="20"/>
              </w:rPr>
              <w:t>Matters and Issuer Purchases of Equity Securities</w:t>
            </w:r>
          </w:p>
        </w:tc>
      </w:tr>
    </w:tbl>
    <w:p w14:paraId="2509973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common stock is traded on the New York Stock Exchange under the symbol “ORCL.” According to the records of our transfer agent, we had 8,970 stockholders of record as of May 31, 2019. </w:t>
      </w:r>
    </w:p>
    <w:p w14:paraId="7BFB3FC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For equity compensation plan information, please refer to Item 12 in Part III of this Annual Report.</w:t>
      </w:r>
    </w:p>
    <w:p w14:paraId="70CA4F24"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Stock Repurchase Program</w:t>
      </w:r>
    </w:p>
    <w:p w14:paraId="1C4B0B8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On September 17, 2018 and February 15, 2019, we announced that our Board of Directors approved expansions of our stock repurchase program totaling $24.0 billion. As of May 31, 2019, approximately $5.8 billion remained available for stock repurchases pursuant to our stock repurchase program. </w:t>
      </w:r>
    </w:p>
    <w:p w14:paraId="0606A9E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needs, our cash requirements for acquisitions and dividend payments, our debt repayment obligations or repurchases of our debt, our stock price, and economic and market conditions. Our stock repurchases may be effected from time to time through open market purchases or pursuant to a Rule 10b5-1 plan. Our stock repurchase program may be accelerated, suspended, delayed or discontinued at any time.</w:t>
      </w:r>
    </w:p>
    <w:p w14:paraId="48B053D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following table summarizes the stock repurchase activity for the three months ended May 31, 2019 and the approximate dollar value of shares that may yet be purchased pursuant to our stock repurchase program:</w:t>
      </w:r>
    </w:p>
    <w:p w14:paraId="2F8E1C6E"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2682"/>
        <w:gridCol w:w="104"/>
        <w:gridCol w:w="73"/>
        <w:gridCol w:w="1083"/>
        <w:gridCol w:w="64"/>
        <w:gridCol w:w="104"/>
        <w:gridCol w:w="118"/>
        <w:gridCol w:w="1092"/>
        <w:gridCol w:w="65"/>
        <w:gridCol w:w="105"/>
        <w:gridCol w:w="89"/>
        <w:gridCol w:w="1189"/>
        <w:gridCol w:w="65"/>
        <w:gridCol w:w="105"/>
        <w:gridCol w:w="118"/>
        <w:gridCol w:w="1185"/>
        <w:gridCol w:w="65"/>
      </w:tblGrid>
      <w:tr w:rsidR="00251D72" w14:paraId="2FC23BC4" w14:textId="77777777">
        <w:trPr>
          <w:divId w:val="274334531"/>
          <w:jc w:val="center"/>
        </w:trPr>
        <w:tc>
          <w:tcPr>
            <w:tcW w:w="1625" w:type="pct"/>
            <w:tcBorders>
              <w:bottom w:val="single" w:sz="6" w:space="0" w:color="000000"/>
            </w:tcBorders>
            <w:shd w:val="clear" w:color="auto" w:fill="FFFFFF"/>
            <w:tcMar>
              <w:top w:w="15" w:type="dxa"/>
              <w:left w:w="0" w:type="dxa"/>
              <w:bottom w:w="0" w:type="dxa"/>
              <w:right w:w="15" w:type="dxa"/>
            </w:tcMar>
            <w:vAlign w:val="bottom"/>
            <w:hideMark/>
          </w:tcPr>
          <w:p w14:paraId="79E564F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4" w:type="pct"/>
            <w:shd w:val="clear" w:color="auto" w:fill="FFFFFF"/>
            <w:tcMar>
              <w:top w:w="15" w:type="dxa"/>
              <w:left w:w="0" w:type="dxa"/>
              <w:bottom w:w="0" w:type="dxa"/>
              <w:right w:w="15" w:type="dxa"/>
            </w:tcMar>
            <w:vAlign w:val="bottom"/>
            <w:hideMark/>
          </w:tcPr>
          <w:p w14:paraId="705EB8E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9" w:type="pct"/>
            <w:gridSpan w:val="2"/>
            <w:tcBorders>
              <w:bottom w:val="single" w:sz="6" w:space="0" w:color="000000"/>
            </w:tcBorders>
            <w:shd w:val="clear" w:color="auto" w:fill="FFFFFF"/>
            <w:tcMar>
              <w:top w:w="15" w:type="dxa"/>
              <w:left w:w="0" w:type="dxa"/>
              <w:bottom w:w="0" w:type="dxa"/>
              <w:right w:w="15" w:type="dxa"/>
            </w:tcMar>
            <w:vAlign w:val="bottom"/>
            <w:hideMark/>
          </w:tcPr>
          <w:p w14:paraId="7CE98FF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27462E7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4A7226D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50" w:type="pct"/>
            <w:shd w:val="clear" w:color="auto" w:fill="FFFFFF"/>
            <w:noWrap/>
            <w:tcMar>
              <w:top w:w="15" w:type="dxa"/>
              <w:left w:w="0" w:type="dxa"/>
              <w:bottom w:w="0" w:type="dxa"/>
              <w:right w:w="15" w:type="dxa"/>
            </w:tcMar>
            <w:vAlign w:val="bottom"/>
            <w:hideMark/>
          </w:tcPr>
          <w:p w14:paraId="1848A6C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4" w:type="pct"/>
            <w:shd w:val="clear" w:color="auto" w:fill="FFFFFF"/>
            <w:tcMar>
              <w:top w:w="15" w:type="dxa"/>
              <w:left w:w="0" w:type="dxa"/>
              <w:bottom w:w="0" w:type="dxa"/>
              <w:right w:w="15" w:type="dxa"/>
            </w:tcMar>
            <w:vAlign w:val="bottom"/>
            <w:hideMark/>
          </w:tcPr>
          <w:p w14:paraId="3632DB4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9" w:type="pct"/>
            <w:gridSpan w:val="2"/>
            <w:tcBorders>
              <w:bottom w:val="single" w:sz="6" w:space="0" w:color="000000"/>
            </w:tcBorders>
            <w:shd w:val="clear" w:color="auto" w:fill="FFFFFF"/>
            <w:tcMar>
              <w:top w:w="15" w:type="dxa"/>
              <w:left w:w="0" w:type="dxa"/>
              <w:bottom w:w="0" w:type="dxa"/>
              <w:right w:w="15" w:type="dxa"/>
            </w:tcMar>
            <w:vAlign w:val="bottom"/>
            <w:hideMark/>
          </w:tcPr>
          <w:p w14:paraId="5812714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5691A09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2BCB9AB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left w:w="0" w:type="dxa"/>
              <w:bottom w:w="0" w:type="dxa"/>
              <w:right w:w="15" w:type="dxa"/>
            </w:tcMar>
            <w:vAlign w:val="bottom"/>
            <w:hideMark/>
          </w:tcPr>
          <w:p w14:paraId="3CFB966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4" w:type="pct"/>
            <w:shd w:val="clear" w:color="auto" w:fill="FFFFFF"/>
            <w:tcMar>
              <w:top w:w="15" w:type="dxa"/>
              <w:left w:w="0" w:type="dxa"/>
              <w:bottom w:w="0" w:type="dxa"/>
              <w:right w:w="15" w:type="dxa"/>
            </w:tcMar>
            <w:vAlign w:val="bottom"/>
            <w:hideMark/>
          </w:tcPr>
          <w:p w14:paraId="1AC6D10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9" w:type="pct"/>
            <w:gridSpan w:val="2"/>
            <w:tcBorders>
              <w:bottom w:val="single" w:sz="6" w:space="0" w:color="000000"/>
            </w:tcBorders>
            <w:shd w:val="clear" w:color="auto" w:fill="FFFFFF"/>
            <w:tcMar>
              <w:top w:w="15" w:type="dxa"/>
              <w:left w:w="0" w:type="dxa"/>
              <w:bottom w:w="0" w:type="dxa"/>
              <w:right w:w="15" w:type="dxa"/>
            </w:tcMar>
            <w:vAlign w:val="bottom"/>
            <w:hideMark/>
          </w:tcPr>
          <w:p w14:paraId="584DD5E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3D14E3E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6576EF1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1EBF936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3686EA4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50" w:type="pct"/>
            <w:shd w:val="clear" w:color="auto" w:fill="FFFFFF"/>
            <w:noWrap/>
            <w:tcMar>
              <w:top w:w="15" w:type="dxa"/>
              <w:left w:w="0" w:type="dxa"/>
              <w:bottom w:w="0" w:type="dxa"/>
              <w:right w:w="15" w:type="dxa"/>
            </w:tcMar>
            <w:vAlign w:val="bottom"/>
            <w:hideMark/>
          </w:tcPr>
          <w:p w14:paraId="70D5818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4" w:type="pct"/>
            <w:shd w:val="clear" w:color="auto" w:fill="FFFFFF"/>
            <w:tcMar>
              <w:top w:w="15" w:type="dxa"/>
              <w:left w:w="0" w:type="dxa"/>
              <w:bottom w:w="0" w:type="dxa"/>
              <w:right w:w="15" w:type="dxa"/>
            </w:tcMar>
            <w:vAlign w:val="bottom"/>
            <w:hideMark/>
          </w:tcPr>
          <w:p w14:paraId="49D7D21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9" w:type="pct"/>
            <w:gridSpan w:val="2"/>
            <w:tcBorders>
              <w:bottom w:val="single" w:sz="6" w:space="0" w:color="000000"/>
            </w:tcBorders>
            <w:shd w:val="clear" w:color="auto" w:fill="FFFFFF"/>
            <w:tcMar>
              <w:top w:w="15" w:type="dxa"/>
              <w:left w:w="0" w:type="dxa"/>
              <w:bottom w:w="0" w:type="dxa"/>
              <w:right w:w="15" w:type="dxa"/>
            </w:tcMar>
            <w:vAlign w:val="bottom"/>
            <w:hideMark/>
          </w:tcPr>
          <w:p w14:paraId="77A2B9E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38C2CA0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23CE4DB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3C88E62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6AF37E7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left w:w="0" w:type="dxa"/>
              <w:bottom w:w="0" w:type="dxa"/>
              <w:right w:w="15" w:type="dxa"/>
            </w:tcMar>
            <w:vAlign w:val="bottom"/>
            <w:hideMark/>
          </w:tcPr>
          <w:p w14:paraId="1A46F8C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4220E31" w14:textId="77777777">
        <w:trPr>
          <w:divId w:val="274334531"/>
          <w:jc w:val="center"/>
        </w:trPr>
        <w:tc>
          <w:tcPr>
            <w:tcW w:w="1625" w:type="pct"/>
            <w:tcBorders>
              <w:top w:val="single" w:sz="6" w:space="0" w:color="000000"/>
            </w:tcBorders>
            <w:shd w:val="clear" w:color="auto" w:fill="CFF0FC"/>
            <w:tcMar>
              <w:top w:w="15" w:type="dxa"/>
              <w:left w:w="0" w:type="dxa"/>
              <w:bottom w:w="0" w:type="dxa"/>
              <w:right w:w="15" w:type="dxa"/>
            </w:tcMar>
            <w:hideMark/>
          </w:tcPr>
          <w:p w14:paraId="497B89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March 1, 2019—March 31, 2019</w:t>
            </w:r>
          </w:p>
        </w:tc>
        <w:tc>
          <w:tcPr>
            <w:tcW w:w="74" w:type="pct"/>
            <w:shd w:val="clear" w:color="auto" w:fill="CFF0FC"/>
            <w:tcMar>
              <w:top w:w="15" w:type="dxa"/>
              <w:left w:w="0" w:type="dxa"/>
              <w:bottom w:w="0" w:type="dxa"/>
              <w:right w:w="15" w:type="dxa"/>
            </w:tcMar>
            <w:vAlign w:val="bottom"/>
            <w:hideMark/>
          </w:tcPr>
          <w:p w14:paraId="2352D49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B16F3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9" w:type="pct"/>
            <w:tcBorders>
              <w:top w:val="single" w:sz="6" w:space="0" w:color="000000"/>
            </w:tcBorders>
            <w:shd w:val="clear" w:color="auto" w:fill="CFF0FC"/>
            <w:noWrap/>
            <w:tcMar>
              <w:top w:w="15" w:type="dxa"/>
              <w:left w:w="0" w:type="dxa"/>
              <w:bottom w:w="0" w:type="dxa"/>
              <w:right w:w="15" w:type="dxa"/>
            </w:tcMar>
            <w:vAlign w:val="bottom"/>
            <w:hideMark/>
          </w:tcPr>
          <w:p w14:paraId="2104F8E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58.0</w:t>
            </w:r>
          </w:p>
        </w:tc>
        <w:tc>
          <w:tcPr>
            <w:tcW w:w="50" w:type="pct"/>
            <w:shd w:val="clear" w:color="auto" w:fill="CFF0FC"/>
            <w:noWrap/>
            <w:tcMar>
              <w:top w:w="15" w:type="dxa"/>
              <w:left w:w="0" w:type="dxa"/>
              <w:bottom w:w="0" w:type="dxa"/>
              <w:right w:w="15" w:type="dxa"/>
            </w:tcMar>
            <w:vAlign w:val="bottom"/>
            <w:hideMark/>
          </w:tcPr>
          <w:p w14:paraId="56CCD6C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left w:w="0" w:type="dxa"/>
              <w:bottom w:w="0" w:type="dxa"/>
              <w:right w:w="15" w:type="dxa"/>
            </w:tcMar>
            <w:vAlign w:val="bottom"/>
            <w:hideMark/>
          </w:tcPr>
          <w:p w14:paraId="0B57B6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FF622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9" w:type="pct"/>
            <w:tcBorders>
              <w:top w:val="single" w:sz="6" w:space="0" w:color="000000"/>
            </w:tcBorders>
            <w:shd w:val="clear" w:color="auto" w:fill="CFF0FC"/>
            <w:noWrap/>
            <w:tcMar>
              <w:top w:w="15" w:type="dxa"/>
              <w:left w:w="0" w:type="dxa"/>
              <w:bottom w:w="0" w:type="dxa"/>
              <w:right w:w="15" w:type="dxa"/>
            </w:tcMar>
            <w:vAlign w:val="bottom"/>
            <w:hideMark/>
          </w:tcPr>
          <w:p w14:paraId="666515C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52.93</w:t>
            </w:r>
          </w:p>
        </w:tc>
        <w:tc>
          <w:tcPr>
            <w:tcW w:w="50" w:type="pct"/>
            <w:shd w:val="clear" w:color="auto" w:fill="CFF0FC"/>
            <w:noWrap/>
            <w:tcMar>
              <w:top w:w="15" w:type="dxa"/>
              <w:left w:w="0" w:type="dxa"/>
              <w:bottom w:w="0" w:type="dxa"/>
              <w:right w:w="15" w:type="dxa"/>
            </w:tcMar>
            <w:vAlign w:val="bottom"/>
            <w:hideMark/>
          </w:tcPr>
          <w:p w14:paraId="4F00980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left w:w="0" w:type="dxa"/>
              <w:bottom w:w="0" w:type="dxa"/>
              <w:right w:w="15" w:type="dxa"/>
            </w:tcMar>
            <w:vAlign w:val="bottom"/>
            <w:hideMark/>
          </w:tcPr>
          <w:p w14:paraId="64D53B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35C74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9" w:type="pct"/>
            <w:tcBorders>
              <w:top w:val="single" w:sz="6" w:space="0" w:color="000000"/>
            </w:tcBorders>
            <w:shd w:val="clear" w:color="auto" w:fill="CFF0FC"/>
            <w:noWrap/>
            <w:tcMar>
              <w:top w:w="15" w:type="dxa"/>
              <w:left w:w="0" w:type="dxa"/>
              <w:bottom w:w="0" w:type="dxa"/>
              <w:right w:w="15" w:type="dxa"/>
            </w:tcMar>
            <w:vAlign w:val="bottom"/>
            <w:hideMark/>
          </w:tcPr>
          <w:p w14:paraId="6CFB132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58.0</w:t>
            </w:r>
          </w:p>
        </w:tc>
        <w:tc>
          <w:tcPr>
            <w:tcW w:w="50" w:type="pct"/>
            <w:shd w:val="clear" w:color="auto" w:fill="CFF0FC"/>
            <w:noWrap/>
            <w:tcMar>
              <w:top w:w="15" w:type="dxa"/>
              <w:left w:w="0" w:type="dxa"/>
              <w:bottom w:w="0" w:type="dxa"/>
              <w:right w:w="15" w:type="dxa"/>
            </w:tcMar>
            <w:vAlign w:val="bottom"/>
            <w:hideMark/>
          </w:tcPr>
          <w:p w14:paraId="771B929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left w:w="0" w:type="dxa"/>
              <w:bottom w:w="0" w:type="dxa"/>
              <w:right w:w="15" w:type="dxa"/>
            </w:tcMar>
            <w:vAlign w:val="bottom"/>
            <w:hideMark/>
          </w:tcPr>
          <w:p w14:paraId="77D3A4C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64BB1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9" w:type="pct"/>
            <w:tcBorders>
              <w:top w:val="single" w:sz="6" w:space="0" w:color="000000"/>
            </w:tcBorders>
            <w:shd w:val="clear" w:color="auto" w:fill="CFF0FC"/>
            <w:noWrap/>
            <w:tcMar>
              <w:top w:w="15" w:type="dxa"/>
              <w:left w:w="0" w:type="dxa"/>
              <w:bottom w:w="0" w:type="dxa"/>
              <w:right w:w="15" w:type="dxa"/>
            </w:tcMar>
            <w:vAlign w:val="bottom"/>
            <w:hideMark/>
          </w:tcPr>
          <w:p w14:paraId="6C690FC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8,780.5</w:t>
            </w:r>
          </w:p>
        </w:tc>
        <w:tc>
          <w:tcPr>
            <w:tcW w:w="50" w:type="pct"/>
            <w:shd w:val="clear" w:color="auto" w:fill="CFF0FC"/>
            <w:noWrap/>
            <w:tcMar>
              <w:top w:w="15" w:type="dxa"/>
              <w:left w:w="0" w:type="dxa"/>
              <w:bottom w:w="0" w:type="dxa"/>
              <w:right w:w="15" w:type="dxa"/>
            </w:tcMar>
            <w:vAlign w:val="bottom"/>
            <w:hideMark/>
          </w:tcPr>
          <w:p w14:paraId="158F43A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C577FFF" w14:textId="77777777">
        <w:trPr>
          <w:divId w:val="274334531"/>
          <w:jc w:val="center"/>
        </w:trPr>
        <w:tc>
          <w:tcPr>
            <w:tcW w:w="1625" w:type="pct"/>
            <w:shd w:val="clear" w:color="auto" w:fill="FFFFFF"/>
            <w:tcMar>
              <w:top w:w="15" w:type="dxa"/>
              <w:left w:w="0" w:type="dxa"/>
              <w:bottom w:w="0" w:type="dxa"/>
              <w:right w:w="15" w:type="dxa"/>
            </w:tcMar>
            <w:hideMark/>
          </w:tcPr>
          <w:p w14:paraId="1987491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April 1, 2019—April 30, 2019</w:t>
            </w:r>
          </w:p>
        </w:tc>
        <w:tc>
          <w:tcPr>
            <w:tcW w:w="74" w:type="pct"/>
            <w:shd w:val="clear" w:color="auto" w:fill="FFFFFF"/>
            <w:tcMar>
              <w:top w:w="15" w:type="dxa"/>
              <w:left w:w="0" w:type="dxa"/>
              <w:bottom w:w="0" w:type="dxa"/>
              <w:right w:w="15" w:type="dxa"/>
            </w:tcMar>
            <w:vAlign w:val="bottom"/>
            <w:hideMark/>
          </w:tcPr>
          <w:p w14:paraId="760ACDC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85BC9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9" w:type="pct"/>
            <w:shd w:val="clear" w:color="auto" w:fill="FFFFFF"/>
            <w:noWrap/>
            <w:tcMar>
              <w:top w:w="15" w:type="dxa"/>
              <w:left w:w="0" w:type="dxa"/>
              <w:bottom w:w="0" w:type="dxa"/>
              <w:right w:w="15" w:type="dxa"/>
            </w:tcMar>
            <w:vAlign w:val="bottom"/>
            <w:hideMark/>
          </w:tcPr>
          <w:p w14:paraId="009FB5A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29.1</w:t>
            </w:r>
          </w:p>
        </w:tc>
        <w:tc>
          <w:tcPr>
            <w:tcW w:w="50" w:type="pct"/>
            <w:shd w:val="clear" w:color="auto" w:fill="FFFFFF"/>
            <w:noWrap/>
            <w:tcMar>
              <w:top w:w="15" w:type="dxa"/>
              <w:left w:w="0" w:type="dxa"/>
              <w:bottom w:w="0" w:type="dxa"/>
              <w:right w:w="15" w:type="dxa"/>
            </w:tcMar>
            <w:vAlign w:val="bottom"/>
            <w:hideMark/>
          </w:tcPr>
          <w:p w14:paraId="0A08C3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left w:w="0" w:type="dxa"/>
              <w:bottom w:w="0" w:type="dxa"/>
              <w:right w:w="15" w:type="dxa"/>
            </w:tcMar>
            <w:vAlign w:val="bottom"/>
            <w:hideMark/>
          </w:tcPr>
          <w:p w14:paraId="0D44AF0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FC95B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9" w:type="pct"/>
            <w:shd w:val="clear" w:color="auto" w:fill="FFFFFF"/>
            <w:noWrap/>
            <w:tcMar>
              <w:top w:w="15" w:type="dxa"/>
              <w:left w:w="0" w:type="dxa"/>
              <w:bottom w:w="0" w:type="dxa"/>
              <w:right w:w="15" w:type="dxa"/>
            </w:tcMar>
            <w:vAlign w:val="bottom"/>
            <w:hideMark/>
          </w:tcPr>
          <w:p w14:paraId="5B07BB8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54.41</w:t>
            </w:r>
          </w:p>
        </w:tc>
        <w:tc>
          <w:tcPr>
            <w:tcW w:w="50" w:type="pct"/>
            <w:shd w:val="clear" w:color="auto" w:fill="FFFFFF"/>
            <w:noWrap/>
            <w:tcMar>
              <w:top w:w="15" w:type="dxa"/>
              <w:left w:w="0" w:type="dxa"/>
              <w:bottom w:w="0" w:type="dxa"/>
              <w:right w:w="15" w:type="dxa"/>
            </w:tcMar>
            <w:vAlign w:val="bottom"/>
            <w:hideMark/>
          </w:tcPr>
          <w:p w14:paraId="52B2BEF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left w:w="0" w:type="dxa"/>
              <w:bottom w:w="0" w:type="dxa"/>
              <w:right w:w="15" w:type="dxa"/>
            </w:tcMar>
            <w:vAlign w:val="bottom"/>
            <w:hideMark/>
          </w:tcPr>
          <w:p w14:paraId="2E53F3E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BFA76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9" w:type="pct"/>
            <w:shd w:val="clear" w:color="auto" w:fill="FFFFFF"/>
            <w:noWrap/>
            <w:tcMar>
              <w:top w:w="15" w:type="dxa"/>
              <w:left w:w="0" w:type="dxa"/>
              <w:bottom w:w="0" w:type="dxa"/>
              <w:right w:w="15" w:type="dxa"/>
            </w:tcMar>
            <w:vAlign w:val="bottom"/>
            <w:hideMark/>
          </w:tcPr>
          <w:p w14:paraId="0486CC4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29.1</w:t>
            </w:r>
          </w:p>
        </w:tc>
        <w:tc>
          <w:tcPr>
            <w:tcW w:w="50" w:type="pct"/>
            <w:shd w:val="clear" w:color="auto" w:fill="FFFFFF"/>
            <w:noWrap/>
            <w:tcMar>
              <w:top w:w="15" w:type="dxa"/>
              <w:left w:w="0" w:type="dxa"/>
              <w:bottom w:w="0" w:type="dxa"/>
              <w:right w:w="15" w:type="dxa"/>
            </w:tcMar>
            <w:vAlign w:val="bottom"/>
            <w:hideMark/>
          </w:tcPr>
          <w:p w14:paraId="425784C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left w:w="0" w:type="dxa"/>
              <w:bottom w:w="0" w:type="dxa"/>
              <w:right w:w="15" w:type="dxa"/>
            </w:tcMar>
            <w:vAlign w:val="bottom"/>
            <w:hideMark/>
          </w:tcPr>
          <w:p w14:paraId="328E91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6FC97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9" w:type="pct"/>
            <w:shd w:val="clear" w:color="auto" w:fill="FFFFFF"/>
            <w:noWrap/>
            <w:tcMar>
              <w:top w:w="15" w:type="dxa"/>
              <w:left w:w="0" w:type="dxa"/>
              <w:bottom w:w="0" w:type="dxa"/>
              <w:right w:w="15" w:type="dxa"/>
            </w:tcMar>
            <w:vAlign w:val="bottom"/>
            <w:hideMark/>
          </w:tcPr>
          <w:p w14:paraId="3590B36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7,198.4</w:t>
            </w:r>
          </w:p>
        </w:tc>
        <w:tc>
          <w:tcPr>
            <w:tcW w:w="50" w:type="pct"/>
            <w:shd w:val="clear" w:color="auto" w:fill="FFFFFF"/>
            <w:noWrap/>
            <w:tcMar>
              <w:top w:w="15" w:type="dxa"/>
              <w:left w:w="0" w:type="dxa"/>
              <w:bottom w:w="0" w:type="dxa"/>
              <w:right w:w="15" w:type="dxa"/>
            </w:tcMar>
            <w:vAlign w:val="bottom"/>
            <w:hideMark/>
          </w:tcPr>
          <w:p w14:paraId="0B3F096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F4A3FC1" w14:textId="77777777">
        <w:trPr>
          <w:divId w:val="274334531"/>
          <w:jc w:val="center"/>
        </w:trPr>
        <w:tc>
          <w:tcPr>
            <w:tcW w:w="1625" w:type="pct"/>
            <w:shd w:val="clear" w:color="auto" w:fill="CFF0FC"/>
            <w:tcMar>
              <w:top w:w="15" w:type="dxa"/>
              <w:left w:w="0" w:type="dxa"/>
              <w:bottom w:w="0" w:type="dxa"/>
              <w:right w:w="15" w:type="dxa"/>
            </w:tcMar>
            <w:hideMark/>
          </w:tcPr>
          <w:p w14:paraId="13D5FE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May 1, 2019—May 31, 2019</w:t>
            </w:r>
          </w:p>
        </w:tc>
        <w:tc>
          <w:tcPr>
            <w:tcW w:w="74" w:type="pct"/>
            <w:shd w:val="clear" w:color="auto" w:fill="CFF0FC"/>
            <w:tcMar>
              <w:top w:w="15" w:type="dxa"/>
              <w:left w:w="0" w:type="dxa"/>
              <w:bottom w:w="0" w:type="dxa"/>
              <w:right w:w="15" w:type="dxa"/>
            </w:tcMar>
            <w:vAlign w:val="bottom"/>
            <w:hideMark/>
          </w:tcPr>
          <w:p w14:paraId="1382FD1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333878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9" w:type="pct"/>
            <w:tcBorders>
              <w:bottom w:val="single" w:sz="6" w:space="0" w:color="000000"/>
            </w:tcBorders>
            <w:shd w:val="clear" w:color="auto" w:fill="CFF0FC"/>
            <w:noWrap/>
            <w:tcMar>
              <w:top w:w="15" w:type="dxa"/>
              <w:left w:w="0" w:type="dxa"/>
              <w:bottom w:w="0" w:type="dxa"/>
              <w:right w:w="15" w:type="dxa"/>
            </w:tcMar>
            <w:vAlign w:val="bottom"/>
            <w:hideMark/>
          </w:tcPr>
          <w:p w14:paraId="0AE27C9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24.9</w:t>
            </w:r>
          </w:p>
        </w:tc>
        <w:tc>
          <w:tcPr>
            <w:tcW w:w="50" w:type="pct"/>
            <w:shd w:val="clear" w:color="auto" w:fill="CFF0FC"/>
            <w:noWrap/>
            <w:tcMar>
              <w:top w:w="15" w:type="dxa"/>
              <w:left w:w="0" w:type="dxa"/>
              <w:bottom w:w="0" w:type="dxa"/>
              <w:right w:w="15" w:type="dxa"/>
            </w:tcMar>
            <w:vAlign w:val="bottom"/>
            <w:hideMark/>
          </w:tcPr>
          <w:p w14:paraId="2DD36C9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left w:w="0" w:type="dxa"/>
              <w:bottom w:w="0" w:type="dxa"/>
              <w:right w:w="15" w:type="dxa"/>
            </w:tcMar>
            <w:vAlign w:val="bottom"/>
            <w:hideMark/>
          </w:tcPr>
          <w:p w14:paraId="22F91F9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3CC13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9" w:type="pct"/>
            <w:shd w:val="clear" w:color="auto" w:fill="CFF0FC"/>
            <w:noWrap/>
            <w:tcMar>
              <w:top w:w="15" w:type="dxa"/>
              <w:left w:w="0" w:type="dxa"/>
              <w:bottom w:w="0" w:type="dxa"/>
              <w:right w:w="15" w:type="dxa"/>
            </w:tcMar>
            <w:vAlign w:val="bottom"/>
            <w:hideMark/>
          </w:tcPr>
          <w:p w14:paraId="17CC1B2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54.11</w:t>
            </w:r>
          </w:p>
        </w:tc>
        <w:tc>
          <w:tcPr>
            <w:tcW w:w="50" w:type="pct"/>
            <w:shd w:val="clear" w:color="auto" w:fill="CFF0FC"/>
            <w:noWrap/>
            <w:tcMar>
              <w:top w:w="15" w:type="dxa"/>
              <w:left w:w="0" w:type="dxa"/>
              <w:bottom w:w="0" w:type="dxa"/>
              <w:right w:w="15" w:type="dxa"/>
            </w:tcMar>
            <w:vAlign w:val="bottom"/>
            <w:hideMark/>
          </w:tcPr>
          <w:p w14:paraId="0C3AF41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left w:w="0" w:type="dxa"/>
              <w:bottom w:w="0" w:type="dxa"/>
              <w:right w:w="15" w:type="dxa"/>
            </w:tcMar>
            <w:vAlign w:val="bottom"/>
            <w:hideMark/>
          </w:tcPr>
          <w:p w14:paraId="4CB334C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1FBA98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9" w:type="pct"/>
            <w:tcBorders>
              <w:bottom w:val="single" w:sz="6" w:space="0" w:color="000000"/>
            </w:tcBorders>
            <w:shd w:val="clear" w:color="auto" w:fill="CFF0FC"/>
            <w:noWrap/>
            <w:tcMar>
              <w:top w:w="15" w:type="dxa"/>
              <w:left w:w="0" w:type="dxa"/>
              <w:bottom w:w="0" w:type="dxa"/>
              <w:right w:w="15" w:type="dxa"/>
            </w:tcMar>
            <w:vAlign w:val="bottom"/>
            <w:hideMark/>
          </w:tcPr>
          <w:p w14:paraId="7EA2881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24.9</w:t>
            </w:r>
          </w:p>
        </w:tc>
        <w:tc>
          <w:tcPr>
            <w:tcW w:w="50" w:type="pct"/>
            <w:shd w:val="clear" w:color="auto" w:fill="CFF0FC"/>
            <w:noWrap/>
            <w:tcMar>
              <w:top w:w="15" w:type="dxa"/>
              <w:left w:w="0" w:type="dxa"/>
              <w:bottom w:w="0" w:type="dxa"/>
              <w:right w:w="15" w:type="dxa"/>
            </w:tcMar>
            <w:vAlign w:val="bottom"/>
            <w:hideMark/>
          </w:tcPr>
          <w:p w14:paraId="3C4BA61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left w:w="0" w:type="dxa"/>
              <w:bottom w:w="0" w:type="dxa"/>
              <w:right w:w="15" w:type="dxa"/>
            </w:tcMar>
            <w:vAlign w:val="bottom"/>
            <w:hideMark/>
          </w:tcPr>
          <w:p w14:paraId="3D304C3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0E90E9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9" w:type="pct"/>
            <w:shd w:val="clear" w:color="auto" w:fill="CFF0FC"/>
            <w:noWrap/>
            <w:tcMar>
              <w:top w:w="15" w:type="dxa"/>
              <w:left w:w="0" w:type="dxa"/>
              <w:bottom w:w="0" w:type="dxa"/>
              <w:right w:w="15" w:type="dxa"/>
            </w:tcMar>
            <w:vAlign w:val="bottom"/>
            <w:hideMark/>
          </w:tcPr>
          <w:p w14:paraId="07E0545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5,848.4</w:t>
            </w:r>
          </w:p>
        </w:tc>
        <w:tc>
          <w:tcPr>
            <w:tcW w:w="50" w:type="pct"/>
            <w:shd w:val="clear" w:color="auto" w:fill="CFF0FC"/>
            <w:noWrap/>
            <w:tcMar>
              <w:top w:w="15" w:type="dxa"/>
              <w:left w:w="0" w:type="dxa"/>
              <w:bottom w:w="0" w:type="dxa"/>
              <w:right w:w="15" w:type="dxa"/>
            </w:tcMar>
            <w:vAlign w:val="bottom"/>
            <w:hideMark/>
          </w:tcPr>
          <w:p w14:paraId="4410B05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EAB8FB5" w14:textId="77777777">
        <w:trPr>
          <w:divId w:val="274334531"/>
          <w:jc w:val="center"/>
        </w:trPr>
        <w:tc>
          <w:tcPr>
            <w:tcW w:w="1625" w:type="pct"/>
            <w:shd w:val="clear" w:color="auto" w:fill="FFFFFF"/>
            <w:tcMar>
              <w:top w:w="15" w:type="dxa"/>
              <w:left w:w="0" w:type="dxa"/>
              <w:bottom w:w="0" w:type="dxa"/>
              <w:right w:w="15" w:type="dxa"/>
            </w:tcMar>
            <w:hideMark/>
          </w:tcPr>
          <w:p w14:paraId="6E7CA32E"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w:t>
            </w:r>
          </w:p>
        </w:tc>
        <w:tc>
          <w:tcPr>
            <w:tcW w:w="74" w:type="pct"/>
            <w:shd w:val="clear" w:color="auto" w:fill="FFFFFF"/>
            <w:tcMar>
              <w:top w:w="15" w:type="dxa"/>
              <w:left w:w="0" w:type="dxa"/>
              <w:bottom w:w="0" w:type="dxa"/>
              <w:right w:w="15" w:type="dxa"/>
            </w:tcMar>
            <w:vAlign w:val="bottom"/>
            <w:hideMark/>
          </w:tcPr>
          <w:p w14:paraId="3E8D144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4F7E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C5E8A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112.0</w:t>
            </w:r>
          </w:p>
        </w:tc>
        <w:tc>
          <w:tcPr>
            <w:tcW w:w="50" w:type="pct"/>
            <w:shd w:val="clear" w:color="auto" w:fill="FFFFFF"/>
            <w:noWrap/>
            <w:tcMar>
              <w:top w:w="15" w:type="dxa"/>
              <w:left w:w="0" w:type="dxa"/>
              <w:bottom w:w="0" w:type="dxa"/>
              <w:right w:w="15" w:type="dxa"/>
            </w:tcMar>
            <w:vAlign w:val="bottom"/>
            <w:hideMark/>
          </w:tcPr>
          <w:p w14:paraId="647A0C6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left w:w="0" w:type="dxa"/>
              <w:bottom w:w="0" w:type="dxa"/>
              <w:right w:w="15" w:type="dxa"/>
            </w:tcMar>
            <w:vAlign w:val="bottom"/>
            <w:hideMark/>
          </w:tcPr>
          <w:p w14:paraId="3939BF4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6CD38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9" w:type="pct"/>
            <w:shd w:val="clear" w:color="auto" w:fill="FFFFFF"/>
            <w:noWrap/>
            <w:tcMar>
              <w:top w:w="15" w:type="dxa"/>
              <w:left w:w="0" w:type="dxa"/>
              <w:bottom w:w="0" w:type="dxa"/>
              <w:right w:w="15" w:type="dxa"/>
            </w:tcMar>
            <w:vAlign w:val="bottom"/>
            <w:hideMark/>
          </w:tcPr>
          <w:p w14:paraId="24FC954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53.57</w:t>
            </w:r>
          </w:p>
        </w:tc>
        <w:tc>
          <w:tcPr>
            <w:tcW w:w="50" w:type="pct"/>
            <w:shd w:val="clear" w:color="auto" w:fill="FFFFFF"/>
            <w:noWrap/>
            <w:tcMar>
              <w:top w:w="15" w:type="dxa"/>
              <w:left w:w="0" w:type="dxa"/>
              <w:bottom w:w="0" w:type="dxa"/>
              <w:right w:w="15" w:type="dxa"/>
            </w:tcMar>
            <w:vAlign w:val="bottom"/>
            <w:hideMark/>
          </w:tcPr>
          <w:p w14:paraId="08F687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left w:w="0" w:type="dxa"/>
              <w:bottom w:w="0" w:type="dxa"/>
              <w:right w:w="15" w:type="dxa"/>
            </w:tcMar>
            <w:vAlign w:val="bottom"/>
            <w:hideMark/>
          </w:tcPr>
          <w:p w14:paraId="74BCE0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EF533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45931B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112.0</w:t>
            </w:r>
          </w:p>
        </w:tc>
        <w:tc>
          <w:tcPr>
            <w:tcW w:w="50" w:type="pct"/>
            <w:shd w:val="clear" w:color="auto" w:fill="FFFFFF"/>
            <w:noWrap/>
            <w:tcMar>
              <w:top w:w="15" w:type="dxa"/>
              <w:left w:w="0" w:type="dxa"/>
              <w:bottom w:w="0" w:type="dxa"/>
              <w:right w:w="15" w:type="dxa"/>
            </w:tcMar>
            <w:vAlign w:val="bottom"/>
            <w:hideMark/>
          </w:tcPr>
          <w:p w14:paraId="7CD5ECA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left w:w="0" w:type="dxa"/>
              <w:bottom w:w="0" w:type="dxa"/>
              <w:right w:w="15" w:type="dxa"/>
            </w:tcMar>
            <w:vAlign w:val="bottom"/>
            <w:hideMark/>
          </w:tcPr>
          <w:p w14:paraId="35E5EB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80372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9" w:type="pct"/>
            <w:shd w:val="clear" w:color="auto" w:fill="FFFFFF"/>
            <w:noWrap/>
            <w:tcMar>
              <w:top w:w="15" w:type="dxa"/>
              <w:left w:w="0" w:type="dxa"/>
              <w:bottom w:w="0" w:type="dxa"/>
              <w:right w:w="15" w:type="dxa"/>
            </w:tcMar>
            <w:vAlign w:val="bottom"/>
            <w:hideMark/>
          </w:tcPr>
          <w:p w14:paraId="61D0684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3E0DFE"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26B4E2B4" w14:textId="77777777" w:rsidR="00251D72" w:rsidRDefault="00251D72">
      <w:pPr>
        <w:pStyle w:val="a3"/>
        <w:spacing w:before="0" w:beforeAutospacing="0" w:after="0" w:afterAutospacing="0"/>
        <w:rPr>
          <w:sz w:val="12"/>
          <w:szCs w:val="12"/>
        </w:rPr>
      </w:pPr>
      <w:r>
        <w:rPr>
          <w:sz w:val="12"/>
          <w:szCs w:val="12"/>
        </w:rPr>
        <w:t> </w:t>
      </w:r>
    </w:p>
    <w:p w14:paraId="0469E5F7"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33</w:t>
      </w:r>
    </w:p>
    <w:p w14:paraId="6DA7EEA6" w14:textId="77777777" w:rsidR="00251D72" w:rsidRDefault="00251D72">
      <w:pPr>
        <w:rPr>
          <w:rFonts w:ascii="Times New Roman" w:eastAsia="Times New Roman" w:hAnsi="Times New Roman" w:cs="Times New Roman"/>
          <w:sz w:val="24"/>
          <w:szCs w:val="24"/>
        </w:rPr>
      </w:pPr>
      <w:r>
        <w:rPr>
          <w:rFonts w:eastAsia="Times New Roman"/>
        </w:rPr>
        <w:pict w14:anchorId="4EEE16AA">
          <v:rect id="_x0000_i1059" style="width:415.3pt;height:1.5pt" o:hralign="center" o:hrstd="t" o:hr="t" fillcolor="#a0a0a0" stroked="f"/>
        </w:pict>
      </w:r>
    </w:p>
    <w:p w14:paraId="5E7B3FCD"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94B9216"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3301E13" w14:textId="77777777" w:rsidR="00251D72" w:rsidRDefault="00251D72">
      <w:pPr>
        <w:pStyle w:val="a3"/>
        <w:spacing w:before="120" w:beforeAutospacing="0" w:after="0" w:afterAutospacing="0"/>
        <w:rPr>
          <w:sz w:val="20"/>
          <w:szCs w:val="20"/>
        </w:rPr>
      </w:pPr>
      <w:r>
        <w:rPr>
          <w:sz w:val="20"/>
          <w:szCs w:val="20"/>
        </w:rPr>
        <w:t> </w:t>
      </w:r>
    </w:p>
    <w:p w14:paraId="07FE8EB4" w14:textId="77777777" w:rsidR="00251D72" w:rsidRDefault="00251D72">
      <w:pPr>
        <w:pStyle w:val="a3"/>
        <w:spacing w:before="120" w:beforeAutospacing="0" w:after="0" w:afterAutospacing="0"/>
        <w:jc w:val="both"/>
        <w:rPr>
          <w:rFonts w:ascii="Calibri" w:hAnsi="Calibri" w:cs="Calibri"/>
          <w:b/>
          <w:bCs/>
          <w:i/>
          <w:iCs/>
          <w:sz w:val="20"/>
          <w:szCs w:val="20"/>
        </w:rPr>
      </w:pPr>
      <w:bookmarkStart w:id="46" w:name="_AEIOULastRenderedPageBreakAEIOU36"/>
      <w:bookmarkEnd w:id="46"/>
      <w:r>
        <w:rPr>
          <w:rFonts w:ascii="Calibri" w:hAnsi="Calibri" w:cs="Calibri"/>
          <w:b/>
          <w:bCs/>
          <w:i/>
          <w:iCs/>
          <w:sz w:val="20"/>
          <w:szCs w:val="20"/>
        </w:rPr>
        <w:t xml:space="preserve">Stock Performance Graph and Cumulative Total Return </w:t>
      </w:r>
    </w:p>
    <w:p w14:paraId="4BB5540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graph below compares the cumulative total stockholder return on our common stock with the cumulative total return of the S&amp;P 500 Index and the S&amp;P Information Technology Index for each of the last five fiscal years ended May 31, 2019, assuming an investment of $100 at the beginning of such period and the reinvestment of any dividends. The comparisons in the graphs below are based upon historical data and are not indicative of, nor intended to forecast, future performance of our common stock.</w:t>
      </w:r>
    </w:p>
    <w:p w14:paraId="066552B5" w14:textId="77777777" w:rsidR="00251D72" w:rsidRDefault="00251D72">
      <w:pPr>
        <w:pStyle w:val="a3"/>
        <w:spacing w:before="0" w:beforeAutospacing="0" w:after="0" w:afterAutospacing="0"/>
        <w:rPr>
          <w:sz w:val="12"/>
          <w:szCs w:val="12"/>
        </w:rPr>
      </w:pPr>
      <w:r>
        <w:rPr>
          <w:sz w:val="12"/>
          <w:szCs w:val="12"/>
        </w:rPr>
        <w:t> </w:t>
      </w:r>
    </w:p>
    <w:p w14:paraId="7822AC23" w14:textId="77777777" w:rsidR="00251D72" w:rsidRDefault="00251D72">
      <w:pPr>
        <w:pStyle w:val="a3"/>
        <w:spacing w:before="0" w:beforeAutospacing="0" w:after="0" w:afterAutospacing="0"/>
        <w:jc w:val="center"/>
        <w:rPr>
          <w:sz w:val="20"/>
          <w:szCs w:val="20"/>
        </w:rPr>
      </w:pPr>
      <w:r>
        <w:rPr>
          <w:noProof/>
          <w:sz w:val="20"/>
          <w:szCs w:val="20"/>
        </w:rPr>
        <w:drawing>
          <wp:inline distT="0" distB="0" distL="0" distR="0" wp14:anchorId="358E1588" wp14:editId="26DCCE9C">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32B85E"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*$100 INVESTED ON MAY 31, 2014 IN STOCK OR</w:t>
      </w:r>
    </w:p>
    <w:p w14:paraId="65D7DF83"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INDEX-INCLUDING REINVESTMENT OF DIVIDENDS</w:t>
      </w:r>
    </w:p>
    <w:p w14:paraId="25A69DFA"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3367"/>
        <w:gridCol w:w="114"/>
        <w:gridCol w:w="84"/>
        <w:gridCol w:w="544"/>
        <w:gridCol w:w="84"/>
        <w:gridCol w:w="114"/>
        <w:gridCol w:w="84"/>
        <w:gridCol w:w="544"/>
        <w:gridCol w:w="83"/>
        <w:gridCol w:w="113"/>
        <w:gridCol w:w="83"/>
        <w:gridCol w:w="543"/>
        <w:gridCol w:w="83"/>
        <w:gridCol w:w="113"/>
        <w:gridCol w:w="83"/>
        <w:gridCol w:w="543"/>
        <w:gridCol w:w="83"/>
        <w:gridCol w:w="113"/>
        <w:gridCol w:w="83"/>
        <w:gridCol w:w="543"/>
        <w:gridCol w:w="83"/>
        <w:gridCol w:w="113"/>
        <w:gridCol w:w="83"/>
        <w:gridCol w:w="543"/>
        <w:gridCol w:w="83"/>
      </w:tblGrid>
      <w:tr w:rsidR="00251D72" w14:paraId="0B1CBB28" w14:textId="77777777">
        <w:trPr>
          <w:divId w:val="338697260"/>
          <w:jc w:val="center"/>
        </w:trPr>
        <w:tc>
          <w:tcPr>
            <w:tcW w:w="2023" w:type="pct"/>
            <w:shd w:val="clear" w:color="auto" w:fill="FFFFFF"/>
            <w:tcMar>
              <w:top w:w="15" w:type="dxa"/>
              <w:left w:w="0" w:type="dxa"/>
              <w:bottom w:w="0" w:type="dxa"/>
              <w:right w:w="15" w:type="dxa"/>
            </w:tcMar>
            <w:vAlign w:val="bottom"/>
            <w:hideMark/>
          </w:tcPr>
          <w:p w14:paraId="04073D31" w14:textId="77777777" w:rsidR="00251D72" w:rsidRDefault="00251D72">
            <w:pPr>
              <w:pStyle w:val="a3"/>
              <w:spacing w:before="0" w:beforeAutospacing="0" w:after="0" w:afterAutospacing="0"/>
              <w:rPr>
                <w:sz w:val="15"/>
                <w:szCs w:val="15"/>
              </w:rPr>
            </w:pPr>
            <w:r>
              <w:rPr>
                <w:sz w:val="15"/>
                <w:szCs w:val="15"/>
              </w:rPr>
              <w:t> </w:t>
            </w:r>
          </w:p>
        </w:tc>
        <w:tc>
          <w:tcPr>
            <w:tcW w:w="68" w:type="pct"/>
            <w:shd w:val="clear" w:color="auto" w:fill="FFFFFF"/>
            <w:tcMar>
              <w:top w:w="15" w:type="dxa"/>
              <w:left w:w="0" w:type="dxa"/>
              <w:bottom w:w="0" w:type="dxa"/>
              <w:right w:w="15" w:type="dxa"/>
            </w:tcMar>
            <w:vAlign w:val="bottom"/>
            <w:hideMark/>
          </w:tcPr>
          <w:p w14:paraId="24C32B3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14:paraId="6E5D891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5/14</w:t>
            </w:r>
          </w:p>
        </w:tc>
        <w:tc>
          <w:tcPr>
            <w:tcW w:w="50" w:type="pct"/>
            <w:shd w:val="clear" w:color="auto" w:fill="FFFFFF"/>
            <w:noWrap/>
            <w:tcMar>
              <w:top w:w="15" w:type="dxa"/>
              <w:left w:w="0" w:type="dxa"/>
              <w:bottom w:w="0" w:type="dxa"/>
              <w:right w:w="15" w:type="dxa"/>
            </w:tcMar>
            <w:vAlign w:val="bottom"/>
            <w:hideMark/>
          </w:tcPr>
          <w:p w14:paraId="1561F6D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left w:w="0" w:type="dxa"/>
              <w:bottom w:w="0" w:type="dxa"/>
              <w:right w:w="15" w:type="dxa"/>
            </w:tcMar>
            <w:vAlign w:val="bottom"/>
            <w:hideMark/>
          </w:tcPr>
          <w:p w14:paraId="6A47D07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14:paraId="6014C20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5/15</w:t>
            </w:r>
          </w:p>
        </w:tc>
        <w:tc>
          <w:tcPr>
            <w:tcW w:w="50" w:type="pct"/>
            <w:shd w:val="clear" w:color="auto" w:fill="FFFFFF"/>
            <w:noWrap/>
            <w:tcMar>
              <w:top w:w="15" w:type="dxa"/>
              <w:left w:w="0" w:type="dxa"/>
              <w:bottom w:w="0" w:type="dxa"/>
              <w:right w:w="15" w:type="dxa"/>
            </w:tcMar>
            <w:vAlign w:val="bottom"/>
            <w:hideMark/>
          </w:tcPr>
          <w:p w14:paraId="1763DF0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left w:w="0" w:type="dxa"/>
              <w:bottom w:w="0" w:type="dxa"/>
              <w:right w:w="15" w:type="dxa"/>
            </w:tcMar>
            <w:vAlign w:val="bottom"/>
            <w:hideMark/>
          </w:tcPr>
          <w:p w14:paraId="6D71007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14:paraId="232CA48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5/16</w:t>
            </w:r>
          </w:p>
        </w:tc>
        <w:tc>
          <w:tcPr>
            <w:tcW w:w="50" w:type="pct"/>
            <w:shd w:val="clear" w:color="auto" w:fill="FFFFFF"/>
            <w:noWrap/>
            <w:tcMar>
              <w:top w:w="15" w:type="dxa"/>
              <w:left w:w="0" w:type="dxa"/>
              <w:bottom w:w="0" w:type="dxa"/>
              <w:right w:w="15" w:type="dxa"/>
            </w:tcMar>
            <w:vAlign w:val="bottom"/>
            <w:hideMark/>
          </w:tcPr>
          <w:p w14:paraId="02B0EF9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left w:w="0" w:type="dxa"/>
              <w:bottom w:w="0" w:type="dxa"/>
              <w:right w:w="15" w:type="dxa"/>
            </w:tcMar>
            <w:vAlign w:val="bottom"/>
            <w:hideMark/>
          </w:tcPr>
          <w:p w14:paraId="58E53DB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14:paraId="6D7C791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5/17</w:t>
            </w:r>
          </w:p>
        </w:tc>
        <w:tc>
          <w:tcPr>
            <w:tcW w:w="50" w:type="pct"/>
            <w:shd w:val="clear" w:color="auto" w:fill="FFFFFF"/>
            <w:noWrap/>
            <w:tcMar>
              <w:top w:w="15" w:type="dxa"/>
              <w:left w:w="0" w:type="dxa"/>
              <w:bottom w:w="0" w:type="dxa"/>
              <w:right w:w="15" w:type="dxa"/>
            </w:tcMar>
            <w:vAlign w:val="bottom"/>
            <w:hideMark/>
          </w:tcPr>
          <w:p w14:paraId="5B3EEE6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left w:w="0" w:type="dxa"/>
              <w:bottom w:w="0" w:type="dxa"/>
              <w:right w:w="15" w:type="dxa"/>
            </w:tcMar>
            <w:vAlign w:val="bottom"/>
            <w:hideMark/>
          </w:tcPr>
          <w:p w14:paraId="184DC1E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14:paraId="7A14DA3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5/18</w:t>
            </w:r>
          </w:p>
        </w:tc>
        <w:tc>
          <w:tcPr>
            <w:tcW w:w="50" w:type="pct"/>
            <w:shd w:val="clear" w:color="auto" w:fill="FFFFFF"/>
            <w:noWrap/>
            <w:tcMar>
              <w:top w:w="15" w:type="dxa"/>
              <w:left w:w="0" w:type="dxa"/>
              <w:bottom w:w="0" w:type="dxa"/>
              <w:right w:w="15" w:type="dxa"/>
            </w:tcMar>
            <w:vAlign w:val="bottom"/>
            <w:hideMark/>
          </w:tcPr>
          <w:p w14:paraId="0D04504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left w:w="0" w:type="dxa"/>
              <w:bottom w:w="0" w:type="dxa"/>
              <w:right w:w="15" w:type="dxa"/>
            </w:tcMar>
            <w:vAlign w:val="bottom"/>
            <w:hideMark/>
          </w:tcPr>
          <w:p w14:paraId="798803E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14:paraId="720AFF3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5/19</w:t>
            </w:r>
          </w:p>
        </w:tc>
        <w:tc>
          <w:tcPr>
            <w:tcW w:w="50" w:type="pct"/>
            <w:shd w:val="clear" w:color="auto" w:fill="FFFFFF"/>
            <w:noWrap/>
            <w:tcMar>
              <w:top w:w="15" w:type="dxa"/>
              <w:left w:w="0" w:type="dxa"/>
              <w:bottom w:w="0" w:type="dxa"/>
              <w:right w:w="15" w:type="dxa"/>
            </w:tcMar>
            <w:vAlign w:val="bottom"/>
            <w:hideMark/>
          </w:tcPr>
          <w:p w14:paraId="2AEE180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BD095DF" w14:textId="77777777">
        <w:trPr>
          <w:divId w:val="338697260"/>
          <w:jc w:val="center"/>
        </w:trPr>
        <w:tc>
          <w:tcPr>
            <w:tcW w:w="2023" w:type="pct"/>
            <w:shd w:val="clear" w:color="auto" w:fill="CFF0FC"/>
            <w:tcMar>
              <w:top w:w="15" w:type="dxa"/>
              <w:left w:w="0" w:type="dxa"/>
              <w:bottom w:w="0" w:type="dxa"/>
              <w:right w:w="15" w:type="dxa"/>
            </w:tcMar>
            <w:hideMark/>
          </w:tcPr>
          <w:p w14:paraId="6844B59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Oracle Corporation</w:t>
            </w:r>
          </w:p>
        </w:tc>
        <w:tc>
          <w:tcPr>
            <w:tcW w:w="68" w:type="pct"/>
            <w:shd w:val="clear" w:color="auto" w:fill="CFF0FC"/>
            <w:tcMar>
              <w:top w:w="15" w:type="dxa"/>
              <w:left w:w="0" w:type="dxa"/>
              <w:bottom w:w="0" w:type="dxa"/>
              <w:right w:w="15" w:type="dxa"/>
            </w:tcMar>
            <w:vAlign w:val="bottom"/>
            <w:hideMark/>
          </w:tcPr>
          <w:p w14:paraId="2EF817D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B7315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14:paraId="54EE186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100.0</w:t>
            </w:r>
          </w:p>
        </w:tc>
        <w:tc>
          <w:tcPr>
            <w:tcW w:w="50" w:type="pct"/>
            <w:shd w:val="clear" w:color="auto" w:fill="CFF0FC"/>
            <w:noWrap/>
            <w:tcMar>
              <w:top w:w="15" w:type="dxa"/>
              <w:left w:w="0" w:type="dxa"/>
              <w:bottom w:w="0" w:type="dxa"/>
              <w:right w:w="15" w:type="dxa"/>
            </w:tcMar>
            <w:vAlign w:val="bottom"/>
            <w:hideMark/>
          </w:tcPr>
          <w:p w14:paraId="4D2AE9E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left w:w="0" w:type="dxa"/>
              <w:bottom w:w="0" w:type="dxa"/>
              <w:right w:w="15" w:type="dxa"/>
            </w:tcMar>
            <w:vAlign w:val="bottom"/>
            <w:hideMark/>
          </w:tcPr>
          <w:p w14:paraId="025B3B0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0F335D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14:paraId="0D6412A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104.8</w:t>
            </w:r>
          </w:p>
        </w:tc>
        <w:tc>
          <w:tcPr>
            <w:tcW w:w="50" w:type="pct"/>
            <w:shd w:val="clear" w:color="auto" w:fill="CFF0FC"/>
            <w:noWrap/>
            <w:tcMar>
              <w:top w:w="15" w:type="dxa"/>
              <w:left w:w="0" w:type="dxa"/>
              <w:bottom w:w="0" w:type="dxa"/>
              <w:right w:w="15" w:type="dxa"/>
            </w:tcMar>
            <w:vAlign w:val="bottom"/>
            <w:hideMark/>
          </w:tcPr>
          <w:p w14:paraId="532B7F7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left w:w="0" w:type="dxa"/>
              <w:bottom w:w="0" w:type="dxa"/>
              <w:right w:w="15" w:type="dxa"/>
            </w:tcMar>
            <w:vAlign w:val="bottom"/>
            <w:hideMark/>
          </w:tcPr>
          <w:p w14:paraId="46C54B1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9DF1F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14:paraId="1FBBEF6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98.4</w:t>
            </w:r>
          </w:p>
        </w:tc>
        <w:tc>
          <w:tcPr>
            <w:tcW w:w="50" w:type="pct"/>
            <w:shd w:val="clear" w:color="auto" w:fill="CFF0FC"/>
            <w:noWrap/>
            <w:tcMar>
              <w:top w:w="15" w:type="dxa"/>
              <w:left w:w="0" w:type="dxa"/>
              <w:bottom w:w="0" w:type="dxa"/>
              <w:right w:w="15" w:type="dxa"/>
            </w:tcMar>
            <w:vAlign w:val="bottom"/>
            <w:hideMark/>
          </w:tcPr>
          <w:p w14:paraId="07DCAF3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left w:w="0" w:type="dxa"/>
              <w:bottom w:w="0" w:type="dxa"/>
              <w:right w:w="15" w:type="dxa"/>
            </w:tcMar>
            <w:vAlign w:val="bottom"/>
            <w:hideMark/>
          </w:tcPr>
          <w:p w14:paraId="3839C4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B229A4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14:paraId="1985B68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112.8</w:t>
            </w:r>
          </w:p>
        </w:tc>
        <w:tc>
          <w:tcPr>
            <w:tcW w:w="50" w:type="pct"/>
            <w:shd w:val="clear" w:color="auto" w:fill="CFF0FC"/>
            <w:noWrap/>
            <w:tcMar>
              <w:top w:w="15" w:type="dxa"/>
              <w:left w:w="0" w:type="dxa"/>
              <w:bottom w:w="0" w:type="dxa"/>
              <w:right w:w="15" w:type="dxa"/>
            </w:tcMar>
            <w:vAlign w:val="bottom"/>
            <w:hideMark/>
          </w:tcPr>
          <w:p w14:paraId="39B7B12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left w:w="0" w:type="dxa"/>
              <w:bottom w:w="0" w:type="dxa"/>
              <w:right w:w="15" w:type="dxa"/>
            </w:tcMar>
            <w:vAlign w:val="bottom"/>
            <w:hideMark/>
          </w:tcPr>
          <w:p w14:paraId="571519A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F8559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14:paraId="19CA7B0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118.0</w:t>
            </w:r>
          </w:p>
        </w:tc>
        <w:tc>
          <w:tcPr>
            <w:tcW w:w="50" w:type="pct"/>
            <w:shd w:val="clear" w:color="auto" w:fill="CFF0FC"/>
            <w:noWrap/>
            <w:tcMar>
              <w:top w:w="15" w:type="dxa"/>
              <w:left w:w="0" w:type="dxa"/>
              <w:bottom w:w="0" w:type="dxa"/>
              <w:right w:w="15" w:type="dxa"/>
            </w:tcMar>
            <w:vAlign w:val="bottom"/>
            <w:hideMark/>
          </w:tcPr>
          <w:p w14:paraId="07DE837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left w:w="0" w:type="dxa"/>
              <w:bottom w:w="0" w:type="dxa"/>
              <w:right w:w="15" w:type="dxa"/>
            </w:tcMar>
            <w:vAlign w:val="bottom"/>
            <w:hideMark/>
          </w:tcPr>
          <w:p w14:paraId="7E66A1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4254F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14:paraId="05C1D63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129.9</w:t>
            </w:r>
          </w:p>
        </w:tc>
        <w:tc>
          <w:tcPr>
            <w:tcW w:w="50" w:type="pct"/>
            <w:shd w:val="clear" w:color="auto" w:fill="CFF0FC"/>
            <w:noWrap/>
            <w:tcMar>
              <w:top w:w="15" w:type="dxa"/>
              <w:left w:w="0" w:type="dxa"/>
              <w:bottom w:w="0" w:type="dxa"/>
              <w:right w:w="15" w:type="dxa"/>
            </w:tcMar>
            <w:vAlign w:val="bottom"/>
            <w:hideMark/>
          </w:tcPr>
          <w:p w14:paraId="784360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27EF7A2" w14:textId="77777777">
        <w:trPr>
          <w:divId w:val="338697260"/>
          <w:jc w:val="center"/>
        </w:trPr>
        <w:tc>
          <w:tcPr>
            <w:tcW w:w="2023" w:type="pct"/>
            <w:shd w:val="clear" w:color="auto" w:fill="FFFFFF"/>
            <w:tcMar>
              <w:top w:w="15" w:type="dxa"/>
              <w:left w:w="0" w:type="dxa"/>
              <w:bottom w:w="0" w:type="dxa"/>
              <w:right w:w="15" w:type="dxa"/>
            </w:tcMar>
            <w:hideMark/>
          </w:tcPr>
          <w:p w14:paraId="1C127A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S&amp;P 500 Index</w:t>
            </w:r>
          </w:p>
        </w:tc>
        <w:tc>
          <w:tcPr>
            <w:tcW w:w="68" w:type="pct"/>
            <w:shd w:val="clear" w:color="auto" w:fill="FFFFFF"/>
            <w:tcMar>
              <w:top w:w="15" w:type="dxa"/>
              <w:left w:w="0" w:type="dxa"/>
              <w:bottom w:w="0" w:type="dxa"/>
              <w:right w:w="15" w:type="dxa"/>
            </w:tcMar>
            <w:vAlign w:val="bottom"/>
            <w:hideMark/>
          </w:tcPr>
          <w:p w14:paraId="0BEDCA6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7BCD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left w:w="0" w:type="dxa"/>
              <w:bottom w:w="0" w:type="dxa"/>
              <w:right w:w="15" w:type="dxa"/>
            </w:tcMar>
            <w:vAlign w:val="bottom"/>
            <w:hideMark/>
          </w:tcPr>
          <w:p w14:paraId="7477606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100.0</w:t>
            </w:r>
          </w:p>
        </w:tc>
        <w:tc>
          <w:tcPr>
            <w:tcW w:w="50" w:type="pct"/>
            <w:shd w:val="clear" w:color="auto" w:fill="FFFFFF"/>
            <w:noWrap/>
            <w:tcMar>
              <w:top w:w="15" w:type="dxa"/>
              <w:left w:w="0" w:type="dxa"/>
              <w:bottom w:w="0" w:type="dxa"/>
              <w:right w:w="15" w:type="dxa"/>
            </w:tcMar>
            <w:vAlign w:val="bottom"/>
            <w:hideMark/>
          </w:tcPr>
          <w:p w14:paraId="22BAAE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left w:w="0" w:type="dxa"/>
              <w:bottom w:w="0" w:type="dxa"/>
              <w:right w:w="15" w:type="dxa"/>
            </w:tcMar>
            <w:vAlign w:val="bottom"/>
            <w:hideMark/>
          </w:tcPr>
          <w:p w14:paraId="6ECFF44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ADAA4B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left w:w="0" w:type="dxa"/>
              <w:bottom w:w="0" w:type="dxa"/>
              <w:right w:w="15" w:type="dxa"/>
            </w:tcMar>
            <w:vAlign w:val="bottom"/>
            <w:hideMark/>
          </w:tcPr>
          <w:p w14:paraId="70EE4D1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111.8</w:t>
            </w:r>
          </w:p>
        </w:tc>
        <w:tc>
          <w:tcPr>
            <w:tcW w:w="50" w:type="pct"/>
            <w:shd w:val="clear" w:color="auto" w:fill="FFFFFF"/>
            <w:noWrap/>
            <w:tcMar>
              <w:top w:w="15" w:type="dxa"/>
              <w:left w:w="0" w:type="dxa"/>
              <w:bottom w:w="0" w:type="dxa"/>
              <w:right w:w="15" w:type="dxa"/>
            </w:tcMar>
            <w:vAlign w:val="bottom"/>
            <w:hideMark/>
          </w:tcPr>
          <w:p w14:paraId="0111075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left w:w="0" w:type="dxa"/>
              <w:bottom w:w="0" w:type="dxa"/>
              <w:right w:w="15" w:type="dxa"/>
            </w:tcMar>
            <w:vAlign w:val="bottom"/>
            <w:hideMark/>
          </w:tcPr>
          <w:p w14:paraId="055331E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AE459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left w:w="0" w:type="dxa"/>
              <w:bottom w:w="0" w:type="dxa"/>
              <w:right w:w="15" w:type="dxa"/>
            </w:tcMar>
            <w:vAlign w:val="bottom"/>
            <w:hideMark/>
          </w:tcPr>
          <w:p w14:paraId="2FB0423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113.7</w:t>
            </w:r>
          </w:p>
        </w:tc>
        <w:tc>
          <w:tcPr>
            <w:tcW w:w="50" w:type="pct"/>
            <w:shd w:val="clear" w:color="auto" w:fill="FFFFFF"/>
            <w:noWrap/>
            <w:tcMar>
              <w:top w:w="15" w:type="dxa"/>
              <w:left w:w="0" w:type="dxa"/>
              <w:bottom w:w="0" w:type="dxa"/>
              <w:right w:w="15" w:type="dxa"/>
            </w:tcMar>
            <w:vAlign w:val="bottom"/>
            <w:hideMark/>
          </w:tcPr>
          <w:p w14:paraId="17E95E2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left w:w="0" w:type="dxa"/>
              <w:bottom w:w="0" w:type="dxa"/>
              <w:right w:w="15" w:type="dxa"/>
            </w:tcMar>
            <w:vAlign w:val="bottom"/>
            <w:hideMark/>
          </w:tcPr>
          <w:p w14:paraId="6ECE932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5F113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left w:w="0" w:type="dxa"/>
              <w:bottom w:w="0" w:type="dxa"/>
              <w:right w:w="15" w:type="dxa"/>
            </w:tcMar>
            <w:vAlign w:val="bottom"/>
            <w:hideMark/>
          </w:tcPr>
          <w:p w14:paraId="0C7FE35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133.6</w:t>
            </w:r>
          </w:p>
        </w:tc>
        <w:tc>
          <w:tcPr>
            <w:tcW w:w="50" w:type="pct"/>
            <w:shd w:val="clear" w:color="auto" w:fill="FFFFFF"/>
            <w:noWrap/>
            <w:tcMar>
              <w:top w:w="15" w:type="dxa"/>
              <w:left w:w="0" w:type="dxa"/>
              <w:bottom w:w="0" w:type="dxa"/>
              <w:right w:w="15" w:type="dxa"/>
            </w:tcMar>
            <w:vAlign w:val="bottom"/>
            <w:hideMark/>
          </w:tcPr>
          <w:p w14:paraId="21409E2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left w:w="0" w:type="dxa"/>
              <w:bottom w:w="0" w:type="dxa"/>
              <w:right w:w="15" w:type="dxa"/>
            </w:tcMar>
            <w:vAlign w:val="bottom"/>
            <w:hideMark/>
          </w:tcPr>
          <w:p w14:paraId="46FFFE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C343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left w:w="0" w:type="dxa"/>
              <w:bottom w:w="0" w:type="dxa"/>
              <w:right w:w="15" w:type="dxa"/>
            </w:tcMar>
            <w:vAlign w:val="bottom"/>
            <w:hideMark/>
          </w:tcPr>
          <w:p w14:paraId="0EF3C24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152.8</w:t>
            </w:r>
          </w:p>
        </w:tc>
        <w:tc>
          <w:tcPr>
            <w:tcW w:w="50" w:type="pct"/>
            <w:shd w:val="clear" w:color="auto" w:fill="FFFFFF"/>
            <w:noWrap/>
            <w:tcMar>
              <w:top w:w="15" w:type="dxa"/>
              <w:left w:w="0" w:type="dxa"/>
              <w:bottom w:w="0" w:type="dxa"/>
              <w:right w:w="15" w:type="dxa"/>
            </w:tcMar>
            <w:vAlign w:val="bottom"/>
            <w:hideMark/>
          </w:tcPr>
          <w:p w14:paraId="3870DD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left w:w="0" w:type="dxa"/>
              <w:bottom w:w="0" w:type="dxa"/>
              <w:right w:w="15" w:type="dxa"/>
            </w:tcMar>
            <w:vAlign w:val="bottom"/>
            <w:hideMark/>
          </w:tcPr>
          <w:p w14:paraId="5CEDA0A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33939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left w:w="0" w:type="dxa"/>
              <w:bottom w:w="0" w:type="dxa"/>
              <w:right w:w="15" w:type="dxa"/>
            </w:tcMar>
            <w:vAlign w:val="bottom"/>
            <w:hideMark/>
          </w:tcPr>
          <w:p w14:paraId="65554AF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158.6</w:t>
            </w:r>
          </w:p>
        </w:tc>
        <w:tc>
          <w:tcPr>
            <w:tcW w:w="50" w:type="pct"/>
            <w:shd w:val="clear" w:color="auto" w:fill="FFFFFF"/>
            <w:noWrap/>
            <w:tcMar>
              <w:top w:w="15" w:type="dxa"/>
              <w:left w:w="0" w:type="dxa"/>
              <w:bottom w:w="0" w:type="dxa"/>
              <w:right w:w="15" w:type="dxa"/>
            </w:tcMar>
            <w:vAlign w:val="bottom"/>
            <w:hideMark/>
          </w:tcPr>
          <w:p w14:paraId="142B0C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8B68BBC" w14:textId="77777777">
        <w:trPr>
          <w:divId w:val="338697260"/>
          <w:jc w:val="center"/>
        </w:trPr>
        <w:tc>
          <w:tcPr>
            <w:tcW w:w="2023" w:type="pct"/>
            <w:shd w:val="clear" w:color="auto" w:fill="CFF0FC"/>
            <w:tcMar>
              <w:top w:w="15" w:type="dxa"/>
              <w:left w:w="0" w:type="dxa"/>
              <w:bottom w:w="0" w:type="dxa"/>
              <w:right w:w="15" w:type="dxa"/>
            </w:tcMar>
            <w:hideMark/>
          </w:tcPr>
          <w:p w14:paraId="6BEEE12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S&amp;P Information Technology Index</w:t>
            </w:r>
          </w:p>
        </w:tc>
        <w:tc>
          <w:tcPr>
            <w:tcW w:w="68" w:type="pct"/>
            <w:shd w:val="clear" w:color="auto" w:fill="CFF0FC"/>
            <w:tcMar>
              <w:top w:w="15" w:type="dxa"/>
              <w:left w:w="0" w:type="dxa"/>
              <w:bottom w:w="0" w:type="dxa"/>
              <w:right w:w="15" w:type="dxa"/>
            </w:tcMar>
            <w:vAlign w:val="bottom"/>
            <w:hideMark/>
          </w:tcPr>
          <w:p w14:paraId="4640BD8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CB3E9F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left w:w="0" w:type="dxa"/>
              <w:bottom w:w="0" w:type="dxa"/>
              <w:right w:w="15" w:type="dxa"/>
            </w:tcMar>
            <w:vAlign w:val="bottom"/>
            <w:hideMark/>
          </w:tcPr>
          <w:p w14:paraId="5D228CB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100.0</w:t>
            </w:r>
          </w:p>
        </w:tc>
        <w:tc>
          <w:tcPr>
            <w:tcW w:w="50" w:type="pct"/>
            <w:shd w:val="clear" w:color="auto" w:fill="CFF0FC"/>
            <w:noWrap/>
            <w:tcMar>
              <w:top w:w="15" w:type="dxa"/>
              <w:left w:w="0" w:type="dxa"/>
              <w:bottom w:w="0" w:type="dxa"/>
              <w:right w:w="15" w:type="dxa"/>
            </w:tcMar>
            <w:vAlign w:val="bottom"/>
            <w:hideMark/>
          </w:tcPr>
          <w:p w14:paraId="117DB50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left w:w="0" w:type="dxa"/>
              <w:bottom w:w="0" w:type="dxa"/>
              <w:right w:w="15" w:type="dxa"/>
            </w:tcMar>
            <w:vAlign w:val="bottom"/>
            <w:hideMark/>
          </w:tcPr>
          <w:p w14:paraId="1E96B83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726EF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left w:w="0" w:type="dxa"/>
              <w:bottom w:w="0" w:type="dxa"/>
              <w:right w:w="15" w:type="dxa"/>
            </w:tcMar>
            <w:vAlign w:val="bottom"/>
            <w:hideMark/>
          </w:tcPr>
          <w:p w14:paraId="4BB2643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118.8</w:t>
            </w:r>
          </w:p>
        </w:tc>
        <w:tc>
          <w:tcPr>
            <w:tcW w:w="50" w:type="pct"/>
            <w:shd w:val="clear" w:color="auto" w:fill="CFF0FC"/>
            <w:noWrap/>
            <w:tcMar>
              <w:top w:w="15" w:type="dxa"/>
              <w:left w:w="0" w:type="dxa"/>
              <w:bottom w:w="0" w:type="dxa"/>
              <w:right w:w="15" w:type="dxa"/>
            </w:tcMar>
            <w:vAlign w:val="bottom"/>
            <w:hideMark/>
          </w:tcPr>
          <w:p w14:paraId="15BB8E2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left w:w="0" w:type="dxa"/>
              <w:bottom w:w="0" w:type="dxa"/>
              <w:right w:w="15" w:type="dxa"/>
            </w:tcMar>
            <w:vAlign w:val="bottom"/>
            <w:hideMark/>
          </w:tcPr>
          <w:p w14:paraId="5748ADB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A3DB0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left w:w="0" w:type="dxa"/>
              <w:bottom w:w="0" w:type="dxa"/>
              <w:right w:w="15" w:type="dxa"/>
            </w:tcMar>
            <w:vAlign w:val="bottom"/>
            <w:hideMark/>
          </w:tcPr>
          <w:p w14:paraId="4BAFE39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122.5</w:t>
            </w:r>
          </w:p>
        </w:tc>
        <w:tc>
          <w:tcPr>
            <w:tcW w:w="50" w:type="pct"/>
            <w:shd w:val="clear" w:color="auto" w:fill="CFF0FC"/>
            <w:noWrap/>
            <w:tcMar>
              <w:top w:w="15" w:type="dxa"/>
              <w:left w:w="0" w:type="dxa"/>
              <w:bottom w:w="0" w:type="dxa"/>
              <w:right w:w="15" w:type="dxa"/>
            </w:tcMar>
            <w:vAlign w:val="bottom"/>
            <w:hideMark/>
          </w:tcPr>
          <w:p w14:paraId="35BA22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left w:w="0" w:type="dxa"/>
              <w:bottom w:w="0" w:type="dxa"/>
              <w:right w:w="15" w:type="dxa"/>
            </w:tcMar>
            <w:vAlign w:val="bottom"/>
            <w:hideMark/>
          </w:tcPr>
          <w:p w14:paraId="40BCB1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1F4F67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left w:w="0" w:type="dxa"/>
              <w:bottom w:w="0" w:type="dxa"/>
              <w:right w:w="15" w:type="dxa"/>
            </w:tcMar>
            <w:vAlign w:val="bottom"/>
            <w:hideMark/>
          </w:tcPr>
          <w:p w14:paraId="4DA1326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163.9</w:t>
            </w:r>
          </w:p>
        </w:tc>
        <w:tc>
          <w:tcPr>
            <w:tcW w:w="50" w:type="pct"/>
            <w:shd w:val="clear" w:color="auto" w:fill="CFF0FC"/>
            <w:noWrap/>
            <w:tcMar>
              <w:top w:w="15" w:type="dxa"/>
              <w:left w:w="0" w:type="dxa"/>
              <w:bottom w:w="0" w:type="dxa"/>
              <w:right w:w="15" w:type="dxa"/>
            </w:tcMar>
            <w:vAlign w:val="bottom"/>
            <w:hideMark/>
          </w:tcPr>
          <w:p w14:paraId="3C17E2E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left w:w="0" w:type="dxa"/>
              <w:bottom w:w="0" w:type="dxa"/>
              <w:right w:w="15" w:type="dxa"/>
            </w:tcMar>
            <w:vAlign w:val="bottom"/>
            <w:hideMark/>
          </w:tcPr>
          <w:p w14:paraId="7B687BF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26816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left w:w="0" w:type="dxa"/>
              <w:bottom w:w="0" w:type="dxa"/>
              <w:right w:w="15" w:type="dxa"/>
            </w:tcMar>
            <w:vAlign w:val="bottom"/>
            <w:hideMark/>
          </w:tcPr>
          <w:p w14:paraId="1E3EDA1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210.2</w:t>
            </w:r>
          </w:p>
        </w:tc>
        <w:tc>
          <w:tcPr>
            <w:tcW w:w="50" w:type="pct"/>
            <w:shd w:val="clear" w:color="auto" w:fill="CFF0FC"/>
            <w:noWrap/>
            <w:tcMar>
              <w:top w:w="15" w:type="dxa"/>
              <w:left w:w="0" w:type="dxa"/>
              <w:bottom w:w="0" w:type="dxa"/>
              <w:right w:w="15" w:type="dxa"/>
            </w:tcMar>
            <w:vAlign w:val="bottom"/>
            <w:hideMark/>
          </w:tcPr>
          <w:p w14:paraId="6C41595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left w:w="0" w:type="dxa"/>
              <w:bottom w:w="0" w:type="dxa"/>
              <w:right w:w="15" w:type="dxa"/>
            </w:tcMar>
            <w:vAlign w:val="bottom"/>
            <w:hideMark/>
          </w:tcPr>
          <w:p w14:paraId="220CD5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1660A1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left w:w="0" w:type="dxa"/>
              <w:bottom w:w="0" w:type="dxa"/>
              <w:right w:w="15" w:type="dxa"/>
            </w:tcMar>
            <w:vAlign w:val="bottom"/>
            <w:hideMark/>
          </w:tcPr>
          <w:p w14:paraId="229D5E8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219.4</w:t>
            </w:r>
          </w:p>
        </w:tc>
        <w:tc>
          <w:tcPr>
            <w:tcW w:w="50" w:type="pct"/>
            <w:shd w:val="clear" w:color="auto" w:fill="CFF0FC"/>
            <w:noWrap/>
            <w:tcMar>
              <w:top w:w="15" w:type="dxa"/>
              <w:left w:w="0" w:type="dxa"/>
              <w:bottom w:w="0" w:type="dxa"/>
              <w:right w:w="15" w:type="dxa"/>
            </w:tcMar>
            <w:vAlign w:val="bottom"/>
            <w:hideMark/>
          </w:tcPr>
          <w:p w14:paraId="0A415DC2"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5E1B5DDF" w14:textId="77777777" w:rsidR="00251D72" w:rsidRDefault="00251D72">
      <w:pPr>
        <w:pStyle w:val="a3"/>
        <w:spacing w:before="0" w:beforeAutospacing="0" w:after="0" w:afterAutospacing="0"/>
        <w:jc w:val="both"/>
        <w:rPr>
          <w:sz w:val="12"/>
          <w:szCs w:val="12"/>
        </w:rPr>
      </w:pPr>
      <w:r>
        <w:rPr>
          <w:sz w:val="12"/>
          <w:szCs w:val="12"/>
        </w:rPr>
        <w:t> </w:t>
      </w:r>
    </w:p>
    <w:p w14:paraId="5AED2527"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34</w:t>
      </w:r>
    </w:p>
    <w:p w14:paraId="56B72DA5" w14:textId="77777777" w:rsidR="00251D72" w:rsidRDefault="00251D72">
      <w:pPr>
        <w:rPr>
          <w:rFonts w:ascii="Times New Roman" w:eastAsia="Times New Roman" w:hAnsi="Times New Roman" w:cs="Times New Roman"/>
          <w:sz w:val="24"/>
          <w:szCs w:val="24"/>
        </w:rPr>
      </w:pPr>
      <w:r>
        <w:rPr>
          <w:rFonts w:eastAsia="Times New Roman"/>
        </w:rPr>
        <w:pict w14:anchorId="1EE84CE1">
          <v:rect id="_x0000_i1060" style="width:415.3pt;height:1.5pt" o:hralign="center" o:hrstd="t" o:hr="t" fillcolor="#a0a0a0" stroked="f"/>
        </w:pict>
      </w:r>
    </w:p>
    <w:p w14:paraId="4C5F0309"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4043FEA"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214F76E" w14:textId="77777777" w:rsidR="00251D72" w:rsidRDefault="00251D72">
      <w:pPr>
        <w:pStyle w:val="a3"/>
        <w:spacing w:before="12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251D72" w14:paraId="5A407D27" w14:textId="77777777">
        <w:tc>
          <w:tcPr>
            <w:tcW w:w="213" w:type="pct"/>
            <w:noWrap/>
            <w:hideMark/>
          </w:tcPr>
          <w:p w14:paraId="596527E0"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Item 6.</w:t>
            </w:r>
          </w:p>
        </w:tc>
        <w:tc>
          <w:tcPr>
            <w:tcW w:w="0" w:type="auto"/>
            <w:hideMark/>
          </w:tcPr>
          <w:p w14:paraId="18B7B251" w14:textId="77777777" w:rsidR="00251D72" w:rsidRDefault="00251D72">
            <w:pPr>
              <w:pStyle w:val="a3"/>
              <w:spacing w:before="120" w:beforeAutospacing="0" w:after="0" w:afterAutospacing="0"/>
              <w:jc w:val="both"/>
              <w:rPr>
                <w:rFonts w:ascii="Calibri" w:hAnsi="Calibri" w:cs="Calibri"/>
                <w:b/>
                <w:bCs/>
                <w:sz w:val="20"/>
                <w:szCs w:val="20"/>
              </w:rPr>
            </w:pPr>
            <w:bookmarkStart w:id="47" w:name="ITEM_6_SELECTED_FINANCIAL_DATA"/>
            <w:bookmarkStart w:id="48" w:name="_AEIOULastRenderedPageBreakAEIOU37"/>
            <w:bookmarkEnd w:id="47"/>
            <w:bookmarkEnd w:id="48"/>
            <w:r>
              <w:rPr>
                <w:rFonts w:ascii="Calibri" w:hAnsi="Calibri" w:cs="Calibri"/>
                <w:b/>
                <w:bCs/>
                <w:sz w:val="20"/>
                <w:szCs w:val="20"/>
              </w:rPr>
              <w:t>Selected Financial Data</w:t>
            </w:r>
          </w:p>
        </w:tc>
      </w:tr>
    </w:tbl>
    <w:p w14:paraId="770E360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following table sets forth selected financial data as of and for our last five fiscal years. This selected financial data should be read in conjunction with the consolidated financial statements and related notes included in Item 15 of this Annual Report. Over our last five fiscal years, we have acquired a number of companies, including NetSuite Inc. (NetSuite) in fiscal 2017. The results of our acquired companies have been included in our consolidated financial statements since their respective dates of acquisition and have contributed to our revenues, income, earnings per share and total assets.</w:t>
      </w:r>
    </w:p>
    <w:p w14:paraId="773C9EB5"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3725"/>
        <w:gridCol w:w="117"/>
        <w:gridCol w:w="107"/>
        <w:gridCol w:w="613"/>
        <w:gridCol w:w="75"/>
        <w:gridCol w:w="117"/>
        <w:gridCol w:w="107"/>
        <w:gridCol w:w="613"/>
        <w:gridCol w:w="75"/>
        <w:gridCol w:w="118"/>
        <w:gridCol w:w="107"/>
        <w:gridCol w:w="614"/>
        <w:gridCol w:w="76"/>
        <w:gridCol w:w="118"/>
        <w:gridCol w:w="107"/>
        <w:gridCol w:w="614"/>
        <w:gridCol w:w="76"/>
        <w:gridCol w:w="118"/>
        <w:gridCol w:w="107"/>
        <w:gridCol w:w="626"/>
        <w:gridCol w:w="76"/>
      </w:tblGrid>
      <w:tr w:rsidR="00251D72" w14:paraId="6AA5D4A9" w14:textId="77777777">
        <w:trPr>
          <w:divId w:val="426118117"/>
          <w:jc w:val="center"/>
        </w:trPr>
        <w:tc>
          <w:tcPr>
            <w:tcW w:w="2246" w:type="pct"/>
            <w:shd w:val="clear" w:color="auto" w:fill="FFFFFF"/>
            <w:tcMar>
              <w:top w:w="15" w:type="dxa"/>
              <w:left w:w="0" w:type="dxa"/>
              <w:bottom w:w="0" w:type="dxa"/>
              <w:right w:w="15" w:type="dxa"/>
            </w:tcMar>
            <w:vAlign w:val="bottom"/>
            <w:hideMark/>
          </w:tcPr>
          <w:p w14:paraId="6BA18E0C" w14:textId="77777777" w:rsidR="00251D72" w:rsidRDefault="00251D72">
            <w:pPr>
              <w:pStyle w:val="a3"/>
              <w:spacing w:before="0" w:beforeAutospacing="0" w:after="0" w:afterAutospacing="0"/>
              <w:jc w:val="center"/>
              <w:rPr>
                <w:sz w:val="15"/>
                <w:szCs w:val="15"/>
              </w:rPr>
            </w:pPr>
            <w:r>
              <w:rPr>
                <w:sz w:val="15"/>
                <w:szCs w:val="15"/>
              </w:rPr>
              <w:t> </w:t>
            </w:r>
          </w:p>
        </w:tc>
        <w:tc>
          <w:tcPr>
            <w:tcW w:w="75" w:type="pct"/>
            <w:shd w:val="clear" w:color="auto" w:fill="FFFFFF"/>
            <w:tcMar>
              <w:top w:w="15" w:type="dxa"/>
              <w:left w:w="0" w:type="dxa"/>
              <w:bottom w:w="0" w:type="dxa"/>
              <w:right w:w="15" w:type="dxa"/>
            </w:tcMar>
            <w:vAlign w:val="bottom"/>
            <w:hideMark/>
          </w:tcPr>
          <w:p w14:paraId="2FD34BC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627" w:type="pct"/>
            <w:gridSpan w:val="18"/>
            <w:tcBorders>
              <w:bottom w:val="single" w:sz="6" w:space="0" w:color="000000"/>
            </w:tcBorders>
            <w:shd w:val="clear" w:color="auto" w:fill="FFFFFF"/>
            <w:tcMar>
              <w:top w:w="15" w:type="dxa"/>
              <w:left w:w="0" w:type="dxa"/>
              <w:bottom w:w="0" w:type="dxa"/>
              <w:right w:w="15" w:type="dxa"/>
            </w:tcMar>
            <w:vAlign w:val="bottom"/>
            <w:hideMark/>
          </w:tcPr>
          <w:p w14:paraId="580F276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of and for the Year Ended May 31,</w:t>
            </w:r>
          </w:p>
        </w:tc>
        <w:tc>
          <w:tcPr>
            <w:tcW w:w="50" w:type="pct"/>
            <w:shd w:val="clear" w:color="auto" w:fill="FFFFFF"/>
            <w:noWrap/>
            <w:tcMar>
              <w:top w:w="15" w:type="dxa"/>
              <w:left w:w="0" w:type="dxa"/>
              <w:bottom w:w="0" w:type="dxa"/>
              <w:right w:w="15" w:type="dxa"/>
            </w:tcMar>
            <w:vAlign w:val="bottom"/>
            <w:hideMark/>
          </w:tcPr>
          <w:p w14:paraId="5866610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5FE07AE" w14:textId="77777777">
        <w:trPr>
          <w:divId w:val="426118117"/>
          <w:jc w:val="center"/>
        </w:trPr>
        <w:tc>
          <w:tcPr>
            <w:tcW w:w="2246" w:type="pct"/>
            <w:tcBorders>
              <w:bottom w:val="single" w:sz="6" w:space="0" w:color="000000"/>
            </w:tcBorders>
            <w:shd w:val="clear" w:color="auto" w:fill="FFFFFF"/>
            <w:tcMar>
              <w:top w:w="15" w:type="dxa"/>
              <w:left w:w="0" w:type="dxa"/>
              <w:bottom w:w="0" w:type="dxa"/>
              <w:right w:w="15" w:type="dxa"/>
            </w:tcMar>
            <w:vAlign w:val="bottom"/>
            <w:hideMark/>
          </w:tcPr>
          <w:p w14:paraId="76DC464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5" w:type="pct"/>
            <w:shd w:val="clear" w:color="auto" w:fill="FFFFFF"/>
            <w:tcMar>
              <w:top w:w="15" w:type="dxa"/>
              <w:left w:w="0" w:type="dxa"/>
              <w:bottom w:w="0" w:type="dxa"/>
              <w:right w:w="15" w:type="dxa"/>
            </w:tcMar>
            <w:vAlign w:val="bottom"/>
            <w:hideMark/>
          </w:tcPr>
          <w:p w14:paraId="7B81582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1EBC5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22BFAB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5" w:type="pct"/>
            <w:tcBorders>
              <w:top w:val="single" w:sz="6" w:space="0" w:color="000000"/>
            </w:tcBorders>
            <w:shd w:val="clear" w:color="auto" w:fill="FFFFFF"/>
            <w:tcMar>
              <w:top w:w="15" w:type="dxa"/>
              <w:left w:w="0" w:type="dxa"/>
              <w:bottom w:w="0" w:type="dxa"/>
              <w:right w:w="15" w:type="dxa"/>
            </w:tcMar>
            <w:vAlign w:val="bottom"/>
            <w:hideMark/>
          </w:tcPr>
          <w:p w14:paraId="5C3D552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F7C45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r>
              <w:rPr>
                <w:rFonts w:ascii="Calibri" w:hAnsi="Calibri" w:cs="Calibri"/>
                <w:b/>
                <w:bCs/>
                <w:color w:val="000000"/>
                <w:sz w:val="13"/>
                <w:szCs w:val="13"/>
                <w:vertAlign w:val="superscript"/>
              </w:rPr>
              <w:t>(4)</w:t>
            </w:r>
          </w:p>
        </w:tc>
        <w:tc>
          <w:tcPr>
            <w:tcW w:w="50" w:type="pct"/>
            <w:shd w:val="clear" w:color="auto" w:fill="FFFFFF"/>
            <w:noWrap/>
            <w:tcMar>
              <w:top w:w="15" w:type="dxa"/>
              <w:left w:w="0" w:type="dxa"/>
              <w:bottom w:w="0" w:type="dxa"/>
              <w:right w:w="15" w:type="dxa"/>
            </w:tcMar>
            <w:vAlign w:val="bottom"/>
            <w:hideMark/>
          </w:tcPr>
          <w:p w14:paraId="3734AA14" w14:textId="77777777" w:rsidR="00251D72" w:rsidRDefault="00251D72">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c>
          <w:tcPr>
            <w:tcW w:w="75" w:type="pct"/>
            <w:tcBorders>
              <w:top w:val="single" w:sz="6" w:space="0" w:color="000000"/>
            </w:tcBorders>
            <w:shd w:val="clear" w:color="auto" w:fill="FFFFFF"/>
            <w:tcMar>
              <w:top w:w="15" w:type="dxa"/>
              <w:left w:w="0" w:type="dxa"/>
              <w:bottom w:w="0" w:type="dxa"/>
              <w:right w:w="15" w:type="dxa"/>
            </w:tcMar>
            <w:vAlign w:val="bottom"/>
            <w:hideMark/>
          </w:tcPr>
          <w:p w14:paraId="7A6DA4F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5F9B6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r>
              <w:rPr>
                <w:rFonts w:ascii="Calibri" w:hAnsi="Calibri" w:cs="Calibri"/>
                <w:b/>
                <w:bCs/>
                <w:color w:val="000000"/>
                <w:sz w:val="13"/>
                <w:szCs w:val="13"/>
                <w:vertAlign w:val="superscript"/>
              </w:rPr>
              <w:t>(4)</w:t>
            </w:r>
          </w:p>
        </w:tc>
        <w:tc>
          <w:tcPr>
            <w:tcW w:w="50" w:type="pct"/>
            <w:shd w:val="clear" w:color="auto" w:fill="FFFFFF"/>
            <w:noWrap/>
            <w:tcMar>
              <w:top w:w="15" w:type="dxa"/>
              <w:left w:w="0" w:type="dxa"/>
              <w:bottom w:w="0" w:type="dxa"/>
              <w:right w:w="15" w:type="dxa"/>
            </w:tcMar>
            <w:vAlign w:val="bottom"/>
            <w:hideMark/>
          </w:tcPr>
          <w:p w14:paraId="7DD9DDC9" w14:textId="77777777" w:rsidR="00251D72" w:rsidRDefault="00251D72">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c>
          <w:tcPr>
            <w:tcW w:w="75" w:type="pct"/>
            <w:tcBorders>
              <w:top w:val="single" w:sz="6" w:space="0" w:color="000000"/>
            </w:tcBorders>
            <w:shd w:val="clear" w:color="auto" w:fill="FFFFFF"/>
            <w:tcMar>
              <w:top w:w="15" w:type="dxa"/>
              <w:left w:w="0" w:type="dxa"/>
              <w:bottom w:w="0" w:type="dxa"/>
              <w:right w:w="15" w:type="dxa"/>
            </w:tcMar>
            <w:vAlign w:val="bottom"/>
            <w:hideMark/>
          </w:tcPr>
          <w:p w14:paraId="2A1E75A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93AD6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2016</w:t>
            </w:r>
            <w:r>
              <w:rPr>
                <w:rFonts w:ascii="Calibri" w:hAnsi="Calibri" w:cs="Calibri"/>
                <w:b/>
                <w:bCs/>
                <w:color w:val="000000"/>
                <w:sz w:val="13"/>
                <w:szCs w:val="13"/>
                <w:vertAlign w:val="superscript"/>
              </w:rPr>
              <w:t>(4)</w:t>
            </w:r>
          </w:p>
        </w:tc>
        <w:tc>
          <w:tcPr>
            <w:tcW w:w="50" w:type="pct"/>
            <w:shd w:val="clear" w:color="auto" w:fill="FFFFFF"/>
            <w:noWrap/>
            <w:tcMar>
              <w:top w:w="15" w:type="dxa"/>
              <w:left w:w="0" w:type="dxa"/>
              <w:bottom w:w="0" w:type="dxa"/>
              <w:right w:w="15" w:type="dxa"/>
            </w:tcMar>
            <w:vAlign w:val="bottom"/>
            <w:hideMark/>
          </w:tcPr>
          <w:p w14:paraId="556F40CC" w14:textId="77777777" w:rsidR="00251D72" w:rsidRDefault="00251D72">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c>
          <w:tcPr>
            <w:tcW w:w="75" w:type="pct"/>
            <w:tcBorders>
              <w:top w:val="single" w:sz="6" w:space="0" w:color="000000"/>
            </w:tcBorders>
            <w:shd w:val="clear" w:color="auto" w:fill="FFFFFF"/>
            <w:tcMar>
              <w:top w:w="15" w:type="dxa"/>
              <w:left w:w="0" w:type="dxa"/>
              <w:bottom w:w="0" w:type="dxa"/>
              <w:right w:w="15" w:type="dxa"/>
            </w:tcMar>
            <w:vAlign w:val="bottom"/>
            <w:hideMark/>
          </w:tcPr>
          <w:p w14:paraId="2815B4F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CB4B6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2015</w:t>
            </w:r>
            <w:r>
              <w:rPr>
                <w:rFonts w:ascii="Calibri" w:hAnsi="Calibri" w:cs="Calibri"/>
                <w:b/>
                <w:bCs/>
                <w:color w:val="000000"/>
                <w:sz w:val="13"/>
                <w:szCs w:val="13"/>
                <w:vertAlign w:val="superscript"/>
              </w:rPr>
              <w:t>(4)</w:t>
            </w:r>
          </w:p>
        </w:tc>
        <w:tc>
          <w:tcPr>
            <w:tcW w:w="50" w:type="pct"/>
            <w:shd w:val="clear" w:color="auto" w:fill="FFFFFF"/>
            <w:noWrap/>
            <w:tcMar>
              <w:top w:w="15" w:type="dxa"/>
              <w:left w:w="0" w:type="dxa"/>
              <w:bottom w:w="0" w:type="dxa"/>
              <w:right w:w="15" w:type="dxa"/>
            </w:tcMar>
            <w:vAlign w:val="bottom"/>
            <w:hideMark/>
          </w:tcPr>
          <w:p w14:paraId="0919988D" w14:textId="77777777" w:rsidR="00251D72" w:rsidRDefault="00251D72">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r>
      <w:tr w:rsidR="00251D72" w14:paraId="73D7CC17" w14:textId="77777777">
        <w:trPr>
          <w:divId w:val="426118117"/>
          <w:jc w:val="center"/>
        </w:trPr>
        <w:tc>
          <w:tcPr>
            <w:tcW w:w="2246" w:type="pct"/>
            <w:tcBorders>
              <w:top w:val="single" w:sz="6" w:space="0" w:color="000000"/>
            </w:tcBorders>
            <w:shd w:val="clear" w:color="auto" w:fill="CFF0FC"/>
            <w:tcMar>
              <w:top w:w="15" w:type="dxa"/>
              <w:left w:w="0" w:type="dxa"/>
              <w:bottom w:w="0" w:type="dxa"/>
              <w:right w:w="15" w:type="dxa"/>
            </w:tcMar>
            <w:hideMark/>
          </w:tcPr>
          <w:p w14:paraId="6D79695D"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Consolidated Statements of Operations Data:</w:t>
            </w:r>
          </w:p>
        </w:tc>
        <w:tc>
          <w:tcPr>
            <w:tcW w:w="75" w:type="pct"/>
            <w:shd w:val="clear" w:color="auto" w:fill="CFF0FC"/>
            <w:tcMar>
              <w:top w:w="15" w:type="dxa"/>
              <w:left w:w="0" w:type="dxa"/>
              <w:bottom w:w="0" w:type="dxa"/>
              <w:right w:w="15" w:type="dxa"/>
            </w:tcMar>
            <w:vAlign w:val="bottom"/>
            <w:hideMark/>
          </w:tcPr>
          <w:p w14:paraId="65CBF5B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9F55A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tcBorders>
              <w:top w:val="single" w:sz="6" w:space="0" w:color="000000"/>
            </w:tcBorders>
            <w:shd w:val="clear" w:color="auto" w:fill="CFF0FC"/>
            <w:noWrap/>
            <w:tcMar>
              <w:top w:w="15" w:type="dxa"/>
              <w:left w:w="0" w:type="dxa"/>
              <w:bottom w:w="0" w:type="dxa"/>
              <w:right w:w="15" w:type="dxa"/>
            </w:tcMar>
            <w:vAlign w:val="bottom"/>
            <w:hideMark/>
          </w:tcPr>
          <w:p w14:paraId="67A613D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9547BC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691D0B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A59E1F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tcBorders>
              <w:top w:val="single" w:sz="6" w:space="0" w:color="000000"/>
            </w:tcBorders>
            <w:shd w:val="clear" w:color="auto" w:fill="CFF0FC"/>
            <w:noWrap/>
            <w:tcMar>
              <w:top w:w="15" w:type="dxa"/>
              <w:left w:w="0" w:type="dxa"/>
              <w:bottom w:w="0" w:type="dxa"/>
              <w:right w:w="15" w:type="dxa"/>
            </w:tcMar>
            <w:vAlign w:val="bottom"/>
            <w:hideMark/>
          </w:tcPr>
          <w:p w14:paraId="053F2A5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348CC8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7ADB77B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8B858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tcBorders>
              <w:top w:val="single" w:sz="6" w:space="0" w:color="000000"/>
            </w:tcBorders>
            <w:shd w:val="clear" w:color="auto" w:fill="CFF0FC"/>
            <w:noWrap/>
            <w:tcMar>
              <w:top w:w="15" w:type="dxa"/>
              <w:left w:w="0" w:type="dxa"/>
              <w:bottom w:w="0" w:type="dxa"/>
              <w:right w:w="15" w:type="dxa"/>
            </w:tcMar>
            <w:vAlign w:val="bottom"/>
            <w:hideMark/>
          </w:tcPr>
          <w:p w14:paraId="138FAB1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9A2AF8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413392C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93790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tcBorders>
              <w:top w:val="single" w:sz="6" w:space="0" w:color="000000"/>
            </w:tcBorders>
            <w:shd w:val="clear" w:color="auto" w:fill="CFF0FC"/>
            <w:noWrap/>
            <w:tcMar>
              <w:top w:w="15" w:type="dxa"/>
              <w:left w:w="0" w:type="dxa"/>
              <w:bottom w:w="0" w:type="dxa"/>
              <w:right w:w="15" w:type="dxa"/>
            </w:tcMar>
            <w:vAlign w:val="bottom"/>
            <w:hideMark/>
          </w:tcPr>
          <w:p w14:paraId="1E9697A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244854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69B919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1547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tcBorders>
              <w:top w:val="single" w:sz="6" w:space="0" w:color="000000"/>
            </w:tcBorders>
            <w:shd w:val="clear" w:color="auto" w:fill="CFF0FC"/>
            <w:noWrap/>
            <w:tcMar>
              <w:top w:w="15" w:type="dxa"/>
              <w:left w:w="0" w:type="dxa"/>
              <w:bottom w:w="0" w:type="dxa"/>
              <w:right w:w="15" w:type="dxa"/>
            </w:tcMar>
            <w:vAlign w:val="bottom"/>
            <w:hideMark/>
          </w:tcPr>
          <w:p w14:paraId="3455A25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4419AA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58CA105" w14:textId="77777777">
        <w:trPr>
          <w:divId w:val="426118117"/>
          <w:jc w:val="center"/>
        </w:trPr>
        <w:tc>
          <w:tcPr>
            <w:tcW w:w="2246" w:type="pct"/>
            <w:shd w:val="clear" w:color="auto" w:fill="FFFFFF"/>
            <w:tcMar>
              <w:top w:w="15" w:type="dxa"/>
              <w:left w:w="0" w:type="dxa"/>
              <w:bottom w:w="0" w:type="dxa"/>
              <w:right w:w="15" w:type="dxa"/>
            </w:tcMar>
            <w:hideMark/>
          </w:tcPr>
          <w:p w14:paraId="38BD881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Total revenues</w:t>
            </w:r>
          </w:p>
        </w:tc>
        <w:tc>
          <w:tcPr>
            <w:tcW w:w="75" w:type="pct"/>
            <w:shd w:val="clear" w:color="auto" w:fill="FFFFFF"/>
            <w:tcMar>
              <w:top w:w="15" w:type="dxa"/>
              <w:left w:w="0" w:type="dxa"/>
              <w:bottom w:w="0" w:type="dxa"/>
              <w:right w:w="15" w:type="dxa"/>
            </w:tcMar>
            <w:vAlign w:val="bottom"/>
            <w:hideMark/>
          </w:tcPr>
          <w:p w14:paraId="5A1BA0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F55B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0FC134D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FFFFFF"/>
            <w:noWrap/>
            <w:tcMar>
              <w:top w:w="15" w:type="dxa"/>
              <w:left w:w="0" w:type="dxa"/>
              <w:bottom w:w="0" w:type="dxa"/>
              <w:right w:w="15" w:type="dxa"/>
            </w:tcMar>
            <w:vAlign w:val="bottom"/>
            <w:hideMark/>
          </w:tcPr>
          <w:p w14:paraId="021530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020530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2943B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7618101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39,383</w:t>
            </w:r>
          </w:p>
        </w:tc>
        <w:tc>
          <w:tcPr>
            <w:tcW w:w="50" w:type="pct"/>
            <w:shd w:val="clear" w:color="auto" w:fill="FFFFFF"/>
            <w:noWrap/>
            <w:tcMar>
              <w:top w:w="15" w:type="dxa"/>
              <w:left w:w="0" w:type="dxa"/>
              <w:bottom w:w="0" w:type="dxa"/>
              <w:right w:w="15" w:type="dxa"/>
            </w:tcMar>
            <w:vAlign w:val="bottom"/>
            <w:hideMark/>
          </w:tcPr>
          <w:p w14:paraId="142EB05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5E2F5C2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EF5BF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4EA8397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37,792</w:t>
            </w:r>
          </w:p>
        </w:tc>
        <w:tc>
          <w:tcPr>
            <w:tcW w:w="50" w:type="pct"/>
            <w:shd w:val="clear" w:color="auto" w:fill="FFFFFF"/>
            <w:noWrap/>
            <w:tcMar>
              <w:top w:w="15" w:type="dxa"/>
              <w:left w:w="0" w:type="dxa"/>
              <w:bottom w:w="0" w:type="dxa"/>
              <w:right w:w="15" w:type="dxa"/>
            </w:tcMar>
            <w:vAlign w:val="bottom"/>
            <w:hideMark/>
          </w:tcPr>
          <w:p w14:paraId="26B0AA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627779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765A7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037A587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37,047</w:t>
            </w:r>
          </w:p>
        </w:tc>
        <w:tc>
          <w:tcPr>
            <w:tcW w:w="50" w:type="pct"/>
            <w:shd w:val="clear" w:color="auto" w:fill="FFFFFF"/>
            <w:noWrap/>
            <w:tcMar>
              <w:top w:w="15" w:type="dxa"/>
              <w:left w:w="0" w:type="dxa"/>
              <w:bottom w:w="0" w:type="dxa"/>
              <w:right w:w="15" w:type="dxa"/>
            </w:tcMar>
            <w:vAlign w:val="bottom"/>
            <w:hideMark/>
          </w:tcPr>
          <w:p w14:paraId="07A156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5373E0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F8AAE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2654B8D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38,226</w:t>
            </w:r>
          </w:p>
        </w:tc>
        <w:tc>
          <w:tcPr>
            <w:tcW w:w="50" w:type="pct"/>
            <w:shd w:val="clear" w:color="auto" w:fill="FFFFFF"/>
            <w:noWrap/>
            <w:tcMar>
              <w:top w:w="15" w:type="dxa"/>
              <w:left w:w="0" w:type="dxa"/>
              <w:bottom w:w="0" w:type="dxa"/>
              <w:right w:w="15" w:type="dxa"/>
            </w:tcMar>
            <w:vAlign w:val="bottom"/>
            <w:hideMark/>
          </w:tcPr>
          <w:p w14:paraId="1B4307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9FD4337" w14:textId="77777777">
        <w:trPr>
          <w:divId w:val="426118117"/>
          <w:jc w:val="center"/>
        </w:trPr>
        <w:tc>
          <w:tcPr>
            <w:tcW w:w="2246" w:type="pct"/>
            <w:shd w:val="clear" w:color="auto" w:fill="CFF0FC"/>
            <w:tcMar>
              <w:top w:w="15" w:type="dxa"/>
              <w:left w:w="0" w:type="dxa"/>
              <w:bottom w:w="0" w:type="dxa"/>
              <w:right w:w="15" w:type="dxa"/>
            </w:tcMar>
            <w:hideMark/>
          </w:tcPr>
          <w:p w14:paraId="2F0A21F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Operating income</w:t>
            </w:r>
          </w:p>
        </w:tc>
        <w:tc>
          <w:tcPr>
            <w:tcW w:w="75" w:type="pct"/>
            <w:shd w:val="clear" w:color="auto" w:fill="CFF0FC"/>
            <w:tcMar>
              <w:top w:w="15" w:type="dxa"/>
              <w:left w:w="0" w:type="dxa"/>
              <w:bottom w:w="0" w:type="dxa"/>
              <w:right w:w="15" w:type="dxa"/>
            </w:tcMar>
            <w:vAlign w:val="bottom"/>
            <w:hideMark/>
          </w:tcPr>
          <w:p w14:paraId="32C609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260940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7E1B0F4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13,535</w:t>
            </w:r>
          </w:p>
        </w:tc>
        <w:tc>
          <w:tcPr>
            <w:tcW w:w="50" w:type="pct"/>
            <w:shd w:val="clear" w:color="auto" w:fill="CFF0FC"/>
            <w:noWrap/>
            <w:tcMar>
              <w:top w:w="15" w:type="dxa"/>
              <w:left w:w="0" w:type="dxa"/>
              <w:bottom w:w="0" w:type="dxa"/>
              <w:right w:w="15" w:type="dxa"/>
            </w:tcMar>
            <w:vAlign w:val="bottom"/>
            <w:hideMark/>
          </w:tcPr>
          <w:p w14:paraId="6F260F0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221C54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3D2E5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3CBFFAD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13,264</w:t>
            </w:r>
          </w:p>
        </w:tc>
        <w:tc>
          <w:tcPr>
            <w:tcW w:w="50" w:type="pct"/>
            <w:shd w:val="clear" w:color="auto" w:fill="CFF0FC"/>
            <w:noWrap/>
            <w:tcMar>
              <w:top w:w="15" w:type="dxa"/>
              <w:left w:w="0" w:type="dxa"/>
              <w:bottom w:w="0" w:type="dxa"/>
              <w:right w:w="15" w:type="dxa"/>
            </w:tcMar>
            <w:vAlign w:val="bottom"/>
            <w:hideMark/>
          </w:tcPr>
          <w:p w14:paraId="2C073A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2C69F6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825010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3EA62A8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12,913</w:t>
            </w:r>
          </w:p>
        </w:tc>
        <w:tc>
          <w:tcPr>
            <w:tcW w:w="50" w:type="pct"/>
            <w:shd w:val="clear" w:color="auto" w:fill="CFF0FC"/>
            <w:noWrap/>
            <w:tcMar>
              <w:top w:w="15" w:type="dxa"/>
              <w:left w:w="0" w:type="dxa"/>
              <w:bottom w:w="0" w:type="dxa"/>
              <w:right w:w="15" w:type="dxa"/>
            </w:tcMar>
            <w:vAlign w:val="bottom"/>
            <w:hideMark/>
          </w:tcPr>
          <w:p w14:paraId="07BAA94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1EFDDF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749E0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70E01D0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12,604</w:t>
            </w:r>
          </w:p>
        </w:tc>
        <w:tc>
          <w:tcPr>
            <w:tcW w:w="50" w:type="pct"/>
            <w:shd w:val="clear" w:color="auto" w:fill="CFF0FC"/>
            <w:noWrap/>
            <w:tcMar>
              <w:top w:w="15" w:type="dxa"/>
              <w:left w:w="0" w:type="dxa"/>
              <w:bottom w:w="0" w:type="dxa"/>
              <w:right w:w="15" w:type="dxa"/>
            </w:tcMar>
            <w:vAlign w:val="bottom"/>
            <w:hideMark/>
          </w:tcPr>
          <w:p w14:paraId="60C7951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63AFD9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C33AE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15AA7D4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13,871</w:t>
            </w:r>
          </w:p>
        </w:tc>
        <w:tc>
          <w:tcPr>
            <w:tcW w:w="50" w:type="pct"/>
            <w:shd w:val="clear" w:color="auto" w:fill="CFF0FC"/>
            <w:noWrap/>
            <w:tcMar>
              <w:top w:w="15" w:type="dxa"/>
              <w:left w:w="0" w:type="dxa"/>
              <w:bottom w:w="0" w:type="dxa"/>
              <w:right w:w="15" w:type="dxa"/>
            </w:tcMar>
            <w:vAlign w:val="bottom"/>
            <w:hideMark/>
          </w:tcPr>
          <w:p w14:paraId="4893D27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9CC9722" w14:textId="77777777">
        <w:trPr>
          <w:divId w:val="426118117"/>
          <w:jc w:val="center"/>
        </w:trPr>
        <w:tc>
          <w:tcPr>
            <w:tcW w:w="2246" w:type="pct"/>
            <w:shd w:val="clear" w:color="auto" w:fill="FFFFFF"/>
            <w:tcMar>
              <w:top w:w="15" w:type="dxa"/>
              <w:left w:w="0" w:type="dxa"/>
              <w:bottom w:w="0" w:type="dxa"/>
              <w:right w:w="15" w:type="dxa"/>
            </w:tcMar>
            <w:hideMark/>
          </w:tcPr>
          <w:p w14:paraId="340893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Net income</w:t>
            </w:r>
            <w:r>
              <w:rPr>
                <w:rFonts w:ascii="Calibri" w:hAnsi="Calibri" w:cs="Calibri"/>
                <w:color w:val="000000"/>
                <w:sz w:val="15"/>
                <w:szCs w:val="15"/>
                <w:vertAlign w:val="superscript"/>
              </w:rPr>
              <w:t>(1)</w:t>
            </w:r>
          </w:p>
        </w:tc>
        <w:tc>
          <w:tcPr>
            <w:tcW w:w="75" w:type="pct"/>
            <w:shd w:val="clear" w:color="auto" w:fill="FFFFFF"/>
            <w:tcMar>
              <w:top w:w="15" w:type="dxa"/>
              <w:left w:w="0" w:type="dxa"/>
              <w:bottom w:w="0" w:type="dxa"/>
              <w:right w:w="15" w:type="dxa"/>
            </w:tcMar>
            <w:vAlign w:val="bottom"/>
            <w:hideMark/>
          </w:tcPr>
          <w:p w14:paraId="47FF815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012CC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5C4917D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11,083</w:t>
            </w:r>
          </w:p>
        </w:tc>
        <w:tc>
          <w:tcPr>
            <w:tcW w:w="50" w:type="pct"/>
            <w:shd w:val="clear" w:color="auto" w:fill="FFFFFF"/>
            <w:noWrap/>
            <w:tcMar>
              <w:top w:w="15" w:type="dxa"/>
              <w:left w:w="0" w:type="dxa"/>
              <w:bottom w:w="0" w:type="dxa"/>
              <w:right w:w="15" w:type="dxa"/>
            </w:tcMar>
            <w:vAlign w:val="bottom"/>
            <w:hideMark/>
          </w:tcPr>
          <w:p w14:paraId="7B2474B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409F442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905C5A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2D7CC12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3,587</w:t>
            </w:r>
          </w:p>
        </w:tc>
        <w:tc>
          <w:tcPr>
            <w:tcW w:w="50" w:type="pct"/>
            <w:shd w:val="clear" w:color="auto" w:fill="FFFFFF"/>
            <w:noWrap/>
            <w:tcMar>
              <w:top w:w="15" w:type="dxa"/>
              <w:left w:w="0" w:type="dxa"/>
              <w:bottom w:w="0" w:type="dxa"/>
              <w:right w:w="15" w:type="dxa"/>
            </w:tcMar>
            <w:vAlign w:val="bottom"/>
            <w:hideMark/>
          </w:tcPr>
          <w:p w14:paraId="260AF06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0CB657B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A500A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7BB6911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9,452</w:t>
            </w:r>
          </w:p>
        </w:tc>
        <w:tc>
          <w:tcPr>
            <w:tcW w:w="50" w:type="pct"/>
            <w:shd w:val="clear" w:color="auto" w:fill="FFFFFF"/>
            <w:noWrap/>
            <w:tcMar>
              <w:top w:w="15" w:type="dxa"/>
              <w:left w:w="0" w:type="dxa"/>
              <w:bottom w:w="0" w:type="dxa"/>
              <w:right w:w="15" w:type="dxa"/>
            </w:tcMar>
            <w:vAlign w:val="bottom"/>
            <w:hideMark/>
          </w:tcPr>
          <w:p w14:paraId="25E853E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5CE7A23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D4684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554A742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8,901</w:t>
            </w:r>
          </w:p>
        </w:tc>
        <w:tc>
          <w:tcPr>
            <w:tcW w:w="50" w:type="pct"/>
            <w:shd w:val="clear" w:color="auto" w:fill="FFFFFF"/>
            <w:noWrap/>
            <w:tcMar>
              <w:top w:w="15" w:type="dxa"/>
              <w:left w:w="0" w:type="dxa"/>
              <w:bottom w:w="0" w:type="dxa"/>
              <w:right w:w="15" w:type="dxa"/>
            </w:tcMar>
            <w:vAlign w:val="bottom"/>
            <w:hideMark/>
          </w:tcPr>
          <w:p w14:paraId="24574E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4473AC0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49C6C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1FF3B04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9,938</w:t>
            </w:r>
          </w:p>
        </w:tc>
        <w:tc>
          <w:tcPr>
            <w:tcW w:w="50" w:type="pct"/>
            <w:shd w:val="clear" w:color="auto" w:fill="FFFFFF"/>
            <w:noWrap/>
            <w:tcMar>
              <w:top w:w="15" w:type="dxa"/>
              <w:left w:w="0" w:type="dxa"/>
              <w:bottom w:w="0" w:type="dxa"/>
              <w:right w:w="15" w:type="dxa"/>
            </w:tcMar>
            <w:vAlign w:val="bottom"/>
            <w:hideMark/>
          </w:tcPr>
          <w:p w14:paraId="62BF23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E00DDAF" w14:textId="77777777">
        <w:trPr>
          <w:divId w:val="426118117"/>
          <w:jc w:val="center"/>
        </w:trPr>
        <w:tc>
          <w:tcPr>
            <w:tcW w:w="2246" w:type="pct"/>
            <w:shd w:val="clear" w:color="auto" w:fill="CFF0FC"/>
            <w:tcMar>
              <w:top w:w="15" w:type="dxa"/>
              <w:left w:w="0" w:type="dxa"/>
              <w:bottom w:w="0" w:type="dxa"/>
              <w:right w:w="15" w:type="dxa"/>
            </w:tcMar>
            <w:hideMark/>
          </w:tcPr>
          <w:p w14:paraId="18CEC7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Earnings per share—diluted</w:t>
            </w:r>
            <w:r>
              <w:rPr>
                <w:rFonts w:ascii="Calibri" w:hAnsi="Calibri" w:cs="Calibri"/>
                <w:color w:val="000000"/>
                <w:sz w:val="15"/>
                <w:szCs w:val="15"/>
                <w:vertAlign w:val="superscript"/>
              </w:rPr>
              <w:t>(1)</w:t>
            </w:r>
          </w:p>
        </w:tc>
        <w:tc>
          <w:tcPr>
            <w:tcW w:w="75" w:type="pct"/>
            <w:shd w:val="clear" w:color="auto" w:fill="CFF0FC"/>
            <w:tcMar>
              <w:top w:w="15" w:type="dxa"/>
              <w:left w:w="0" w:type="dxa"/>
              <w:bottom w:w="0" w:type="dxa"/>
              <w:right w:w="15" w:type="dxa"/>
            </w:tcMar>
            <w:vAlign w:val="bottom"/>
            <w:hideMark/>
          </w:tcPr>
          <w:p w14:paraId="4FBF8CB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28527F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495BC58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2.97</w:t>
            </w:r>
          </w:p>
        </w:tc>
        <w:tc>
          <w:tcPr>
            <w:tcW w:w="50" w:type="pct"/>
            <w:shd w:val="clear" w:color="auto" w:fill="CFF0FC"/>
            <w:noWrap/>
            <w:tcMar>
              <w:top w:w="15" w:type="dxa"/>
              <w:left w:w="0" w:type="dxa"/>
              <w:bottom w:w="0" w:type="dxa"/>
              <w:right w:w="15" w:type="dxa"/>
            </w:tcMar>
            <w:vAlign w:val="bottom"/>
            <w:hideMark/>
          </w:tcPr>
          <w:p w14:paraId="60B6148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443F58C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D3D0E2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3A53C0E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0.85</w:t>
            </w:r>
          </w:p>
        </w:tc>
        <w:tc>
          <w:tcPr>
            <w:tcW w:w="50" w:type="pct"/>
            <w:shd w:val="clear" w:color="auto" w:fill="CFF0FC"/>
            <w:noWrap/>
            <w:tcMar>
              <w:top w:w="15" w:type="dxa"/>
              <w:left w:w="0" w:type="dxa"/>
              <w:bottom w:w="0" w:type="dxa"/>
              <w:right w:w="15" w:type="dxa"/>
            </w:tcMar>
            <w:vAlign w:val="bottom"/>
            <w:hideMark/>
          </w:tcPr>
          <w:p w14:paraId="3A1D6C7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15D6CA5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C1CBBB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255AA5C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2.24</w:t>
            </w:r>
          </w:p>
        </w:tc>
        <w:tc>
          <w:tcPr>
            <w:tcW w:w="50" w:type="pct"/>
            <w:shd w:val="clear" w:color="auto" w:fill="CFF0FC"/>
            <w:noWrap/>
            <w:tcMar>
              <w:top w:w="15" w:type="dxa"/>
              <w:left w:w="0" w:type="dxa"/>
              <w:bottom w:w="0" w:type="dxa"/>
              <w:right w:w="15" w:type="dxa"/>
            </w:tcMar>
            <w:vAlign w:val="bottom"/>
            <w:hideMark/>
          </w:tcPr>
          <w:p w14:paraId="2196FA5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380ED2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BA096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4ABC998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2.07</w:t>
            </w:r>
          </w:p>
        </w:tc>
        <w:tc>
          <w:tcPr>
            <w:tcW w:w="50" w:type="pct"/>
            <w:shd w:val="clear" w:color="auto" w:fill="CFF0FC"/>
            <w:noWrap/>
            <w:tcMar>
              <w:top w:w="15" w:type="dxa"/>
              <w:left w:w="0" w:type="dxa"/>
              <w:bottom w:w="0" w:type="dxa"/>
              <w:right w:w="15" w:type="dxa"/>
            </w:tcMar>
            <w:vAlign w:val="bottom"/>
            <w:hideMark/>
          </w:tcPr>
          <w:p w14:paraId="4059D4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513985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6B3C0B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58F4DB8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2.21</w:t>
            </w:r>
          </w:p>
        </w:tc>
        <w:tc>
          <w:tcPr>
            <w:tcW w:w="50" w:type="pct"/>
            <w:shd w:val="clear" w:color="auto" w:fill="CFF0FC"/>
            <w:noWrap/>
            <w:tcMar>
              <w:top w:w="15" w:type="dxa"/>
              <w:left w:w="0" w:type="dxa"/>
              <w:bottom w:w="0" w:type="dxa"/>
              <w:right w:w="15" w:type="dxa"/>
            </w:tcMar>
            <w:vAlign w:val="bottom"/>
            <w:hideMark/>
          </w:tcPr>
          <w:p w14:paraId="4496F3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7C700E2" w14:textId="77777777">
        <w:trPr>
          <w:divId w:val="426118117"/>
          <w:jc w:val="center"/>
        </w:trPr>
        <w:tc>
          <w:tcPr>
            <w:tcW w:w="2246" w:type="pct"/>
            <w:shd w:val="clear" w:color="auto" w:fill="FFFFFF"/>
            <w:tcMar>
              <w:top w:w="15" w:type="dxa"/>
              <w:left w:w="0" w:type="dxa"/>
              <w:bottom w:w="0" w:type="dxa"/>
              <w:right w:w="15" w:type="dxa"/>
            </w:tcMar>
            <w:hideMark/>
          </w:tcPr>
          <w:p w14:paraId="324587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Diluted weighted average common shares outstanding</w:t>
            </w:r>
          </w:p>
        </w:tc>
        <w:tc>
          <w:tcPr>
            <w:tcW w:w="75" w:type="pct"/>
            <w:shd w:val="clear" w:color="auto" w:fill="FFFFFF"/>
            <w:tcMar>
              <w:top w:w="15" w:type="dxa"/>
              <w:left w:w="0" w:type="dxa"/>
              <w:bottom w:w="0" w:type="dxa"/>
              <w:right w:w="15" w:type="dxa"/>
            </w:tcMar>
            <w:vAlign w:val="bottom"/>
            <w:hideMark/>
          </w:tcPr>
          <w:p w14:paraId="306916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A7EAB3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left w:w="0" w:type="dxa"/>
              <w:bottom w:w="0" w:type="dxa"/>
              <w:right w:w="15" w:type="dxa"/>
            </w:tcMar>
            <w:vAlign w:val="bottom"/>
            <w:hideMark/>
          </w:tcPr>
          <w:p w14:paraId="787B17F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3,732</w:t>
            </w:r>
          </w:p>
        </w:tc>
        <w:tc>
          <w:tcPr>
            <w:tcW w:w="50" w:type="pct"/>
            <w:shd w:val="clear" w:color="auto" w:fill="FFFFFF"/>
            <w:noWrap/>
            <w:tcMar>
              <w:top w:w="15" w:type="dxa"/>
              <w:left w:w="0" w:type="dxa"/>
              <w:bottom w:w="0" w:type="dxa"/>
              <w:right w:w="15" w:type="dxa"/>
            </w:tcMar>
            <w:vAlign w:val="bottom"/>
            <w:hideMark/>
          </w:tcPr>
          <w:p w14:paraId="25529D3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6D6736F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BB409E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left w:w="0" w:type="dxa"/>
              <w:bottom w:w="0" w:type="dxa"/>
              <w:right w:w="15" w:type="dxa"/>
            </w:tcMar>
            <w:vAlign w:val="bottom"/>
            <w:hideMark/>
          </w:tcPr>
          <w:p w14:paraId="34ECC60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4,238</w:t>
            </w:r>
          </w:p>
        </w:tc>
        <w:tc>
          <w:tcPr>
            <w:tcW w:w="50" w:type="pct"/>
            <w:shd w:val="clear" w:color="auto" w:fill="FFFFFF"/>
            <w:noWrap/>
            <w:tcMar>
              <w:top w:w="15" w:type="dxa"/>
              <w:left w:w="0" w:type="dxa"/>
              <w:bottom w:w="0" w:type="dxa"/>
              <w:right w:w="15" w:type="dxa"/>
            </w:tcMar>
            <w:vAlign w:val="bottom"/>
            <w:hideMark/>
          </w:tcPr>
          <w:p w14:paraId="7A76A01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33E945A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721549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left w:w="0" w:type="dxa"/>
              <w:bottom w:w="0" w:type="dxa"/>
              <w:right w:w="15" w:type="dxa"/>
            </w:tcMar>
            <w:vAlign w:val="bottom"/>
            <w:hideMark/>
          </w:tcPr>
          <w:p w14:paraId="74B7A8B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4,217</w:t>
            </w:r>
          </w:p>
        </w:tc>
        <w:tc>
          <w:tcPr>
            <w:tcW w:w="50" w:type="pct"/>
            <w:shd w:val="clear" w:color="auto" w:fill="FFFFFF"/>
            <w:noWrap/>
            <w:tcMar>
              <w:top w:w="15" w:type="dxa"/>
              <w:left w:w="0" w:type="dxa"/>
              <w:bottom w:w="0" w:type="dxa"/>
              <w:right w:w="15" w:type="dxa"/>
            </w:tcMar>
            <w:vAlign w:val="bottom"/>
            <w:hideMark/>
          </w:tcPr>
          <w:p w14:paraId="44CFFEE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7A727A9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4D7010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left w:w="0" w:type="dxa"/>
              <w:bottom w:w="0" w:type="dxa"/>
              <w:right w:w="15" w:type="dxa"/>
            </w:tcMar>
            <w:vAlign w:val="bottom"/>
            <w:hideMark/>
          </w:tcPr>
          <w:p w14:paraId="174F265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4,305</w:t>
            </w:r>
          </w:p>
        </w:tc>
        <w:tc>
          <w:tcPr>
            <w:tcW w:w="50" w:type="pct"/>
            <w:shd w:val="clear" w:color="auto" w:fill="FFFFFF"/>
            <w:noWrap/>
            <w:tcMar>
              <w:top w:w="15" w:type="dxa"/>
              <w:left w:w="0" w:type="dxa"/>
              <w:bottom w:w="0" w:type="dxa"/>
              <w:right w:w="15" w:type="dxa"/>
            </w:tcMar>
            <w:vAlign w:val="bottom"/>
            <w:hideMark/>
          </w:tcPr>
          <w:p w14:paraId="527D8A7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3535513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7A8D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left w:w="0" w:type="dxa"/>
              <w:bottom w:w="0" w:type="dxa"/>
              <w:right w:w="15" w:type="dxa"/>
            </w:tcMar>
            <w:vAlign w:val="bottom"/>
            <w:hideMark/>
          </w:tcPr>
          <w:p w14:paraId="4DA0548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4,503</w:t>
            </w:r>
          </w:p>
        </w:tc>
        <w:tc>
          <w:tcPr>
            <w:tcW w:w="50" w:type="pct"/>
            <w:shd w:val="clear" w:color="auto" w:fill="FFFFFF"/>
            <w:noWrap/>
            <w:tcMar>
              <w:top w:w="15" w:type="dxa"/>
              <w:left w:w="0" w:type="dxa"/>
              <w:bottom w:w="0" w:type="dxa"/>
              <w:right w:w="15" w:type="dxa"/>
            </w:tcMar>
            <w:vAlign w:val="bottom"/>
            <w:hideMark/>
          </w:tcPr>
          <w:p w14:paraId="1AD7E70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75838DD" w14:textId="77777777">
        <w:trPr>
          <w:divId w:val="426118117"/>
          <w:jc w:val="center"/>
        </w:trPr>
        <w:tc>
          <w:tcPr>
            <w:tcW w:w="2246" w:type="pct"/>
            <w:shd w:val="clear" w:color="auto" w:fill="CFF0FC"/>
            <w:tcMar>
              <w:top w:w="15" w:type="dxa"/>
              <w:left w:w="0" w:type="dxa"/>
              <w:bottom w:w="0" w:type="dxa"/>
              <w:right w:w="15" w:type="dxa"/>
            </w:tcMar>
            <w:hideMark/>
          </w:tcPr>
          <w:p w14:paraId="5879DC4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75" w:type="pct"/>
            <w:shd w:val="clear" w:color="auto" w:fill="CFF0FC"/>
            <w:tcMar>
              <w:top w:w="15" w:type="dxa"/>
              <w:left w:w="0" w:type="dxa"/>
              <w:bottom w:w="0" w:type="dxa"/>
              <w:right w:w="15" w:type="dxa"/>
            </w:tcMar>
            <w:vAlign w:val="bottom"/>
            <w:hideMark/>
          </w:tcPr>
          <w:p w14:paraId="56048B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76883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4F790DA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0.81</w:t>
            </w:r>
          </w:p>
        </w:tc>
        <w:tc>
          <w:tcPr>
            <w:tcW w:w="50" w:type="pct"/>
            <w:shd w:val="clear" w:color="auto" w:fill="CFF0FC"/>
            <w:noWrap/>
            <w:tcMar>
              <w:top w:w="15" w:type="dxa"/>
              <w:left w:w="0" w:type="dxa"/>
              <w:bottom w:w="0" w:type="dxa"/>
              <w:right w:w="15" w:type="dxa"/>
            </w:tcMar>
            <w:vAlign w:val="bottom"/>
            <w:hideMark/>
          </w:tcPr>
          <w:p w14:paraId="720D776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09AAFCB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FAED9C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71E51EC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0.76</w:t>
            </w:r>
          </w:p>
        </w:tc>
        <w:tc>
          <w:tcPr>
            <w:tcW w:w="50" w:type="pct"/>
            <w:shd w:val="clear" w:color="auto" w:fill="CFF0FC"/>
            <w:noWrap/>
            <w:tcMar>
              <w:top w:w="15" w:type="dxa"/>
              <w:left w:w="0" w:type="dxa"/>
              <w:bottom w:w="0" w:type="dxa"/>
              <w:right w:w="15" w:type="dxa"/>
            </w:tcMar>
            <w:vAlign w:val="bottom"/>
            <w:hideMark/>
          </w:tcPr>
          <w:p w14:paraId="7DD990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1E9BAF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5B9AAC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4ED8B82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0.64</w:t>
            </w:r>
          </w:p>
        </w:tc>
        <w:tc>
          <w:tcPr>
            <w:tcW w:w="50" w:type="pct"/>
            <w:shd w:val="clear" w:color="auto" w:fill="CFF0FC"/>
            <w:noWrap/>
            <w:tcMar>
              <w:top w:w="15" w:type="dxa"/>
              <w:left w:w="0" w:type="dxa"/>
              <w:bottom w:w="0" w:type="dxa"/>
              <w:right w:w="15" w:type="dxa"/>
            </w:tcMar>
            <w:vAlign w:val="bottom"/>
            <w:hideMark/>
          </w:tcPr>
          <w:p w14:paraId="6B1CBA2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481E672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167F5B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1C4B6B2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0.60</w:t>
            </w:r>
          </w:p>
        </w:tc>
        <w:tc>
          <w:tcPr>
            <w:tcW w:w="50" w:type="pct"/>
            <w:shd w:val="clear" w:color="auto" w:fill="CFF0FC"/>
            <w:noWrap/>
            <w:tcMar>
              <w:top w:w="15" w:type="dxa"/>
              <w:left w:w="0" w:type="dxa"/>
              <w:bottom w:w="0" w:type="dxa"/>
              <w:right w:w="15" w:type="dxa"/>
            </w:tcMar>
            <w:vAlign w:val="bottom"/>
            <w:hideMark/>
          </w:tcPr>
          <w:p w14:paraId="145B0E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045132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A06F5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381754E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0.51</w:t>
            </w:r>
          </w:p>
        </w:tc>
        <w:tc>
          <w:tcPr>
            <w:tcW w:w="50" w:type="pct"/>
            <w:shd w:val="clear" w:color="auto" w:fill="CFF0FC"/>
            <w:noWrap/>
            <w:tcMar>
              <w:top w:w="15" w:type="dxa"/>
              <w:left w:w="0" w:type="dxa"/>
              <w:bottom w:w="0" w:type="dxa"/>
              <w:right w:w="15" w:type="dxa"/>
            </w:tcMar>
            <w:vAlign w:val="bottom"/>
            <w:hideMark/>
          </w:tcPr>
          <w:p w14:paraId="72202C8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37D058C" w14:textId="77777777">
        <w:trPr>
          <w:divId w:val="426118117"/>
          <w:jc w:val="center"/>
        </w:trPr>
        <w:tc>
          <w:tcPr>
            <w:tcW w:w="2246" w:type="pct"/>
            <w:shd w:val="clear" w:color="auto" w:fill="FFFFFF"/>
            <w:tcMar>
              <w:top w:w="15" w:type="dxa"/>
              <w:left w:w="0" w:type="dxa"/>
              <w:bottom w:w="0" w:type="dxa"/>
              <w:right w:w="15" w:type="dxa"/>
            </w:tcMar>
            <w:hideMark/>
          </w:tcPr>
          <w:p w14:paraId="6E8A549E"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Consolidated Balance Sheets Data:</w:t>
            </w:r>
          </w:p>
        </w:tc>
        <w:tc>
          <w:tcPr>
            <w:tcW w:w="75" w:type="pct"/>
            <w:shd w:val="clear" w:color="auto" w:fill="FFFFFF"/>
            <w:tcMar>
              <w:top w:w="15" w:type="dxa"/>
              <w:left w:w="0" w:type="dxa"/>
              <w:bottom w:w="0" w:type="dxa"/>
              <w:right w:w="15" w:type="dxa"/>
            </w:tcMar>
            <w:vAlign w:val="bottom"/>
            <w:hideMark/>
          </w:tcPr>
          <w:p w14:paraId="4BDD258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DF5E79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left w:w="0" w:type="dxa"/>
              <w:bottom w:w="0" w:type="dxa"/>
              <w:right w:w="15" w:type="dxa"/>
            </w:tcMar>
            <w:vAlign w:val="bottom"/>
            <w:hideMark/>
          </w:tcPr>
          <w:p w14:paraId="5DC2582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3BBE6E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5A95B1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BBA672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left w:w="0" w:type="dxa"/>
              <w:bottom w:w="0" w:type="dxa"/>
              <w:right w:w="15" w:type="dxa"/>
            </w:tcMar>
            <w:vAlign w:val="bottom"/>
            <w:hideMark/>
          </w:tcPr>
          <w:p w14:paraId="79144DA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AF3337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7F0A40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75B901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left w:w="0" w:type="dxa"/>
              <w:bottom w:w="0" w:type="dxa"/>
              <w:right w:w="15" w:type="dxa"/>
            </w:tcMar>
            <w:vAlign w:val="bottom"/>
            <w:hideMark/>
          </w:tcPr>
          <w:p w14:paraId="1EB433D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235F6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6B2E4CD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A4672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left w:w="0" w:type="dxa"/>
              <w:bottom w:w="0" w:type="dxa"/>
              <w:right w:w="15" w:type="dxa"/>
            </w:tcMar>
            <w:vAlign w:val="bottom"/>
            <w:hideMark/>
          </w:tcPr>
          <w:p w14:paraId="2BB5CB7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84A9A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610688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29F16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left w:w="0" w:type="dxa"/>
              <w:bottom w:w="0" w:type="dxa"/>
              <w:right w:w="15" w:type="dxa"/>
            </w:tcMar>
            <w:vAlign w:val="bottom"/>
            <w:hideMark/>
          </w:tcPr>
          <w:p w14:paraId="3C2B043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4CD4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74CA17F" w14:textId="77777777">
        <w:trPr>
          <w:divId w:val="426118117"/>
          <w:jc w:val="center"/>
        </w:trPr>
        <w:tc>
          <w:tcPr>
            <w:tcW w:w="2246" w:type="pct"/>
            <w:shd w:val="clear" w:color="auto" w:fill="CFF0FC"/>
            <w:tcMar>
              <w:top w:w="15" w:type="dxa"/>
              <w:left w:w="0" w:type="dxa"/>
              <w:bottom w:w="0" w:type="dxa"/>
              <w:right w:w="15" w:type="dxa"/>
            </w:tcMar>
            <w:hideMark/>
          </w:tcPr>
          <w:p w14:paraId="1E4ACA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Working capital</w:t>
            </w:r>
            <w:r>
              <w:rPr>
                <w:rFonts w:ascii="Calibri" w:hAnsi="Calibri" w:cs="Calibri"/>
                <w:color w:val="000000"/>
                <w:sz w:val="15"/>
                <w:szCs w:val="15"/>
                <w:vertAlign w:val="superscript"/>
              </w:rPr>
              <w:t>(2)</w:t>
            </w:r>
          </w:p>
        </w:tc>
        <w:tc>
          <w:tcPr>
            <w:tcW w:w="75" w:type="pct"/>
            <w:shd w:val="clear" w:color="auto" w:fill="CFF0FC"/>
            <w:tcMar>
              <w:top w:w="15" w:type="dxa"/>
              <w:left w:w="0" w:type="dxa"/>
              <w:bottom w:w="0" w:type="dxa"/>
              <w:right w:w="15" w:type="dxa"/>
            </w:tcMar>
            <w:vAlign w:val="bottom"/>
            <w:hideMark/>
          </w:tcPr>
          <w:p w14:paraId="3644166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1C5BB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73F73D5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27,756</w:t>
            </w:r>
          </w:p>
        </w:tc>
        <w:tc>
          <w:tcPr>
            <w:tcW w:w="50" w:type="pct"/>
            <w:shd w:val="clear" w:color="auto" w:fill="CFF0FC"/>
            <w:noWrap/>
            <w:tcMar>
              <w:top w:w="15" w:type="dxa"/>
              <w:left w:w="0" w:type="dxa"/>
              <w:bottom w:w="0" w:type="dxa"/>
              <w:right w:w="15" w:type="dxa"/>
            </w:tcMar>
            <w:vAlign w:val="bottom"/>
            <w:hideMark/>
          </w:tcPr>
          <w:p w14:paraId="6EF925E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6730973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E24FF2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7C5D588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57,035</w:t>
            </w:r>
          </w:p>
        </w:tc>
        <w:tc>
          <w:tcPr>
            <w:tcW w:w="50" w:type="pct"/>
            <w:shd w:val="clear" w:color="auto" w:fill="CFF0FC"/>
            <w:noWrap/>
            <w:tcMar>
              <w:top w:w="15" w:type="dxa"/>
              <w:left w:w="0" w:type="dxa"/>
              <w:bottom w:w="0" w:type="dxa"/>
              <w:right w:w="15" w:type="dxa"/>
            </w:tcMar>
            <w:vAlign w:val="bottom"/>
            <w:hideMark/>
          </w:tcPr>
          <w:p w14:paraId="241A195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184A36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2150E0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2CC8779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50,995</w:t>
            </w:r>
          </w:p>
        </w:tc>
        <w:tc>
          <w:tcPr>
            <w:tcW w:w="50" w:type="pct"/>
            <w:shd w:val="clear" w:color="auto" w:fill="CFF0FC"/>
            <w:noWrap/>
            <w:tcMar>
              <w:top w:w="15" w:type="dxa"/>
              <w:left w:w="0" w:type="dxa"/>
              <w:bottom w:w="0" w:type="dxa"/>
              <w:right w:w="15" w:type="dxa"/>
            </w:tcMar>
            <w:vAlign w:val="bottom"/>
            <w:hideMark/>
          </w:tcPr>
          <w:p w14:paraId="219FB8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077EF3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C6130C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27982B8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47,105</w:t>
            </w:r>
          </w:p>
        </w:tc>
        <w:tc>
          <w:tcPr>
            <w:tcW w:w="50" w:type="pct"/>
            <w:shd w:val="clear" w:color="auto" w:fill="CFF0FC"/>
            <w:noWrap/>
            <w:tcMar>
              <w:top w:w="15" w:type="dxa"/>
              <w:left w:w="0" w:type="dxa"/>
              <w:bottom w:w="0" w:type="dxa"/>
              <w:right w:w="15" w:type="dxa"/>
            </w:tcMar>
            <w:vAlign w:val="bottom"/>
            <w:hideMark/>
          </w:tcPr>
          <w:p w14:paraId="13CB154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70FC8EA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3F95D2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307896B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47,314</w:t>
            </w:r>
          </w:p>
        </w:tc>
        <w:tc>
          <w:tcPr>
            <w:tcW w:w="50" w:type="pct"/>
            <w:shd w:val="clear" w:color="auto" w:fill="CFF0FC"/>
            <w:noWrap/>
            <w:tcMar>
              <w:top w:w="15" w:type="dxa"/>
              <w:left w:w="0" w:type="dxa"/>
              <w:bottom w:w="0" w:type="dxa"/>
              <w:right w:w="15" w:type="dxa"/>
            </w:tcMar>
            <w:vAlign w:val="bottom"/>
            <w:hideMark/>
          </w:tcPr>
          <w:p w14:paraId="1D39A3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B505007" w14:textId="77777777">
        <w:trPr>
          <w:divId w:val="426118117"/>
          <w:jc w:val="center"/>
        </w:trPr>
        <w:tc>
          <w:tcPr>
            <w:tcW w:w="2246" w:type="pct"/>
            <w:shd w:val="clear" w:color="auto" w:fill="FFFFFF"/>
            <w:tcMar>
              <w:top w:w="15" w:type="dxa"/>
              <w:left w:w="0" w:type="dxa"/>
              <w:bottom w:w="0" w:type="dxa"/>
              <w:right w:w="15" w:type="dxa"/>
            </w:tcMar>
            <w:hideMark/>
          </w:tcPr>
          <w:p w14:paraId="61DC52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Total assets</w:t>
            </w:r>
            <w:r>
              <w:rPr>
                <w:rFonts w:ascii="Calibri" w:hAnsi="Calibri" w:cs="Calibri"/>
                <w:color w:val="000000"/>
                <w:sz w:val="15"/>
                <w:szCs w:val="15"/>
                <w:vertAlign w:val="superscript"/>
              </w:rPr>
              <w:t>(2)</w:t>
            </w:r>
          </w:p>
        </w:tc>
        <w:tc>
          <w:tcPr>
            <w:tcW w:w="75" w:type="pct"/>
            <w:shd w:val="clear" w:color="auto" w:fill="FFFFFF"/>
            <w:tcMar>
              <w:top w:w="15" w:type="dxa"/>
              <w:left w:w="0" w:type="dxa"/>
              <w:bottom w:w="0" w:type="dxa"/>
              <w:right w:w="15" w:type="dxa"/>
            </w:tcMar>
            <w:vAlign w:val="bottom"/>
            <w:hideMark/>
          </w:tcPr>
          <w:p w14:paraId="5C4EA4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003C9A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3C5B743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108,709</w:t>
            </w:r>
          </w:p>
        </w:tc>
        <w:tc>
          <w:tcPr>
            <w:tcW w:w="50" w:type="pct"/>
            <w:shd w:val="clear" w:color="auto" w:fill="FFFFFF"/>
            <w:noWrap/>
            <w:tcMar>
              <w:top w:w="15" w:type="dxa"/>
              <w:left w:w="0" w:type="dxa"/>
              <w:bottom w:w="0" w:type="dxa"/>
              <w:right w:w="15" w:type="dxa"/>
            </w:tcMar>
            <w:vAlign w:val="bottom"/>
            <w:hideMark/>
          </w:tcPr>
          <w:p w14:paraId="1B86417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08894F4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6B2948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5BF9F5E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137,851</w:t>
            </w:r>
          </w:p>
        </w:tc>
        <w:tc>
          <w:tcPr>
            <w:tcW w:w="50" w:type="pct"/>
            <w:shd w:val="clear" w:color="auto" w:fill="FFFFFF"/>
            <w:noWrap/>
            <w:tcMar>
              <w:top w:w="15" w:type="dxa"/>
              <w:left w:w="0" w:type="dxa"/>
              <w:bottom w:w="0" w:type="dxa"/>
              <w:right w:w="15" w:type="dxa"/>
            </w:tcMar>
            <w:vAlign w:val="bottom"/>
            <w:hideMark/>
          </w:tcPr>
          <w:p w14:paraId="1F5BBBD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1D41286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B7CB5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11008CD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136,003</w:t>
            </w:r>
          </w:p>
        </w:tc>
        <w:tc>
          <w:tcPr>
            <w:tcW w:w="50" w:type="pct"/>
            <w:shd w:val="clear" w:color="auto" w:fill="FFFFFF"/>
            <w:noWrap/>
            <w:tcMar>
              <w:top w:w="15" w:type="dxa"/>
              <w:left w:w="0" w:type="dxa"/>
              <w:bottom w:w="0" w:type="dxa"/>
              <w:right w:w="15" w:type="dxa"/>
            </w:tcMar>
            <w:vAlign w:val="bottom"/>
            <w:hideMark/>
          </w:tcPr>
          <w:p w14:paraId="5D28E65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051921E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0353D6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0582818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112,180</w:t>
            </w:r>
          </w:p>
        </w:tc>
        <w:tc>
          <w:tcPr>
            <w:tcW w:w="50" w:type="pct"/>
            <w:shd w:val="clear" w:color="auto" w:fill="FFFFFF"/>
            <w:noWrap/>
            <w:tcMar>
              <w:top w:w="15" w:type="dxa"/>
              <w:left w:w="0" w:type="dxa"/>
              <w:bottom w:w="0" w:type="dxa"/>
              <w:right w:w="15" w:type="dxa"/>
            </w:tcMar>
            <w:vAlign w:val="bottom"/>
            <w:hideMark/>
          </w:tcPr>
          <w:p w14:paraId="7AAECB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FFFFFF"/>
            <w:tcMar>
              <w:top w:w="15" w:type="dxa"/>
              <w:left w:w="0" w:type="dxa"/>
              <w:bottom w:w="0" w:type="dxa"/>
              <w:right w:w="15" w:type="dxa"/>
            </w:tcMar>
            <w:vAlign w:val="bottom"/>
            <w:hideMark/>
          </w:tcPr>
          <w:p w14:paraId="1EC158E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A7C24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left w:w="0" w:type="dxa"/>
              <w:bottom w:w="0" w:type="dxa"/>
              <w:right w:w="15" w:type="dxa"/>
            </w:tcMar>
            <w:vAlign w:val="bottom"/>
            <w:hideMark/>
          </w:tcPr>
          <w:p w14:paraId="07A3783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110,903</w:t>
            </w:r>
          </w:p>
        </w:tc>
        <w:tc>
          <w:tcPr>
            <w:tcW w:w="50" w:type="pct"/>
            <w:shd w:val="clear" w:color="auto" w:fill="FFFFFF"/>
            <w:noWrap/>
            <w:tcMar>
              <w:top w:w="15" w:type="dxa"/>
              <w:left w:w="0" w:type="dxa"/>
              <w:bottom w:w="0" w:type="dxa"/>
              <w:right w:w="15" w:type="dxa"/>
            </w:tcMar>
            <w:vAlign w:val="bottom"/>
            <w:hideMark/>
          </w:tcPr>
          <w:p w14:paraId="2547B7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6B194E1" w14:textId="77777777">
        <w:trPr>
          <w:divId w:val="426118117"/>
          <w:jc w:val="center"/>
        </w:trPr>
        <w:tc>
          <w:tcPr>
            <w:tcW w:w="2246" w:type="pct"/>
            <w:shd w:val="clear" w:color="auto" w:fill="CFF0FC"/>
            <w:tcMar>
              <w:top w:w="15" w:type="dxa"/>
              <w:left w:w="0" w:type="dxa"/>
              <w:bottom w:w="0" w:type="dxa"/>
              <w:right w:w="15" w:type="dxa"/>
            </w:tcMar>
            <w:hideMark/>
          </w:tcPr>
          <w:p w14:paraId="631AFFD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Notes payable and other borrowings</w:t>
            </w:r>
            <w:r>
              <w:rPr>
                <w:rFonts w:ascii="Calibri" w:hAnsi="Calibri" w:cs="Calibri"/>
                <w:color w:val="000000"/>
                <w:sz w:val="15"/>
                <w:szCs w:val="15"/>
                <w:vertAlign w:val="superscript"/>
              </w:rPr>
              <w:t>(3)</w:t>
            </w:r>
          </w:p>
        </w:tc>
        <w:tc>
          <w:tcPr>
            <w:tcW w:w="75" w:type="pct"/>
            <w:shd w:val="clear" w:color="auto" w:fill="CFF0FC"/>
            <w:tcMar>
              <w:top w:w="15" w:type="dxa"/>
              <w:left w:w="0" w:type="dxa"/>
              <w:bottom w:w="0" w:type="dxa"/>
              <w:right w:w="15" w:type="dxa"/>
            </w:tcMar>
            <w:vAlign w:val="bottom"/>
            <w:hideMark/>
          </w:tcPr>
          <w:p w14:paraId="1DD50EF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1AC780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2086151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56,167</w:t>
            </w:r>
          </w:p>
        </w:tc>
        <w:tc>
          <w:tcPr>
            <w:tcW w:w="50" w:type="pct"/>
            <w:shd w:val="clear" w:color="auto" w:fill="CFF0FC"/>
            <w:noWrap/>
            <w:tcMar>
              <w:top w:w="15" w:type="dxa"/>
              <w:left w:w="0" w:type="dxa"/>
              <w:bottom w:w="0" w:type="dxa"/>
              <w:right w:w="15" w:type="dxa"/>
            </w:tcMar>
            <w:vAlign w:val="bottom"/>
            <w:hideMark/>
          </w:tcPr>
          <w:p w14:paraId="52E2E3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6532F3F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EC54B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21E5BDC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60,619</w:t>
            </w:r>
          </w:p>
        </w:tc>
        <w:tc>
          <w:tcPr>
            <w:tcW w:w="50" w:type="pct"/>
            <w:shd w:val="clear" w:color="auto" w:fill="CFF0FC"/>
            <w:noWrap/>
            <w:tcMar>
              <w:top w:w="15" w:type="dxa"/>
              <w:left w:w="0" w:type="dxa"/>
              <w:bottom w:w="0" w:type="dxa"/>
              <w:right w:w="15" w:type="dxa"/>
            </w:tcMar>
            <w:vAlign w:val="bottom"/>
            <w:hideMark/>
          </w:tcPr>
          <w:p w14:paraId="05AD82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6C7D362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A94019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3B0DBBF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57,909</w:t>
            </w:r>
          </w:p>
        </w:tc>
        <w:tc>
          <w:tcPr>
            <w:tcW w:w="50" w:type="pct"/>
            <w:shd w:val="clear" w:color="auto" w:fill="CFF0FC"/>
            <w:noWrap/>
            <w:tcMar>
              <w:top w:w="15" w:type="dxa"/>
              <w:left w:w="0" w:type="dxa"/>
              <w:bottom w:w="0" w:type="dxa"/>
              <w:right w:w="15" w:type="dxa"/>
            </w:tcMar>
            <w:vAlign w:val="bottom"/>
            <w:hideMark/>
          </w:tcPr>
          <w:p w14:paraId="18F1093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71FA46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5F970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5332BEA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43,855</w:t>
            </w:r>
          </w:p>
        </w:tc>
        <w:tc>
          <w:tcPr>
            <w:tcW w:w="50" w:type="pct"/>
            <w:shd w:val="clear" w:color="auto" w:fill="CFF0FC"/>
            <w:noWrap/>
            <w:tcMar>
              <w:top w:w="15" w:type="dxa"/>
              <w:left w:w="0" w:type="dxa"/>
              <w:bottom w:w="0" w:type="dxa"/>
              <w:right w:w="15" w:type="dxa"/>
            </w:tcMar>
            <w:vAlign w:val="bottom"/>
            <w:hideMark/>
          </w:tcPr>
          <w:p w14:paraId="5CC8692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5" w:type="pct"/>
            <w:shd w:val="clear" w:color="auto" w:fill="CFF0FC"/>
            <w:tcMar>
              <w:top w:w="15" w:type="dxa"/>
              <w:left w:w="0" w:type="dxa"/>
              <w:bottom w:w="0" w:type="dxa"/>
              <w:right w:w="15" w:type="dxa"/>
            </w:tcMar>
            <w:vAlign w:val="bottom"/>
            <w:hideMark/>
          </w:tcPr>
          <w:p w14:paraId="0F76D34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C937F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left w:w="0" w:type="dxa"/>
              <w:bottom w:w="0" w:type="dxa"/>
              <w:right w:w="15" w:type="dxa"/>
            </w:tcMar>
            <w:vAlign w:val="bottom"/>
            <w:hideMark/>
          </w:tcPr>
          <w:p w14:paraId="219D28E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41,958</w:t>
            </w:r>
          </w:p>
        </w:tc>
        <w:tc>
          <w:tcPr>
            <w:tcW w:w="50" w:type="pct"/>
            <w:shd w:val="clear" w:color="auto" w:fill="CFF0FC"/>
            <w:noWrap/>
            <w:tcMar>
              <w:top w:w="15" w:type="dxa"/>
              <w:left w:w="0" w:type="dxa"/>
              <w:bottom w:w="0" w:type="dxa"/>
              <w:right w:w="15" w:type="dxa"/>
            </w:tcMar>
            <w:vAlign w:val="bottom"/>
            <w:hideMark/>
          </w:tcPr>
          <w:p w14:paraId="25375481"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5A96888" w14:textId="77777777" w:rsidR="00251D72" w:rsidRDefault="00251D72">
      <w:pPr>
        <w:pStyle w:val="a3"/>
        <w:pBdr>
          <w:bottom w:val="single" w:sz="6" w:space="1" w:color="auto"/>
        </w:pBdr>
        <w:spacing w:before="0" w:beforeAutospacing="0" w:after="0" w:afterAutospacing="0"/>
        <w:ind w:right="10953"/>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28C1AABD" w14:textId="77777777">
        <w:tc>
          <w:tcPr>
            <w:tcW w:w="192" w:type="pct"/>
            <w:noWrap/>
            <w:hideMark/>
          </w:tcPr>
          <w:p w14:paraId="7F1C1FB7"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74F9A87D"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Our net income and diluted earnings per share were impacted in fiscal 2019 and 2018 by the effects of the U.S. Tax Cuts and Jobs Act of 2017 (the Tax Act). The more significant provisions of the Tax Act as applicable to us are described below under “Impacts of the U.S. Tax Cuts and Jobs Act of 2017”.</w:t>
            </w:r>
          </w:p>
        </w:tc>
      </w:tr>
    </w:tbl>
    <w:p w14:paraId="28BFDAB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410E2E92" w14:textId="77777777">
        <w:tc>
          <w:tcPr>
            <w:tcW w:w="192" w:type="pct"/>
            <w:noWrap/>
            <w:hideMark/>
          </w:tcPr>
          <w:p w14:paraId="63369850"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407E1C3D"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 xml:space="preserve">Working capital and total assets decreased in fiscal 2019 primarily due to $36.1 billion of cash used for repurchases of our common stock during fiscal 2019 and also due to dividend payments, partially offset by the favorable impacts to our net current assets resulting from our fiscal 2019 net income. Working capital and total assets sequentially increased in nearly all of the fiscal 2015 to 2018 periods presented primarily due to the favorable impacts to our net current assets resulting from our net income generated during the periods presented and the issuances of long-term senior notes of $10.0 billion in fiscal 2018, and $14.0 billion in fiscal 2017. These working capital and total assets increases were partially offset by cash used for acquisitions, repurchases of our common stock and dividend payments in the fiscal 2015 to 2018 periods presented. In addition, our total assets were also affected in all periods presented by the repayments of notes payable and other borrowings as discussed further below. </w:t>
            </w:r>
          </w:p>
        </w:tc>
      </w:tr>
    </w:tbl>
    <w:p w14:paraId="581D6BC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441DEA48" w14:textId="77777777">
        <w:tc>
          <w:tcPr>
            <w:tcW w:w="192" w:type="pct"/>
            <w:noWrap/>
            <w:hideMark/>
          </w:tcPr>
          <w:p w14:paraId="7BBCC233"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(3)</w:t>
            </w:r>
          </w:p>
        </w:tc>
        <w:tc>
          <w:tcPr>
            <w:tcW w:w="0" w:type="auto"/>
            <w:hideMark/>
          </w:tcPr>
          <w:p w14:paraId="137329F9"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Our notes payable and other borrowings, which represented the summation of our notes payable and other borrowings, current, and notes payable and other borrowings, non-current, as reported per our consolidated balance sheets as of the dates listed in the table above, decreased during fiscal 2019 primarily due to repayments of certain short-term borrowings and senior notes. Notes payable and other borrowings increased between fiscal 2015 and 2018 primarily due to the fiscal 2018 issuance of long-term senior notes of $10.0 billion and short-term borrowings of $2.5 billion, the fiscal 2017 issuance of long-term senior notes of $14.0 billion and short-term borrowings of $3.8 billion, and the fiscal 2016 short-term borrowings of $3.8 billion. See Note 7 of Notes to Consolidated Financial Statements included elsewhere in this Annual Report for additional information regarding our notes payable and other borrowings.</w:t>
            </w:r>
          </w:p>
        </w:tc>
      </w:tr>
    </w:tbl>
    <w:p w14:paraId="4AB1A82B"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3A26C776" w14:textId="77777777">
        <w:tc>
          <w:tcPr>
            <w:tcW w:w="192" w:type="pct"/>
            <w:noWrap/>
            <w:hideMark/>
          </w:tcPr>
          <w:p w14:paraId="1C8D5590"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(4)</w:t>
            </w:r>
          </w:p>
        </w:tc>
        <w:tc>
          <w:tcPr>
            <w:tcW w:w="0" w:type="auto"/>
            <w:hideMark/>
          </w:tcPr>
          <w:p w14:paraId="751823EA"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 xml:space="preserve">The summary consolidated financial data for the fiscal years ended and as of May 31, 2018 and 2017 have been retrospectively restated to reflect the adoption of Accounting Standards Update ("ASU") No. 2014-09, </w:t>
            </w:r>
            <w:r>
              <w:rPr>
                <w:rFonts w:ascii="Calibri" w:hAnsi="Calibri" w:cs="Calibri"/>
                <w:i/>
                <w:iCs/>
                <w:sz w:val="15"/>
                <w:szCs w:val="15"/>
              </w:rPr>
              <w:t>Revenue from Contracts with Customers: Topic 606</w:t>
            </w:r>
            <w:r>
              <w:rPr>
                <w:rFonts w:ascii="Calibri" w:hAnsi="Calibri" w:cs="Calibri"/>
                <w:sz w:val="15"/>
                <w:szCs w:val="15"/>
              </w:rPr>
              <w:t xml:space="preserve"> and subsequent amendments to the initial guidance: ASU 2015-14, ASU 2016-08, ASU 2016-10, ASU 2016-12, ASU 2016-20, ASU 2017-10, ASU 2017-13 and ASU 2017-14 (collectively, Topic 606), and ASU 2017-07, </w:t>
            </w:r>
            <w:r>
              <w:rPr>
                <w:rFonts w:ascii="Calibri" w:hAnsi="Calibri" w:cs="Calibri"/>
                <w:i/>
                <w:iCs/>
                <w:sz w:val="15"/>
                <w:szCs w:val="15"/>
              </w:rPr>
              <w:t xml:space="preserve">Compensation—Retirement Benefits (Topic 715): Improving the presentation of Net Periodic Pension Costs and Net Periodic Postretirement Benefit Costs </w:t>
            </w:r>
            <w:r>
              <w:rPr>
                <w:rFonts w:ascii="Calibri" w:hAnsi="Calibri" w:cs="Calibri"/>
                <w:sz w:val="15"/>
                <w:szCs w:val="15"/>
              </w:rPr>
              <w:t>(ASU 2017-07). See Note 1 of Notes to Consolidated Financial Statements included elsewhere in this Annual Report for a summary of adjustments related to Topic 606 and ASU 2017-07. The summary consolidated financial data for the fiscal years ended and as of May 31, 2016 and 2015 have not been updated to reflect the adoption of Topic 606 or ASU 2017-07.</w:t>
            </w:r>
          </w:p>
        </w:tc>
      </w:tr>
    </w:tbl>
    <w:p w14:paraId="7CBED2A7" w14:textId="77777777" w:rsidR="00251D72" w:rsidRDefault="00251D72">
      <w:pPr>
        <w:pStyle w:val="a3"/>
        <w:spacing w:before="120" w:beforeAutospacing="0" w:after="0" w:afterAutospacing="0"/>
        <w:ind w:left="357" w:hanging="471"/>
        <w:jc w:val="both"/>
        <w:rPr>
          <w:sz w:val="15"/>
          <w:szCs w:val="15"/>
        </w:rPr>
      </w:pPr>
      <w:r>
        <w:rPr>
          <w:sz w:val="15"/>
          <w:szCs w:val="15"/>
        </w:rPr>
        <w:t> </w:t>
      </w:r>
    </w:p>
    <w:p w14:paraId="3FA45A3D"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35</w:t>
      </w:r>
    </w:p>
    <w:p w14:paraId="1F269C85" w14:textId="77777777" w:rsidR="00251D72" w:rsidRDefault="00251D72">
      <w:pPr>
        <w:rPr>
          <w:rFonts w:ascii="Times New Roman" w:eastAsia="Times New Roman" w:hAnsi="Times New Roman" w:cs="Times New Roman"/>
          <w:sz w:val="24"/>
          <w:szCs w:val="24"/>
        </w:rPr>
      </w:pPr>
      <w:r>
        <w:rPr>
          <w:rFonts w:eastAsia="Times New Roman"/>
        </w:rPr>
        <w:pict w14:anchorId="50DA1467">
          <v:rect id="_x0000_i1061" style="width:415.3pt;height:1.5pt" o:hralign="center" o:hrstd="t" o:hr="t" fillcolor="#a0a0a0" stroked="f"/>
        </w:pict>
      </w:r>
    </w:p>
    <w:p w14:paraId="274F634C"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BA1314E"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1ED36E1" w14:textId="77777777" w:rsidR="00251D72" w:rsidRDefault="00251D72">
      <w:pPr>
        <w:pStyle w:val="a3"/>
        <w:spacing w:before="12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251D72" w14:paraId="14871017" w14:textId="77777777">
        <w:tc>
          <w:tcPr>
            <w:tcW w:w="213" w:type="pct"/>
            <w:noWrap/>
            <w:hideMark/>
          </w:tcPr>
          <w:p w14:paraId="645F42C2" w14:textId="77777777" w:rsidR="00251D72" w:rsidRDefault="00251D72">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Item 7.</w:t>
            </w:r>
          </w:p>
        </w:tc>
        <w:tc>
          <w:tcPr>
            <w:tcW w:w="0" w:type="auto"/>
            <w:hideMark/>
          </w:tcPr>
          <w:p w14:paraId="3590F155" w14:textId="77777777" w:rsidR="00251D72" w:rsidRDefault="00251D72">
            <w:pPr>
              <w:pStyle w:val="a3"/>
              <w:spacing w:before="0" w:beforeAutospacing="0" w:after="0" w:afterAutospacing="0"/>
              <w:jc w:val="both"/>
              <w:rPr>
                <w:rFonts w:ascii="Calibri" w:hAnsi="Calibri" w:cs="Calibri"/>
                <w:b/>
                <w:bCs/>
                <w:sz w:val="20"/>
                <w:szCs w:val="20"/>
              </w:rPr>
            </w:pPr>
            <w:bookmarkStart w:id="49" w:name="ITEM_7_MANAGEMENTS_DISCUSSION_ANALYSIS"/>
            <w:bookmarkStart w:id="50" w:name="_AEIOULastRenderedPageBreakAEIOU38"/>
            <w:bookmarkEnd w:id="49"/>
            <w:bookmarkEnd w:id="50"/>
            <w:r>
              <w:rPr>
                <w:rFonts w:ascii="Calibri" w:hAnsi="Calibri" w:cs="Calibri"/>
                <w:b/>
                <w:bCs/>
                <w:sz w:val="20"/>
                <w:szCs w:val="20"/>
              </w:rPr>
              <w:t>Management’s Discussion and Analysis of Financial Condition and</w:t>
            </w:r>
            <w:r>
              <w:rPr>
                <w:rFonts w:ascii="Calibri" w:hAnsi="Calibri" w:cs="Calibri"/>
                <w:sz w:val="20"/>
                <w:szCs w:val="20"/>
              </w:rPr>
              <w:t xml:space="preserve"> </w:t>
            </w:r>
            <w:r>
              <w:rPr>
                <w:rFonts w:ascii="Calibri" w:hAnsi="Calibri" w:cs="Calibri"/>
                <w:b/>
                <w:bCs/>
                <w:sz w:val="20"/>
                <w:szCs w:val="20"/>
              </w:rPr>
              <w:t>Results of Operations</w:t>
            </w:r>
          </w:p>
        </w:tc>
      </w:tr>
    </w:tbl>
    <w:p w14:paraId="1C80FD6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begin Management’s Discussion and Analysis of Financial Condition and Results of Operations with an overview of our businesses and significant trends. This overview is followed by a summary of our critical accounting policies and estimates that we believe are important to understanding the assumptions and judgments incorporated in our reported financial results. We then provide a more detailed analysis of our results of operations and financial condition.</w:t>
      </w:r>
    </w:p>
    <w:p w14:paraId="1B8610FE"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Business Overview</w:t>
      </w:r>
    </w:p>
    <w:p w14:paraId="0146991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Oracle provides products and services that address enterprise information technology (IT) environments. Our products and services include applications and infrastructure offerings that are delivered worldwide through a variety of flexible and interoperable IT deployment models. These models include on-premise deployments, cloud-based deployments, and hybrid deployments (an approach that combines both on-premise and cloud-based deployment) such as our Oracle Cloud at Customer offering (an instance of Oracle Cloud in a customer’s own data center). Accordingly, we offer choice and flexibility to our customers and facilitate the product, service and deployment combinations that best suit our customers’ needs. Our customers include businesses of many sizes, government agencies, educational institutions and resellers that we market and sell to directly through our worldwide sales force and indirectly through the Oracle Partner Network.</w:t>
      </w:r>
    </w:p>
    <w:p w14:paraId="0C6B153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comprises a single operating segment. The descriptions set forth below as a part of Management’s Discussion and Analysis of Financial Condition and Results of Operations and the information contained within Note 15 of Notes to Consolidated Financial Statements included elsewhere in this Annual Report provide additional information related to our businesses and operating segments and align as to how our chief operating decision makers (CODMs), which include our Chief Executive Officers and Chief Technology Officer, view our operating results and allocate resources.</w:t>
      </w:r>
    </w:p>
    <w:p w14:paraId="031AACDE"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 xml:space="preserve">Cloud and License Business </w:t>
      </w:r>
    </w:p>
    <w:p w14:paraId="3166684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cloud and license line of business, which represented 83%, 81% and 80% of our total revenues in fiscal 2019, 2018 and 2017, respectively, markets, sells and delivers a broad spectrum of applications and infrastructure technologies through our cloud and license offerings. </w:t>
      </w:r>
    </w:p>
    <w:p w14:paraId="40BA25C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Cloud services and license support revenues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E4D8343" w14:textId="77777777">
        <w:tc>
          <w:tcPr>
            <w:tcW w:w="262" w:type="pct"/>
            <w:noWrap/>
            <w:hideMark/>
          </w:tcPr>
          <w:p w14:paraId="4048E155"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6F9505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58C3155"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license support revenues, which are earned by providing Oracle license support services to customers that have elected to purchase support services in connection with the purchase of Oracle applications and infrastructure software licenses for use in cloud, on-premise and other IT environments. Substantially all license support customers renew their support contracts with us upon expiration in order to continue to benefit from technical support services and the periodic issuance of unspecified updates and enhancements, which current license support customers are entitled to receive. License support contracts are generally priced as a percentage of the net fees paid by the customer to purchase a cloud license and/or on-premise license; are generally billed in advance of the support services being performed; are generally renewed at the customer’s option; and are generally recognized as revenues ratably over the contractual period that the support services are provided, which is generally one year; and </w:t>
            </w:r>
          </w:p>
        </w:tc>
      </w:tr>
    </w:tbl>
    <w:p w14:paraId="0EB18513"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F786DF6" w14:textId="77777777">
        <w:tc>
          <w:tcPr>
            <w:tcW w:w="262" w:type="pct"/>
            <w:noWrap/>
            <w:hideMark/>
          </w:tcPr>
          <w:p w14:paraId="4B4AD450"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10BFD390"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A23EE4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cloud services revenues, which provide customers access to Oracle Cloud applications and infrastructure technologies via cloud-based deployment models that Oracle develops, provides unspecified updates and enhancements for, hosts, manages and supports and that customers access by entering into a subscription agreement with us for a stated period. The majority of our Oracle Cloud Services arrangements are generally billed in advance of the cloud services being performed; have durations of one to three years; are generally renewed at the customer’s option; and are generally recognized as revenues ratably over the contractual period of the cloud contract or, in the case of usage model contracts, as the cloud services are consumed over time.</w:t>
            </w:r>
          </w:p>
        </w:tc>
      </w:tr>
    </w:tbl>
    <w:p w14:paraId="0A1F463F"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36</w:t>
      </w:r>
    </w:p>
    <w:p w14:paraId="6CD68420" w14:textId="77777777" w:rsidR="00251D72" w:rsidRDefault="00251D72">
      <w:pPr>
        <w:rPr>
          <w:rFonts w:ascii="Times New Roman" w:eastAsia="Times New Roman" w:hAnsi="Times New Roman" w:cs="Times New Roman"/>
          <w:sz w:val="24"/>
          <w:szCs w:val="24"/>
        </w:rPr>
      </w:pPr>
      <w:r>
        <w:rPr>
          <w:rFonts w:eastAsia="Times New Roman"/>
        </w:rPr>
        <w:pict w14:anchorId="594D83E4">
          <v:rect id="_x0000_i1062" style="width:415.3pt;height:1.5pt" o:hralign="center" o:hrstd="t" o:hr="t" fillcolor="#a0a0a0" stroked="f"/>
        </w:pict>
      </w:r>
    </w:p>
    <w:p w14:paraId="7C97A407"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607C89AA"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4BA38F8" w14:textId="77777777" w:rsidR="00251D72" w:rsidRDefault="00251D72">
      <w:pPr>
        <w:pStyle w:val="a3"/>
        <w:spacing w:before="120" w:beforeAutospacing="0" w:after="0" w:afterAutospacing="0"/>
        <w:rPr>
          <w:sz w:val="20"/>
          <w:szCs w:val="20"/>
        </w:rPr>
      </w:pPr>
      <w:r>
        <w:rPr>
          <w:sz w:val="20"/>
          <w:szCs w:val="20"/>
        </w:rPr>
        <w:t> </w:t>
      </w:r>
    </w:p>
    <w:p w14:paraId="17283F63" w14:textId="77777777" w:rsidR="00251D72" w:rsidRDefault="00251D72">
      <w:pPr>
        <w:pStyle w:val="a3"/>
        <w:spacing w:before="120" w:beforeAutospacing="0" w:after="0" w:afterAutospacing="0"/>
        <w:jc w:val="both"/>
        <w:rPr>
          <w:rFonts w:ascii="Calibri" w:hAnsi="Calibri" w:cs="Calibri"/>
          <w:sz w:val="20"/>
          <w:szCs w:val="20"/>
        </w:rPr>
      </w:pPr>
      <w:bookmarkStart w:id="51" w:name="_AEIOULastRenderedPageBreakAEIOU39"/>
      <w:bookmarkEnd w:id="51"/>
      <w:r>
        <w:rPr>
          <w:rFonts w:ascii="Calibri" w:hAnsi="Calibri" w:cs="Calibri"/>
          <w:sz w:val="20"/>
          <w:szCs w:val="20"/>
        </w:rPr>
        <w:t>Cloud license and on-premise license revenues include revenues from the licensing of our software products including Oracle Applications, Oracle Database, Oracle Middleware and Java, among others, which our customers deploy within cloud-based, on-premise and other IT environments. Our cloud license and on-premise license transactions are generally perpetual in nature and are generally recognized upfront at the point in time when the software is made available to the customer to download and use. Revenues from usage-based royalty arrangements for distinct cloud licenses and on-premise licenses are recognized at the point in time when the software end user usage occurs. The timing of a few large license transactions can substantially affect our quarterly license revenues due to the point in time for revenue recognition of license transactions, which is different than the typical revenue recognition pattern for our cloud services and license support revenues in which revenues are generally recognized ratably over the contractual terms. Cloud license and on-premise license customers have the option to purchase and renew license support contracts, as described above.</w:t>
      </w:r>
    </w:p>
    <w:p w14:paraId="7E1482C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Providing choice and flexibility to our customers as to when and how they deploy our applications and infrastructure technologies is an important element of our corporate strategy. In recent periods, customer demand for our applications and infrastructure technologies delivered through our Oracle Cloud Services has increased. To address customer demand and enable customer choice, we have introduced certain programs for customers to pivot their applications and infrastructure licenses and the related license support to the Oracle Cloud for new deployments and to migrate to and expand with the Oracle Cloud for their existing workloads. We expect these trends to continue.</w:t>
      </w:r>
    </w:p>
    <w:p w14:paraId="73E9962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cloud and license business’ revenue growth is affected by many factors, including the strength of general economic and business conditions; governmental budgetary constraints; the strategy for and competitive position of our offerings; our acquisitions; the continued renewal of our cloud services and license support customer contracts by the customer contract base; substantially all customers continuing to purchase license support contracts in connection with their license purchases; the pricing of license support contracts sold in connection with the sales of licenses; the pricing, amounts and volumes of licenses and cloud services sold; and foreign currency rate fluctuations.</w:t>
      </w:r>
    </w:p>
    <w:p w14:paraId="6333620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On a constant currency basis, we expect that our total cloud and license revenues generally will continue to increase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0166D83" w14:textId="77777777">
        <w:tc>
          <w:tcPr>
            <w:tcW w:w="262" w:type="pct"/>
            <w:noWrap/>
            <w:hideMark/>
          </w:tcPr>
          <w:p w14:paraId="4543FE4E"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C7FE1C8"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105A1A1"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expected growth in our cloud services and license support offerings;</w:t>
            </w:r>
          </w:p>
        </w:tc>
      </w:tr>
    </w:tbl>
    <w:p w14:paraId="37741421"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490C0E6" w14:textId="77777777">
        <w:tc>
          <w:tcPr>
            <w:tcW w:w="262" w:type="pct"/>
            <w:noWrap/>
            <w:hideMark/>
          </w:tcPr>
          <w:p w14:paraId="7B351226"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3E0625AE"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CE0510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continued demand for our cloud license and on-premise license offerings; and</w:t>
            </w:r>
          </w:p>
        </w:tc>
      </w:tr>
    </w:tbl>
    <w:p w14:paraId="1045051C"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4ACD2CA4" w14:textId="77777777">
        <w:tc>
          <w:tcPr>
            <w:tcW w:w="262" w:type="pct"/>
            <w:noWrap/>
            <w:hideMark/>
          </w:tcPr>
          <w:p w14:paraId="42E1B693"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825F01B"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2791952"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contributions from our acquisitions.</w:t>
            </w:r>
          </w:p>
        </w:tc>
      </w:tr>
    </w:tbl>
    <w:p w14:paraId="3C365ED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believe all of these factors should contribute to future growth in our cloud and license revenues, which should enable us to continue to make investments in research and development to develop and improve our cloud and license products and services.</w:t>
      </w:r>
    </w:p>
    <w:p w14:paraId="0CE1B1C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cloud and license business’ margin has historically trended upward over the course of the four quarters within a particular fiscal year due to the historical upward trend of our cloud and license business’ revenues over those quarterly periods and because the majority of our costs for this business are generally fixed in the short term. The historical upward trend of our cloud and license business’ revenues over the course of the four quarters within a particular fiscal year is primarily due to the addition of new cloud services and license support contracts to the customer contract base that we generally recognize as revenues ratably; the renewal of existing customers’ cloud services and license support contracts over the course of each fiscal year that we generally recognize as revenues ratably; and the historical upward trend of our cloud license and on-premise license revenues, which we generally recognize at a point in time upon delivery, over those four quarterly periods.</w:t>
      </w:r>
    </w:p>
    <w:p w14:paraId="496DFE4D" w14:textId="77777777" w:rsidR="00251D72" w:rsidRDefault="00251D72">
      <w:pPr>
        <w:pStyle w:val="a3"/>
        <w:spacing w:before="240" w:beforeAutospacing="0" w:after="0" w:afterAutospacing="0"/>
        <w:rPr>
          <w:rFonts w:ascii="Calibri" w:hAnsi="Calibri" w:cs="Calibri"/>
          <w:b/>
          <w:bCs/>
          <w:i/>
          <w:iCs/>
          <w:sz w:val="20"/>
          <w:szCs w:val="20"/>
        </w:rPr>
      </w:pPr>
      <w:r>
        <w:rPr>
          <w:rFonts w:ascii="Calibri" w:hAnsi="Calibri" w:cs="Calibri"/>
          <w:b/>
          <w:bCs/>
          <w:i/>
          <w:iCs/>
          <w:sz w:val="20"/>
          <w:szCs w:val="20"/>
          <w:u w:val="single"/>
        </w:rPr>
        <w:t xml:space="preserve">Hardware Business </w:t>
      </w:r>
    </w:p>
    <w:p w14:paraId="1BC1B61A" w14:textId="77777777" w:rsidR="00251D72" w:rsidRDefault="00251D72">
      <w:pPr>
        <w:pStyle w:val="a3"/>
        <w:spacing w:before="120" w:beforeAutospacing="0" w:after="0" w:afterAutospacing="0"/>
        <w:jc w:val="both"/>
        <w:rPr>
          <w:rFonts w:ascii="Calibri" w:hAnsi="Calibri" w:cs="Calibri"/>
          <w:sz w:val="20"/>
          <w:szCs w:val="20"/>
        </w:rPr>
      </w:pPr>
      <w:bookmarkStart w:id="52" w:name="_AEIOULastRenderedPageBreakAEIOU40"/>
      <w:bookmarkEnd w:id="52"/>
      <w:r>
        <w:rPr>
          <w:rFonts w:ascii="Calibri" w:hAnsi="Calibri" w:cs="Calibri"/>
          <w:sz w:val="20"/>
          <w:szCs w:val="20"/>
        </w:rPr>
        <w:t xml:space="preserve">Our hardware business, which represented 9%, 10% and 11% of our total revenues in fiscal 2019, 2018 and 2017, respectively, provides a broad selection of hardware products and hardware-related software products including Oracle Engineered Systems, servers, storage, industry-specific hardware, operating systems, virtualization, </w:t>
      </w:r>
    </w:p>
    <w:p w14:paraId="7173CD06"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37</w:t>
      </w:r>
    </w:p>
    <w:p w14:paraId="028D4742" w14:textId="77777777" w:rsidR="00251D72" w:rsidRDefault="00251D72">
      <w:pPr>
        <w:rPr>
          <w:rFonts w:ascii="Times New Roman" w:eastAsia="Times New Roman" w:hAnsi="Times New Roman" w:cs="Times New Roman"/>
          <w:sz w:val="24"/>
          <w:szCs w:val="24"/>
        </w:rPr>
      </w:pPr>
      <w:r>
        <w:rPr>
          <w:rFonts w:eastAsia="Times New Roman"/>
        </w:rPr>
        <w:pict w14:anchorId="0DC99ED1">
          <v:rect id="_x0000_i1063" style="width:415.3pt;height:1.5pt" o:hralign="center" o:hrstd="t" o:hr="t" fillcolor="#a0a0a0" stroked="f"/>
        </w:pict>
      </w:r>
    </w:p>
    <w:p w14:paraId="00F36DFF"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15CF79E7"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384481C" w14:textId="77777777" w:rsidR="00251D72" w:rsidRDefault="00251D72">
      <w:pPr>
        <w:pStyle w:val="a3"/>
        <w:spacing w:before="120" w:beforeAutospacing="0" w:after="0" w:afterAutospacing="0"/>
        <w:rPr>
          <w:sz w:val="20"/>
          <w:szCs w:val="20"/>
        </w:rPr>
      </w:pPr>
      <w:r>
        <w:rPr>
          <w:sz w:val="20"/>
          <w:szCs w:val="20"/>
        </w:rPr>
        <w:t> </w:t>
      </w:r>
    </w:p>
    <w:p w14:paraId="14CF45E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management and other hardware related software, and related hardware support. Each hardware product and its related software, such as an operating system or firmware, are highly interdependent and interrelated and are accounted for as a combined performance obligation. The revenues for this combined performance obligation are generally recognized at the point in time that the hardware product and its related software are delivered to the customer and ownership is transferred to the customer. We expect to make investments in research and development to improve existing hardware products and services and to develop new hardware products and services. The majority of our hardware products are sold through indirect channels, including independent distributors and value-added resellers. Our hardware support offerings provide customers with unspecified software updates for software components that are essential to the functionality of our hardware products and associated software products such as Oracle Solaris. Our hardware support offerings can also include product repairs, maintenance services and technical support services. Hardware support contracts are entered into and renewed at the option of the customer, are generally priced as a percentage of the net hardware products fees and are generally recognized as revenues ratably as the hardware support services are delivered over the contractual terms.</w:t>
      </w:r>
    </w:p>
    <w:p w14:paraId="6EB971E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generally expect our hardware business to have lower operating margins as a percentage of revenues than our cloud and license business due to the incremental costs we incur to produce and distribute these products and to provide support services, including direct materials and labor costs. </w:t>
      </w:r>
    </w:p>
    <w:p w14:paraId="5B53939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quarterly hardware revenues are difficult to predict. Our hardware revenues, cost of hardware and hardware operating margins that we report are affected by, among others: our ability to timely manufacture or deliver a few large hardware transactions; our strategy for and the position of our hardware products relative to competitor offerings; customer demand for competing offerings, including IaaS; the strength of general economic and business conditions; governmental budgetary constraints; whether customers decide to purchase hardware support contracts at or in close proximity to the time of hardware product sale; the percentage of our hardware support contract customer base that renews its support contracts and the close association between hardware products, which have a finite life, and customer demand for related hardware support as hardware products age; customer decisions to either maintain or upgrade their existing hardware infrastructure to newly developed technologies that are available; certain of our acquisitions; and foreign currency rate fluctuations</w:t>
      </w:r>
      <w:r>
        <w:rPr>
          <w:rFonts w:ascii="Calibri" w:hAnsi="Calibri" w:cs="Calibri"/>
          <w:color w:val="000000"/>
          <w:sz w:val="20"/>
          <w:szCs w:val="20"/>
        </w:rPr>
        <w:t>.</w:t>
      </w:r>
    </w:p>
    <w:p w14:paraId="3051FE9E" w14:textId="77777777" w:rsidR="00251D72" w:rsidRDefault="00251D72">
      <w:pPr>
        <w:pStyle w:val="a3"/>
        <w:spacing w:before="240" w:beforeAutospacing="0" w:after="0" w:afterAutospacing="0"/>
        <w:rPr>
          <w:rFonts w:ascii="Calibri" w:hAnsi="Calibri" w:cs="Calibri"/>
          <w:b/>
          <w:bCs/>
          <w:i/>
          <w:iCs/>
          <w:sz w:val="20"/>
          <w:szCs w:val="20"/>
        </w:rPr>
      </w:pPr>
      <w:r>
        <w:rPr>
          <w:rFonts w:ascii="Calibri" w:hAnsi="Calibri" w:cs="Calibri"/>
          <w:b/>
          <w:bCs/>
          <w:i/>
          <w:iCs/>
          <w:sz w:val="20"/>
          <w:szCs w:val="20"/>
          <w:u w:val="single"/>
        </w:rPr>
        <w:t xml:space="preserve">Services Business </w:t>
      </w:r>
    </w:p>
    <w:p w14:paraId="54A1C96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services business, which represented 8% of our total revenues in fiscal 2019 and 9% of our total revenues in each of fiscal 2018 and 2017, helps customers and partners maximize the performance of their investments in Oracle applications and infrastructure technologies. We believe that our services are differentiated based on our focus on Oracle technologies, extensive experience, broad sets of intellectual property, and best practices. Our services offerings include consulting services, advanced customer support services and education services. Our services business has lower margins than our cloud and license and hardware businesses. Our services revenues are impacted by, among others: our strategy for, and the competitive position of, our services; customer demand for our cloud and license and hardware offerings and the associated services for these offerings; certain of our acquisitions; general economic conditions; governmental budgetary constraints; personnel reductions in our customers’ IT departments; and tighter controls over customer discretionary spending. </w:t>
      </w:r>
    </w:p>
    <w:p w14:paraId="5DB8D56D"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Acquisitions</w:t>
      </w:r>
    </w:p>
    <w:p w14:paraId="16E0A25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selective and active acquisition program is another important element of our corporate strategy. In recent years, we have invested billions of dollars to acquire a number of complementary companies, products, services and technologies, including NetSuite in fiscal 2017. </w:t>
      </w:r>
    </w:p>
    <w:p w14:paraId="42C0EB7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expect to continue to acquire companies, products, services and technologies in furtherance of our corporate strategy. Note 2 of Notes to Consolidated Financial Statements included elsewhere in this Annual Report provides additional information related to our recent acquisitions.</w:t>
      </w:r>
    </w:p>
    <w:p w14:paraId="7E1580AD" w14:textId="77777777" w:rsidR="00251D72" w:rsidRDefault="00251D72">
      <w:pPr>
        <w:pStyle w:val="a3"/>
        <w:spacing w:before="120" w:beforeAutospacing="0" w:after="0" w:afterAutospacing="0"/>
        <w:jc w:val="both"/>
        <w:rPr>
          <w:rFonts w:ascii="Calibri" w:hAnsi="Calibri" w:cs="Calibri"/>
          <w:sz w:val="20"/>
          <w:szCs w:val="20"/>
        </w:rPr>
      </w:pPr>
      <w:bookmarkStart w:id="53" w:name="_AEIOULastRenderedPageBreakAEIOU41"/>
      <w:bookmarkEnd w:id="53"/>
      <w:r>
        <w:rPr>
          <w:rFonts w:ascii="Calibri" w:hAnsi="Calibri" w:cs="Calibri"/>
          <w:sz w:val="20"/>
          <w:szCs w:val="20"/>
        </w:rPr>
        <w:t xml:space="preserve">We believe that we can fund our future acquisitions with our internally available cash, cash equivalents and marketable securities, cash generated from operations, additional borrowings or from the issuance of additional </w:t>
      </w:r>
    </w:p>
    <w:p w14:paraId="19F66E40"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38</w:t>
      </w:r>
    </w:p>
    <w:p w14:paraId="1DF05B67" w14:textId="77777777" w:rsidR="00251D72" w:rsidRDefault="00251D72">
      <w:pPr>
        <w:rPr>
          <w:rFonts w:ascii="Times New Roman" w:eastAsia="Times New Roman" w:hAnsi="Times New Roman" w:cs="Times New Roman"/>
          <w:sz w:val="24"/>
          <w:szCs w:val="24"/>
        </w:rPr>
      </w:pPr>
      <w:r>
        <w:rPr>
          <w:rFonts w:eastAsia="Times New Roman"/>
        </w:rPr>
        <w:pict w14:anchorId="0ADE7B5D">
          <v:rect id="_x0000_i1064" style="width:415.3pt;height:1.5pt" o:hralign="center" o:hrstd="t" o:hr="t" fillcolor="#a0a0a0" stroked="f"/>
        </w:pict>
      </w:r>
    </w:p>
    <w:p w14:paraId="28EF4334"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DF1F1FC"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45DD576B" w14:textId="77777777" w:rsidR="00251D72" w:rsidRDefault="00251D72">
      <w:pPr>
        <w:pStyle w:val="a3"/>
        <w:spacing w:before="120" w:beforeAutospacing="0" w:after="0" w:afterAutospacing="0"/>
        <w:rPr>
          <w:sz w:val="20"/>
          <w:szCs w:val="20"/>
        </w:rPr>
      </w:pPr>
      <w:r>
        <w:rPr>
          <w:sz w:val="20"/>
          <w:szCs w:val="20"/>
        </w:rPr>
        <w:t> </w:t>
      </w:r>
    </w:p>
    <w:p w14:paraId="576F7BE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securities. We estimate the financial impact of any potential acquisition with regard to earnings, operating margin, cash flow and return on invested capital targets before deciding to move forward with an acquisition.</w:t>
      </w:r>
    </w:p>
    <w:p w14:paraId="6AF183E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Critical Accounting Policies and Estimates </w:t>
      </w:r>
    </w:p>
    <w:p w14:paraId="4E5DB16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consolidated financial statements are prepared in accordance with U.S. generally accepted accounting principles (GAAP) as set forth in the Financial Accounting Standards Board’s (FASB), ASC, and we consider the various staff accounting bulletins and other applicable guidance issued by the SEC. Note 1 of Notes to Consolidated Financial Statements included elsewhere in this Annual Report includes a description of our significant accounting policies. GAAP, as set forth within the ASC, requires us to make certain estimates, judgments and assumptions as we apply our significant accounting policies. The accounting policies that reflect estimates, judgments and assumptions that we believe are the most critical to aid in fully understanding and evaluating our reported financial results and for which we include additional discussion below are:</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CC27B84" w14:textId="77777777">
        <w:tc>
          <w:tcPr>
            <w:tcW w:w="262" w:type="pct"/>
            <w:noWrap/>
            <w:hideMark/>
          </w:tcPr>
          <w:p w14:paraId="7B6B5B5C"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09CD94C"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C4922A1"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Revenue Recognition; </w:t>
            </w:r>
          </w:p>
        </w:tc>
      </w:tr>
    </w:tbl>
    <w:p w14:paraId="6C0948B3"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2B02E95C" w14:textId="77777777">
        <w:tc>
          <w:tcPr>
            <w:tcW w:w="262" w:type="pct"/>
            <w:noWrap/>
            <w:hideMark/>
          </w:tcPr>
          <w:p w14:paraId="3B36DB63"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28B2F38"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09F516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Business Combinations; </w:t>
            </w:r>
          </w:p>
        </w:tc>
      </w:tr>
    </w:tbl>
    <w:p w14:paraId="29BF3B86"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6A23DAB" w14:textId="77777777">
        <w:tc>
          <w:tcPr>
            <w:tcW w:w="262" w:type="pct"/>
            <w:noWrap/>
            <w:hideMark/>
          </w:tcPr>
          <w:p w14:paraId="285B5A00"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3986F11"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9E9BA71"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Goodwill and Intangible Assets—Impairment Assessments;</w:t>
            </w:r>
          </w:p>
        </w:tc>
      </w:tr>
    </w:tbl>
    <w:p w14:paraId="0924A0F1"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B979C93" w14:textId="77777777">
        <w:tc>
          <w:tcPr>
            <w:tcW w:w="262" w:type="pct"/>
            <w:noWrap/>
            <w:hideMark/>
          </w:tcPr>
          <w:p w14:paraId="5D3EEC88"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204F2F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2EA24EF"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Accounting for Income Taxes; and</w:t>
            </w:r>
          </w:p>
        </w:tc>
      </w:tr>
    </w:tbl>
    <w:p w14:paraId="525E6C46"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CA765F6" w14:textId="77777777">
        <w:tc>
          <w:tcPr>
            <w:tcW w:w="262" w:type="pct"/>
            <w:noWrap/>
            <w:hideMark/>
          </w:tcPr>
          <w:p w14:paraId="0B6C8E1A"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E9438A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774E9497"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Legal and Other Contingencies. </w:t>
            </w:r>
          </w:p>
        </w:tc>
      </w:tr>
    </w:tbl>
    <w:p w14:paraId="5CFF40A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senior management has reviewed our critical accounting policies and related disclosures with the Finance and Audit Committee of the Board of Directors.</w:t>
      </w:r>
    </w:p>
    <w:p w14:paraId="475FCF36"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Revenue Recognition </w:t>
      </w:r>
    </w:p>
    <w:p w14:paraId="419D1938" w14:textId="77777777" w:rsidR="00251D72" w:rsidRDefault="00251D72">
      <w:pPr>
        <w:pStyle w:val="a3"/>
        <w:shd w:val="clear" w:color="auto" w:fill="FFFFFF"/>
        <w:spacing w:before="120" w:beforeAutospacing="0" w:after="0" w:afterAutospacing="0"/>
        <w:jc w:val="both"/>
        <w:rPr>
          <w:rFonts w:ascii="Calibri" w:hAnsi="Calibri" w:cs="Calibri"/>
          <w:sz w:val="20"/>
          <w:szCs w:val="20"/>
        </w:rPr>
      </w:pPr>
      <w:r>
        <w:rPr>
          <w:rFonts w:ascii="Calibri" w:hAnsi="Calibri" w:cs="Calibri"/>
          <w:sz w:val="20"/>
          <w:szCs w:val="20"/>
        </w:rPr>
        <w:t xml:space="preserve">The most critical judgments required in applying Topic 606 and our revenue recognition policy relate to the determination of distinct performance obligations and the evaluation of the standalone selling price (SSP) for each performance obligation. </w:t>
      </w:r>
    </w:p>
    <w:p w14:paraId="42DD4193" w14:textId="77777777" w:rsidR="00251D72" w:rsidRDefault="00251D72">
      <w:pPr>
        <w:pStyle w:val="a3"/>
        <w:shd w:val="clear" w:color="auto" w:fill="FFFFFF"/>
        <w:spacing w:before="120" w:beforeAutospacing="0" w:after="0" w:afterAutospacing="0"/>
        <w:jc w:val="both"/>
        <w:rPr>
          <w:rFonts w:ascii="Calibri" w:hAnsi="Calibri" w:cs="Calibri"/>
          <w:sz w:val="20"/>
          <w:szCs w:val="20"/>
        </w:rPr>
      </w:pPr>
      <w:r>
        <w:rPr>
          <w:rFonts w:ascii="Calibri" w:hAnsi="Calibri" w:cs="Calibri"/>
          <w:sz w:val="20"/>
          <w:szCs w:val="20"/>
        </w:rPr>
        <w:t xml:space="preserve">Many of our customer contracts include multiple performance obligations. Judgment is required in determining whether each performance obligation within a customer contract is distinct. Oracle products and services generally do not require a significant amount of integration or interdependency. Therefore, multiple products and services contained within a customer contract are generally considered to be distinct and are not combined for revenue recognition purposes. We allocate the transaction price for each customer contract to each performance obligation based on the relative SSP (the determination of SSP is discussed below) for each performance obligation within each contract. We recognize the amount of transaction price allocated to each performance obligation within a customer contract as revenue as each performance obligation is delivered. </w:t>
      </w:r>
    </w:p>
    <w:p w14:paraId="3D298223" w14:textId="77777777" w:rsidR="00251D72" w:rsidRDefault="00251D72">
      <w:pPr>
        <w:pStyle w:val="a3"/>
        <w:shd w:val="clear" w:color="auto" w:fill="FFFFFF"/>
        <w:spacing w:before="120" w:beforeAutospacing="0" w:after="0" w:afterAutospacing="0"/>
        <w:jc w:val="both"/>
        <w:rPr>
          <w:rFonts w:ascii="Calibri" w:hAnsi="Calibri" w:cs="Calibri"/>
          <w:sz w:val="20"/>
          <w:szCs w:val="20"/>
        </w:rPr>
      </w:pPr>
      <w:bookmarkStart w:id="54" w:name="_AEIOULastRenderedPageBreakAEIOU42"/>
      <w:bookmarkEnd w:id="54"/>
      <w:r>
        <w:rPr>
          <w:rFonts w:ascii="Calibri" w:hAnsi="Calibri" w:cs="Calibri"/>
          <w:sz w:val="20"/>
          <w:szCs w:val="20"/>
        </w:rPr>
        <w:t xml:space="preserve">We use judgment in determining the SSP for products and services. For substantially all performance obligations except cloud licenses and on-premise licenses, we are able to establish the SSP based on the observable prices of products or services sold separately in comparable circumstances to similar customers. We typically establish an SSP range for our products and services, which is reassessed on a periodic basis or when facts and circumstances change. SSP for our products and services can evolve over time due to changes in our pricing practices that are influenced by intense competition, changes in demand for our products and services, and economic factors, among others. Our cloud licenses and on-premise licenses have not historically been sold on a standalone basis, as substantially all customers elect to purchase license support contracts at the time of a cloud license and on-premise license purchase. License support contracts are generally priced as a percentage of the net fees paid by the customer to access the license. We are unable to establish the SSP for our cloud licenses and on-premise licenses based on observable prices given the same products are sold for a broad range of amounts (that is, the selling price is highly variable) and a representative SSP is not discernible from past transactions or other observable evidence. As a result, the SSP for a cloud license and an on-premise license included in a contract with multiple performance obligations is determined by applying a residual approach whereby all other performance </w:t>
      </w:r>
    </w:p>
    <w:p w14:paraId="7C725B78"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39</w:t>
      </w:r>
    </w:p>
    <w:p w14:paraId="4A2BF3DE" w14:textId="77777777" w:rsidR="00251D72" w:rsidRDefault="00251D72">
      <w:pPr>
        <w:rPr>
          <w:rFonts w:ascii="Times New Roman" w:eastAsia="Times New Roman" w:hAnsi="Times New Roman" w:cs="Times New Roman"/>
          <w:sz w:val="24"/>
          <w:szCs w:val="24"/>
        </w:rPr>
      </w:pPr>
      <w:r>
        <w:rPr>
          <w:rFonts w:eastAsia="Times New Roman"/>
        </w:rPr>
        <w:pict w14:anchorId="142F648C">
          <v:rect id="_x0000_i1065" style="width:415.3pt;height:1.5pt" o:hralign="center" o:hrstd="t" o:hr="t" fillcolor="#a0a0a0" stroked="f"/>
        </w:pict>
      </w:r>
    </w:p>
    <w:p w14:paraId="13376D6F"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506DF05F"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4AB5D6E" w14:textId="77777777" w:rsidR="00251D72" w:rsidRDefault="00251D72">
      <w:pPr>
        <w:pStyle w:val="a3"/>
        <w:spacing w:before="120" w:beforeAutospacing="0" w:after="0" w:afterAutospacing="0"/>
        <w:rPr>
          <w:sz w:val="20"/>
          <w:szCs w:val="20"/>
        </w:rPr>
      </w:pPr>
      <w:r>
        <w:rPr>
          <w:sz w:val="20"/>
          <w:szCs w:val="20"/>
        </w:rPr>
        <w:t> </w:t>
      </w:r>
    </w:p>
    <w:p w14:paraId="5D2C1489" w14:textId="77777777" w:rsidR="00251D72" w:rsidRDefault="00251D72">
      <w:pPr>
        <w:pStyle w:val="a3"/>
        <w:shd w:val="clear" w:color="auto" w:fill="FFFFFF"/>
        <w:spacing w:before="120" w:beforeAutospacing="0" w:after="0" w:afterAutospacing="0"/>
        <w:jc w:val="both"/>
        <w:rPr>
          <w:rFonts w:ascii="Calibri" w:hAnsi="Calibri" w:cs="Calibri"/>
          <w:sz w:val="20"/>
          <w:szCs w:val="20"/>
        </w:rPr>
      </w:pPr>
      <w:r>
        <w:rPr>
          <w:rFonts w:ascii="Calibri" w:hAnsi="Calibri" w:cs="Calibri"/>
          <w:sz w:val="20"/>
          <w:szCs w:val="20"/>
        </w:rPr>
        <w:t>obligations within a contract are first allocated a portion of the transaction price based upon their respective SSPs, with any residual amount of transaction price allocated to cloud license and on-premise license revenues</w:t>
      </w:r>
      <w:r>
        <w:rPr>
          <w:rFonts w:ascii="Calibri" w:hAnsi="Calibri" w:cs="Calibri"/>
          <w:color w:val="000000"/>
          <w:sz w:val="20"/>
          <w:szCs w:val="20"/>
          <w:shd w:val="clear" w:color="auto" w:fill="FFFFFF"/>
        </w:rPr>
        <w:t>.</w:t>
      </w:r>
    </w:p>
    <w:p w14:paraId="7F1CA1DC"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Business Combinations</w:t>
      </w:r>
    </w:p>
    <w:p w14:paraId="087A69D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apply the provisions of ASC 805, </w:t>
      </w:r>
      <w:r>
        <w:rPr>
          <w:rFonts w:ascii="Calibri" w:hAnsi="Calibri" w:cs="Calibri"/>
          <w:i/>
          <w:iCs/>
          <w:sz w:val="20"/>
          <w:szCs w:val="20"/>
        </w:rPr>
        <w:t>Business Combinations</w:t>
      </w:r>
      <w:r>
        <w:rPr>
          <w:rFonts w:ascii="Calibri" w:hAnsi="Calibri" w:cs="Calibri"/>
          <w:sz w:val="20"/>
          <w:szCs w:val="20"/>
        </w:rPr>
        <w:t>, in accounting for our acquisitions. ASC 805 requires that we evaluate whether a transaction pertains to an acquisition of assets, or to an acquisition of a business. A business is defined as an integrated set of assets and activities that is capable of being conducted and managed for the purpose of providing a return to investors. Asset acquisitions are accounted for by allocating the cost of the acquisition to the individual assets and liabilities assumed on a relative fair value basis; whereas the acquisition of a business requires us to recognize separately from goodwill the assets acquired and the liabilities assumed at the acquisition date fair values. Goodwill as of the acquisition date is measured as the excess of consideration transferred over the net of the acquisition date fair values of the assets acquired and the liabilities assumed. While we use our best estimates and assumptions to accurately value assets acquired and liabilities assumed at the acquisition date as well as any contingent consideration, where applicable, our estimates are inherently uncertain and subject to refinement. As a result, during the measurement period, which may be up to one year from the acquisition date, we record adjustments to the assets acquired and liabilities assumed with the corresponding offset to goodwill. Upon the conclusion of the measurement period or final determination of the values of assets acquired or liabilities assumed, whichever comes first, any subsequent adjustments are recorded to our consolidated statements of operations.</w:t>
      </w:r>
    </w:p>
    <w:p w14:paraId="5B3A11D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Accounting for business combinations requires our management to make significant estimates and assumptions, especially at the acquisition date, including our estimates for intangible assets, contractual obligations assumed, pre-acquisition contingencies and any contingent consideration, where applicable. Although we believe that the assumptions and estimates we have made in the past have been reasonable and appropriate, they are based in part on historical experience and information obtained from the management of the acquired companies and are inherently uncertain. Unanticipated events and circumstances may occur that may affect the accuracy or validity of such assumptions, estimates or actual results.</w:t>
      </w:r>
    </w:p>
    <w:p w14:paraId="5DCAAD8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For a given acquisition, we may identify certain pre-acquisition contingencies as of the acquisition date and may extend our review and evaluation of these pre-acquisition contingencies throughout the measurement period in order to obtain sufficient information to assess whether we include these contingencies as a part of the fair value estimates of assets acquired and liabilities assumed and, if so, to determine their estimated amounts. </w:t>
      </w:r>
    </w:p>
    <w:p w14:paraId="436F369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If we cannot reasonably determine the fair value of a non-income tax related pre-acquisition contingency by the end of the measurement period, which is generally the case given the nature of such matters, we will recognize an asset or a liability for such pre-acquisition contingency if: (1) it is probable that an asset existed or a liability had been incurred at the acquisition date and (2) the amount of the asset or liability can be reasonably estimated. Subsequent to the measurement period, changes in our estimates of such contingencies will affect earnings and could have a material effect on our results of operations and financial position.</w:t>
      </w:r>
    </w:p>
    <w:p w14:paraId="1C8EC51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In addition, uncertain tax positions and tax related valuation allowances assumed in connection with a business combination are initially estimated as of the acquisition date. We reevaluate these items quarterly based upon facts and circumstances that existed as of the acquisition date with any adjustments to our preliminary estimates being recorded to goodwill if identified within the measurement period. Subsequent to the measurement period or our final determination of the tax allowance’s or contingency’s estimated value, whichever comes first, changes to these uncertain tax positions and tax related valuation allowances will affect our provision for income taxes in our consolidated statement of operations and could have a material impact on our results of operations and financial position. </w:t>
      </w:r>
    </w:p>
    <w:p w14:paraId="2C2C6CC2" w14:textId="77777777" w:rsidR="00251D72" w:rsidRDefault="00251D72">
      <w:pPr>
        <w:pStyle w:val="a3"/>
        <w:spacing w:before="240" w:beforeAutospacing="0" w:after="0" w:afterAutospacing="0"/>
        <w:rPr>
          <w:rFonts w:ascii="Calibri" w:hAnsi="Calibri" w:cs="Calibri"/>
          <w:b/>
          <w:bCs/>
          <w:i/>
          <w:iCs/>
          <w:sz w:val="20"/>
          <w:szCs w:val="20"/>
        </w:rPr>
      </w:pPr>
      <w:r>
        <w:rPr>
          <w:rFonts w:ascii="Calibri" w:hAnsi="Calibri" w:cs="Calibri"/>
          <w:b/>
          <w:bCs/>
          <w:i/>
          <w:iCs/>
          <w:sz w:val="20"/>
          <w:szCs w:val="20"/>
        </w:rPr>
        <w:t>Goodwill and Intangible Assets</w:t>
      </w:r>
      <w:r>
        <w:rPr>
          <w:rFonts w:ascii="Calibri" w:hAnsi="Calibri" w:cs="Calibri"/>
          <w:sz w:val="20"/>
          <w:szCs w:val="20"/>
        </w:rPr>
        <w:t>—</w:t>
      </w:r>
      <w:r>
        <w:rPr>
          <w:rFonts w:ascii="Calibri" w:hAnsi="Calibri" w:cs="Calibri"/>
          <w:b/>
          <w:bCs/>
          <w:i/>
          <w:iCs/>
          <w:sz w:val="20"/>
          <w:szCs w:val="20"/>
        </w:rPr>
        <w:t xml:space="preserve">Impairment Assessments </w:t>
      </w:r>
    </w:p>
    <w:p w14:paraId="3F55210C" w14:textId="77777777" w:rsidR="00251D72" w:rsidRDefault="00251D72">
      <w:pPr>
        <w:pStyle w:val="a3"/>
        <w:spacing w:before="120" w:beforeAutospacing="0" w:after="0" w:afterAutospacing="0"/>
        <w:jc w:val="both"/>
        <w:rPr>
          <w:rFonts w:ascii="Calibri" w:hAnsi="Calibri" w:cs="Calibri"/>
          <w:sz w:val="20"/>
          <w:szCs w:val="20"/>
        </w:rPr>
      </w:pPr>
      <w:bookmarkStart w:id="55" w:name="_AEIOULastRenderedPageBreakAEIOU43"/>
      <w:bookmarkEnd w:id="55"/>
      <w:r>
        <w:rPr>
          <w:rFonts w:ascii="Calibri" w:hAnsi="Calibri" w:cs="Calibri"/>
          <w:sz w:val="20"/>
          <w:szCs w:val="20"/>
        </w:rPr>
        <w:t xml:space="preserve">We review goodwill for impairment annually and whenever events or changes in circumstances indicate its carrying value may not be recoverable. We make certain judgments and assumptions to determine our reporting units and in allocating shared assets and liabilities to determine the carrying values for each of our reporting units. </w:t>
      </w:r>
    </w:p>
    <w:p w14:paraId="3FE1A9A4"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40</w:t>
      </w:r>
    </w:p>
    <w:p w14:paraId="4F35E214" w14:textId="77777777" w:rsidR="00251D72" w:rsidRDefault="00251D72">
      <w:pPr>
        <w:rPr>
          <w:rFonts w:ascii="Times New Roman" w:eastAsia="Times New Roman" w:hAnsi="Times New Roman" w:cs="Times New Roman"/>
          <w:sz w:val="24"/>
          <w:szCs w:val="24"/>
        </w:rPr>
      </w:pPr>
      <w:r>
        <w:rPr>
          <w:rFonts w:eastAsia="Times New Roman"/>
        </w:rPr>
        <w:pict w14:anchorId="79310674">
          <v:rect id="_x0000_i1066" style="width:415.3pt;height:1.5pt" o:hralign="center" o:hrstd="t" o:hr="t" fillcolor="#a0a0a0" stroked="f"/>
        </w:pict>
      </w:r>
    </w:p>
    <w:p w14:paraId="612EE983"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5FC13508"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21C6A12" w14:textId="77777777" w:rsidR="00251D72" w:rsidRDefault="00251D72">
      <w:pPr>
        <w:pStyle w:val="a3"/>
        <w:spacing w:before="120" w:beforeAutospacing="0" w:after="0" w:afterAutospacing="0"/>
        <w:rPr>
          <w:sz w:val="20"/>
          <w:szCs w:val="20"/>
        </w:rPr>
      </w:pPr>
      <w:r>
        <w:rPr>
          <w:sz w:val="20"/>
          <w:szCs w:val="20"/>
        </w:rPr>
        <w:t> </w:t>
      </w:r>
    </w:p>
    <w:p w14:paraId="671DF92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Judgment in the assessment of qualitative factors of impairment include cost factors; financial performance; legal, regulatory, contractual, political, business, and other factors; entity specific factors; industry and market considerations, macroeconomic conditions, and other relevant events and factors affecting the reporting unit. To the extent we determine that it is more likely than not that the fair value of the reporting unit is less than its carrying value, a quantitative test is then performed. </w:t>
      </w:r>
    </w:p>
    <w:p w14:paraId="03ECF58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Determining the fair value of a reporting unit involves the use of significant estimates and assumptions. These estimates and assumptions include, among others, revenue growth rates and operating margins used to calculate projected future cash flows, risk-adjusted discount rates, future economic and market conditions, and the determination of appropriate market comparables.</w:t>
      </w:r>
    </w:p>
    <w:p w14:paraId="349364F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make judgments about the recoverability of purchased finite lived intangible assets whenever events or changes in circumstances indicate that impairment may exist. In such situations, we are required to evaluate whether the net book values of our finite lived intangible assets are recoverable. We determine whether finite lived intangible assets are recoverable based upon the forecasted future cash flows that are expected to be generated by the lowest level associated asset grouping. Assumptions and estimates about future values and remaining useful lives of our intangible assets are complex and subjective and include, among others, forecasted undiscounted cash flows to be generated by certain asset groupings. These assumptions and estimates can be affected by a variety of factors, including external factors such as industry and economic trends and internal factors such as changes in our business strategy and our internal forecasts. </w:t>
      </w:r>
    </w:p>
    <w:p w14:paraId="1595A21D"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Accounting for Income Taxes</w:t>
      </w:r>
      <w:r>
        <w:rPr>
          <w:rFonts w:ascii="Calibri" w:hAnsi="Calibri" w:cs="Calibri"/>
          <w:b/>
          <w:bCs/>
          <w:i/>
          <w:iCs/>
          <w:color w:val="FF0000"/>
          <w:sz w:val="20"/>
          <w:szCs w:val="20"/>
        </w:rPr>
        <w:t xml:space="preserve"> </w:t>
      </w:r>
    </w:p>
    <w:p w14:paraId="2878FD7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Judgment is required in determining our worldwide income tax provision. In the ordinary course of a global business, there are many transactions and calculations where the ultimate tax outcome is uncertain. Some of these uncertainties arise as a consequence of revenue sharing and cost reimbursement arrangements among related entities, the process of identifying items of revenues and expenses that qualify for preferential tax treatment, and the segregation of foreign and domestic earnings and expenses to avoid double taxation. Although we believe that our estimates are reasonable, the final tax outcome of these matters could be different from that which is reflected in our historical income tax provisions and accruals. Such differences could have a material effect on our income tax provision and net income in the period in which such determination is made.</w:t>
      </w:r>
    </w:p>
    <w:p w14:paraId="44A08A4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record a valuation allowance to reduce our deferred tax assets to the amount that is more likely than not to be realized. In order for us to realize our deferred tax assets, we must be able to generate sufficient taxable income in those jurisdictions where the deferred tax assets are located. We consider future growth, forecasted earnings, future taxable income, the mix of earnings in the jurisdictions in which we operate, historical earnings, taxable income in prior years, if carryback is permitted under the law, and prudent and feasible tax planning strategies in determining the need for a valuation allowance. In the event we were to determine that we would not be able to realize all or part of our net deferred tax assets in the future, an adjustment to the deferred tax assets valuation allowance would be charged to earnings in the period in which we make such a determination, or goodwill would be adjusted at our final determination of the valuation allowance related to an acquisition within the measurement period. If we later determine that it is more likely than not that the net deferred tax assets would be realized, we would reverse the applicable portion of the previously provided valuation allowance as an adjustment to our provision for income taxes at such time.</w:t>
      </w:r>
    </w:p>
    <w:p w14:paraId="5DE5D40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w:t>
      </w:r>
      <w:r>
        <w:rPr>
          <w:sz w:val="20"/>
          <w:szCs w:val="20"/>
        </w:rPr>
        <w:t xml:space="preserve"> </w:t>
      </w:r>
      <w:r>
        <w:rPr>
          <w:rFonts w:ascii="Calibri" w:hAnsi="Calibri" w:cs="Calibri"/>
          <w:sz w:val="20"/>
          <w:szCs w:val="20"/>
        </w:rPr>
        <w:t>calculate our current and deferred tax provision based on estimates and assumptions that could differ from the actual results reflected in income tax returns filed during the subsequent year. Adjustments based on filed returns are generally recorded in the period when the tax returns are filed and the global tax implications are known, which can materially impact our effective tax rate.</w:t>
      </w:r>
    </w:p>
    <w:p w14:paraId="55032120" w14:textId="77777777" w:rsidR="00251D72" w:rsidRDefault="00251D72">
      <w:pPr>
        <w:pStyle w:val="a3"/>
        <w:spacing w:before="120" w:beforeAutospacing="0" w:after="0" w:afterAutospacing="0"/>
        <w:jc w:val="both"/>
        <w:rPr>
          <w:rFonts w:ascii="Calibri" w:hAnsi="Calibri" w:cs="Calibri"/>
          <w:sz w:val="20"/>
          <w:szCs w:val="20"/>
        </w:rPr>
      </w:pPr>
      <w:bookmarkStart w:id="56" w:name="_AEIOULastRenderedPageBreakAEIOU44"/>
      <w:bookmarkEnd w:id="56"/>
      <w:r>
        <w:rPr>
          <w:rFonts w:ascii="Calibri" w:hAnsi="Calibri" w:cs="Calibri"/>
          <w:sz w:val="20"/>
          <w:szCs w:val="20"/>
        </w:rPr>
        <w:t xml:space="preserve">The amount of income tax we pay is subject to ongoing audits by federal, state and foreign tax authorities, which often result in proposed assessments. Our estimate of the potential outcome for any uncertain tax issue may require certain judgments. A description of our accounting policies associated with tax related contingencies assumed as a part of a business combination is provided under “Business Combinations” above. For those tax related contingencies that are not a part of a business combination, we account for these uncertain tax issues </w:t>
      </w:r>
    </w:p>
    <w:p w14:paraId="741A9EA4"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41</w:t>
      </w:r>
    </w:p>
    <w:p w14:paraId="3C44E780" w14:textId="77777777" w:rsidR="00251D72" w:rsidRDefault="00251D72">
      <w:pPr>
        <w:rPr>
          <w:rFonts w:ascii="Times New Roman" w:eastAsia="Times New Roman" w:hAnsi="Times New Roman" w:cs="Times New Roman"/>
          <w:sz w:val="24"/>
          <w:szCs w:val="24"/>
        </w:rPr>
      </w:pPr>
      <w:r>
        <w:rPr>
          <w:rFonts w:eastAsia="Times New Roman"/>
        </w:rPr>
        <w:pict w14:anchorId="68D187CD">
          <v:rect id="_x0000_i1067" style="width:415.3pt;height:1.5pt" o:hralign="center" o:hrstd="t" o:hr="t" fillcolor="#a0a0a0" stroked="f"/>
        </w:pict>
      </w:r>
    </w:p>
    <w:p w14:paraId="3A71DEF6"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D834574"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00C54EB" w14:textId="77777777" w:rsidR="00251D72" w:rsidRDefault="00251D72">
      <w:pPr>
        <w:pStyle w:val="a3"/>
        <w:spacing w:before="120" w:beforeAutospacing="0" w:after="0" w:afterAutospacing="0"/>
        <w:rPr>
          <w:sz w:val="20"/>
          <w:szCs w:val="20"/>
        </w:rPr>
      </w:pPr>
      <w:r>
        <w:rPr>
          <w:sz w:val="20"/>
          <w:szCs w:val="20"/>
        </w:rPr>
        <w:t> </w:t>
      </w:r>
    </w:p>
    <w:p w14:paraId="2422BD2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pursuant to ASC 740, Income Taxes, which contains a two-step approach to recognizing and measuring uncertain tax positions taken or expected to be taken in a tax return. The first step is to determine if the weight of available evidence indicates that it is more likely than not that the tax position will be sustained in an audit, including resolution of any related appeals or litigation processes. The second step is to measure the tax benefit as the largest amount that is more than 50% likely to be realized upon ultimate settlement. Although we believe that we have adequately reserved for our uncertain tax positions, no assurance can be given with respect to the final outcome of these matters. We adjust reserves for our uncertain tax positions due to changing facts and circumstances, such as the closing of a tax audit, judicial rulings, and refinement of estimates or realization of earnings or deductions that differ from our estimates. To the extent that the final outcome of these matters is different than the amounts recorded, such differences generally will impact our provision for income taxes in the period in which such a determination is made. Our provisions for income taxes include the impact of reserve provisions and changes to reserves that are considered appropriate and also include the related interest and penalties.</w:t>
      </w:r>
    </w:p>
    <w:p w14:paraId="63BF255B"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Legal and Other Contingencies</w:t>
      </w:r>
    </w:p>
    <w:p w14:paraId="370909F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are currently involved in various claims and legal proceedings. Quarterly, we review the status of each significant matter and assess our potential financial exposure. A description of our accounting policies associated with contingencies assumed as a part of a business combination is provided under “Business Combinations” above. For legal and other contingencies that are not a part of a business combination, we accrue a liability for an estimated loss if the potential loss from any claim or legal proceeding is considered probable, and the amount can be reasonably estimated. Significant judgment is required in both the determination of probability and the determination as to whether the amount of an exposure is reasonably estimable. Because of uncertainties related to these matters, accruals are based only on the best information available at the time the accruals are made. As additional information becomes available, we reassess the potential liability related to our pending claims and litigation and may revise our estimates. Such revisions in the estimates of the potential liabilities could have a material impact on our results of operations and financial position.</w:t>
      </w:r>
    </w:p>
    <w:p w14:paraId="70D151BA"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Results of Operations</w:t>
      </w:r>
    </w:p>
    <w:p w14:paraId="29394176"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Impacts of the U.S. Tax Cuts and Jobs Act of 2017</w:t>
      </w:r>
    </w:p>
    <w:p w14:paraId="14910D2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comparability of our operating results in fiscal 2019 compared to the corresponding prior year periods, and of our consolidated balance sheets as of May 31, 2019 relative to May 31, 2018, was impacted by the U.S. Tax Cuts and Jobs Act of 2017 (the Tax Act), which was effective for us in our third quarter of fiscal 2018. Information regarding our adoption and the impacts of the Tax Act are included in Notes 1 and 14 of Notes to Consolidated Financial Statements included elsewhere in this Annual Report.</w:t>
      </w:r>
    </w:p>
    <w:p w14:paraId="1BB18CD9"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Impacts of Acquisitions</w:t>
      </w:r>
    </w:p>
    <w:p w14:paraId="05751CD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comparability of our operating results in fiscal 2019 compared to fiscal 2018 was impacted by our recent acquisitions. In our discussion of changes in our results of operations from fiscal 2019 compared to fiscal 2018, we may qualitatively disclose the impact of our acquired products and services revenues (for the one-year period subsequent to the acquisition date) to certain of our businesses’ revenues where such qualitative discussions would be meaningful for an understanding of the factors that influenced the changes in our results of operations. When material, we may also provide quantitative disclosures related to such acquired products and services. Expense contributions from our recent acquisitions for each of the respective period comparisons may not be separately identifiable due to the integration of these businesses into our existing operations, and/or were insignificant to our results of operations during the periods presented.</w:t>
      </w:r>
    </w:p>
    <w:p w14:paraId="78E09DA0"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42</w:t>
      </w:r>
    </w:p>
    <w:p w14:paraId="5C0BF96F" w14:textId="77777777" w:rsidR="00251D72" w:rsidRDefault="00251D72">
      <w:pPr>
        <w:rPr>
          <w:rFonts w:ascii="Times New Roman" w:eastAsia="Times New Roman" w:hAnsi="Times New Roman" w:cs="Times New Roman"/>
          <w:sz w:val="24"/>
          <w:szCs w:val="24"/>
        </w:rPr>
      </w:pPr>
      <w:r>
        <w:rPr>
          <w:rFonts w:eastAsia="Times New Roman"/>
        </w:rPr>
        <w:pict w14:anchorId="4953A075">
          <v:rect id="_x0000_i1068" style="width:415.3pt;height:1.5pt" o:hralign="center" o:hrstd="t" o:hr="t" fillcolor="#a0a0a0" stroked="f"/>
        </w:pict>
      </w:r>
    </w:p>
    <w:p w14:paraId="526D1055"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D187421"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E2BFB5D" w14:textId="77777777" w:rsidR="00251D72" w:rsidRDefault="00251D72">
      <w:pPr>
        <w:pStyle w:val="a3"/>
        <w:spacing w:before="120" w:beforeAutospacing="0" w:after="0" w:afterAutospacing="0"/>
        <w:rPr>
          <w:sz w:val="20"/>
          <w:szCs w:val="20"/>
        </w:rPr>
      </w:pPr>
      <w:r>
        <w:rPr>
          <w:sz w:val="20"/>
          <w:szCs w:val="20"/>
        </w:rPr>
        <w:t> </w:t>
      </w:r>
    </w:p>
    <w:p w14:paraId="285715C6" w14:textId="77777777" w:rsidR="00251D72" w:rsidRDefault="00251D72">
      <w:pPr>
        <w:pStyle w:val="a3"/>
        <w:spacing w:before="120" w:beforeAutospacing="0" w:after="0" w:afterAutospacing="0"/>
        <w:jc w:val="both"/>
        <w:rPr>
          <w:rFonts w:ascii="Calibri" w:hAnsi="Calibri" w:cs="Calibri"/>
          <w:sz w:val="20"/>
          <w:szCs w:val="20"/>
        </w:rPr>
      </w:pPr>
      <w:bookmarkStart w:id="57" w:name="_AEIOULastRenderedPageBreakAEIOU45"/>
      <w:bookmarkEnd w:id="57"/>
      <w:r>
        <w:rPr>
          <w:rFonts w:ascii="Calibri" w:hAnsi="Calibri" w:cs="Calibri"/>
          <w:sz w:val="20"/>
          <w:szCs w:val="20"/>
        </w:rPr>
        <w:t>We caution readers that, while pre- and post-acquisition comparisons, as well as any quantified amounts themselves, may provide indications of general trends, any acquisition information that we provide has inherent limitations for the following reasons:</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3C4EBDE" w14:textId="77777777">
        <w:tc>
          <w:tcPr>
            <w:tcW w:w="262" w:type="pct"/>
            <w:noWrap/>
            <w:hideMark/>
          </w:tcPr>
          <w:p w14:paraId="2FEB117E"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680AC9F7"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0F2F59B"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any qualitative and quantitative disclosures cannot specifically address or quantify the substantial effects attributable to changes in business strategies, including our sales force integration efforts. We believe that if our acquired companies had operated independently and sales forces had not been integrated, the relative mix of products and services sold would have been different; and </w:t>
            </w:r>
          </w:p>
        </w:tc>
      </w:tr>
    </w:tbl>
    <w:p w14:paraId="34994BB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576DDCE" w14:textId="77777777">
        <w:tc>
          <w:tcPr>
            <w:tcW w:w="262" w:type="pct"/>
            <w:noWrap/>
            <w:hideMark/>
          </w:tcPr>
          <w:p w14:paraId="77FB5773"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056C3C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BA0DE2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the amounts shown as cloud services and license support deferred revenues in our “Supplemental Disclosure Related to Certain Charges” (presented below) are not necessarily indicative of revenue improvements we will achieve upon contract renewals to the extent customers do not renew.</w:t>
            </w:r>
          </w:p>
        </w:tc>
      </w:tr>
    </w:tbl>
    <w:p w14:paraId="3C27D7B7"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Presentation of Operating Segment Results and Other Financial Information </w:t>
      </w:r>
    </w:p>
    <w:p w14:paraId="5F8B63F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our fiscal 2019 compared to fiscal 2018 results of operations discussion below, we provide an overview of our total consolidated revenues, total consolidated expenses and total consolidated operating margin, all of which are presented on a GAAP basis. We also present a GAAP-based discussion below for substantially all of the other expense items as presented in our consolidated statement of operations that are not directly attributable to our three businesses.</w:t>
      </w:r>
    </w:p>
    <w:p w14:paraId="0185F3F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In addition, we discuss below the fiscal 2019 compared to fiscal 2018 results of each our three businesses—cloud and license, hardware and services—which are our operating segments as defined pursuant to ASC 280, </w:t>
      </w:r>
      <w:r>
        <w:rPr>
          <w:rFonts w:ascii="Calibri" w:hAnsi="Calibri" w:cs="Calibri"/>
          <w:i/>
          <w:iCs/>
          <w:sz w:val="20"/>
          <w:szCs w:val="20"/>
        </w:rPr>
        <w:t>Segment Reporting</w:t>
      </w:r>
      <w:r>
        <w:rPr>
          <w:rFonts w:ascii="Calibri" w:hAnsi="Calibri" w:cs="Calibri"/>
          <w:sz w:val="20"/>
          <w:szCs w:val="20"/>
        </w:rPr>
        <w:t>. The financial reporting for our three businesses that is presented below is presented in a manner that is consistent with that used by our CODMs. Our operating segment presentation below reflects revenues, direct costs and sales and marketing expenses that correspond to and are directly attributable to each of our three businesses. We also utilize these inputs to calculate and present a segment margin for each business in the discussion below.</w:t>
      </w:r>
    </w:p>
    <w:p w14:paraId="0AEBFA6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Consistent with our internal management reporting processes, the below operating segment presentation includes revenues adjustments related to cloud services and license support contracts that would have otherwise been recorded by the acquired businesses as independent entities but were not recognized in our consolidated statements of operations for the periods presented due to business combination accounting requirements. Refer to “Supplemental Disclosure Related to Certain Charges” below for additional discussion of these items and Note 15 of Notes to Consolidated Financial Statements included elsewhere in this Annual Report for a reconciliation of the summations of our total operating segment revenues as presented in the discussion below to total revenues as presented per our consolidated statements of operations for all periods presented.</w:t>
      </w:r>
    </w:p>
    <w:p w14:paraId="19F3294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addition, research and development expenses, general and administrative expenses, stock-based compensation expenses, amortization of intangible assets, certain other expense allocations, acquisition related and other expenses, restructuring expenses, interest expense, non-operating income, net and provision for income taxes are not attributed to our three operating segments because our management does not view the performance of our three businesses including such items and/or it is impractical to do so. Refer to “Supplemental Disclosure Related to Certain Charges” below for additional discussion of certain of these items and Note 15 of Notes to Consolidated Financial Statements included elsewhere in this Annual Report for a reconciliation of the summations of total segment margin as presented in the discussion below to total income before provision of income taxes as presented per our consolidated statements of operations for all periods presented.</w:t>
      </w:r>
    </w:p>
    <w:p w14:paraId="20843E10" w14:textId="77777777" w:rsidR="00251D72" w:rsidRDefault="00251D72">
      <w:pPr>
        <w:pStyle w:val="a3"/>
        <w:spacing w:before="120" w:beforeAutospacing="0" w:after="0" w:afterAutospacing="0"/>
        <w:jc w:val="both"/>
        <w:rPr>
          <w:rFonts w:ascii="Calibri" w:hAnsi="Calibri" w:cs="Calibri"/>
          <w:sz w:val="20"/>
          <w:szCs w:val="20"/>
        </w:rPr>
      </w:pPr>
      <w:bookmarkStart w:id="58" w:name="_AEIOULastRenderedPageBreakAEIOU46"/>
      <w:bookmarkEnd w:id="58"/>
      <w:r>
        <w:rPr>
          <w:rFonts w:ascii="Calibri" w:hAnsi="Calibri" w:cs="Calibri"/>
          <w:sz w:val="20"/>
          <w:szCs w:val="20"/>
        </w:rPr>
        <w:t xml:space="preserve">A discussion regarding our financial condition and results of operations for fiscal 2019 compared to fiscal 2018 is presented below and the results for both fiscal 2019 and 2018 have been accounted for and presented to reflect our adoption of Topic 606 and ASU 2017-07, neither of which materially impacted our financial condition or results of operations for fiscal 2019 or 2018. A discussion regarding our financial condition and results of operations for fiscal 2018 compared to fiscal 2017 can be found under Item 7 in our Annual Report on Form 10-K for the fiscal year ended May 31, 2018, filed with the SEC on June 22, 2018, which is available free of charge on the SEC’s website at www.sec.gov and our Investor Relations website at www.oracle.com/investor. Our consolidated </w:t>
      </w:r>
    </w:p>
    <w:p w14:paraId="0C4DA7CC"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43</w:t>
      </w:r>
    </w:p>
    <w:p w14:paraId="1A2AECE1" w14:textId="77777777" w:rsidR="00251D72" w:rsidRDefault="00251D72">
      <w:pPr>
        <w:rPr>
          <w:rFonts w:ascii="Times New Roman" w:eastAsia="Times New Roman" w:hAnsi="Times New Roman" w:cs="Times New Roman"/>
          <w:sz w:val="24"/>
          <w:szCs w:val="24"/>
        </w:rPr>
      </w:pPr>
      <w:r>
        <w:rPr>
          <w:rFonts w:eastAsia="Times New Roman"/>
        </w:rPr>
        <w:pict w14:anchorId="283F924E">
          <v:rect id="_x0000_i1069" style="width:415.3pt;height:1.5pt" o:hralign="center" o:hrstd="t" o:hr="t" fillcolor="#a0a0a0" stroked="f"/>
        </w:pict>
      </w:r>
    </w:p>
    <w:p w14:paraId="7BCE3290"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076B710"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5599C88" w14:textId="77777777" w:rsidR="00251D72" w:rsidRDefault="00251D72">
      <w:pPr>
        <w:pStyle w:val="a3"/>
        <w:spacing w:before="120" w:beforeAutospacing="0" w:after="0" w:afterAutospacing="0"/>
        <w:rPr>
          <w:sz w:val="20"/>
          <w:szCs w:val="20"/>
        </w:rPr>
      </w:pPr>
      <w:r>
        <w:rPr>
          <w:sz w:val="20"/>
          <w:szCs w:val="20"/>
        </w:rPr>
        <w:t> </w:t>
      </w:r>
    </w:p>
    <w:p w14:paraId="69D6DE5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financial statements for the fiscal years ended and as of May 31, 2018 and 2017 included elsewhere in this Annual Report have been retrospectively restated to reflect the adoption of Topic 606 and ASU 2017-07. The adoption of Topic 606 and ASU 2017-07 did not have a material impact on the comparability of our financial condition and results of operations for fiscal 2018 relative to fiscal 2017 as presented in Item 7 of our Annual Report on Form 10-K for the fiscal year ended May 31, 2018. Additional information regarding our adoption of Topic 606 and ASU 2017-07 is included in Note 1 of Notes to Consolidated Financial Statements included elsewhere in this Annual Report.</w:t>
      </w:r>
    </w:p>
    <w:p w14:paraId="731C1CF2"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Constant Currency Presentation</w:t>
      </w:r>
    </w:p>
    <w:p w14:paraId="188F675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international operations have provided and are expected to continue to provide a significant portion of each of our businesses’ revenues and expenses. As a result, each businesses’ revenues and expenses and our total revenues and expenses will continue to be affected by changes in the U.S. Dollar against major international currencies. In order to provide a framework for assessing how our underlying businesses performed excluding the effects of foreign currency rate fluctuations, we compare the percent change in the results from one period to another period in this Annual Report using constant currency disclosure. To present this information, current and comparative prior period results for entities reporting in currencies other than U.S. Dollars are converted into U.S. Dollars at constant exchange rates (i.e., the rates in effect on May 31, 2018, which was the last day of our prior fiscal year) rather than the actual exchange rates in effect during the respective periods. For example, if an entity reporting in Euros had revenues of 1.0 million Euros from products sold on May 31, 2019 and 2018, our financial statements would reflect reported revenues of $1.11 million in fiscal 2019 (using 1.11 as the month-end average exchange rate for the period) and $1.16 million in fiscal 2018 (using 1.16 as the month-end average exchange rate for the period). The constant currency presentation, however, would translate the fiscal 2019 results using the fiscal 2018 exchange rate and indicate, in this example, no change in revenues during the period. In each of the tables below, we present the percent change based on actual, unrounded results in reported currency and in constant currency.</w:t>
      </w:r>
    </w:p>
    <w:p w14:paraId="507CAFDA"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44</w:t>
      </w:r>
    </w:p>
    <w:p w14:paraId="5A7314F6" w14:textId="77777777" w:rsidR="00251D72" w:rsidRDefault="00251D72">
      <w:pPr>
        <w:rPr>
          <w:rFonts w:ascii="Times New Roman" w:eastAsia="Times New Roman" w:hAnsi="Times New Roman" w:cs="Times New Roman"/>
          <w:sz w:val="24"/>
          <w:szCs w:val="24"/>
        </w:rPr>
      </w:pPr>
      <w:r>
        <w:rPr>
          <w:rFonts w:eastAsia="Times New Roman"/>
        </w:rPr>
        <w:pict w14:anchorId="29DC8019">
          <v:rect id="_x0000_i1070" style="width:415.3pt;height:1.5pt" o:hralign="center" o:hrstd="t" o:hr="t" fillcolor="#a0a0a0" stroked="f"/>
        </w:pict>
      </w:r>
    </w:p>
    <w:p w14:paraId="0BF8083F"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5611B6C"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965E377" w14:textId="77777777" w:rsidR="00251D72" w:rsidRDefault="00251D72">
      <w:pPr>
        <w:pStyle w:val="a3"/>
        <w:spacing w:before="120" w:beforeAutospacing="0" w:after="0" w:afterAutospacing="0"/>
        <w:rPr>
          <w:sz w:val="20"/>
          <w:szCs w:val="20"/>
        </w:rPr>
      </w:pPr>
      <w:r>
        <w:rPr>
          <w:sz w:val="20"/>
          <w:szCs w:val="20"/>
        </w:rPr>
        <w:t> </w:t>
      </w:r>
    </w:p>
    <w:p w14:paraId="14D40EEB" w14:textId="77777777" w:rsidR="00251D72" w:rsidRDefault="00251D72">
      <w:pPr>
        <w:pStyle w:val="a3"/>
        <w:spacing w:before="240" w:beforeAutospacing="0" w:after="0" w:afterAutospacing="0"/>
        <w:rPr>
          <w:rFonts w:ascii="Calibri" w:hAnsi="Calibri" w:cs="Calibri"/>
          <w:b/>
          <w:bCs/>
          <w:i/>
          <w:iCs/>
          <w:sz w:val="20"/>
          <w:szCs w:val="20"/>
        </w:rPr>
      </w:pPr>
      <w:bookmarkStart w:id="59" w:name="_AEIOULastRenderedPageBreakAEIOU47"/>
      <w:bookmarkEnd w:id="59"/>
      <w:r>
        <w:rPr>
          <w:rFonts w:ascii="Calibri" w:hAnsi="Calibri" w:cs="Calibri"/>
          <w:b/>
          <w:bCs/>
          <w:i/>
          <w:iCs/>
          <w:sz w:val="20"/>
          <w:szCs w:val="20"/>
        </w:rPr>
        <w:t>Total Revenues and Operating Expenses</w:t>
      </w:r>
    </w:p>
    <w:p w14:paraId="264D1A2D"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66"/>
        <w:gridCol w:w="135"/>
        <w:gridCol w:w="107"/>
        <w:gridCol w:w="756"/>
        <w:gridCol w:w="79"/>
        <w:gridCol w:w="136"/>
        <w:gridCol w:w="876"/>
        <w:gridCol w:w="136"/>
        <w:gridCol w:w="878"/>
        <w:gridCol w:w="136"/>
        <w:gridCol w:w="107"/>
        <w:gridCol w:w="715"/>
        <w:gridCol w:w="79"/>
      </w:tblGrid>
      <w:tr w:rsidR="00251D72" w14:paraId="110DDA52" w14:textId="77777777">
        <w:trPr>
          <w:divId w:val="343215439"/>
          <w:jc w:val="center"/>
        </w:trPr>
        <w:tc>
          <w:tcPr>
            <w:tcW w:w="2510" w:type="pct"/>
            <w:shd w:val="clear" w:color="auto" w:fill="FFFFFF"/>
            <w:tcMar>
              <w:top w:w="15" w:type="dxa"/>
              <w:left w:w="0" w:type="dxa"/>
              <w:bottom w:w="0" w:type="dxa"/>
              <w:right w:w="15" w:type="dxa"/>
            </w:tcMar>
            <w:vAlign w:val="bottom"/>
            <w:hideMark/>
          </w:tcPr>
          <w:p w14:paraId="76F1EACA" w14:textId="77777777" w:rsidR="00251D72" w:rsidRDefault="00251D72">
            <w:pPr>
              <w:pStyle w:val="a3"/>
              <w:spacing w:before="0" w:beforeAutospacing="0" w:after="0" w:afterAutospacing="0"/>
              <w:jc w:val="center"/>
              <w:rPr>
                <w:sz w:val="15"/>
                <w:szCs w:val="15"/>
              </w:rPr>
            </w:pPr>
            <w:r>
              <w:rPr>
                <w:sz w:val="15"/>
                <w:szCs w:val="15"/>
              </w:rPr>
              <w:t> </w:t>
            </w:r>
          </w:p>
        </w:tc>
        <w:tc>
          <w:tcPr>
            <w:tcW w:w="84" w:type="pct"/>
            <w:shd w:val="clear" w:color="auto" w:fill="FFFFFF"/>
            <w:tcMar>
              <w:top w:w="15" w:type="dxa"/>
              <w:left w:w="0" w:type="dxa"/>
              <w:bottom w:w="0" w:type="dxa"/>
              <w:right w:w="15" w:type="dxa"/>
            </w:tcMar>
            <w:vAlign w:val="bottom"/>
            <w:hideMark/>
          </w:tcPr>
          <w:p w14:paraId="39C93B4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354" w:type="pct"/>
            <w:gridSpan w:val="10"/>
            <w:tcBorders>
              <w:bottom w:val="single" w:sz="6" w:space="0" w:color="000000"/>
            </w:tcBorders>
            <w:shd w:val="clear" w:color="auto" w:fill="FFFFFF"/>
            <w:tcMar>
              <w:top w:w="15" w:type="dxa"/>
              <w:left w:w="0" w:type="dxa"/>
              <w:bottom w:w="0" w:type="dxa"/>
              <w:right w:w="15" w:type="dxa"/>
            </w:tcMar>
            <w:vAlign w:val="bottom"/>
            <w:hideMark/>
          </w:tcPr>
          <w:p w14:paraId="77F4AC7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0088897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774D1B2" w14:textId="77777777">
        <w:trPr>
          <w:divId w:val="343215439"/>
          <w:jc w:val="center"/>
        </w:trPr>
        <w:tc>
          <w:tcPr>
            <w:tcW w:w="2510" w:type="pct"/>
            <w:shd w:val="clear" w:color="auto" w:fill="FFFFFF"/>
            <w:tcMar>
              <w:top w:w="15" w:type="dxa"/>
              <w:left w:w="0" w:type="dxa"/>
              <w:bottom w:w="0" w:type="dxa"/>
              <w:right w:w="15" w:type="dxa"/>
            </w:tcMar>
            <w:vAlign w:val="bottom"/>
            <w:hideMark/>
          </w:tcPr>
          <w:p w14:paraId="5B7D319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84" w:type="pct"/>
            <w:shd w:val="clear" w:color="auto" w:fill="FFFFFF"/>
            <w:tcMar>
              <w:top w:w="15" w:type="dxa"/>
              <w:left w:w="0" w:type="dxa"/>
              <w:bottom w:w="0" w:type="dxa"/>
              <w:right w:w="15" w:type="dxa"/>
            </w:tcMar>
            <w:vAlign w:val="bottom"/>
            <w:hideMark/>
          </w:tcPr>
          <w:p w14:paraId="6CE43CD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AFFEC1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58" w:type="pct"/>
            <w:tcBorders>
              <w:top w:val="single" w:sz="6" w:space="0" w:color="000000"/>
            </w:tcBorders>
            <w:shd w:val="clear" w:color="auto" w:fill="FFFFFF"/>
            <w:noWrap/>
            <w:tcMar>
              <w:top w:w="15" w:type="dxa"/>
              <w:left w:w="0" w:type="dxa"/>
              <w:bottom w:w="0" w:type="dxa"/>
              <w:right w:w="15" w:type="dxa"/>
            </w:tcMar>
            <w:vAlign w:val="bottom"/>
            <w:hideMark/>
          </w:tcPr>
          <w:p w14:paraId="170FEC5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58EBA1B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4" w:type="pct"/>
            <w:tcBorders>
              <w:top w:val="single" w:sz="6" w:space="0" w:color="000000"/>
            </w:tcBorders>
            <w:shd w:val="clear" w:color="auto" w:fill="FFFFFF"/>
            <w:tcMar>
              <w:top w:w="15" w:type="dxa"/>
              <w:left w:w="0" w:type="dxa"/>
              <w:bottom w:w="0" w:type="dxa"/>
              <w:right w:w="15" w:type="dxa"/>
            </w:tcMar>
            <w:vAlign w:val="bottom"/>
            <w:hideMark/>
          </w:tcPr>
          <w:p w14:paraId="62A80C4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45"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ECB47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4" w:type="pct"/>
            <w:tcBorders>
              <w:top w:val="single" w:sz="6" w:space="0" w:color="000000"/>
            </w:tcBorders>
            <w:shd w:val="clear" w:color="auto" w:fill="FFFFFF"/>
            <w:tcMar>
              <w:top w:w="15" w:type="dxa"/>
              <w:left w:w="0" w:type="dxa"/>
              <w:bottom w:w="0" w:type="dxa"/>
              <w:right w:w="15" w:type="dxa"/>
            </w:tcMar>
            <w:vAlign w:val="bottom"/>
            <w:hideMark/>
          </w:tcPr>
          <w:p w14:paraId="0AD553C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4FB41B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0" w:type="pct"/>
            <w:tcBorders>
              <w:top w:val="single" w:sz="6" w:space="0" w:color="000000"/>
            </w:tcBorders>
            <w:shd w:val="clear" w:color="auto" w:fill="FFFFFF"/>
            <w:noWrap/>
            <w:tcMar>
              <w:top w:w="15" w:type="dxa"/>
              <w:left w:w="0" w:type="dxa"/>
              <w:bottom w:w="0" w:type="dxa"/>
              <w:right w:w="15" w:type="dxa"/>
            </w:tcMar>
            <w:vAlign w:val="bottom"/>
            <w:hideMark/>
          </w:tcPr>
          <w:p w14:paraId="26142C0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EEA8EC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AD3610F" w14:textId="77777777">
        <w:trPr>
          <w:divId w:val="343215439"/>
          <w:jc w:val="center"/>
        </w:trPr>
        <w:tc>
          <w:tcPr>
            <w:tcW w:w="2510" w:type="pct"/>
            <w:tcBorders>
              <w:bottom w:val="single" w:sz="6" w:space="0" w:color="000000"/>
            </w:tcBorders>
            <w:shd w:val="clear" w:color="auto" w:fill="FFFFFF"/>
            <w:tcMar>
              <w:top w:w="15" w:type="dxa"/>
              <w:left w:w="0" w:type="dxa"/>
              <w:bottom w:w="0" w:type="dxa"/>
              <w:right w:w="15" w:type="dxa"/>
            </w:tcMar>
            <w:vAlign w:val="bottom"/>
            <w:hideMark/>
          </w:tcPr>
          <w:p w14:paraId="179D6C5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4" w:type="pct"/>
            <w:shd w:val="clear" w:color="auto" w:fill="FFFFFF"/>
            <w:tcMar>
              <w:top w:w="15" w:type="dxa"/>
              <w:left w:w="0" w:type="dxa"/>
              <w:bottom w:w="0" w:type="dxa"/>
              <w:right w:w="15" w:type="dxa"/>
            </w:tcMar>
            <w:vAlign w:val="bottom"/>
            <w:hideMark/>
          </w:tcPr>
          <w:p w14:paraId="0D50F9F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8" w:type="pct"/>
            <w:gridSpan w:val="2"/>
            <w:tcBorders>
              <w:bottom w:val="single" w:sz="6" w:space="0" w:color="000000"/>
            </w:tcBorders>
            <w:shd w:val="clear" w:color="auto" w:fill="FFFFFF"/>
            <w:tcMar>
              <w:top w:w="15" w:type="dxa"/>
              <w:left w:w="0" w:type="dxa"/>
              <w:bottom w:w="0" w:type="dxa"/>
              <w:right w:w="15" w:type="dxa"/>
            </w:tcMar>
            <w:vAlign w:val="bottom"/>
            <w:hideMark/>
          </w:tcPr>
          <w:p w14:paraId="7691C4A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13231A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4" w:type="pct"/>
            <w:shd w:val="clear" w:color="auto" w:fill="FFFFFF"/>
            <w:tcMar>
              <w:top w:w="15" w:type="dxa"/>
              <w:left w:w="0" w:type="dxa"/>
              <w:bottom w:w="0" w:type="dxa"/>
              <w:right w:w="15" w:type="dxa"/>
            </w:tcMar>
            <w:vAlign w:val="bottom"/>
            <w:hideMark/>
          </w:tcPr>
          <w:p w14:paraId="0DA7BE9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0"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747886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4" w:type="pct"/>
            <w:tcBorders>
              <w:top w:val="single" w:sz="6" w:space="0" w:color="000000"/>
            </w:tcBorders>
            <w:shd w:val="clear" w:color="auto" w:fill="FFFFFF"/>
            <w:tcMar>
              <w:top w:w="15" w:type="dxa"/>
              <w:left w:w="0" w:type="dxa"/>
              <w:bottom w:w="0" w:type="dxa"/>
              <w:right w:w="15" w:type="dxa"/>
            </w:tcMar>
            <w:vAlign w:val="bottom"/>
            <w:hideMark/>
          </w:tcPr>
          <w:p w14:paraId="0E49110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0"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1E9D7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4" w:type="pct"/>
            <w:shd w:val="clear" w:color="auto" w:fill="FFFFFF"/>
            <w:tcMar>
              <w:top w:w="15" w:type="dxa"/>
              <w:left w:w="0" w:type="dxa"/>
              <w:bottom w:w="0" w:type="dxa"/>
              <w:right w:w="15" w:type="dxa"/>
            </w:tcMar>
            <w:vAlign w:val="bottom"/>
            <w:hideMark/>
          </w:tcPr>
          <w:p w14:paraId="458AF3D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0" w:type="pct"/>
            <w:gridSpan w:val="2"/>
            <w:tcBorders>
              <w:bottom w:val="single" w:sz="6" w:space="0" w:color="000000"/>
            </w:tcBorders>
            <w:shd w:val="clear" w:color="auto" w:fill="FFFFFF"/>
            <w:tcMar>
              <w:top w:w="15" w:type="dxa"/>
              <w:left w:w="0" w:type="dxa"/>
              <w:bottom w:w="0" w:type="dxa"/>
              <w:right w:w="15" w:type="dxa"/>
            </w:tcMar>
            <w:vAlign w:val="bottom"/>
            <w:hideMark/>
          </w:tcPr>
          <w:p w14:paraId="7EB90EE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C7E0D5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834D5CF" w14:textId="77777777">
        <w:trPr>
          <w:divId w:val="343215439"/>
          <w:jc w:val="center"/>
        </w:trPr>
        <w:tc>
          <w:tcPr>
            <w:tcW w:w="2510" w:type="pct"/>
            <w:tcBorders>
              <w:top w:val="single" w:sz="6" w:space="0" w:color="000000"/>
            </w:tcBorders>
            <w:shd w:val="clear" w:color="auto" w:fill="CFF0FC"/>
            <w:tcMar>
              <w:top w:w="15" w:type="dxa"/>
              <w:left w:w="0" w:type="dxa"/>
              <w:bottom w:w="0" w:type="dxa"/>
              <w:right w:w="15" w:type="dxa"/>
            </w:tcMar>
            <w:hideMark/>
          </w:tcPr>
          <w:p w14:paraId="0A3F3FBD"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Total Revenues by Geography:</w:t>
            </w:r>
          </w:p>
        </w:tc>
        <w:tc>
          <w:tcPr>
            <w:tcW w:w="84" w:type="pct"/>
            <w:shd w:val="clear" w:color="auto" w:fill="CFF0FC"/>
            <w:tcMar>
              <w:top w:w="15" w:type="dxa"/>
              <w:left w:w="0" w:type="dxa"/>
              <w:bottom w:w="0" w:type="dxa"/>
              <w:right w:w="15" w:type="dxa"/>
            </w:tcMar>
            <w:vAlign w:val="bottom"/>
            <w:hideMark/>
          </w:tcPr>
          <w:p w14:paraId="377CED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AF6DE3"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458" w:type="pct"/>
            <w:tcBorders>
              <w:top w:val="single" w:sz="6" w:space="0" w:color="000000"/>
            </w:tcBorders>
            <w:shd w:val="clear" w:color="auto" w:fill="CFF0FC"/>
            <w:noWrap/>
            <w:tcMar>
              <w:top w:w="15" w:type="dxa"/>
              <w:left w:w="0" w:type="dxa"/>
              <w:bottom w:w="0" w:type="dxa"/>
              <w:right w:w="15" w:type="dxa"/>
            </w:tcMar>
            <w:vAlign w:val="bottom"/>
            <w:hideMark/>
          </w:tcPr>
          <w:p w14:paraId="3B176E03" w14:textId="77777777" w:rsidR="00251D72" w:rsidRDefault="00251D72">
            <w:pPr>
              <w:pStyle w:val="a3"/>
              <w:spacing w:before="0" w:beforeAutospacing="0" w:after="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E44D0C"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84" w:type="pct"/>
            <w:shd w:val="clear" w:color="auto" w:fill="CFF0FC"/>
            <w:tcMar>
              <w:top w:w="15" w:type="dxa"/>
              <w:left w:w="0" w:type="dxa"/>
              <w:bottom w:w="0" w:type="dxa"/>
              <w:right w:w="15" w:type="dxa"/>
            </w:tcMar>
            <w:vAlign w:val="bottom"/>
            <w:hideMark/>
          </w:tcPr>
          <w:p w14:paraId="2D6C84A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tcBorders>
              <w:top w:val="single" w:sz="6" w:space="0" w:color="000000"/>
            </w:tcBorders>
            <w:shd w:val="clear" w:color="auto" w:fill="CFF0FC"/>
            <w:tcMar>
              <w:top w:w="15" w:type="dxa"/>
              <w:left w:w="0" w:type="dxa"/>
              <w:bottom w:w="0" w:type="dxa"/>
              <w:right w:w="15" w:type="dxa"/>
            </w:tcMar>
            <w:vAlign w:val="bottom"/>
            <w:hideMark/>
          </w:tcPr>
          <w:p w14:paraId="372AA6FB" w14:textId="77777777" w:rsidR="00251D72" w:rsidRDefault="00251D72">
            <w:pPr>
              <w:pStyle w:val="a3"/>
              <w:spacing w:before="0" w:beforeAutospacing="0" w:after="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84" w:type="pct"/>
            <w:shd w:val="clear" w:color="auto" w:fill="CFF0FC"/>
            <w:tcMar>
              <w:top w:w="15" w:type="dxa"/>
              <w:left w:w="0" w:type="dxa"/>
              <w:bottom w:w="0" w:type="dxa"/>
              <w:right w:w="15" w:type="dxa"/>
            </w:tcMar>
            <w:vAlign w:val="bottom"/>
            <w:hideMark/>
          </w:tcPr>
          <w:p w14:paraId="7A54C59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tcBorders>
              <w:top w:val="single" w:sz="6" w:space="0" w:color="000000"/>
            </w:tcBorders>
            <w:shd w:val="clear" w:color="auto" w:fill="CFF0FC"/>
            <w:tcMar>
              <w:top w:w="15" w:type="dxa"/>
              <w:left w:w="0" w:type="dxa"/>
              <w:bottom w:w="0" w:type="dxa"/>
              <w:right w:w="15" w:type="dxa"/>
            </w:tcMar>
            <w:vAlign w:val="bottom"/>
            <w:hideMark/>
          </w:tcPr>
          <w:p w14:paraId="212E47D2" w14:textId="77777777" w:rsidR="00251D72" w:rsidRDefault="00251D72">
            <w:pPr>
              <w:pStyle w:val="a3"/>
              <w:spacing w:before="0" w:beforeAutospacing="0" w:after="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84" w:type="pct"/>
            <w:shd w:val="clear" w:color="auto" w:fill="CFF0FC"/>
            <w:tcMar>
              <w:top w:w="15" w:type="dxa"/>
              <w:left w:w="0" w:type="dxa"/>
              <w:bottom w:w="0" w:type="dxa"/>
              <w:right w:w="15" w:type="dxa"/>
            </w:tcMar>
            <w:vAlign w:val="bottom"/>
            <w:hideMark/>
          </w:tcPr>
          <w:p w14:paraId="0785FB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1C0615"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430" w:type="pct"/>
            <w:tcBorders>
              <w:top w:val="single" w:sz="6" w:space="0" w:color="000000"/>
            </w:tcBorders>
            <w:shd w:val="clear" w:color="auto" w:fill="CFF0FC"/>
            <w:noWrap/>
            <w:tcMar>
              <w:top w:w="15" w:type="dxa"/>
              <w:left w:w="0" w:type="dxa"/>
              <w:bottom w:w="0" w:type="dxa"/>
              <w:right w:w="15" w:type="dxa"/>
            </w:tcMar>
            <w:vAlign w:val="bottom"/>
            <w:hideMark/>
          </w:tcPr>
          <w:p w14:paraId="60222154" w14:textId="77777777" w:rsidR="00251D72" w:rsidRDefault="00251D72">
            <w:pPr>
              <w:pStyle w:val="a3"/>
              <w:spacing w:before="0" w:beforeAutospacing="0" w:after="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8657B38"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r>
      <w:tr w:rsidR="00251D72" w14:paraId="61DBD929" w14:textId="77777777">
        <w:trPr>
          <w:divId w:val="343215439"/>
          <w:jc w:val="center"/>
        </w:trPr>
        <w:tc>
          <w:tcPr>
            <w:tcW w:w="2510" w:type="pct"/>
            <w:shd w:val="clear" w:color="auto" w:fill="FFFFFF"/>
            <w:tcMar>
              <w:top w:w="15" w:type="dxa"/>
              <w:left w:w="0" w:type="dxa"/>
              <w:bottom w:w="0" w:type="dxa"/>
              <w:right w:w="15" w:type="dxa"/>
            </w:tcMar>
            <w:hideMark/>
          </w:tcPr>
          <w:p w14:paraId="6DFB1E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Americas</w:t>
            </w:r>
          </w:p>
        </w:tc>
        <w:tc>
          <w:tcPr>
            <w:tcW w:w="84" w:type="pct"/>
            <w:shd w:val="clear" w:color="auto" w:fill="FFFFFF"/>
            <w:tcMar>
              <w:top w:w="15" w:type="dxa"/>
              <w:left w:w="0" w:type="dxa"/>
              <w:bottom w:w="0" w:type="dxa"/>
              <w:right w:w="15" w:type="dxa"/>
            </w:tcMar>
            <w:vAlign w:val="bottom"/>
            <w:hideMark/>
          </w:tcPr>
          <w:p w14:paraId="55BE6B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53DD65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8" w:type="pct"/>
            <w:shd w:val="clear" w:color="auto" w:fill="FFFFFF"/>
            <w:noWrap/>
            <w:tcMar>
              <w:top w:w="15" w:type="dxa"/>
              <w:left w:w="0" w:type="dxa"/>
              <w:bottom w:w="0" w:type="dxa"/>
              <w:right w:w="15" w:type="dxa"/>
            </w:tcMar>
            <w:vAlign w:val="bottom"/>
            <w:hideMark/>
          </w:tcPr>
          <w:p w14:paraId="30543FD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21,856</w:t>
            </w:r>
          </w:p>
        </w:tc>
        <w:tc>
          <w:tcPr>
            <w:tcW w:w="50" w:type="pct"/>
            <w:shd w:val="clear" w:color="auto" w:fill="FFFFFF"/>
            <w:noWrap/>
            <w:tcMar>
              <w:top w:w="15" w:type="dxa"/>
              <w:left w:w="0" w:type="dxa"/>
              <w:bottom w:w="0" w:type="dxa"/>
              <w:right w:w="15" w:type="dxa"/>
            </w:tcMar>
            <w:vAlign w:val="bottom"/>
            <w:hideMark/>
          </w:tcPr>
          <w:p w14:paraId="2B20EC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292181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057F3AA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84" w:type="pct"/>
            <w:shd w:val="clear" w:color="auto" w:fill="FFFFFF"/>
            <w:tcMar>
              <w:top w:w="15" w:type="dxa"/>
              <w:left w:w="0" w:type="dxa"/>
              <w:bottom w:w="0" w:type="dxa"/>
              <w:right w:w="15" w:type="dxa"/>
            </w:tcMar>
            <w:vAlign w:val="bottom"/>
            <w:hideMark/>
          </w:tcPr>
          <w:p w14:paraId="7CF8C8F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6F42987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84" w:type="pct"/>
            <w:shd w:val="clear" w:color="auto" w:fill="FFFFFF"/>
            <w:tcMar>
              <w:top w:w="15" w:type="dxa"/>
              <w:left w:w="0" w:type="dxa"/>
              <w:bottom w:w="0" w:type="dxa"/>
              <w:right w:w="15" w:type="dxa"/>
            </w:tcMar>
            <w:vAlign w:val="bottom"/>
            <w:hideMark/>
          </w:tcPr>
          <w:p w14:paraId="68DF633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ED52E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0" w:type="pct"/>
            <w:shd w:val="clear" w:color="auto" w:fill="FFFFFF"/>
            <w:noWrap/>
            <w:tcMar>
              <w:top w:w="15" w:type="dxa"/>
              <w:left w:w="0" w:type="dxa"/>
              <w:bottom w:w="0" w:type="dxa"/>
              <w:right w:w="15" w:type="dxa"/>
            </w:tcMar>
            <w:vAlign w:val="bottom"/>
            <w:hideMark/>
          </w:tcPr>
          <w:p w14:paraId="1792245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21,648</w:t>
            </w:r>
          </w:p>
        </w:tc>
        <w:tc>
          <w:tcPr>
            <w:tcW w:w="50" w:type="pct"/>
            <w:shd w:val="clear" w:color="auto" w:fill="FFFFFF"/>
            <w:noWrap/>
            <w:tcMar>
              <w:top w:w="15" w:type="dxa"/>
              <w:left w:w="0" w:type="dxa"/>
              <w:bottom w:w="0" w:type="dxa"/>
              <w:right w:w="15" w:type="dxa"/>
            </w:tcMar>
            <w:vAlign w:val="bottom"/>
            <w:hideMark/>
          </w:tcPr>
          <w:p w14:paraId="5C87D3F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175AEE0" w14:textId="77777777">
        <w:trPr>
          <w:divId w:val="343215439"/>
          <w:jc w:val="center"/>
        </w:trPr>
        <w:tc>
          <w:tcPr>
            <w:tcW w:w="2510" w:type="pct"/>
            <w:shd w:val="clear" w:color="auto" w:fill="CFF0FC"/>
            <w:tcMar>
              <w:top w:w="15" w:type="dxa"/>
              <w:left w:w="0" w:type="dxa"/>
              <w:bottom w:w="0" w:type="dxa"/>
              <w:right w:w="15" w:type="dxa"/>
            </w:tcMar>
            <w:hideMark/>
          </w:tcPr>
          <w:p w14:paraId="4A26F4B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EMEA</w:t>
            </w:r>
            <w:r>
              <w:rPr>
                <w:rFonts w:ascii="Calibri" w:hAnsi="Calibri" w:cs="Calibri"/>
                <w:color w:val="000000"/>
                <w:sz w:val="15"/>
                <w:szCs w:val="15"/>
                <w:vertAlign w:val="superscript"/>
              </w:rPr>
              <w:t>(1)</w:t>
            </w:r>
          </w:p>
        </w:tc>
        <w:tc>
          <w:tcPr>
            <w:tcW w:w="84" w:type="pct"/>
            <w:shd w:val="clear" w:color="auto" w:fill="CFF0FC"/>
            <w:tcMar>
              <w:top w:w="15" w:type="dxa"/>
              <w:left w:w="0" w:type="dxa"/>
              <w:bottom w:w="0" w:type="dxa"/>
              <w:right w:w="15" w:type="dxa"/>
            </w:tcMar>
            <w:vAlign w:val="bottom"/>
            <w:hideMark/>
          </w:tcPr>
          <w:p w14:paraId="53866C1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6EC975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58" w:type="pct"/>
            <w:shd w:val="clear" w:color="auto" w:fill="CFF0FC"/>
            <w:noWrap/>
            <w:tcMar>
              <w:top w:w="15" w:type="dxa"/>
              <w:left w:w="0" w:type="dxa"/>
              <w:bottom w:w="0" w:type="dxa"/>
              <w:right w:w="15" w:type="dxa"/>
            </w:tcMar>
            <w:vAlign w:val="bottom"/>
            <w:hideMark/>
          </w:tcPr>
          <w:p w14:paraId="1D78177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11,270</w:t>
            </w:r>
          </w:p>
        </w:tc>
        <w:tc>
          <w:tcPr>
            <w:tcW w:w="50" w:type="pct"/>
            <w:shd w:val="clear" w:color="auto" w:fill="CFF0FC"/>
            <w:noWrap/>
            <w:tcMar>
              <w:top w:w="15" w:type="dxa"/>
              <w:left w:w="0" w:type="dxa"/>
              <w:bottom w:w="0" w:type="dxa"/>
              <w:right w:w="15" w:type="dxa"/>
            </w:tcMar>
            <w:vAlign w:val="bottom"/>
            <w:hideMark/>
          </w:tcPr>
          <w:p w14:paraId="2329F98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1C5708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51FCB99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84" w:type="pct"/>
            <w:shd w:val="clear" w:color="auto" w:fill="CFF0FC"/>
            <w:tcMar>
              <w:top w:w="15" w:type="dxa"/>
              <w:left w:w="0" w:type="dxa"/>
              <w:bottom w:w="0" w:type="dxa"/>
              <w:right w:w="15" w:type="dxa"/>
            </w:tcMar>
            <w:vAlign w:val="bottom"/>
            <w:hideMark/>
          </w:tcPr>
          <w:p w14:paraId="6767C5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132384B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84" w:type="pct"/>
            <w:shd w:val="clear" w:color="auto" w:fill="CFF0FC"/>
            <w:tcMar>
              <w:top w:w="15" w:type="dxa"/>
              <w:left w:w="0" w:type="dxa"/>
              <w:bottom w:w="0" w:type="dxa"/>
              <w:right w:w="15" w:type="dxa"/>
            </w:tcMar>
            <w:vAlign w:val="bottom"/>
            <w:hideMark/>
          </w:tcPr>
          <w:p w14:paraId="54A6C8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D6C91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0" w:type="pct"/>
            <w:shd w:val="clear" w:color="auto" w:fill="CFF0FC"/>
            <w:noWrap/>
            <w:tcMar>
              <w:top w:w="15" w:type="dxa"/>
              <w:left w:w="0" w:type="dxa"/>
              <w:bottom w:w="0" w:type="dxa"/>
              <w:right w:w="15" w:type="dxa"/>
            </w:tcMar>
            <w:vAlign w:val="bottom"/>
            <w:hideMark/>
          </w:tcPr>
          <w:p w14:paraId="691C651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11,409</w:t>
            </w:r>
          </w:p>
        </w:tc>
        <w:tc>
          <w:tcPr>
            <w:tcW w:w="50" w:type="pct"/>
            <w:shd w:val="clear" w:color="auto" w:fill="CFF0FC"/>
            <w:noWrap/>
            <w:tcMar>
              <w:top w:w="15" w:type="dxa"/>
              <w:left w:w="0" w:type="dxa"/>
              <w:bottom w:w="0" w:type="dxa"/>
              <w:right w:w="15" w:type="dxa"/>
            </w:tcMar>
            <w:vAlign w:val="bottom"/>
            <w:hideMark/>
          </w:tcPr>
          <w:p w14:paraId="01602B9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95B4FE2" w14:textId="77777777">
        <w:trPr>
          <w:divId w:val="343215439"/>
          <w:jc w:val="center"/>
        </w:trPr>
        <w:tc>
          <w:tcPr>
            <w:tcW w:w="2510" w:type="pct"/>
            <w:shd w:val="clear" w:color="auto" w:fill="FFFFFF"/>
            <w:tcMar>
              <w:top w:w="15" w:type="dxa"/>
              <w:left w:w="0" w:type="dxa"/>
              <w:bottom w:w="0" w:type="dxa"/>
              <w:right w:w="15" w:type="dxa"/>
            </w:tcMar>
            <w:hideMark/>
          </w:tcPr>
          <w:p w14:paraId="7AC2B1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Asia Pacific</w:t>
            </w:r>
          </w:p>
        </w:tc>
        <w:tc>
          <w:tcPr>
            <w:tcW w:w="84" w:type="pct"/>
            <w:shd w:val="clear" w:color="auto" w:fill="FFFFFF"/>
            <w:tcMar>
              <w:top w:w="15" w:type="dxa"/>
              <w:left w:w="0" w:type="dxa"/>
              <w:bottom w:w="0" w:type="dxa"/>
              <w:right w:w="15" w:type="dxa"/>
            </w:tcMar>
            <w:vAlign w:val="bottom"/>
            <w:hideMark/>
          </w:tcPr>
          <w:p w14:paraId="1A2DBB6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77B5C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58" w:type="pct"/>
            <w:tcBorders>
              <w:bottom w:val="single" w:sz="6" w:space="0" w:color="000000"/>
            </w:tcBorders>
            <w:shd w:val="clear" w:color="auto" w:fill="FFFFFF"/>
            <w:noWrap/>
            <w:tcMar>
              <w:top w:w="15" w:type="dxa"/>
              <w:left w:w="0" w:type="dxa"/>
              <w:bottom w:w="0" w:type="dxa"/>
              <w:right w:w="15" w:type="dxa"/>
            </w:tcMar>
            <w:vAlign w:val="bottom"/>
            <w:hideMark/>
          </w:tcPr>
          <w:p w14:paraId="02880FD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6,380</w:t>
            </w:r>
          </w:p>
        </w:tc>
        <w:tc>
          <w:tcPr>
            <w:tcW w:w="50" w:type="pct"/>
            <w:shd w:val="clear" w:color="auto" w:fill="FFFFFF"/>
            <w:noWrap/>
            <w:tcMar>
              <w:top w:w="15" w:type="dxa"/>
              <w:left w:w="0" w:type="dxa"/>
              <w:bottom w:w="0" w:type="dxa"/>
              <w:right w:w="15" w:type="dxa"/>
            </w:tcMar>
            <w:vAlign w:val="bottom"/>
            <w:hideMark/>
          </w:tcPr>
          <w:p w14:paraId="38D42A6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3E6CA5D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692203F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84" w:type="pct"/>
            <w:shd w:val="clear" w:color="auto" w:fill="FFFFFF"/>
            <w:tcMar>
              <w:top w:w="15" w:type="dxa"/>
              <w:left w:w="0" w:type="dxa"/>
              <w:bottom w:w="0" w:type="dxa"/>
              <w:right w:w="15" w:type="dxa"/>
            </w:tcMar>
            <w:vAlign w:val="bottom"/>
            <w:hideMark/>
          </w:tcPr>
          <w:p w14:paraId="58FEE7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460AECF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w:t>
            </w:r>
          </w:p>
        </w:tc>
        <w:tc>
          <w:tcPr>
            <w:tcW w:w="84" w:type="pct"/>
            <w:shd w:val="clear" w:color="auto" w:fill="FFFFFF"/>
            <w:tcMar>
              <w:top w:w="15" w:type="dxa"/>
              <w:left w:w="0" w:type="dxa"/>
              <w:bottom w:w="0" w:type="dxa"/>
              <w:right w:w="15" w:type="dxa"/>
            </w:tcMar>
            <w:vAlign w:val="bottom"/>
            <w:hideMark/>
          </w:tcPr>
          <w:p w14:paraId="2C3138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74A2F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0" w:type="pct"/>
            <w:tcBorders>
              <w:bottom w:val="single" w:sz="6" w:space="0" w:color="000000"/>
            </w:tcBorders>
            <w:shd w:val="clear" w:color="auto" w:fill="FFFFFF"/>
            <w:noWrap/>
            <w:tcMar>
              <w:top w:w="15" w:type="dxa"/>
              <w:left w:w="0" w:type="dxa"/>
              <w:bottom w:w="0" w:type="dxa"/>
              <w:right w:w="15" w:type="dxa"/>
            </w:tcMar>
            <w:vAlign w:val="bottom"/>
            <w:hideMark/>
          </w:tcPr>
          <w:p w14:paraId="7410046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6,326</w:t>
            </w:r>
          </w:p>
        </w:tc>
        <w:tc>
          <w:tcPr>
            <w:tcW w:w="50" w:type="pct"/>
            <w:shd w:val="clear" w:color="auto" w:fill="FFFFFF"/>
            <w:noWrap/>
            <w:tcMar>
              <w:top w:w="15" w:type="dxa"/>
              <w:left w:w="0" w:type="dxa"/>
              <w:bottom w:w="0" w:type="dxa"/>
              <w:right w:w="15" w:type="dxa"/>
            </w:tcMar>
            <w:vAlign w:val="bottom"/>
            <w:hideMark/>
          </w:tcPr>
          <w:p w14:paraId="2586A45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0307035" w14:textId="77777777">
        <w:trPr>
          <w:divId w:val="343215439"/>
          <w:jc w:val="center"/>
        </w:trPr>
        <w:tc>
          <w:tcPr>
            <w:tcW w:w="2510" w:type="pct"/>
            <w:shd w:val="clear" w:color="auto" w:fill="CFF0FC"/>
            <w:tcMar>
              <w:top w:w="15" w:type="dxa"/>
              <w:left w:w="0" w:type="dxa"/>
              <w:bottom w:w="0" w:type="dxa"/>
              <w:right w:w="15" w:type="dxa"/>
            </w:tcMar>
            <w:hideMark/>
          </w:tcPr>
          <w:p w14:paraId="7F14665E"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84" w:type="pct"/>
            <w:shd w:val="clear" w:color="auto" w:fill="CFF0FC"/>
            <w:tcMar>
              <w:top w:w="15" w:type="dxa"/>
              <w:left w:w="0" w:type="dxa"/>
              <w:bottom w:w="0" w:type="dxa"/>
              <w:right w:w="15" w:type="dxa"/>
            </w:tcMar>
            <w:vAlign w:val="bottom"/>
            <w:hideMark/>
          </w:tcPr>
          <w:p w14:paraId="4CA8191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D835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58" w:type="pct"/>
            <w:tcBorders>
              <w:top w:val="single" w:sz="6" w:space="0" w:color="000000"/>
            </w:tcBorders>
            <w:shd w:val="clear" w:color="auto" w:fill="CFF0FC"/>
            <w:noWrap/>
            <w:tcMar>
              <w:top w:w="15" w:type="dxa"/>
              <w:left w:w="0" w:type="dxa"/>
              <w:bottom w:w="0" w:type="dxa"/>
              <w:right w:w="15" w:type="dxa"/>
            </w:tcMar>
            <w:vAlign w:val="bottom"/>
            <w:hideMark/>
          </w:tcPr>
          <w:p w14:paraId="6C965DC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CFF0FC"/>
            <w:noWrap/>
            <w:tcMar>
              <w:top w:w="15" w:type="dxa"/>
              <w:left w:w="0" w:type="dxa"/>
              <w:bottom w:w="0" w:type="dxa"/>
              <w:right w:w="15" w:type="dxa"/>
            </w:tcMar>
            <w:vAlign w:val="bottom"/>
            <w:hideMark/>
          </w:tcPr>
          <w:p w14:paraId="5F99ACD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2588511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799C379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w:t>
            </w:r>
          </w:p>
        </w:tc>
        <w:tc>
          <w:tcPr>
            <w:tcW w:w="84" w:type="pct"/>
            <w:shd w:val="clear" w:color="auto" w:fill="CFF0FC"/>
            <w:tcMar>
              <w:top w:w="15" w:type="dxa"/>
              <w:left w:w="0" w:type="dxa"/>
              <w:bottom w:w="0" w:type="dxa"/>
              <w:right w:w="15" w:type="dxa"/>
            </w:tcMar>
            <w:vAlign w:val="bottom"/>
            <w:hideMark/>
          </w:tcPr>
          <w:p w14:paraId="790DCAA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2124ACC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84" w:type="pct"/>
            <w:shd w:val="clear" w:color="auto" w:fill="CFF0FC"/>
            <w:tcMar>
              <w:top w:w="15" w:type="dxa"/>
              <w:left w:w="0" w:type="dxa"/>
              <w:bottom w:w="0" w:type="dxa"/>
              <w:right w:w="15" w:type="dxa"/>
            </w:tcMar>
            <w:vAlign w:val="bottom"/>
            <w:hideMark/>
          </w:tcPr>
          <w:p w14:paraId="17044F9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B6E27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0" w:type="pct"/>
            <w:tcBorders>
              <w:top w:val="single" w:sz="6" w:space="0" w:color="000000"/>
            </w:tcBorders>
            <w:shd w:val="clear" w:color="auto" w:fill="CFF0FC"/>
            <w:noWrap/>
            <w:tcMar>
              <w:top w:w="15" w:type="dxa"/>
              <w:left w:w="0" w:type="dxa"/>
              <w:bottom w:w="0" w:type="dxa"/>
              <w:right w:w="15" w:type="dxa"/>
            </w:tcMar>
            <w:vAlign w:val="bottom"/>
            <w:hideMark/>
          </w:tcPr>
          <w:p w14:paraId="6BF8C18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39,383</w:t>
            </w:r>
          </w:p>
        </w:tc>
        <w:tc>
          <w:tcPr>
            <w:tcW w:w="50" w:type="pct"/>
            <w:shd w:val="clear" w:color="auto" w:fill="CFF0FC"/>
            <w:noWrap/>
            <w:tcMar>
              <w:top w:w="15" w:type="dxa"/>
              <w:left w:w="0" w:type="dxa"/>
              <w:bottom w:w="0" w:type="dxa"/>
              <w:right w:w="15" w:type="dxa"/>
            </w:tcMar>
            <w:vAlign w:val="bottom"/>
            <w:hideMark/>
          </w:tcPr>
          <w:p w14:paraId="41262A4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45B0F22" w14:textId="77777777">
        <w:trPr>
          <w:divId w:val="343215439"/>
          <w:jc w:val="center"/>
        </w:trPr>
        <w:tc>
          <w:tcPr>
            <w:tcW w:w="2510" w:type="pct"/>
            <w:shd w:val="clear" w:color="auto" w:fill="FFFFFF"/>
            <w:tcMar>
              <w:top w:w="15" w:type="dxa"/>
              <w:left w:w="0" w:type="dxa"/>
              <w:bottom w:w="0" w:type="dxa"/>
              <w:right w:w="15" w:type="dxa"/>
            </w:tcMar>
            <w:hideMark/>
          </w:tcPr>
          <w:p w14:paraId="0D4D849D"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Total Operating Expenses</w:t>
            </w:r>
          </w:p>
        </w:tc>
        <w:tc>
          <w:tcPr>
            <w:tcW w:w="84" w:type="pct"/>
            <w:shd w:val="clear" w:color="auto" w:fill="FFFFFF"/>
            <w:tcMar>
              <w:top w:w="15" w:type="dxa"/>
              <w:left w:w="0" w:type="dxa"/>
              <w:bottom w:w="0" w:type="dxa"/>
              <w:right w:w="15" w:type="dxa"/>
            </w:tcMar>
            <w:vAlign w:val="bottom"/>
            <w:hideMark/>
          </w:tcPr>
          <w:p w14:paraId="71E5291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F6732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58" w:type="pct"/>
            <w:tcBorders>
              <w:bottom w:val="single" w:sz="6" w:space="0" w:color="000000"/>
            </w:tcBorders>
            <w:shd w:val="clear" w:color="auto" w:fill="FFFFFF"/>
            <w:noWrap/>
            <w:tcMar>
              <w:top w:w="15" w:type="dxa"/>
              <w:left w:w="0" w:type="dxa"/>
              <w:bottom w:w="0" w:type="dxa"/>
              <w:right w:w="15" w:type="dxa"/>
            </w:tcMar>
            <w:vAlign w:val="bottom"/>
            <w:hideMark/>
          </w:tcPr>
          <w:p w14:paraId="350C00C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25,971</w:t>
            </w:r>
          </w:p>
        </w:tc>
        <w:tc>
          <w:tcPr>
            <w:tcW w:w="50" w:type="pct"/>
            <w:shd w:val="clear" w:color="auto" w:fill="FFFFFF"/>
            <w:noWrap/>
            <w:tcMar>
              <w:top w:w="15" w:type="dxa"/>
              <w:left w:w="0" w:type="dxa"/>
              <w:bottom w:w="0" w:type="dxa"/>
              <w:right w:w="15" w:type="dxa"/>
            </w:tcMar>
            <w:vAlign w:val="bottom"/>
            <w:hideMark/>
          </w:tcPr>
          <w:p w14:paraId="2885AD6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2B591DB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14D6715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84" w:type="pct"/>
            <w:shd w:val="clear" w:color="auto" w:fill="FFFFFF"/>
            <w:tcMar>
              <w:top w:w="15" w:type="dxa"/>
              <w:left w:w="0" w:type="dxa"/>
              <w:bottom w:w="0" w:type="dxa"/>
              <w:right w:w="15" w:type="dxa"/>
            </w:tcMar>
            <w:vAlign w:val="bottom"/>
            <w:hideMark/>
          </w:tcPr>
          <w:p w14:paraId="01C5F6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229C25D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84" w:type="pct"/>
            <w:shd w:val="clear" w:color="auto" w:fill="FFFFFF"/>
            <w:tcMar>
              <w:top w:w="15" w:type="dxa"/>
              <w:left w:w="0" w:type="dxa"/>
              <w:bottom w:w="0" w:type="dxa"/>
              <w:right w:w="15" w:type="dxa"/>
            </w:tcMar>
            <w:vAlign w:val="bottom"/>
            <w:hideMark/>
          </w:tcPr>
          <w:p w14:paraId="5B65AE9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6E781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0" w:type="pct"/>
            <w:tcBorders>
              <w:bottom w:val="single" w:sz="6" w:space="0" w:color="000000"/>
            </w:tcBorders>
            <w:shd w:val="clear" w:color="auto" w:fill="FFFFFF"/>
            <w:noWrap/>
            <w:tcMar>
              <w:top w:w="15" w:type="dxa"/>
              <w:left w:w="0" w:type="dxa"/>
              <w:bottom w:w="0" w:type="dxa"/>
              <w:right w:w="15" w:type="dxa"/>
            </w:tcMar>
            <w:vAlign w:val="bottom"/>
            <w:hideMark/>
          </w:tcPr>
          <w:p w14:paraId="5A5C9FF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26,119</w:t>
            </w:r>
          </w:p>
        </w:tc>
        <w:tc>
          <w:tcPr>
            <w:tcW w:w="50" w:type="pct"/>
            <w:shd w:val="clear" w:color="auto" w:fill="FFFFFF"/>
            <w:noWrap/>
            <w:tcMar>
              <w:top w:w="15" w:type="dxa"/>
              <w:left w:w="0" w:type="dxa"/>
              <w:bottom w:w="0" w:type="dxa"/>
              <w:right w:w="15" w:type="dxa"/>
            </w:tcMar>
            <w:vAlign w:val="bottom"/>
            <w:hideMark/>
          </w:tcPr>
          <w:p w14:paraId="2E70B1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67E2C9B" w14:textId="77777777">
        <w:trPr>
          <w:divId w:val="343215439"/>
          <w:jc w:val="center"/>
        </w:trPr>
        <w:tc>
          <w:tcPr>
            <w:tcW w:w="2510" w:type="pct"/>
            <w:shd w:val="clear" w:color="auto" w:fill="CFF0FC"/>
            <w:tcMar>
              <w:top w:w="15" w:type="dxa"/>
              <w:left w:w="0" w:type="dxa"/>
              <w:bottom w:w="0" w:type="dxa"/>
              <w:right w:w="15" w:type="dxa"/>
            </w:tcMar>
            <w:hideMark/>
          </w:tcPr>
          <w:p w14:paraId="2460542F"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Total Operating Margin</w:t>
            </w:r>
          </w:p>
        </w:tc>
        <w:tc>
          <w:tcPr>
            <w:tcW w:w="84" w:type="pct"/>
            <w:shd w:val="clear" w:color="auto" w:fill="CFF0FC"/>
            <w:tcMar>
              <w:top w:w="15" w:type="dxa"/>
              <w:left w:w="0" w:type="dxa"/>
              <w:bottom w:w="0" w:type="dxa"/>
              <w:right w:w="15" w:type="dxa"/>
            </w:tcMar>
            <w:vAlign w:val="bottom"/>
            <w:hideMark/>
          </w:tcPr>
          <w:p w14:paraId="1E8A57D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C58482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D55F8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13,535</w:t>
            </w:r>
          </w:p>
        </w:tc>
        <w:tc>
          <w:tcPr>
            <w:tcW w:w="50" w:type="pct"/>
            <w:shd w:val="clear" w:color="auto" w:fill="CFF0FC"/>
            <w:noWrap/>
            <w:tcMar>
              <w:top w:w="15" w:type="dxa"/>
              <w:left w:w="0" w:type="dxa"/>
              <w:bottom w:w="0" w:type="dxa"/>
              <w:right w:w="15" w:type="dxa"/>
            </w:tcMar>
            <w:vAlign w:val="bottom"/>
            <w:hideMark/>
          </w:tcPr>
          <w:p w14:paraId="11BEA9F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5A8A4B9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068356F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84" w:type="pct"/>
            <w:shd w:val="clear" w:color="auto" w:fill="CFF0FC"/>
            <w:tcMar>
              <w:top w:w="15" w:type="dxa"/>
              <w:left w:w="0" w:type="dxa"/>
              <w:bottom w:w="0" w:type="dxa"/>
              <w:right w:w="15" w:type="dxa"/>
            </w:tcMar>
            <w:vAlign w:val="bottom"/>
            <w:hideMark/>
          </w:tcPr>
          <w:p w14:paraId="77AC43E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26B4FC2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w:t>
            </w:r>
          </w:p>
        </w:tc>
        <w:tc>
          <w:tcPr>
            <w:tcW w:w="84" w:type="pct"/>
            <w:shd w:val="clear" w:color="auto" w:fill="CFF0FC"/>
            <w:tcMar>
              <w:top w:w="15" w:type="dxa"/>
              <w:left w:w="0" w:type="dxa"/>
              <w:bottom w:w="0" w:type="dxa"/>
              <w:right w:w="15" w:type="dxa"/>
            </w:tcMar>
            <w:vAlign w:val="bottom"/>
            <w:hideMark/>
          </w:tcPr>
          <w:p w14:paraId="083985B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CA628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332B6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13,264</w:t>
            </w:r>
          </w:p>
        </w:tc>
        <w:tc>
          <w:tcPr>
            <w:tcW w:w="50" w:type="pct"/>
            <w:shd w:val="clear" w:color="auto" w:fill="CFF0FC"/>
            <w:noWrap/>
            <w:tcMar>
              <w:top w:w="15" w:type="dxa"/>
              <w:left w:w="0" w:type="dxa"/>
              <w:bottom w:w="0" w:type="dxa"/>
              <w:right w:w="15" w:type="dxa"/>
            </w:tcMar>
            <w:vAlign w:val="bottom"/>
            <w:hideMark/>
          </w:tcPr>
          <w:p w14:paraId="02154E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D9A763D" w14:textId="77777777">
        <w:trPr>
          <w:divId w:val="343215439"/>
          <w:jc w:val="center"/>
        </w:trPr>
        <w:tc>
          <w:tcPr>
            <w:tcW w:w="2510" w:type="pct"/>
            <w:shd w:val="clear" w:color="auto" w:fill="FFFFFF"/>
            <w:tcMar>
              <w:top w:w="15" w:type="dxa"/>
              <w:left w:w="0" w:type="dxa"/>
              <w:bottom w:w="0" w:type="dxa"/>
              <w:right w:w="15" w:type="dxa"/>
            </w:tcMar>
            <w:hideMark/>
          </w:tcPr>
          <w:p w14:paraId="3181E704"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Total Operating Margin %</w:t>
            </w:r>
          </w:p>
        </w:tc>
        <w:tc>
          <w:tcPr>
            <w:tcW w:w="84" w:type="pct"/>
            <w:shd w:val="clear" w:color="auto" w:fill="FFFFFF"/>
            <w:tcMar>
              <w:top w:w="15" w:type="dxa"/>
              <w:left w:w="0" w:type="dxa"/>
              <w:bottom w:w="0" w:type="dxa"/>
              <w:right w:w="15" w:type="dxa"/>
            </w:tcMar>
            <w:vAlign w:val="bottom"/>
            <w:hideMark/>
          </w:tcPr>
          <w:p w14:paraId="5F88517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8" w:type="pct"/>
            <w:gridSpan w:val="2"/>
            <w:tcBorders>
              <w:top w:val="double" w:sz="6" w:space="0" w:color="000000"/>
            </w:tcBorders>
            <w:shd w:val="clear" w:color="auto" w:fill="FFFFFF"/>
            <w:tcMar>
              <w:top w:w="15" w:type="dxa"/>
              <w:left w:w="0" w:type="dxa"/>
              <w:bottom w:w="0" w:type="dxa"/>
              <w:right w:w="15" w:type="dxa"/>
            </w:tcMar>
            <w:vAlign w:val="bottom"/>
            <w:hideMark/>
          </w:tcPr>
          <w:p w14:paraId="0BAA4F1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FFFFFF"/>
            <w:noWrap/>
            <w:tcMar>
              <w:top w:w="15" w:type="dxa"/>
              <w:left w:w="0" w:type="dxa"/>
              <w:bottom w:w="0" w:type="dxa"/>
              <w:right w:w="15" w:type="dxa"/>
            </w:tcMar>
            <w:vAlign w:val="bottom"/>
            <w:hideMark/>
          </w:tcPr>
          <w:p w14:paraId="1FA7C82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02B6EBA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3E7BD4F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2FA6CDE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2D35AED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7F8085F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tcBorders>
              <w:top w:val="double" w:sz="6" w:space="0" w:color="000000"/>
            </w:tcBorders>
            <w:shd w:val="clear" w:color="auto" w:fill="FFFFFF"/>
            <w:tcMar>
              <w:top w:w="15" w:type="dxa"/>
              <w:left w:w="0" w:type="dxa"/>
              <w:bottom w:w="0" w:type="dxa"/>
              <w:right w:w="15" w:type="dxa"/>
            </w:tcMar>
            <w:vAlign w:val="bottom"/>
            <w:hideMark/>
          </w:tcPr>
          <w:p w14:paraId="009FCF6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FFFFFF"/>
            <w:noWrap/>
            <w:tcMar>
              <w:top w:w="15" w:type="dxa"/>
              <w:left w:w="0" w:type="dxa"/>
              <w:bottom w:w="0" w:type="dxa"/>
              <w:right w:w="15" w:type="dxa"/>
            </w:tcMar>
            <w:vAlign w:val="bottom"/>
            <w:hideMark/>
          </w:tcPr>
          <w:p w14:paraId="0DE4CD0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BFA4294" w14:textId="77777777">
        <w:trPr>
          <w:divId w:val="343215439"/>
          <w:jc w:val="center"/>
        </w:trPr>
        <w:tc>
          <w:tcPr>
            <w:tcW w:w="2510" w:type="pct"/>
            <w:shd w:val="clear" w:color="auto" w:fill="CFF0FC"/>
            <w:tcMar>
              <w:top w:w="15" w:type="dxa"/>
              <w:left w:w="0" w:type="dxa"/>
              <w:bottom w:w="0" w:type="dxa"/>
              <w:right w:w="15" w:type="dxa"/>
            </w:tcMar>
            <w:hideMark/>
          </w:tcPr>
          <w:p w14:paraId="49B6C855"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 Revenues by Geography:</w:t>
            </w:r>
          </w:p>
        </w:tc>
        <w:tc>
          <w:tcPr>
            <w:tcW w:w="84" w:type="pct"/>
            <w:shd w:val="clear" w:color="auto" w:fill="CFF0FC"/>
            <w:tcMar>
              <w:top w:w="15" w:type="dxa"/>
              <w:left w:w="0" w:type="dxa"/>
              <w:bottom w:w="0" w:type="dxa"/>
              <w:right w:w="15" w:type="dxa"/>
            </w:tcMar>
            <w:vAlign w:val="bottom"/>
            <w:hideMark/>
          </w:tcPr>
          <w:p w14:paraId="04302F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79FB48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58" w:type="pct"/>
            <w:shd w:val="clear" w:color="auto" w:fill="CFF0FC"/>
            <w:noWrap/>
            <w:tcMar>
              <w:top w:w="15" w:type="dxa"/>
              <w:left w:w="0" w:type="dxa"/>
              <w:bottom w:w="0" w:type="dxa"/>
              <w:right w:w="15" w:type="dxa"/>
            </w:tcMar>
            <w:vAlign w:val="bottom"/>
            <w:hideMark/>
          </w:tcPr>
          <w:p w14:paraId="54DDDA7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E11DF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6EB3DDF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0557100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780E47C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56E4DE2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252B935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3C0AF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0" w:type="pct"/>
            <w:shd w:val="clear" w:color="auto" w:fill="CFF0FC"/>
            <w:noWrap/>
            <w:tcMar>
              <w:top w:w="15" w:type="dxa"/>
              <w:left w:w="0" w:type="dxa"/>
              <w:bottom w:w="0" w:type="dxa"/>
              <w:right w:w="15" w:type="dxa"/>
            </w:tcMar>
            <w:vAlign w:val="bottom"/>
            <w:hideMark/>
          </w:tcPr>
          <w:p w14:paraId="622BB9D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285A4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6472114" w14:textId="77777777">
        <w:trPr>
          <w:divId w:val="343215439"/>
          <w:jc w:val="center"/>
        </w:trPr>
        <w:tc>
          <w:tcPr>
            <w:tcW w:w="2510" w:type="pct"/>
            <w:shd w:val="clear" w:color="auto" w:fill="FFFFFF"/>
            <w:tcMar>
              <w:top w:w="15" w:type="dxa"/>
              <w:left w:w="0" w:type="dxa"/>
              <w:bottom w:w="0" w:type="dxa"/>
              <w:right w:w="15" w:type="dxa"/>
            </w:tcMar>
            <w:hideMark/>
          </w:tcPr>
          <w:p w14:paraId="6AD8E4C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Americas</w:t>
            </w:r>
          </w:p>
        </w:tc>
        <w:tc>
          <w:tcPr>
            <w:tcW w:w="84" w:type="pct"/>
            <w:shd w:val="clear" w:color="auto" w:fill="FFFFFF"/>
            <w:tcMar>
              <w:top w:w="15" w:type="dxa"/>
              <w:left w:w="0" w:type="dxa"/>
              <w:bottom w:w="0" w:type="dxa"/>
              <w:right w:w="15" w:type="dxa"/>
            </w:tcMar>
            <w:vAlign w:val="bottom"/>
            <w:hideMark/>
          </w:tcPr>
          <w:p w14:paraId="1DCCBA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8" w:type="pct"/>
            <w:gridSpan w:val="2"/>
            <w:shd w:val="clear" w:color="auto" w:fill="FFFFFF"/>
            <w:tcMar>
              <w:top w:w="15" w:type="dxa"/>
              <w:left w:w="0" w:type="dxa"/>
              <w:bottom w:w="0" w:type="dxa"/>
              <w:right w:w="15" w:type="dxa"/>
            </w:tcMar>
            <w:vAlign w:val="bottom"/>
            <w:hideMark/>
          </w:tcPr>
          <w:p w14:paraId="5225FEB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55%</w:t>
            </w:r>
          </w:p>
        </w:tc>
        <w:tc>
          <w:tcPr>
            <w:tcW w:w="50" w:type="pct"/>
            <w:shd w:val="clear" w:color="auto" w:fill="FFFFFF"/>
            <w:noWrap/>
            <w:tcMar>
              <w:top w:w="15" w:type="dxa"/>
              <w:left w:w="0" w:type="dxa"/>
              <w:bottom w:w="0" w:type="dxa"/>
              <w:right w:w="15" w:type="dxa"/>
            </w:tcMar>
            <w:vAlign w:val="bottom"/>
            <w:hideMark/>
          </w:tcPr>
          <w:p w14:paraId="16AA9D7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2A6680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394BF6B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3244FC4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1B8F57A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6521B6E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FFFFFF"/>
            <w:tcMar>
              <w:top w:w="15" w:type="dxa"/>
              <w:left w:w="0" w:type="dxa"/>
              <w:bottom w:w="0" w:type="dxa"/>
              <w:right w:w="15" w:type="dxa"/>
            </w:tcMar>
            <w:vAlign w:val="bottom"/>
            <w:hideMark/>
          </w:tcPr>
          <w:p w14:paraId="59724F4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55%</w:t>
            </w:r>
          </w:p>
        </w:tc>
        <w:tc>
          <w:tcPr>
            <w:tcW w:w="50" w:type="pct"/>
            <w:shd w:val="clear" w:color="auto" w:fill="FFFFFF"/>
            <w:noWrap/>
            <w:tcMar>
              <w:top w:w="15" w:type="dxa"/>
              <w:left w:w="0" w:type="dxa"/>
              <w:bottom w:w="0" w:type="dxa"/>
              <w:right w:w="15" w:type="dxa"/>
            </w:tcMar>
            <w:vAlign w:val="bottom"/>
            <w:hideMark/>
          </w:tcPr>
          <w:p w14:paraId="11571E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B431130" w14:textId="77777777">
        <w:trPr>
          <w:divId w:val="343215439"/>
          <w:jc w:val="center"/>
        </w:trPr>
        <w:tc>
          <w:tcPr>
            <w:tcW w:w="2510" w:type="pct"/>
            <w:shd w:val="clear" w:color="auto" w:fill="CFF0FC"/>
            <w:tcMar>
              <w:top w:w="15" w:type="dxa"/>
              <w:left w:w="0" w:type="dxa"/>
              <w:bottom w:w="0" w:type="dxa"/>
              <w:right w:w="15" w:type="dxa"/>
            </w:tcMar>
            <w:hideMark/>
          </w:tcPr>
          <w:p w14:paraId="01CCE99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EMEA</w:t>
            </w:r>
          </w:p>
        </w:tc>
        <w:tc>
          <w:tcPr>
            <w:tcW w:w="84" w:type="pct"/>
            <w:shd w:val="clear" w:color="auto" w:fill="CFF0FC"/>
            <w:tcMar>
              <w:top w:w="15" w:type="dxa"/>
              <w:left w:w="0" w:type="dxa"/>
              <w:bottom w:w="0" w:type="dxa"/>
              <w:right w:w="15" w:type="dxa"/>
            </w:tcMar>
            <w:vAlign w:val="bottom"/>
            <w:hideMark/>
          </w:tcPr>
          <w:p w14:paraId="2D29F9D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8" w:type="pct"/>
            <w:gridSpan w:val="2"/>
            <w:shd w:val="clear" w:color="auto" w:fill="CFF0FC"/>
            <w:tcMar>
              <w:top w:w="15" w:type="dxa"/>
              <w:left w:w="0" w:type="dxa"/>
              <w:bottom w:w="0" w:type="dxa"/>
              <w:right w:w="15" w:type="dxa"/>
            </w:tcMar>
            <w:vAlign w:val="bottom"/>
            <w:hideMark/>
          </w:tcPr>
          <w:p w14:paraId="3E6322A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CFF0FC"/>
            <w:noWrap/>
            <w:tcMar>
              <w:top w:w="15" w:type="dxa"/>
              <w:left w:w="0" w:type="dxa"/>
              <w:bottom w:w="0" w:type="dxa"/>
              <w:right w:w="15" w:type="dxa"/>
            </w:tcMar>
            <w:vAlign w:val="bottom"/>
            <w:hideMark/>
          </w:tcPr>
          <w:p w14:paraId="7C350D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1A612BF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1CE0F04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7C6DF70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21AACCB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307B73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CFF0FC"/>
            <w:tcMar>
              <w:top w:w="15" w:type="dxa"/>
              <w:left w:w="0" w:type="dxa"/>
              <w:bottom w:w="0" w:type="dxa"/>
              <w:right w:w="15" w:type="dxa"/>
            </w:tcMar>
            <w:vAlign w:val="bottom"/>
            <w:hideMark/>
          </w:tcPr>
          <w:p w14:paraId="0B0E917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CFF0FC"/>
            <w:noWrap/>
            <w:tcMar>
              <w:top w:w="15" w:type="dxa"/>
              <w:left w:w="0" w:type="dxa"/>
              <w:bottom w:w="0" w:type="dxa"/>
              <w:right w:w="15" w:type="dxa"/>
            </w:tcMar>
            <w:vAlign w:val="bottom"/>
            <w:hideMark/>
          </w:tcPr>
          <w:p w14:paraId="48F0719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C1BCCE1" w14:textId="77777777">
        <w:trPr>
          <w:divId w:val="343215439"/>
          <w:jc w:val="center"/>
        </w:trPr>
        <w:tc>
          <w:tcPr>
            <w:tcW w:w="2510" w:type="pct"/>
            <w:shd w:val="clear" w:color="auto" w:fill="FFFFFF"/>
            <w:tcMar>
              <w:top w:w="15" w:type="dxa"/>
              <w:left w:w="0" w:type="dxa"/>
              <w:bottom w:w="0" w:type="dxa"/>
              <w:right w:w="15" w:type="dxa"/>
            </w:tcMar>
            <w:hideMark/>
          </w:tcPr>
          <w:p w14:paraId="66F73C0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Asia Pacific</w:t>
            </w:r>
          </w:p>
        </w:tc>
        <w:tc>
          <w:tcPr>
            <w:tcW w:w="84" w:type="pct"/>
            <w:shd w:val="clear" w:color="auto" w:fill="FFFFFF"/>
            <w:tcMar>
              <w:top w:w="15" w:type="dxa"/>
              <w:left w:w="0" w:type="dxa"/>
              <w:bottom w:w="0" w:type="dxa"/>
              <w:right w:w="15" w:type="dxa"/>
            </w:tcMar>
            <w:vAlign w:val="bottom"/>
            <w:hideMark/>
          </w:tcPr>
          <w:p w14:paraId="35C687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8" w:type="pct"/>
            <w:gridSpan w:val="2"/>
            <w:shd w:val="clear" w:color="auto" w:fill="FFFFFF"/>
            <w:tcMar>
              <w:top w:w="15" w:type="dxa"/>
              <w:left w:w="0" w:type="dxa"/>
              <w:bottom w:w="0" w:type="dxa"/>
              <w:right w:w="15" w:type="dxa"/>
            </w:tcMar>
            <w:vAlign w:val="bottom"/>
            <w:hideMark/>
          </w:tcPr>
          <w:p w14:paraId="1C35D62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FFFFFF"/>
            <w:noWrap/>
            <w:tcMar>
              <w:top w:w="15" w:type="dxa"/>
              <w:left w:w="0" w:type="dxa"/>
              <w:bottom w:w="0" w:type="dxa"/>
              <w:right w:w="15" w:type="dxa"/>
            </w:tcMar>
            <w:vAlign w:val="bottom"/>
            <w:hideMark/>
          </w:tcPr>
          <w:p w14:paraId="5865772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4797E21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28CA440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72A1BEE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42257A6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32D4F31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FFFFFF"/>
            <w:tcMar>
              <w:top w:w="15" w:type="dxa"/>
              <w:left w:w="0" w:type="dxa"/>
              <w:bottom w:w="0" w:type="dxa"/>
              <w:right w:w="15" w:type="dxa"/>
            </w:tcMar>
            <w:vAlign w:val="bottom"/>
            <w:hideMark/>
          </w:tcPr>
          <w:p w14:paraId="2E7FA6D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FFFFFF"/>
            <w:noWrap/>
            <w:tcMar>
              <w:top w:w="15" w:type="dxa"/>
              <w:left w:w="0" w:type="dxa"/>
              <w:bottom w:w="0" w:type="dxa"/>
              <w:right w:w="15" w:type="dxa"/>
            </w:tcMar>
            <w:vAlign w:val="bottom"/>
            <w:hideMark/>
          </w:tcPr>
          <w:p w14:paraId="7230FB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820E9CA" w14:textId="77777777">
        <w:trPr>
          <w:divId w:val="343215439"/>
          <w:jc w:val="center"/>
        </w:trPr>
        <w:tc>
          <w:tcPr>
            <w:tcW w:w="2510" w:type="pct"/>
            <w:shd w:val="clear" w:color="auto" w:fill="CFF0FC"/>
            <w:tcMar>
              <w:top w:w="15" w:type="dxa"/>
              <w:left w:w="0" w:type="dxa"/>
              <w:bottom w:w="0" w:type="dxa"/>
              <w:right w:w="15" w:type="dxa"/>
            </w:tcMar>
            <w:hideMark/>
          </w:tcPr>
          <w:p w14:paraId="318FC58E"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Total Revenues by Business:</w:t>
            </w:r>
          </w:p>
        </w:tc>
        <w:tc>
          <w:tcPr>
            <w:tcW w:w="84" w:type="pct"/>
            <w:shd w:val="clear" w:color="auto" w:fill="CFF0FC"/>
            <w:tcMar>
              <w:top w:w="15" w:type="dxa"/>
              <w:left w:w="0" w:type="dxa"/>
              <w:bottom w:w="0" w:type="dxa"/>
              <w:right w:w="15" w:type="dxa"/>
            </w:tcMar>
            <w:vAlign w:val="bottom"/>
            <w:hideMark/>
          </w:tcPr>
          <w:p w14:paraId="739AAF0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03A77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58" w:type="pct"/>
            <w:shd w:val="clear" w:color="auto" w:fill="CFF0FC"/>
            <w:noWrap/>
            <w:tcMar>
              <w:top w:w="15" w:type="dxa"/>
              <w:left w:w="0" w:type="dxa"/>
              <w:bottom w:w="0" w:type="dxa"/>
              <w:right w:w="15" w:type="dxa"/>
            </w:tcMar>
            <w:vAlign w:val="bottom"/>
            <w:hideMark/>
          </w:tcPr>
          <w:p w14:paraId="2DF7807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B07A67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3F8A62F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3B03BD5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198315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54D550B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16864E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973E76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0" w:type="pct"/>
            <w:shd w:val="clear" w:color="auto" w:fill="CFF0FC"/>
            <w:noWrap/>
            <w:tcMar>
              <w:top w:w="15" w:type="dxa"/>
              <w:left w:w="0" w:type="dxa"/>
              <w:bottom w:w="0" w:type="dxa"/>
              <w:right w:w="15" w:type="dxa"/>
            </w:tcMar>
            <w:vAlign w:val="bottom"/>
            <w:hideMark/>
          </w:tcPr>
          <w:p w14:paraId="2E82311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3A1254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A73CFB9" w14:textId="77777777">
        <w:trPr>
          <w:divId w:val="343215439"/>
          <w:jc w:val="center"/>
        </w:trPr>
        <w:tc>
          <w:tcPr>
            <w:tcW w:w="2510" w:type="pct"/>
            <w:shd w:val="clear" w:color="auto" w:fill="FFFFFF"/>
            <w:tcMar>
              <w:top w:w="15" w:type="dxa"/>
              <w:left w:w="0" w:type="dxa"/>
              <w:bottom w:w="0" w:type="dxa"/>
              <w:right w:w="15" w:type="dxa"/>
            </w:tcMar>
            <w:hideMark/>
          </w:tcPr>
          <w:p w14:paraId="51B5DD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and license</w:t>
            </w:r>
          </w:p>
        </w:tc>
        <w:tc>
          <w:tcPr>
            <w:tcW w:w="84" w:type="pct"/>
            <w:shd w:val="clear" w:color="auto" w:fill="FFFFFF"/>
            <w:tcMar>
              <w:top w:w="15" w:type="dxa"/>
              <w:left w:w="0" w:type="dxa"/>
              <w:bottom w:w="0" w:type="dxa"/>
              <w:right w:w="15" w:type="dxa"/>
            </w:tcMar>
            <w:vAlign w:val="bottom"/>
            <w:hideMark/>
          </w:tcPr>
          <w:p w14:paraId="48ED05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7FB9C7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8" w:type="pct"/>
            <w:shd w:val="clear" w:color="auto" w:fill="FFFFFF"/>
            <w:noWrap/>
            <w:tcMar>
              <w:top w:w="15" w:type="dxa"/>
              <w:left w:w="0" w:type="dxa"/>
              <w:bottom w:w="0" w:type="dxa"/>
              <w:right w:w="15" w:type="dxa"/>
            </w:tcMar>
            <w:vAlign w:val="bottom"/>
            <w:hideMark/>
          </w:tcPr>
          <w:p w14:paraId="1AAD4BD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32,562</w:t>
            </w:r>
          </w:p>
        </w:tc>
        <w:tc>
          <w:tcPr>
            <w:tcW w:w="50" w:type="pct"/>
            <w:shd w:val="clear" w:color="auto" w:fill="FFFFFF"/>
            <w:noWrap/>
            <w:tcMar>
              <w:top w:w="15" w:type="dxa"/>
              <w:left w:w="0" w:type="dxa"/>
              <w:bottom w:w="0" w:type="dxa"/>
              <w:right w:w="15" w:type="dxa"/>
            </w:tcMar>
            <w:vAlign w:val="bottom"/>
            <w:hideMark/>
          </w:tcPr>
          <w:p w14:paraId="0542E76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72B2FBC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5772F4F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84" w:type="pct"/>
            <w:shd w:val="clear" w:color="auto" w:fill="FFFFFF"/>
            <w:tcMar>
              <w:top w:w="15" w:type="dxa"/>
              <w:left w:w="0" w:type="dxa"/>
              <w:bottom w:w="0" w:type="dxa"/>
              <w:right w:w="15" w:type="dxa"/>
            </w:tcMar>
            <w:vAlign w:val="bottom"/>
            <w:hideMark/>
          </w:tcPr>
          <w:p w14:paraId="702B72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4DD9635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84" w:type="pct"/>
            <w:shd w:val="clear" w:color="auto" w:fill="FFFFFF"/>
            <w:tcMar>
              <w:top w:w="15" w:type="dxa"/>
              <w:left w:w="0" w:type="dxa"/>
              <w:bottom w:w="0" w:type="dxa"/>
              <w:right w:w="15" w:type="dxa"/>
            </w:tcMar>
            <w:vAlign w:val="bottom"/>
            <w:hideMark/>
          </w:tcPr>
          <w:p w14:paraId="27C55E0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B4B5F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0" w:type="pct"/>
            <w:shd w:val="clear" w:color="auto" w:fill="FFFFFF"/>
            <w:noWrap/>
            <w:tcMar>
              <w:top w:w="15" w:type="dxa"/>
              <w:left w:w="0" w:type="dxa"/>
              <w:bottom w:w="0" w:type="dxa"/>
              <w:right w:w="15" w:type="dxa"/>
            </w:tcMar>
            <w:vAlign w:val="bottom"/>
            <w:hideMark/>
          </w:tcPr>
          <w:p w14:paraId="04B6926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31,994</w:t>
            </w:r>
          </w:p>
        </w:tc>
        <w:tc>
          <w:tcPr>
            <w:tcW w:w="50" w:type="pct"/>
            <w:shd w:val="clear" w:color="auto" w:fill="FFFFFF"/>
            <w:noWrap/>
            <w:tcMar>
              <w:top w:w="15" w:type="dxa"/>
              <w:left w:w="0" w:type="dxa"/>
              <w:bottom w:w="0" w:type="dxa"/>
              <w:right w:w="15" w:type="dxa"/>
            </w:tcMar>
            <w:vAlign w:val="bottom"/>
            <w:hideMark/>
          </w:tcPr>
          <w:p w14:paraId="6B1AB3E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344F4A1" w14:textId="77777777">
        <w:trPr>
          <w:divId w:val="343215439"/>
          <w:jc w:val="center"/>
        </w:trPr>
        <w:tc>
          <w:tcPr>
            <w:tcW w:w="2510" w:type="pct"/>
            <w:shd w:val="clear" w:color="auto" w:fill="CFF0FC"/>
            <w:tcMar>
              <w:top w:w="15" w:type="dxa"/>
              <w:left w:w="0" w:type="dxa"/>
              <w:bottom w:w="0" w:type="dxa"/>
              <w:right w:w="15" w:type="dxa"/>
            </w:tcMar>
            <w:hideMark/>
          </w:tcPr>
          <w:p w14:paraId="47F4D85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Hardware</w:t>
            </w:r>
          </w:p>
        </w:tc>
        <w:tc>
          <w:tcPr>
            <w:tcW w:w="84" w:type="pct"/>
            <w:shd w:val="clear" w:color="auto" w:fill="CFF0FC"/>
            <w:tcMar>
              <w:top w:w="15" w:type="dxa"/>
              <w:left w:w="0" w:type="dxa"/>
              <w:bottom w:w="0" w:type="dxa"/>
              <w:right w:w="15" w:type="dxa"/>
            </w:tcMar>
            <w:vAlign w:val="bottom"/>
            <w:hideMark/>
          </w:tcPr>
          <w:p w14:paraId="171BEC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54EB5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58" w:type="pct"/>
            <w:shd w:val="clear" w:color="auto" w:fill="CFF0FC"/>
            <w:noWrap/>
            <w:tcMar>
              <w:top w:w="15" w:type="dxa"/>
              <w:left w:w="0" w:type="dxa"/>
              <w:bottom w:w="0" w:type="dxa"/>
              <w:right w:w="15" w:type="dxa"/>
            </w:tcMar>
            <w:vAlign w:val="bottom"/>
            <w:hideMark/>
          </w:tcPr>
          <w:p w14:paraId="5795553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3,704</w:t>
            </w:r>
          </w:p>
        </w:tc>
        <w:tc>
          <w:tcPr>
            <w:tcW w:w="50" w:type="pct"/>
            <w:shd w:val="clear" w:color="auto" w:fill="CFF0FC"/>
            <w:noWrap/>
            <w:tcMar>
              <w:top w:w="15" w:type="dxa"/>
              <w:left w:w="0" w:type="dxa"/>
              <w:bottom w:w="0" w:type="dxa"/>
              <w:right w:w="15" w:type="dxa"/>
            </w:tcMar>
            <w:vAlign w:val="bottom"/>
            <w:hideMark/>
          </w:tcPr>
          <w:p w14:paraId="16F268B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6CA8BA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200D880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w:t>
            </w:r>
          </w:p>
        </w:tc>
        <w:tc>
          <w:tcPr>
            <w:tcW w:w="84" w:type="pct"/>
            <w:shd w:val="clear" w:color="auto" w:fill="CFF0FC"/>
            <w:tcMar>
              <w:top w:w="15" w:type="dxa"/>
              <w:left w:w="0" w:type="dxa"/>
              <w:bottom w:w="0" w:type="dxa"/>
              <w:right w:w="15" w:type="dxa"/>
            </w:tcMar>
            <w:vAlign w:val="bottom"/>
            <w:hideMark/>
          </w:tcPr>
          <w:p w14:paraId="4227B1E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07E1E54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w:t>
            </w:r>
          </w:p>
        </w:tc>
        <w:tc>
          <w:tcPr>
            <w:tcW w:w="84" w:type="pct"/>
            <w:shd w:val="clear" w:color="auto" w:fill="CFF0FC"/>
            <w:tcMar>
              <w:top w:w="15" w:type="dxa"/>
              <w:left w:w="0" w:type="dxa"/>
              <w:bottom w:w="0" w:type="dxa"/>
              <w:right w:w="15" w:type="dxa"/>
            </w:tcMar>
            <w:vAlign w:val="bottom"/>
            <w:hideMark/>
          </w:tcPr>
          <w:p w14:paraId="0026C61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A8B2C2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0" w:type="pct"/>
            <w:shd w:val="clear" w:color="auto" w:fill="CFF0FC"/>
            <w:noWrap/>
            <w:tcMar>
              <w:top w:w="15" w:type="dxa"/>
              <w:left w:w="0" w:type="dxa"/>
              <w:bottom w:w="0" w:type="dxa"/>
              <w:right w:w="15" w:type="dxa"/>
            </w:tcMar>
            <w:vAlign w:val="bottom"/>
            <w:hideMark/>
          </w:tcPr>
          <w:p w14:paraId="7829203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3,994</w:t>
            </w:r>
          </w:p>
        </w:tc>
        <w:tc>
          <w:tcPr>
            <w:tcW w:w="50" w:type="pct"/>
            <w:shd w:val="clear" w:color="auto" w:fill="CFF0FC"/>
            <w:noWrap/>
            <w:tcMar>
              <w:top w:w="15" w:type="dxa"/>
              <w:left w:w="0" w:type="dxa"/>
              <w:bottom w:w="0" w:type="dxa"/>
              <w:right w:w="15" w:type="dxa"/>
            </w:tcMar>
            <w:vAlign w:val="bottom"/>
            <w:hideMark/>
          </w:tcPr>
          <w:p w14:paraId="5CC6D77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F4D9514" w14:textId="77777777">
        <w:trPr>
          <w:divId w:val="343215439"/>
          <w:jc w:val="center"/>
        </w:trPr>
        <w:tc>
          <w:tcPr>
            <w:tcW w:w="2510" w:type="pct"/>
            <w:shd w:val="clear" w:color="auto" w:fill="FFFFFF"/>
            <w:tcMar>
              <w:top w:w="15" w:type="dxa"/>
              <w:left w:w="0" w:type="dxa"/>
              <w:bottom w:w="0" w:type="dxa"/>
              <w:right w:w="15" w:type="dxa"/>
            </w:tcMar>
            <w:hideMark/>
          </w:tcPr>
          <w:p w14:paraId="17699CC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Services</w:t>
            </w:r>
          </w:p>
        </w:tc>
        <w:tc>
          <w:tcPr>
            <w:tcW w:w="84" w:type="pct"/>
            <w:shd w:val="clear" w:color="auto" w:fill="FFFFFF"/>
            <w:tcMar>
              <w:top w:w="15" w:type="dxa"/>
              <w:left w:w="0" w:type="dxa"/>
              <w:bottom w:w="0" w:type="dxa"/>
              <w:right w:w="15" w:type="dxa"/>
            </w:tcMar>
            <w:vAlign w:val="bottom"/>
            <w:hideMark/>
          </w:tcPr>
          <w:p w14:paraId="49AF70E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A8B311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58" w:type="pct"/>
            <w:tcBorders>
              <w:bottom w:val="single" w:sz="6" w:space="0" w:color="000000"/>
            </w:tcBorders>
            <w:shd w:val="clear" w:color="auto" w:fill="FFFFFF"/>
            <w:noWrap/>
            <w:tcMar>
              <w:top w:w="15" w:type="dxa"/>
              <w:left w:w="0" w:type="dxa"/>
              <w:bottom w:w="0" w:type="dxa"/>
              <w:right w:w="15" w:type="dxa"/>
            </w:tcMar>
            <w:vAlign w:val="bottom"/>
            <w:hideMark/>
          </w:tcPr>
          <w:p w14:paraId="78E85EF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3,240</w:t>
            </w:r>
          </w:p>
        </w:tc>
        <w:tc>
          <w:tcPr>
            <w:tcW w:w="50" w:type="pct"/>
            <w:shd w:val="clear" w:color="auto" w:fill="FFFFFF"/>
            <w:noWrap/>
            <w:tcMar>
              <w:top w:w="15" w:type="dxa"/>
              <w:left w:w="0" w:type="dxa"/>
              <w:bottom w:w="0" w:type="dxa"/>
              <w:right w:w="15" w:type="dxa"/>
            </w:tcMar>
            <w:vAlign w:val="bottom"/>
            <w:hideMark/>
          </w:tcPr>
          <w:p w14:paraId="0590B28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1B1DBB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5EBDBAF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w:t>
            </w:r>
          </w:p>
        </w:tc>
        <w:tc>
          <w:tcPr>
            <w:tcW w:w="84" w:type="pct"/>
            <w:shd w:val="clear" w:color="auto" w:fill="FFFFFF"/>
            <w:tcMar>
              <w:top w:w="15" w:type="dxa"/>
              <w:left w:w="0" w:type="dxa"/>
              <w:bottom w:w="0" w:type="dxa"/>
              <w:right w:w="15" w:type="dxa"/>
            </w:tcMar>
            <w:vAlign w:val="bottom"/>
            <w:hideMark/>
          </w:tcPr>
          <w:p w14:paraId="2FB9BAB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033BFDE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84" w:type="pct"/>
            <w:shd w:val="clear" w:color="auto" w:fill="FFFFFF"/>
            <w:tcMar>
              <w:top w:w="15" w:type="dxa"/>
              <w:left w:w="0" w:type="dxa"/>
              <w:bottom w:w="0" w:type="dxa"/>
              <w:right w:w="15" w:type="dxa"/>
            </w:tcMar>
            <w:vAlign w:val="bottom"/>
            <w:hideMark/>
          </w:tcPr>
          <w:p w14:paraId="2F886C7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FB52F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0" w:type="pct"/>
            <w:tcBorders>
              <w:bottom w:val="single" w:sz="6" w:space="0" w:color="000000"/>
            </w:tcBorders>
            <w:shd w:val="clear" w:color="auto" w:fill="FFFFFF"/>
            <w:noWrap/>
            <w:tcMar>
              <w:top w:w="15" w:type="dxa"/>
              <w:left w:w="0" w:type="dxa"/>
              <w:bottom w:w="0" w:type="dxa"/>
              <w:right w:w="15" w:type="dxa"/>
            </w:tcMar>
            <w:vAlign w:val="bottom"/>
            <w:hideMark/>
          </w:tcPr>
          <w:p w14:paraId="04FE5D2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3,395</w:t>
            </w:r>
          </w:p>
        </w:tc>
        <w:tc>
          <w:tcPr>
            <w:tcW w:w="50" w:type="pct"/>
            <w:shd w:val="clear" w:color="auto" w:fill="FFFFFF"/>
            <w:noWrap/>
            <w:tcMar>
              <w:top w:w="15" w:type="dxa"/>
              <w:left w:w="0" w:type="dxa"/>
              <w:bottom w:w="0" w:type="dxa"/>
              <w:right w:w="15" w:type="dxa"/>
            </w:tcMar>
            <w:vAlign w:val="bottom"/>
            <w:hideMark/>
          </w:tcPr>
          <w:p w14:paraId="2D48075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9394ABA" w14:textId="77777777">
        <w:trPr>
          <w:divId w:val="343215439"/>
          <w:jc w:val="center"/>
        </w:trPr>
        <w:tc>
          <w:tcPr>
            <w:tcW w:w="2510" w:type="pct"/>
            <w:shd w:val="clear" w:color="auto" w:fill="CFF0FC"/>
            <w:tcMar>
              <w:top w:w="15" w:type="dxa"/>
              <w:left w:w="0" w:type="dxa"/>
              <w:bottom w:w="0" w:type="dxa"/>
              <w:right w:w="15" w:type="dxa"/>
            </w:tcMar>
            <w:hideMark/>
          </w:tcPr>
          <w:p w14:paraId="1E5CF443"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84" w:type="pct"/>
            <w:shd w:val="clear" w:color="auto" w:fill="CFF0FC"/>
            <w:tcMar>
              <w:top w:w="15" w:type="dxa"/>
              <w:left w:w="0" w:type="dxa"/>
              <w:bottom w:w="0" w:type="dxa"/>
              <w:right w:w="15" w:type="dxa"/>
            </w:tcMar>
            <w:vAlign w:val="bottom"/>
            <w:hideMark/>
          </w:tcPr>
          <w:p w14:paraId="6F13799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2B97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63C66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CFF0FC"/>
            <w:noWrap/>
            <w:tcMar>
              <w:top w:w="15" w:type="dxa"/>
              <w:left w:w="0" w:type="dxa"/>
              <w:bottom w:w="0" w:type="dxa"/>
              <w:right w:w="15" w:type="dxa"/>
            </w:tcMar>
            <w:vAlign w:val="bottom"/>
            <w:hideMark/>
          </w:tcPr>
          <w:p w14:paraId="26BE9CD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79935B5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2523E8C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w:t>
            </w:r>
          </w:p>
        </w:tc>
        <w:tc>
          <w:tcPr>
            <w:tcW w:w="84" w:type="pct"/>
            <w:shd w:val="clear" w:color="auto" w:fill="CFF0FC"/>
            <w:tcMar>
              <w:top w:w="15" w:type="dxa"/>
              <w:left w:w="0" w:type="dxa"/>
              <w:bottom w:w="0" w:type="dxa"/>
              <w:right w:w="15" w:type="dxa"/>
            </w:tcMar>
            <w:vAlign w:val="bottom"/>
            <w:hideMark/>
          </w:tcPr>
          <w:p w14:paraId="6DA601E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14A4763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84" w:type="pct"/>
            <w:shd w:val="clear" w:color="auto" w:fill="CFF0FC"/>
            <w:tcMar>
              <w:top w:w="15" w:type="dxa"/>
              <w:left w:w="0" w:type="dxa"/>
              <w:bottom w:w="0" w:type="dxa"/>
              <w:right w:w="15" w:type="dxa"/>
            </w:tcMar>
            <w:vAlign w:val="bottom"/>
            <w:hideMark/>
          </w:tcPr>
          <w:p w14:paraId="0458719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00AF5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71EC2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39,383</w:t>
            </w:r>
          </w:p>
        </w:tc>
        <w:tc>
          <w:tcPr>
            <w:tcW w:w="50" w:type="pct"/>
            <w:shd w:val="clear" w:color="auto" w:fill="CFF0FC"/>
            <w:noWrap/>
            <w:tcMar>
              <w:top w:w="15" w:type="dxa"/>
              <w:left w:w="0" w:type="dxa"/>
              <w:bottom w:w="0" w:type="dxa"/>
              <w:right w:w="15" w:type="dxa"/>
            </w:tcMar>
            <w:vAlign w:val="bottom"/>
            <w:hideMark/>
          </w:tcPr>
          <w:p w14:paraId="607CA7A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7CD8517" w14:textId="77777777">
        <w:trPr>
          <w:divId w:val="343215439"/>
          <w:jc w:val="center"/>
        </w:trPr>
        <w:tc>
          <w:tcPr>
            <w:tcW w:w="2510" w:type="pct"/>
            <w:shd w:val="clear" w:color="auto" w:fill="FFFFFF"/>
            <w:tcMar>
              <w:top w:w="15" w:type="dxa"/>
              <w:left w:w="0" w:type="dxa"/>
              <w:bottom w:w="0" w:type="dxa"/>
              <w:right w:w="15" w:type="dxa"/>
            </w:tcMar>
            <w:hideMark/>
          </w:tcPr>
          <w:p w14:paraId="15F481DD"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 Revenues by Business:</w:t>
            </w:r>
          </w:p>
        </w:tc>
        <w:tc>
          <w:tcPr>
            <w:tcW w:w="84" w:type="pct"/>
            <w:shd w:val="clear" w:color="auto" w:fill="FFFFFF"/>
            <w:tcMar>
              <w:top w:w="15" w:type="dxa"/>
              <w:left w:w="0" w:type="dxa"/>
              <w:bottom w:w="0" w:type="dxa"/>
              <w:right w:w="15" w:type="dxa"/>
            </w:tcMar>
            <w:vAlign w:val="bottom"/>
            <w:hideMark/>
          </w:tcPr>
          <w:p w14:paraId="6026A8E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62B0A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58" w:type="pct"/>
            <w:tcBorders>
              <w:top w:val="double" w:sz="6" w:space="0" w:color="000000"/>
            </w:tcBorders>
            <w:shd w:val="clear" w:color="auto" w:fill="FFFFFF"/>
            <w:noWrap/>
            <w:tcMar>
              <w:top w:w="15" w:type="dxa"/>
              <w:left w:w="0" w:type="dxa"/>
              <w:bottom w:w="0" w:type="dxa"/>
              <w:right w:w="15" w:type="dxa"/>
            </w:tcMar>
            <w:vAlign w:val="bottom"/>
            <w:hideMark/>
          </w:tcPr>
          <w:p w14:paraId="7C42778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EF8D9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2D17D24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05EA509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0921D10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715CA0C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0991DF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C3AAAB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0" w:type="pct"/>
            <w:tcBorders>
              <w:top w:val="double" w:sz="6" w:space="0" w:color="000000"/>
            </w:tcBorders>
            <w:shd w:val="clear" w:color="auto" w:fill="FFFFFF"/>
            <w:noWrap/>
            <w:tcMar>
              <w:top w:w="15" w:type="dxa"/>
              <w:left w:w="0" w:type="dxa"/>
              <w:bottom w:w="0" w:type="dxa"/>
              <w:right w:w="15" w:type="dxa"/>
            </w:tcMar>
            <w:vAlign w:val="bottom"/>
            <w:hideMark/>
          </w:tcPr>
          <w:p w14:paraId="31B3538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797DB8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A1DD874" w14:textId="77777777">
        <w:trPr>
          <w:divId w:val="343215439"/>
          <w:jc w:val="center"/>
        </w:trPr>
        <w:tc>
          <w:tcPr>
            <w:tcW w:w="2510" w:type="pct"/>
            <w:shd w:val="clear" w:color="auto" w:fill="CFF0FC"/>
            <w:tcMar>
              <w:top w:w="15" w:type="dxa"/>
              <w:left w:w="0" w:type="dxa"/>
              <w:bottom w:w="0" w:type="dxa"/>
              <w:right w:w="15" w:type="dxa"/>
            </w:tcMar>
            <w:hideMark/>
          </w:tcPr>
          <w:p w14:paraId="12777BE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and license</w:t>
            </w:r>
          </w:p>
        </w:tc>
        <w:tc>
          <w:tcPr>
            <w:tcW w:w="84" w:type="pct"/>
            <w:shd w:val="clear" w:color="auto" w:fill="CFF0FC"/>
            <w:tcMar>
              <w:top w:w="15" w:type="dxa"/>
              <w:left w:w="0" w:type="dxa"/>
              <w:bottom w:w="0" w:type="dxa"/>
              <w:right w:w="15" w:type="dxa"/>
            </w:tcMar>
            <w:vAlign w:val="bottom"/>
            <w:hideMark/>
          </w:tcPr>
          <w:p w14:paraId="0CDA124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8" w:type="pct"/>
            <w:gridSpan w:val="2"/>
            <w:shd w:val="clear" w:color="auto" w:fill="CFF0FC"/>
            <w:tcMar>
              <w:top w:w="15" w:type="dxa"/>
              <w:left w:w="0" w:type="dxa"/>
              <w:bottom w:w="0" w:type="dxa"/>
              <w:right w:w="15" w:type="dxa"/>
            </w:tcMar>
            <w:vAlign w:val="bottom"/>
            <w:hideMark/>
          </w:tcPr>
          <w:p w14:paraId="24FB3BA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83%</w:t>
            </w:r>
          </w:p>
        </w:tc>
        <w:tc>
          <w:tcPr>
            <w:tcW w:w="50" w:type="pct"/>
            <w:shd w:val="clear" w:color="auto" w:fill="CFF0FC"/>
            <w:noWrap/>
            <w:tcMar>
              <w:top w:w="15" w:type="dxa"/>
              <w:left w:w="0" w:type="dxa"/>
              <w:bottom w:w="0" w:type="dxa"/>
              <w:right w:w="15" w:type="dxa"/>
            </w:tcMar>
            <w:vAlign w:val="bottom"/>
            <w:hideMark/>
          </w:tcPr>
          <w:p w14:paraId="552D438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44853A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462929D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3436BD8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331296A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6B2A42A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CFF0FC"/>
            <w:tcMar>
              <w:top w:w="15" w:type="dxa"/>
              <w:left w:w="0" w:type="dxa"/>
              <w:bottom w:w="0" w:type="dxa"/>
              <w:right w:w="15" w:type="dxa"/>
            </w:tcMar>
            <w:vAlign w:val="bottom"/>
            <w:hideMark/>
          </w:tcPr>
          <w:p w14:paraId="4F4B230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81%</w:t>
            </w:r>
          </w:p>
        </w:tc>
        <w:tc>
          <w:tcPr>
            <w:tcW w:w="50" w:type="pct"/>
            <w:shd w:val="clear" w:color="auto" w:fill="CFF0FC"/>
            <w:noWrap/>
            <w:tcMar>
              <w:top w:w="15" w:type="dxa"/>
              <w:left w:w="0" w:type="dxa"/>
              <w:bottom w:w="0" w:type="dxa"/>
              <w:right w:w="15" w:type="dxa"/>
            </w:tcMar>
            <w:vAlign w:val="bottom"/>
            <w:hideMark/>
          </w:tcPr>
          <w:p w14:paraId="108ADBC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3EB1D0A" w14:textId="77777777">
        <w:trPr>
          <w:divId w:val="343215439"/>
          <w:jc w:val="center"/>
        </w:trPr>
        <w:tc>
          <w:tcPr>
            <w:tcW w:w="2510" w:type="pct"/>
            <w:shd w:val="clear" w:color="auto" w:fill="FFFFFF"/>
            <w:tcMar>
              <w:top w:w="15" w:type="dxa"/>
              <w:left w:w="0" w:type="dxa"/>
              <w:bottom w:w="0" w:type="dxa"/>
              <w:right w:w="15" w:type="dxa"/>
            </w:tcMar>
            <w:hideMark/>
          </w:tcPr>
          <w:p w14:paraId="2605A3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Hardware</w:t>
            </w:r>
          </w:p>
        </w:tc>
        <w:tc>
          <w:tcPr>
            <w:tcW w:w="84" w:type="pct"/>
            <w:shd w:val="clear" w:color="auto" w:fill="FFFFFF"/>
            <w:tcMar>
              <w:top w:w="15" w:type="dxa"/>
              <w:left w:w="0" w:type="dxa"/>
              <w:bottom w:w="0" w:type="dxa"/>
              <w:right w:w="15" w:type="dxa"/>
            </w:tcMar>
            <w:vAlign w:val="bottom"/>
            <w:hideMark/>
          </w:tcPr>
          <w:p w14:paraId="4158529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8" w:type="pct"/>
            <w:gridSpan w:val="2"/>
            <w:shd w:val="clear" w:color="auto" w:fill="FFFFFF"/>
            <w:tcMar>
              <w:top w:w="15" w:type="dxa"/>
              <w:left w:w="0" w:type="dxa"/>
              <w:bottom w:w="0" w:type="dxa"/>
              <w:right w:w="15" w:type="dxa"/>
            </w:tcMar>
            <w:vAlign w:val="bottom"/>
            <w:hideMark/>
          </w:tcPr>
          <w:p w14:paraId="7464583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FFFFFF"/>
            <w:noWrap/>
            <w:tcMar>
              <w:top w:w="15" w:type="dxa"/>
              <w:left w:w="0" w:type="dxa"/>
              <w:bottom w:w="0" w:type="dxa"/>
              <w:right w:w="15" w:type="dxa"/>
            </w:tcMar>
            <w:vAlign w:val="bottom"/>
            <w:hideMark/>
          </w:tcPr>
          <w:p w14:paraId="48994A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3BCB77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07C1A2E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2A92BD4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left w:w="0" w:type="dxa"/>
              <w:bottom w:w="0" w:type="dxa"/>
              <w:right w:w="15" w:type="dxa"/>
            </w:tcMar>
            <w:vAlign w:val="bottom"/>
            <w:hideMark/>
          </w:tcPr>
          <w:p w14:paraId="5A73117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0B7224E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FFFFFF"/>
            <w:tcMar>
              <w:top w:w="15" w:type="dxa"/>
              <w:left w:w="0" w:type="dxa"/>
              <w:bottom w:w="0" w:type="dxa"/>
              <w:right w:w="15" w:type="dxa"/>
            </w:tcMar>
            <w:vAlign w:val="bottom"/>
            <w:hideMark/>
          </w:tcPr>
          <w:p w14:paraId="34FE728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w:t>
            </w:r>
          </w:p>
        </w:tc>
        <w:tc>
          <w:tcPr>
            <w:tcW w:w="50" w:type="pct"/>
            <w:shd w:val="clear" w:color="auto" w:fill="FFFFFF"/>
            <w:noWrap/>
            <w:tcMar>
              <w:top w:w="15" w:type="dxa"/>
              <w:left w:w="0" w:type="dxa"/>
              <w:bottom w:w="0" w:type="dxa"/>
              <w:right w:w="15" w:type="dxa"/>
            </w:tcMar>
            <w:vAlign w:val="bottom"/>
            <w:hideMark/>
          </w:tcPr>
          <w:p w14:paraId="207BAEB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F550844" w14:textId="77777777">
        <w:trPr>
          <w:divId w:val="343215439"/>
          <w:jc w:val="center"/>
        </w:trPr>
        <w:tc>
          <w:tcPr>
            <w:tcW w:w="2510" w:type="pct"/>
            <w:shd w:val="clear" w:color="auto" w:fill="CFF0FC"/>
            <w:tcMar>
              <w:top w:w="15" w:type="dxa"/>
              <w:left w:w="0" w:type="dxa"/>
              <w:bottom w:w="0" w:type="dxa"/>
              <w:right w:w="15" w:type="dxa"/>
            </w:tcMar>
            <w:hideMark/>
          </w:tcPr>
          <w:p w14:paraId="2DC5F2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Services</w:t>
            </w:r>
          </w:p>
        </w:tc>
        <w:tc>
          <w:tcPr>
            <w:tcW w:w="84" w:type="pct"/>
            <w:shd w:val="clear" w:color="auto" w:fill="CFF0FC"/>
            <w:tcMar>
              <w:top w:w="15" w:type="dxa"/>
              <w:left w:w="0" w:type="dxa"/>
              <w:bottom w:w="0" w:type="dxa"/>
              <w:right w:w="15" w:type="dxa"/>
            </w:tcMar>
            <w:vAlign w:val="bottom"/>
            <w:hideMark/>
          </w:tcPr>
          <w:p w14:paraId="1DE3F2B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8" w:type="pct"/>
            <w:gridSpan w:val="2"/>
            <w:shd w:val="clear" w:color="auto" w:fill="CFF0FC"/>
            <w:tcMar>
              <w:top w:w="15" w:type="dxa"/>
              <w:left w:w="0" w:type="dxa"/>
              <w:bottom w:w="0" w:type="dxa"/>
              <w:right w:w="15" w:type="dxa"/>
            </w:tcMar>
            <w:vAlign w:val="bottom"/>
            <w:hideMark/>
          </w:tcPr>
          <w:p w14:paraId="4CE3BC2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left w:w="0" w:type="dxa"/>
              <w:bottom w:w="0" w:type="dxa"/>
              <w:right w:w="15" w:type="dxa"/>
            </w:tcMar>
            <w:vAlign w:val="bottom"/>
            <w:hideMark/>
          </w:tcPr>
          <w:p w14:paraId="57B55A2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634FDF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0A33D79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01E1963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left w:w="0" w:type="dxa"/>
              <w:bottom w:w="0" w:type="dxa"/>
              <w:right w:w="15" w:type="dxa"/>
            </w:tcMar>
            <w:vAlign w:val="bottom"/>
            <w:hideMark/>
          </w:tcPr>
          <w:p w14:paraId="464B985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5D20007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CFF0FC"/>
            <w:tcMar>
              <w:top w:w="15" w:type="dxa"/>
              <w:left w:w="0" w:type="dxa"/>
              <w:bottom w:w="0" w:type="dxa"/>
              <w:right w:w="15" w:type="dxa"/>
            </w:tcMar>
            <w:vAlign w:val="bottom"/>
            <w:hideMark/>
          </w:tcPr>
          <w:p w14:paraId="2FBEFBA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CFF0FC"/>
            <w:noWrap/>
            <w:tcMar>
              <w:top w:w="15" w:type="dxa"/>
              <w:left w:w="0" w:type="dxa"/>
              <w:bottom w:w="0" w:type="dxa"/>
              <w:right w:w="15" w:type="dxa"/>
            </w:tcMar>
            <w:vAlign w:val="bottom"/>
            <w:hideMark/>
          </w:tcPr>
          <w:p w14:paraId="4CC8D30A"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C2AE62F"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6CE1DEDB" w14:textId="77777777">
        <w:tc>
          <w:tcPr>
            <w:tcW w:w="192" w:type="pct"/>
            <w:noWrap/>
            <w:hideMark/>
          </w:tcPr>
          <w:p w14:paraId="64CD4581"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31F05B0D"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 xml:space="preserve">Comprised of Europe, the Middle East and Africa </w:t>
            </w:r>
          </w:p>
        </w:tc>
      </w:tr>
    </w:tbl>
    <w:p w14:paraId="302F6F4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Excluding the effects of currency rate fluctuations, our total revenues increased in fiscal 2019 relative to fiscal 2018 due to growth in our cloud and license revenues, partially offset by decreases in our hardware revenues and services revenues. The constant currency increase in our cloud and license revenues during fiscal 2019 relative to fiscal 2018 was attributable to growth in our cloud services and license support revenues as customers purchased our applications and infrastructure technologies via cloud deployment models and license deployment models and renewed their related cloud and license support contracts to continue to gain access to our latest technology and support services, and was also attributable to growth in our cloud license and on-premise license revenues. The constant currency decreases in our hardware revenues during fiscal 2019 relative to fiscal 2018 were due to a reduction in our hardware products revenues and hardware support revenues primarily due to the emphasis we placed on the marketing and sale of our cloud-based infrastructure technologies, which resulted in reduced sales volumes of certain of our hardware product lines and also impacted the volume of customers that purchased hardware support contracts. The constant currency decrease in our services revenues during fiscal 2019 relative to fiscal 2018 was attributable to declines in our consulting and education services revenues. In constant currency, the Americas, EMEA and Asia Pacific regions contributed 40%, 33% and 27%, respectively, to the growth in our fiscal 2019 total revenues. </w:t>
      </w:r>
    </w:p>
    <w:p w14:paraId="26CD744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Excluding the effects of currency rate fluctuations, our total operating expenses increased during fiscal 2019 relative to fiscal 2018 primarily due to higher expenses related to our cloud and license business, which resulted primarily from increased headcount and infrastructure expenses to support the increase in our cloud and license business’ revenues. This constant currency expense increase was partially offset by certain expense decreases in fiscal 2019 relative to fiscal 2018, primarily lower expenses related to our hardware business and lower restructuring expenses.</w:t>
      </w:r>
    </w:p>
    <w:p w14:paraId="32F28E1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constant currency, our total operating margin increased during fiscal 2019 relative to fiscal 2018 primarily due to the increase in revenues and total operating margin as a percentage of total revenues remained flat.</w:t>
      </w:r>
    </w:p>
    <w:p w14:paraId="1E415748"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45</w:t>
      </w:r>
    </w:p>
    <w:p w14:paraId="4BBE199B" w14:textId="77777777" w:rsidR="00251D72" w:rsidRDefault="00251D72">
      <w:pPr>
        <w:rPr>
          <w:rFonts w:ascii="Times New Roman" w:eastAsia="Times New Roman" w:hAnsi="Times New Roman" w:cs="Times New Roman"/>
          <w:sz w:val="24"/>
          <w:szCs w:val="24"/>
        </w:rPr>
      </w:pPr>
      <w:r>
        <w:rPr>
          <w:rFonts w:eastAsia="Times New Roman"/>
        </w:rPr>
        <w:pict w14:anchorId="0B2AF6AF">
          <v:rect id="_x0000_i1071" style="width:415.3pt;height:1.5pt" o:hralign="center" o:hrstd="t" o:hr="t" fillcolor="#a0a0a0" stroked="f"/>
        </w:pict>
      </w:r>
    </w:p>
    <w:p w14:paraId="56E92ED7"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AB6DEA6"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4885966" w14:textId="77777777" w:rsidR="00251D72" w:rsidRDefault="00251D72">
      <w:pPr>
        <w:pStyle w:val="a3"/>
        <w:spacing w:before="120" w:beforeAutospacing="0" w:after="0" w:afterAutospacing="0"/>
        <w:rPr>
          <w:sz w:val="20"/>
          <w:szCs w:val="20"/>
        </w:rPr>
      </w:pPr>
      <w:r>
        <w:rPr>
          <w:sz w:val="20"/>
          <w:szCs w:val="20"/>
        </w:rPr>
        <w:t> </w:t>
      </w:r>
    </w:p>
    <w:p w14:paraId="5DDA88C0" w14:textId="77777777" w:rsidR="00251D72" w:rsidRDefault="00251D72">
      <w:pPr>
        <w:pStyle w:val="a3"/>
        <w:spacing w:before="240" w:beforeAutospacing="0" w:after="0" w:afterAutospacing="0"/>
        <w:jc w:val="both"/>
        <w:rPr>
          <w:rFonts w:ascii="Calibri" w:hAnsi="Calibri" w:cs="Calibri"/>
          <w:b/>
          <w:bCs/>
          <w:sz w:val="20"/>
          <w:szCs w:val="20"/>
        </w:rPr>
      </w:pPr>
      <w:bookmarkStart w:id="60" w:name="_AEIOULastRenderedPageBreakAEIOU48"/>
      <w:bookmarkEnd w:id="60"/>
      <w:r>
        <w:rPr>
          <w:rFonts w:ascii="Calibri" w:hAnsi="Calibri" w:cs="Calibri"/>
          <w:b/>
          <w:bCs/>
          <w:sz w:val="20"/>
          <w:szCs w:val="20"/>
        </w:rPr>
        <w:t>Supplemental Disclosure Related to Certain Charges</w:t>
      </w:r>
    </w:p>
    <w:p w14:paraId="23BD20C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To supplement our consolidated financial information, we believe that the following information is helpful to an overall understanding of our past financial performance and prospects for the future. You should review the introduction under “Impacts of Acquisitions” (above) for a discussion of the inherent limitations in comparing pre- and post-acquisition information.</w:t>
      </w:r>
    </w:p>
    <w:p w14:paraId="299ED21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operating results reported pursuant to GAAP included the following business combination accounting adjustments and expenses related to acquisitions and certain other expense and income items that affected our GAAP net income:</w:t>
      </w:r>
    </w:p>
    <w:p w14:paraId="4CEDF8B2"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888"/>
        <w:gridCol w:w="132"/>
        <w:gridCol w:w="117"/>
        <w:gridCol w:w="884"/>
        <w:gridCol w:w="76"/>
        <w:gridCol w:w="131"/>
        <w:gridCol w:w="117"/>
        <w:gridCol w:w="885"/>
        <w:gridCol w:w="76"/>
      </w:tblGrid>
      <w:tr w:rsidR="00251D72" w14:paraId="1CE21BB3" w14:textId="77777777">
        <w:trPr>
          <w:divId w:val="1241868235"/>
          <w:jc w:val="center"/>
        </w:trPr>
        <w:tc>
          <w:tcPr>
            <w:tcW w:w="3550" w:type="pct"/>
            <w:shd w:val="clear" w:color="auto" w:fill="FFFFFF"/>
            <w:tcMar>
              <w:top w:w="15" w:type="dxa"/>
              <w:left w:w="0" w:type="dxa"/>
              <w:bottom w:w="0" w:type="dxa"/>
              <w:right w:w="15" w:type="dxa"/>
            </w:tcMar>
            <w:vAlign w:val="bottom"/>
            <w:hideMark/>
          </w:tcPr>
          <w:p w14:paraId="606A9DAD" w14:textId="77777777" w:rsidR="00251D72" w:rsidRDefault="00251D72">
            <w:pPr>
              <w:pStyle w:val="a3"/>
              <w:spacing w:before="0" w:beforeAutospacing="0" w:after="0" w:afterAutospacing="0"/>
              <w:jc w:val="center"/>
              <w:rPr>
                <w:sz w:val="15"/>
                <w:szCs w:val="15"/>
              </w:rPr>
            </w:pPr>
            <w:r>
              <w:rPr>
                <w:sz w:val="15"/>
                <w:szCs w:val="15"/>
              </w:rPr>
              <w:t> </w:t>
            </w:r>
          </w:p>
        </w:tc>
        <w:tc>
          <w:tcPr>
            <w:tcW w:w="86" w:type="pct"/>
            <w:shd w:val="clear" w:color="auto" w:fill="FFFFFF"/>
            <w:tcMar>
              <w:top w:w="15" w:type="dxa"/>
              <w:left w:w="0" w:type="dxa"/>
              <w:bottom w:w="0" w:type="dxa"/>
              <w:right w:w="15" w:type="dxa"/>
            </w:tcMar>
            <w:vAlign w:val="bottom"/>
            <w:hideMark/>
          </w:tcPr>
          <w:p w14:paraId="752FEDF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312" w:type="pct"/>
            <w:gridSpan w:val="6"/>
            <w:tcBorders>
              <w:bottom w:val="single" w:sz="6" w:space="0" w:color="000000"/>
            </w:tcBorders>
            <w:shd w:val="clear" w:color="auto" w:fill="FFFFFF"/>
            <w:tcMar>
              <w:top w:w="15" w:type="dxa"/>
              <w:left w:w="0" w:type="dxa"/>
              <w:bottom w:w="0" w:type="dxa"/>
              <w:right w:w="15" w:type="dxa"/>
            </w:tcMar>
            <w:vAlign w:val="bottom"/>
            <w:hideMark/>
          </w:tcPr>
          <w:p w14:paraId="4AC8B05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1022AA0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C93D4EA" w14:textId="77777777">
        <w:trPr>
          <w:divId w:val="1241868235"/>
          <w:jc w:val="center"/>
        </w:trPr>
        <w:tc>
          <w:tcPr>
            <w:tcW w:w="3550" w:type="pct"/>
            <w:tcBorders>
              <w:bottom w:val="single" w:sz="6" w:space="0" w:color="000000"/>
            </w:tcBorders>
            <w:shd w:val="clear" w:color="auto" w:fill="FFFFFF"/>
            <w:tcMar>
              <w:top w:w="15" w:type="dxa"/>
              <w:left w:w="0" w:type="dxa"/>
              <w:bottom w:w="0" w:type="dxa"/>
              <w:right w:w="15" w:type="dxa"/>
            </w:tcMar>
            <w:vAlign w:val="bottom"/>
            <w:hideMark/>
          </w:tcPr>
          <w:p w14:paraId="294D623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6" w:type="pct"/>
            <w:shd w:val="clear" w:color="auto" w:fill="FFFFFF"/>
            <w:tcMar>
              <w:top w:w="15" w:type="dxa"/>
              <w:left w:w="0" w:type="dxa"/>
              <w:bottom w:w="0" w:type="dxa"/>
              <w:right w:w="15" w:type="dxa"/>
            </w:tcMar>
            <w:vAlign w:val="bottom"/>
            <w:hideMark/>
          </w:tcPr>
          <w:p w14:paraId="18BEB18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6AE3D9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57CF19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tcBorders>
              <w:top w:val="single" w:sz="6" w:space="0" w:color="000000"/>
            </w:tcBorders>
            <w:shd w:val="clear" w:color="auto" w:fill="FFFFFF"/>
            <w:tcMar>
              <w:top w:w="15" w:type="dxa"/>
              <w:left w:w="0" w:type="dxa"/>
              <w:bottom w:w="0" w:type="dxa"/>
              <w:right w:w="15" w:type="dxa"/>
            </w:tcMar>
            <w:vAlign w:val="bottom"/>
            <w:hideMark/>
          </w:tcPr>
          <w:p w14:paraId="654D08B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55478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DA5CC1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B154972" w14:textId="77777777">
        <w:trPr>
          <w:divId w:val="1241868235"/>
          <w:jc w:val="center"/>
        </w:trPr>
        <w:tc>
          <w:tcPr>
            <w:tcW w:w="3550" w:type="pct"/>
            <w:tcBorders>
              <w:top w:val="single" w:sz="6" w:space="0" w:color="000000"/>
            </w:tcBorders>
            <w:shd w:val="clear" w:color="auto" w:fill="CFF0FC"/>
            <w:tcMar>
              <w:top w:w="15" w:type="dxa"/>
              <w:left w:w="0" w:type="dxa"/>
              <w:bottom w:w="0" w:type="dxa"/>
              <w:right w:w="15" w:type="dxa"/>
            </w:tcMar>
            <w:hideMark/>
          </w:tcPr>
          <w:p w14:paraId="2E5BFC5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services and license support deferred revenues</w:t>
            </w:r>
            <w:r>
              <w:rPr>
                <w:rFonts w:ascii="Calibri" w:hAnsi="Calibri" w:cs="Calibri"/>
                <w:color w:val="000000"/>
                <w:sz w:val="17"/>
                <w:szCs w:val="17"/>
                <w:vertAlign w:val="superscript"/>
              </w:rPr>
              <w:t>(1)</w:t>
            </w:r>
          </w:p>
        </w:tc>
        <w:tc>
          <w:tcPr>
            <w:tcW w:w="86" w:type="pct"/>
            <w:shd w:val="clear" w:color="auto" w:fill="CFF0FC"/>
            <w:tcMar>
              <w:top w:w="15" w:type="dxa"/>
              <w:left w:w="0" w:type="dxa"/>
              <w:bottom w:w="0" w:type="dxa"/>
              <w:right w:w="15" w:type="dxa"/>
            </w:tcMar>
            <w:vAlign w:val="center"/>
            <w:hideMark/>
          </w:tcPr>
          <w:p w14:paraId="19EC353A"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C2BE9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6B15D25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left w:w="0" w:type="dxa"/>
              <w:bottom w:w="0" w:type="dxa"/>
              <w:right w:w="15" w:type="dxa"/>
            </w:tcMar>
            <w:vAlign w:val="bottom"/>
            <w:hideMark/>
          </w:tcPr>
          <w:p w14:paraId="3F330B4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CFF0FC"/>
            <w:tcMar>
              <w:top w:w="15" w:type="dxa"/>
              <w:left w:w="0" w:type="dxa"/>
              <w:bottom w:w="0" w:type="dxa"/>
              <w:right w:w="15" w:type="dxa"/>
            </w:tcMar>
            <w:vAlign w:val="center"/>
            <w:hideMark/>
          </w:tcPr>
          <w:p w14:paraId="24447B23"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34A71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68FBBC4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CFF0FC"/>
            <w:noWrap/>
            <w:tcMar>
              <w:top w:w="15" w:type="dxa"/>
              <w:left w:w="0" w:type="dxa"/>
              <w:bottom w:w="0" w:type="dxa"/>
              <w:right w:w="15" w:type="dxa"/>
            </w:tcMar>
            <w:vAlign w:val="bottom"/>
            <w:hideMark/>
          </w:tcPr>
          <w:p w14:paraId="1C71F6C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78F82F8" w14:textId="77777777">
        <w:trPr>
          <w:divId w:val="1241868235"/>
          <w:jc w:val="center"/>
        </w:trPr>
        <w:tc>
          <w:tcPr>
            <w:tcW w:w="3550" w:type="pct"/>
            <w:shd w:val="clear" w:color="auto" w:fill="FFFFFF"/>
            <w:tcMar>
              <w:top w:w="15" w:type="dxa"/>
              <w:left w:w="0" w:type="dxa"/>
              <w:bottom w:w="0" w:type="dxa"/>
              <w:right w:w="15" w:type="dxa"/>
            </w:tcMar>
            <w:hideMark/>
          </w:tcPr>
          <w:p w14:paraId="5AAF7E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Acquired deferred sales commissions amortization</w:t>
            </w:r>
            <w:r>
              <w:rPr>
                <w:rFonts w:ascii="Calibri" w:hAnsi="Calibri" w:cs="Calibri"/>
                <w:color w:val="000000"/>
                <w:sz w:val="17"/>
                <w:szCs w:val="17"/>
                <w:vertAlign w:val="superscript"/>
              </w:rPr>
              <w:t>(2)</w:t>
            </w:r>
          </w:p>
        </w:tc>
        <w:tc>
          <w:tcPr>
            <w:tcW w:w="86" w:type="pct"/>
            <w:shd w:val="clear" w:color="auto" w:fill="FFFFFF"/>
            <w:tcMar>
              <w:top w:w="15" w:type="dxa"/>
              <w:left w:w="0" w:type="dxa"/>
              <w:bottom w:w="0" w:type="dxa"/>
              <w:right w:w="15" w:type="dxa"/>
            </w:tcMar>
            <w:vAlign w:val="bottom"/>
            <w:hideMark/>
          </w:tcPr>
          <w:p w14:paraId="199E212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26BB9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59BC254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1EE266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FFFFFF"/>
            <w:tcMar>
              <w:top w:w="15" w:type="dxa"/>
              <w:left w:w="0" w:type="dxa"/>
              <w:bottom w:w="0" w:type="dxa"/>
              <w:right w:w="15" w:type="dxa"/>
            </w:tcMar>
            <w:vAlign w:val="bottom"/>
            <w:hideMark/>
          </w:tcPr>
          <w:p w14:paraId="4844E81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1688483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054756F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left w:w="0" w:type="dxa"/>
              <w:bottom w:w="0" w:type="dxa"/>
              <w:right w:w="15" w:type="dxa"/>
            </w:tcMar>
            <w:vAlign w:val="bottom"/>
            <w:hideMark/>
          </w:tcPr>
          <w:p w14:paraId="1CE0650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23E5D074" w14:textId="77777777">
        <w:trPr>
          <w:divId w:val="1241868235"/>
          <w:jc w:val="center"/>
        </w:trPr>
        <w:tc>
          <w:tcPr>
            <w:tcW w:w="3550" w:type="pct"/>
            <w:shd w:val="clear" w:color="auto" w:fill="CFF0FC"/>
            <w:tcMar>
              <w:top w:w="15" w:type="dxa"/>
              <w:left w:w="0" w:type="dxa"/>
              <w:bottom w:w="0" w:type="dxa"/>
              <w:right w:w="15" w:type="dxa"/>
            </w:tcMar>
            <w:hideMark/>
          </w:tcPr>
          <w:p w14:paraId="07A0595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vertAlign w:val="superscript"/>
              </w:rPr>
              <w:t>(3)</w:t>
            </w:r>
          </w:p>
        </w:tc>
        <w:tc>
          <w:tcPr>
            <w:tcW w:w="86" w:type="pct"/>
            <w:shd w:val="clear" w:color="auto" w:fill="CFF0FC"/>
            <w:tcMar>
              <w:top w:w="15" w:type="dxa"/>
              <w:left w:w="0" w:type="dxa"/>
              <w:bottom w:w="0" w:type="dxa"/>
              <w:right w:w="15" w:type="dxa"/>
            </w:tcMar>
            <w:vAlign w:val="bottom"/>
            <w:hideMark/>
          </w:tcPr>
          <w:p w14:paraId="2D90DC2A"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295B048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23C8D37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1,689</w:t>
            </w:r>
          </w:p>
        </w:tc>
        <w:tc>
          <w:tcPr>
            <w:tcW w:w="50" w:type="pct"/>
            <w:shd w:val="clear" w:color="auto" w:fill="CFF0FC"/>
            <w:noWrap/>
            <w:tcMar>
              <w:top w:w="15" w:type="dxa"/>
              <w:left w:w="0" w:type="dxa"/>
              <w:bottom w:w="0" w:type="dxa"/>
              <w:right w:w="15" w:type="dxa"/>
            </w:tcMar>
            <w:vAlign w:val="bottom"/>
            <w:hideMark/>
          </w:tcPr>
          <w:p w14:paraId="6A65F0D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CFF0FC"/>
            <w:tcMar>
              <w:top w:w="15" w:type="dxa"/>
              <w:left w:w="0" w:type="dxa"/>
              <w:bottom w:w="0" w:type="dxa"/>
              <w:right w:w="15" w:type="dxa"/>
            </w:tcMar>
            <w:vAlign w:val="bottom"/>
            <w:hideMark/>
          </w:tcPr>
          <w:p w14:paraId="63D67706"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35A0FD1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7C1B3CD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1,620</w:t>
            </w:r>
          </w:p>
        </w:tc>
        <w:tc>
          <w:tcPr>
            <w:tcW w:w="50" w:type="pct"/>
            <w:shd w:val="clear" w:color="auto" w:fill="CFF0FC"/>
            <w:noWrap/>
            <w:tcMar>
              <w:top w:w="15" w:type="dxa"/>
              <w:left w:w="0" w:type="dxa"/>
              <w:bottom w:w="0" w:type="dxa"/>
              <w:right w:w="15" w:type="dxa"/>
            </w:tcMar>
            <w:vAlign w:val="bottom"/>
            <w:hideMark/>
          </w:tcPr>
          <w:p w14:paraId="3BFAE9B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E5F094B" w14:textId="77777777">
        <w:trPr>
          <w:divId w:val="1241868235"/>
          <w:jc w:val="center"/>
        </w:trPr>
        <w:tc>
          <w:tcPr>
            <w:tcW w:w="3550" w:type="pct"/>
            <w:shd w:val="clear" w:color="auto" w:fill="FFFFFF"/>
            <w:tcMar>
              <w:top w:w="15" w:type="dxa"/>
              <w:left w:w="0" w:type="dxa"/>
              <w:bottom w:w="0" w:type="dxa"/>
              <w:right w:w="15" w:type="dxa"/>
            </w:tcMar>
            <w:hideMark/>
          </w:tcPr>
          <w:p w14:paraId="427AAEF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Acquisition related and other</w:t>
            </w:r>
            <w:r>
              <w:rPr>
                <w:rFonts w:ascii="Calibri" w:hAnsi="Calibri" w:cs="Calibri"/>
                <w:color w:val="000000"/>
                <w:sz w:val="17"/>
                <w:szCs w:val="17"/>
                <w:vertAlign w:val="superscript"/>
              </w:rPr>
              <w:t>(4)(6)</w:t>
            </w:r>
          </w:p>
        </w:tc>
        <w:tc>
          <w:tcPr>
            <w:tcW w:w="86" w:type="pct"/>
            <w:shd w:val="clear" w:color="auto" w:fill="FFFFFF"/>
            <w:tcMar>
              <w:top w:w="15" w:type="dxa"/>
              <w:left w:w="0" w:type="dxa"/>
              <w:bottom w:w="0" w:type="dxa"/>
              <w:right w:w="15" w:type="dxa"/>
            </w:tcMar>
            <w:vAlign w:val="bottom"/>
            <w:hideMark/>
          </w:tcPr>
          <w:p w14:paraId="7797BFE7"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13A9F04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7973112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FFFFFF"/>
            <w:noWrap/>
            <w:tcMar>
              <w:top w:w="15" w:type="dxa"/>
              <w:left w:w="0" w:type="dxa"/>
              <w:bottom w:w="0" w:type="dxa"/>
              <w:right w:w="15" w:type="dxa"/>
            </w:tcMar>
            <w:vAlign w:val="bottom"/>
            <w:hideMark/>
          </w:tcPr>
          <w:p w14:paraId="4E66FF8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FFFFFF"/>
            <w:tcMar>
              <w:top w:w="15" w:type="dxa"/>
              <w:left w:w="0" w:type="dxa"/>
              <w:bottom w:w="0" w:type="dxa"/>
              <w:right w:w="15" w:type="dxa"/>
            </w:tcMar>
            <w:vAlign w:val="bottom"/>
            <w:hideMark/>
          </w:tcPr>
          <w:p w14:paraId="6066CF83"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333C8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5491774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w:t>
            </w:r>
          </w:p>
        </w:tc>
        <w:tc>
          <w:tcPr>
            <w:tcW w:w="50" w:type="pct"/>
            <w:shd w:val="clear" w:color="auto" w:fill="FFFFFF"/>
            <w:noWrap/>
            <w:tcMar>
              <w:top w:w="15" w:type="dxa"/>
              <w:left w:w="0" w:type="dxa"/>
              <w:bottom w:w="0" w:type="dxa"/>
              <w:right w:w="15" w:type="dxa"/>
            </w:tcMar>
            <w:vAlign w:val="bottom"/>
            <w:hideMark/>
          </w:tcPr>
          <w:p w14:paraId="6B9997B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971958D" w14:textId="77777777">
        <w:trPr>
          <w:divId w:val="1241868235"/>
          <w:jc w:val="center"/>
        </w:trPr>
        <w:tc>
          <w:tcPr>
            <w:tcW w:w="3550" w:type="pct"/>
            <w:shd w:val="clear" w:color="auto" w:fill="CFF0FC"/>
            <w:tcMar>
              <w:top w:w="15" w:type="dxa"/>
              <w:left w:w="0" w:type="dxa"/>
              <w:bottom w:w="0" w:type="dxa"/>
              <w:right w:w="15" w:type="dxa"/>
            </w:tcMar>
            <w:hideMark/>
          </w:tcPr>
          <w:p w14:paraId="1EF4882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Restructuring</w:t>
            </w:r>
            <w:r>
              <w:rPr>
                <w:rFonts w:ascii="Calibri" w:hAnsi="Calibri" w:cs="Calibri"/>
                <w:color w:val="000000"/>
                <w:sz w:val="17"/>
                <w:szCs w:val="17"/>
                <w:vertAlign w:val="superscript"/>
              </w:rPr>
              <w:t>(5)</w:t>
            </w:r>
          </w:p>
        </w:tc>
        <w:tc>
          <w:tcPr>
            <w:tcW w:w="86" w:type="pct"/>
            <w:shd w:val="clear" w:color="auto" w:fill="CFF0FC"/>
            <w:tcMar>
              <w:top w:w="15" w:type="dxa"/>
              <w:left w:w="0" w:type="dxa"/>
              <w:bottom w:w="0" w:type="dxa"/>
              <w:right w:w="15" w:type="dxa"/>
            </w:tcMar>
            <w:vAlign w:val="bottom"/>
            <w:hideMark/>
          </w:tcPr>
          <w:p w14:paraId="2617BDB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77D52FB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4894D92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443</w:t>
            </w:r>
          </w:p>
        </w:tc>
        <w:tc>
          <w:tcPr>
            <w:tcW w:w="50" w:type="pct"/>
            <w:shd w:val="clear" w:color="auto" w:fill="CFF0FC"/>
            <w:noWrap/>
            <w:tcMar>
              <w:top w:w="15" w:type="dxa"/>
              <w:left w:w="0" w:type="dxa"/>
              <w:bottom w:w="0" w:type="dxa"/>
              <w:right w:w="15" w:type="dxa"/>
            </w:tcMar>
            <w:vAlign w:val="bottom"/>
            <w:hideMark/>
          </w:tcPr>
          <w:p w14:paraId="115B53E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CFF0FC"/>
            <w:tcMar>
              <w:top w:w="15" w:type="dxa"/>
              <w:left w:w="0" w:type="dxa"/>
              <w:bottom w:w="0" w:type="dxa"/>
              <w:right w:w="15" w:type="dxa"/>
            </w:tcMar>
            <w:vAlign w:val="bottom"/>
            <w:hideMark/>
          </w:tcPr>
          <w:p w14:paraId="77AEC198"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0645EE0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43C8C46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588</w:t>
            </w:r>
          </w:p>
        </w:tc>
        <w:tc>
          <w:tcPr>
            <w:tcW w:w="50" w:type="pct"/>
            <w:shd w:val="clear" w:color="auto" w:fill="CFF0FC"/>
            <w:noWrap/>
            <w:tcMar>
              <w:top w:w="15" w:type="dxa"/>
              <w:left w:w="0" w:type="dxa"/>
              <w:bottom w:w="0" w:type="dxa"/>
              <w:right w:w="15" w:type="dxa"/>
            </w:tcMar>
            <w:vAlign w:val="bottom"/>
            <w:hideMark/>
          </w:tcPr>
          <w:p w14:paraId="0824738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8696188" w14:textId="77777777">
        <w:trPr>
          <w:divId w:val="1241868235"/>
          <w:jc w:val="center"/>
        </w:trPr>
        <w:tc>
          <w:tcPr>
            <w:tcW w:w="3550" w:type="pct"/>
            <w:shd w:val="clear" w:color="auto" w:fill="FFFFFF"/>
            <w:tcMar>
              <w:top w:w="15" w:type="dxa"/>
              <w:left w:w="0" w:type="dxa"/>
              <w:bottom w:w="0" w:type="dxa"/>
              <w:right w:w="15" w:type="dxa"/>
            </w:tcMar>
            <w:hideMark/>
          </w:tcPr>
          <w:p w14:paraId="15833E4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 operating segments</w:t>
            </w:r>
            <w:r>
              <w:rPr>
                <w:rFonts w:ascii="Calibri" w:hAnsi="Calibri" w:cs="Calibri"/>
                <w:color w:val="000000"/>
                <w:sz w:val="17"/>
                <w:szCs w:val="17"/>
                <w:vertAlign w:val="superscript"/>
              </w:rPr>
              <w:t>(6)</w:t>
            </w:r>
          </w:p>
        </w:tc>
        <w:tc>
          <w:tcPr>
            <w:tcW w:w="86" w:type="pct"/>
            <w:shd w:val="clear" w:color="auto" w:fill="FFFFFF"/>
            <w:tcMar>
              <w:top w:w="15" w:type="dxa"/>
              <w:left w:w="0" w:type="dxa"/>
              <w:bottom w:w="0" w:type="dxa"/>
              <w:right w:w="15" w:type="dxa"/>
            </w:tcMar>
            <w:vAlign w:val="bottom"/>
            <w:hideMark/>
          </w:tcPr>
          <w:p w14:paraId="66FA0861"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1206D7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7414749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518</w:t>
            </w:r>
          </w:p>
        </w:tc>
        <w:tc>
          <w:tcPr>
            <w:tcW w:w="50" w:type="pct"/>
            <w:shd w:val="clear" w:color="auto" w:fill="FFFFFF"/>
            <w:noWrap/>
            <w:tcMar>
              <w:top w:w="15" w:type="dxa"/>
              <w:left w:w="0" w:type="dxa"/>
              <w:bottom w:w="0" w:type="dxa"/>
              <w:right w:w="15" w:type="dxa"/>
            </w:tcMar>
            <w:vAlign w:val="bottom"/>
            <w:hideMark/>
          </w:tcPr>
          <w:p w14:paraId="4FC91F6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FFFFFF"/>
            <w:tcMar>
              <w:top w:w="15" w:type="dxa"/>
              <w:left w:w="0" w:type="dxa"/>
              <w:bottom w:w="0" w:type="dxa"/>
              <w:right w:w="15" w:type="dxa"/>
            </w:tcMar>
            <w:vAlign w:val="bottom"/>
            <w:hideMark/>
          </w:tcPr>
          <w:p w14:paraId="71C6200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58C8CC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2A561CB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505</w:t>
            </w:r>
          </w:p>
        </w:tc>
        <w:tc>
          <w:tcPr>
            <w:tcW w:w="50" w:type="pct"/>
            <w:shd w:val="clear" w:color="auto" w:fill="FFFFFF"/>
            <w:noWrap/>
            <w:tcMar>
              <w:top w:w="15" w:type="dxa"/>
              <w:left w:w="0" w:type="dxa"/>
              <w:bottom w:w="0" w:type="dxa"/>
              <w:right w:w="15" w:type="dxa"/>
            </w:tcMar>
            <w:vAlign w:val="bottom"/>
            <w:hideMark/>
          </w:tcPr>
          <w:p w14:paraId="4498E3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F194ADC" w14:textId="77777777">
        <w:trPr>
          <w:divId w:val="1241868235"/>
          <w:jc w:val="center"/>
        </w:trPr>
        <w:tc>
          <w:tcPr>
            <w:tcW w:w="3550" w:type="pct"/>
            <w:shd w:val="clear" w:color="auto" w:fill="CFF0FC"/>
            <w:tcMar>
              <w:top w:w="15" w:type="dxa"/>
              <w:left w:w="0" w:type="dxa"/>
              <w:bottom w:w="0" w:type="dxa"/>
              <w:right w:w="15" w:type="dxa"/>
            </w:tcMar>
            <w:vAlign w:val="center"/>
            <w:hideMark/>
          </w:tcPr>
          <w:p w14:paraId="3DCF819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 R&amp;D and G&amp;A</w:t>
            </w:r>
            <w:r>
              <w:rPr>
                <w:rFonts w:ascii="Calibri" w:hAnsi="Calibri" w:cs="Calibri"/>
                <w:color w:val="000000"/>
                <w:sz w:val="17"/>
                <w:szCs w:val="17"/>
                <w:vertAlign w:val="superscript"/>
              </w:rPr>
              <w:t>(6)</w:t>
            </w:r>
          </w:p>
        </w:tc>
        <w:tc>
          <w:tcPr>
            <w:tcW w:w="86" w:type="pct"/>
            <w:shd w:val="clear" w:color="auto" w:fill="CFF0FC"/>
            <w:tcMar>
              <w:top w:w="15" w:type="dxa"/>
              <w:left w:w="0" w:type="dxa"/>
              <w:bottom w:w="0" w:type="dxa"/>
              <w:right w:w="15" w:type="dxa"/>
            </w:tcMar>
            <w:vAlign w:val="bottom"/>
            <w:hideMark/>
          </w:tcPr>
          <w:p w14:paraId="5CAC2A64"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53E32DA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4D5BF62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1,135</w:t>
            </w:r>
          </w:p>
        </w:tc>
        <w:tc>
          <w:tcPr>
            <w:tcW w:w="50" w:type="pct"/>
            <w:shd w:val="clear" w:color="auto" w:fill="CFF0FC"/>
            <w:noWrap/>
            <w:tcMar>
              <w:top w:w="15" w:type="dxa"/>
              <w:left w:w="0" w:type="dxa"/>
              <w:bottom w:w="0" w:type="dxa"/>
              <w:right w:w="15" w:type="dxa"/>
            </w:tcMar>
            <w:vAlign w:val="bottom"/>
            <w:hideMark/>
          </w:tcPr>
          <w:p w14:paraId="5BFFFC4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CFF0FC"/>
            <w:tcMar>
              <w:top w:w="15" w:type="dxa"/>
              <w:left w:w="0" w:type="dxa"/>
              <w:bottom w:w="0" w:type="dxa"/>
              <w:right w:w="15" w:type="dxa"/>
            </w:tcMar>
            <w:vAlign w:val="bottom"/>
            <w:hideMark/>
          </w:tcPr>
          <w:p w14:paraId="067D36A3"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0CA5C9B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4F37EAF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1,101</w:t>
            </w:r>
          </w:p>
        </w:tc>
        <w:tc>
          <w:tcPr>
            <w:tcW w:w="50" w:type="pct"/>
            <w:shd w:val="clear" w:color="auto" w:fill="CFF0FC"/>
            <w:noWrap/>
            <w:tcMar>
              <w:top w:w="15" w:type="dxa"/>
              <w:left w:w="0" w:type="dxa"/>
              <w:bottom w:w="0" w:type="dxa"/>
              <w:right w:w="15" w:type="dxa"/>
            </w:tcMar>
            <w:vAlign w:val="bottom"/>
            <w:hideMark/>
          </w:tcPr>
          <w:p w14:paraId="2F3DC0C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F06282A" w14:textId="77777777">
        <w:trPr>
          <w:divId w:val="1241868235"/>
          <w:jc w:val="center"/>
        </w:trPr>
        <w:tc>
          <w:tcPr>
            <w:tcW w:w="3550" w:type="pct"/>
            <w:shd w:val="clear" w:color="auto" w:fill="FFFFFF"/>
            <w:tcMar>
              <w:top w:w="15" w:type="dxa"/>
              <w:left w:w="0" w:type="dxa"/>
              <w:bottom w:w="0" w:type="dxa"/>
              <w:right w:w="15" w:type="dxa"/>
            </w:tcMar>
            <w:hideMark/>
          </w:tcPr>
          <w:p w14:paraId="3859DF7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vertAlign w:val="superscript"/>
              </w:rPr>
              <w:t>(7)</w:t>
            </w:r>
          </w:p>
        </w:tc>
        <w:tc>
          <w:tcPr>
            <w:tcW w:w="86" w:type="pct"/>
            <w:shd w:val="clear" w:color="auto" w:fill="FFFFFF"/>
            <w:tcMar>
              <w:top w:w="15" w:type="dxa"/>
              <w:left w:w="0" w:type="dxa"/>
              <w:bottom w:w="0" w:type="dxa"/>
              <w:right w:w="15" w:type="dxa"/>
            </w:tcMar>
            <w:vAlign w:val="bottom"/>
            <w:hideMark/>
          </w:tcPr>
          <w:p w14:paraId="6ADDE643"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5DD78D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316E908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(1,406</w:t>
            </w:r>
          </w:p>
        </w:tc>
        <w:tc>
          <w:tcPr>
            <w:tcW w:w="50" w:type="pct"/>
            <w:shd w:val="clear" w:color="auto" w:fill="FFFFFF"/>
            <w:noWrap/>
            <w:tcMar>
              <w:top w:w="15" w:type="dxa"/>
              <w:left w:w="0" w:type="dxa"/>
              <w:bottom w:w="0" w:type="dxa"/>
              <w:right w:w="15" w:type="dxa"/>
            </w:tcMar>
            <w:vAlign w:val="bottom"/>
            <w:hideMark/>
          </w:tcPr>
          <w:p w14:paraId="79AC5E2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6" w:type="pct"/>
            <w:shd w:val="clear" w:color="auto" w:fill="FFFFFF"/>
            <w:tcMar>
              <w:top w:w="15" w:type="dxa"/>
              <w:left w:w="0" w:type="dxa"/>
              <w:bottom w:w="0" w:type="dxa"/>
              <w:right w:w="15" w:type="dxa"/>
            </w:tcMar>
            <w:vAlign w:val="bottom"/>
            <w:hideMark/>
          </w:tcPr>
          <w:p w14:paraId="64A57581"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3A99C6A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3865F67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(1,431</w:t>
            </w:r>
          </w:p>
        </w:tc>
        <w:tc>
          <w:tcPr>
            <w:tcW w:w="50" w:type="pct"/>
            <w:shd w:val="clear" w:color="auto" w:fill="FFFFFF"/>
            <w:noWrap/>
            <w:tcMar>
              <w:top w:w="15" w:type="dxa"/>
              <w:left w:w="0" w:type="dxa"/>
              <w:bottom w:w="0" w:type="dxa"/>
              <w:right w:w="15" w:type="dxa"/>
            </w:tcMar>
            <w:vAlign w:val="bottom"/>
            <w:hideMark/>
          </w:tcPr>
          <w:p w14:paraId="3AADF7B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74D3F235" w14:textId="77777777">
        <w:trPr>
          <w:divId w:val="1241868235"/>
          <w:jc w:val="center"/>
        </w:trPr>
        <w:tc>
          <w:tcPr>
            <w:tcW w:w="3550" w:type="pct"/>
            <w:shd w:val="clear" w:color="auto" w:fill="CFF0FC"/>
            <w:tcMar>
              <w:top w:w="15" w:type="dxa"/>
              <w:left w:w="0" w:type="dxa"/>
              <w:bottom w:w="0" w:type="dxa"/>
              <w:right w:w="15" w:type="dxa"/>
            </w:tcMar>
            <w:hideMark/>
          </w:tcPr>
          <w:p w14:paraId="6A3F9B9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Income tax reform</w:t>
            </w:r>
            <w:r>
              <w:rPr>
                <w:rFonts w:ascii="Calibri" w:hAnsi="Calibri" w:cs="Calibri"/>
                <w:color w:val="000000"/>
                <w:sz w:val="17"/>
                <w:szCs w:val="17"/>
                <w:vertAlign w:val="superscript"/>
              </w:rPr>
              <w:t>(8)</w:t>
            </w:r>
          </w:p>
        </w:tc>
        <w:tc>
          <w:tcPr>
            <w:tcW w:w="86" w:type="pct"/>
            <w:shd w:val="clear" w:color="auto" w:fill="CFF0FC"/>
            <w:tcMar>
              <w:top w:w="15" w:type="dxa"/>
              <w:left w:w="0" w:type="dxa"/>
              <w:bottom w:w="0" w:type="dxa"/>
              <w:right w:w="15" w:type="dxa"/>
            </w:tcMar>
            <w:vAlign w:val="bottom"/>
            <w:hideMark/>
          </w:tcPr>
          <w:p w14:paraId="253FC80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AE920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7C80D5A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(389</w:t>
            </w:r>
          </w:p>
        </w:tc>
        <w:tc>
          <w:tcPr>
            <w:tcW w:w="50" w:type="pct"/>
            <w:shd w:val="clear" w:color="auto" w:fill="CFF0FC"/>
            <w:noWrap/>
            <w:tcMar>
              <w:top w:w="15" w:type="dxa"/>
              <w:left w:w="0" w:type="dxa"/>
              <w:bottom w:w="0" w:type="dxa"/>
              <w:right w:w="15" w:type="dxa"/>
            </w:tcMar>
            <w:vAlign w:val="bottom"/>
            <w:hideMark/>
          </w:tcPr>
          <w:p w14:paraId="7590D2C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6" w:type="pct"/>
            <w:shd w:val="clear" w:color="auto" w:fill="CFF0FC"/>
            <w:tcMar>
              <w:top w:w="15" w:type="dxa"/>
              <w:left w:w="0" w:type="dxa"/>
              <w:bottom w:w="0" w:type="dxa"/>
              <w:right w:w="15" w:type="dxa"/>
            </w:tcMar>
            <w:vAlign w:val="bottom"/>
            <w:hideMark/>
          </w:tcPr>
          <w:p w14:paraId="4FF2691E"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1B77B7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1709513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6,870</w:t>
            </w:r>
          </w:p>
        </w:tc>
        <w:tc>
          <w:tcPr>
            <w:tcW w:w="50" w:type="pct"/>
            <w:shd w:val="clear" w:color="auto" w:fill="CFF0FC"/>
            <w:noWrap/>
            <w:tcMar>
              <w:top w:w="15" w:type="dxa"/>
              <w:left w:w="0" w:type="dxa"/>
              <w:bottom w:w="0" w:type="dxa"/>
              <w:right w:w="15" w:type="dxa"/>
            </w:tcMar>
            <w:vAlign w:val="bottom"/>
            <w:hideMark/>
          </w:tcPr>
          <w:p w14:paraId="5B7D668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A0DE6A2" w14:textId="77777777">
        <w:trPr>
          <w:divId w:val="1241868235"/>
          <w:jc w:val="center"/>
        </w:trPr>
        <w:tc>
          <w:tcPr>
            <w:tcW w:w="3550" w:type="pct"/>
            <w:shd w:val="clear" w:color="auto" w:fill="FFFFFF"/>
            <w:tcMar>
              <w:top w:w="15" w:type="dxa"/>
              <w:left w:w="0" w:type="dxa"/>
              <w:bottom w:w="0" w:type="dxa"/>
              <w:right w:w="15" w:type="dxa"/>
            </w:tcMar>
            <w:hideMark/>
          </w:tcPr>
          <w:p w14:paraId="01FFC3E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FFFFFF"/>
            <w:tcMar>
              <w:top w:w="15" w:type="dxa"/>
              <w:left w:w="0" w:type="dxa"/>
              <w:bottom w:w="0" w:type="dxa"/>
              <w:right w:w="15" w:type="dxa"/>
            </w:tcMar>
            <w:vAlign w:val="bottom"/>
            <w:hideMark/>
          </w:tcPr>
          <w:p w14:paraId="4C0C51DC"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AD3A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3BB0E1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2,054</w:t>
            </w:r>
          </w:p>
        </w:tc>
        <w:tc>
          <w:tcPr>
            <w:tcW w:w="50" w:type="pct"/>
            <w:shd w:val="clear" w:color="auto" w:fill="FFFFFF"/>
            <w:noWrap/>
            <w:tcMar>
              <w:top w:w="15" w:type="dxa"/>
              <w:left w:w="0" w:type="dxa"/>
              <w:bottom w:w="0" w:type="dxa"/>
              <w:right w:w="15" w:type="dxa"/>
            </w:tcMar>
            <w:vAlign w:val="bottom"/>
            <w:hideMark/>
          </w:tcPr>
          <w:p w14:paraId="3A192AD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FFFFFF"/>
            <w:tcMar>
              <w:top w:w="15" w:type="dxa"/>
              <w:left w:w="0" w:type="dxa"/>
              <w:bottom w:w="0" w:type="dxa"/>
              <w:right w:w="15" w:type="dxa"/>
            </w:tcMar>
            <w:vAlign w:val="bottom"/>
            <w:hideMark/>
          </w:tcPr>
          <w:p w14:paraId="728DCF8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5E475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CE335A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9,330</w:t>
            </w:r>
          </w:p>
        </w:tc>
        <w:tc>
          <w:tcPr>
            <w:tcW w:w="50" w:type="pct"/>
            <w:shd w:val="clear" w:color="auto" w:fill="FFFFFF"/>
            <w:noWrap/>
            <w:tcMar>
              <w:top w:w="15" w:type="dxa"/>
              <w:left w:w="0" w:type="dxa"/>
              <w:bottom w:w="0" w:type="dxa"/>
              <w:right w:w="15" w:type="dxa"/>
            </w:tcMar>
            <w:vAlign w:val="bottom"/>
            <w:hideMark/>
          </w:tcPr>
          <w:p w14:paraId="438E6D8F"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255ACF8"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1E5BB88C" w14:textId="77777777">
        <w:tc>
          <w:tcPr>
            <w:tcW w:w="192" w:type="pct"/>
            <w:noWrap/>
            <w:hideMark/>
          </w:tcPr>
          <w:p w14:paraId="7BD970F2"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5FCEDF5C"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In connection with our acquisitions, we have estimated the fair values of the cloud services and license support contracts assumed. Due to our application of business combination accounting rules, we did not recognize the cloud services and license support revenue amounts as presented in the above table that would have otherwise been recorded by the acquired businesses as independent entities upon delivery of the contractual obligations. To the extent customers for which these contractual obligations pertain renew these contracts with us, we expect to recognize revenues for the full contracts’ values over the respective contracts’ renewal periods.</w:t>
            </w:r>
          </w:p>
        </w:tc>
      </w:tr>
    </w:tbl>
    <w:p w14:paraId="3FC38A7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4C39466E" w14:textId="77777777">
        <w:tc>
          <w:tcPr>
            <w:tcW w:w="192" w:type="pct"/>
            <w:noWrap/>
            <w:hideMark/>
          </w:tcPr>
          <w:p w14:paraId="4BA37BCD"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59D14462"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Certain acquired companies capitalized sales commissions associated with subscription agreements and amortized these amounts over the related contractual terms. Business combination accounting rules generally require us to eliminate these acquired capitalized sales commissions balances as of the acquisition date and our post-combination GAAP sales and marketing expenses generally do not reflect the amortization of these acquired deferred sales commissions balances. This adjustment is intended to include, and thus reflect, the full amount of amortization related to such balances as though the acquired companies operated independently in the periods presented.</w:t>
            </w:r>
          </w:p>
        </w:tc>
      </w:tr>
    </w:tbl>
    <w:p w14:paraId="4C4FDA34"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7CCCE33A" w14:textId="77777777">
        <w:tc>
          <w:tcPr>
            <w:tcW w:w="192" w:type="pct"/>
            <w:noWrap/>
            <w:hideMark/>
          </w:tcPr>
          <w:p w14:paraId="2E72DA7A"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(3)</w:t>
            </w:r>
          </w:p>
        </w:tc>
        <w:tc>
          <w:tcPr>
            <w:tcW w:w="0" w:type="auto"/>
            <w:hideMark/>
          </w:tcPr>
          <w:p w14:paraId="07344F25"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 xml:space="preserve">Represents the amortization of intangible assets, substantially all of which were acquired in connection with our acquisitions. As of May 31, 2019, estimated future amortization related to intangible assets was as follows (in millions): </w:t>
            </w:r>
          </w:p>
        </w:tc>
      </w:tr>
    </w:tbl>
    <w:p w14:paraId="5B362F64" w14:textId="77777777" w:rsidR="00251D72" w:rsidRDefault="00251D72">
      <w:pPr>
        <w:pStyle w:val="a3"/>
        <w:spacing w:before="0" w:beforeAutospacing="0" w:after="0" w:afterAutospacing="0"/>
        <w:rPr>
          <w:sz w:val="12"/>
          <w:szCs w:val="12"/>
        </w:rPr>
      </w:pPr>
      <w:r>
        <w:rPr>
          <w:sz w:val="12"/>
          <w:szCs w:val="12"/>
        </w:rPr>
        <w:t> </w:t>
      </w:r>
    </w:p>
    <w:tbl>
      <w:tblPr>
        <w:tblW w:w="4800" w:type="pct"/>
        <w:jc w:val="right"/>
        <w:tblCellMar>
          <w:left w:w="0" w:type="dxa"/>
          <w:right w:w="0" w:type="dxa"/>
        </w:tblCellMar>
        <w:tblLook w:val="04A0" w:firstRow="1" w:lastRow="0" w:firstColumn="1" w:lastColumn="0" w:noHBand="0" w:noVBand="1"/>
      </w:tblPr>
      <w:tblGrid>
        <w:gridCol w:w="6774"/>
        <w:gridCol w:w="139"/>
        <w:gridCol w:w="92"/>
        <w:gridCol w:w="892"/>
        <w:gridCol w:w="77"/>
      </w:tblGrid>
      <w:tr w:rsidR="00251D72" w14:paraId="06B3AB92" w14:textId="77777777">
        <w:trPr>
          <w:jc w:val="right"/>
        </w:trPr>
        <w:tc>
          <w:tcPr>
            <w:tcW w:w="4249" w:type="pct"/>
            <w:shd w:val="clear" w:color="auto" w:fill="CFF0FC"/>
            <w:tcMar>
              <w:top w:w="15" w:type="dxa"/>
              <w:left w:w="0" w:type="dxa"/>
              <w:bottom w:w="0" w:type="dxa"/>
              <w:right w:w="15" w:type="dxa"/>
            </w:tcMar>
            <w:hideMark/>
          </w:tcPr>
          <w:p w14:paraId="48C4EAF7"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Fiscal 2020</w:t>
            </w:r>
          </w:p>
        </w:tc>
        <w:tc>
          <w:tcPr>
            <w:tcW w:w="89" w:type="pct"/>
            <w:shd w:val="clear" w:color="auto" w:fill="CFF0FC"/>
            <w:tcMar>
              <w:top w:w="15" w:type="dxa"/>
              <w:left w:w="0" w:type="dxa"/>
              <w:bottom w:w="0" w:type="dxa"/>
              <w:right w:w="15" w:type="dxa"/>
            </w:tcMar>
            <w:vAlign w:val="bottom"/>
            <w:hideMark/>
          </w:tcPr>
          <w:p w14:paraId="4576E53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7D434C0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561" w:type="pct"/>
            <w:shd w:val="clear" w:color="auto" w:fill="CFF0FC"/>
            <w:noWrap/>
            <w:tcMar>
              <w:top w:w="15" w:type="dxa"/>
              <w:left w:w="0" w:type="dxa"/>
              <w:bottom w:w="0" w:type="dxa"/>
              <w:right w:w="15" w:type="dxa"/>
            </w:tcMar>
            <w:vAlign w:val="bottom"/>
            <w:hideMark/>
          </w:tcPr>
          <w:p w14:paraId="19C7E64F"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1,583</w:t>
            </w:r>
          </w:p>
        </w:tc>
        <w:tc>
          <w:tcPr>
            <w:tcW w:w="50" w:type="pct"/>
            <w:shd w:val="clear" w:color="auto" w:fill="CFF0FC"/>
            <w:noWrap/>
            <w:tcMar>
              <w:top w:w="15" w:type="dxa"/>
              <w:left w:w="0" w:type="dxa"/>
              <w:bottom w:w="0" w:type="dxa"/>
              <w:right w:w="15" w:type="dxa"/>
            </w:tcMar>
            <w:vAlign w:val="bottom"/>
            <w:hideMark/>
          </w:tcPr>
          <w:p w14:paraId="24DB28A9"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4957A741" w14:textId="77777777">
        <w:trPr>
          <w:jc w:val="right"/>
        </w:trPr>
        <w:tc>
          <w:tcPr>
            <w:tcW w:w="4249" w:type="pct"/>
            <w:shd w:val="clear" w:color="auto" w:fill="FFFFFF"/>
            <w:tcMar>
              <w:top w:w="15" w:type="dxa"/>
              <w:left w:w="0" w:type="dxa"/>
              <w:bottom w:w="0" w:type="dxa"/>
              <w:right w:w="15" w:type="dxa"/>
            </w:tcMar>
            <w:hideMark/>
          </w:tcPr>
          <w:p w14:paraId="35C9C127"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Fiscal 2021</w:t>
            </w:r>
          </w:p>
        </w:tc>
        <w:tc>
          <w:tcPr>
            <w:tcW w:w="89" w:type="pct"/>
            <w:shd w:val="clear" w:color="auto" w:fill="FFFFFF"/>
            <w:tcMar>
              <w:top w:w="15" w:type="dxa"/>
              <w:left w:w="0" w:type="dxa"/>
              <w:bottom w:w="0" w:type="dxa"/>
              <w:right w:w="15" w:type="dxa"/>
            </w:tcMar>
            <w:vAlign w:val="bottom"/>
            <w:hideMark/>
          </w:tcPr>
          <w:p w14:paraId="1803C917"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4463B9D"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61" w:type="pct"/>
            <w:shd w:val="clear" w:color="auto" w:fill="FFFFFF"/>
            <w:noWrap/>
            <w:tcMar>
              <w:top w:w="15" w:type="dxa"/>
              <w:left w:w="0" w:type="dxa"/>
              <w:bottom w:w="0" w:type="dxa"/>
              <w:right w:w="15" w:type="dxa"/>
            </w:tcMar>
            <w:vAlign w:val="bottom"/>
            <w:hideMark/>
          </w:tcPr>
          <w:p w14:paraId="7569E214"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1,339</w:t>
            </w:r>
          </w:p>
        </w:tc>
        <w:tc>
          <w:tcPr>
            <w:tcW w:w="50" w:type="pct"/>
            <w:shd w:val="clear" w:color="auto" w:fill="FFFFFF"/>
            <w:noWrap/>
            <w:tcMar>
              <w:top w:w="15" w:type="dxa"/>
              <w:left w:w="0" w:type="dxa"/>
              <w:bottom w:w="0" w:type="dxa"/>
              <w:right w:w="15" w:type="dxa"/>
            </w:tcMar>
            <w:vAlign w:val="bottom"/>
            <w:hideMark/>
          </w:tcPr>
          <w:p w14:paraId="7A13169E"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5584A44E" w14:textId="77777777">
        <w:trPr>
          <w:jc w:val="right"/>
        </w:trPr>
        <w:tc>
          <w:tcPr>
            <w:tcW w:w="4249" w:type="pct"/>
            <w:shd w:val="clear" w:color="auto" w:fill="CFF0FC"/>
            <w:tcMar>
              <w:top w:w="15" w:type="dxa"/>
              <w:left w:w="0" w:type="dxa"/>
              <w:bottom w:w="0" w:type="dxa"/>
              <w:right w:w="15" w:type="dxa"/>
            </w:tcMar>
            <w:hideMark/>
          </w:tcPr>
          <w:p w14:paraId="42B84C31"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Fiscal 2022</w:t>
            </w:r>
          </w:p>
        </w:tc>
        <w:tc>
          <w:tcPr>
            <w:tcW w:w="89" w:type="pct"/>
            <w:shd w:val="clear" w:color="auto" w:fill="CFF0FC"/>
            <w:tcMar>
              <w:top w:w="15" w:type="dxa"/>
              <w:left w:w="0" w:type="dxa"/>
              <w:bottom w:w="0" w:type="dxa"/>
              <w:right w:w="15" w:type="dxa"/>
            </w:tcMar>
            <w:vAlign w:val="bottom"/>
            <w:hideMark/>
          </w:tcPr>
          <w:p w14:paraId="334FDD0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19DE23BE"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61" w:type="pct"/>
            <w:shd w:val="clear" w:color="auto" w:fill="CFF0FC"/>
            <w:noWrap/>
            <w:tcMar>
              <w:top w:w="15" w:type="dxa"/>
              <w:left w:w="0" w:type="dxa"/>
              <w:bottom w:w="0" w:type="dxa"/>
              <w:right w:w="15" w:type="dxa"/>
            </w:tcMar>
            <w:vAlign w:val="bottom"/>
            <w:hideMark/>
          </w:tcPr>
          <w:p w14:paraId="7A0DE239"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1,090</w:t>
            </w:r>
          </w:p>
        </w:tc>
        <w:tc>
          <w:tcPr>
            <w:tcW w:w="50" w:type="pct"/>
            <w:shd w:val="clear" w:color="auto" w:fill="CFF0FC"/>
            <w:noWrap/>
            <w:tcMar>
              <w:top w:w="15" w:type="dxa"/>
              <w:left w:w="0" w:type="dxa"/>
              <w:bottom w:w="0" w:type="dxa"/>
              <w:right w:w="15" w:type="dxa"/>
            </w:tcMar>
            <w:vAlign w:val="bottom"/>
            <w:hideMark/>
          </w:tcPr>
          <w:p w14:paraId="01AC996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50069BCC" w14:textId="77777777">
        <w:trPr>
          <w:jc w:val="right"/>
        </w:trPr>
        <w:tc>
          <w:tcPr>
            <w:tcW w:w="4249" w:type="pct"/>
            <w:shd w:val="clear" w:color="auto" w:fill="FFFFFF"/>
            <w:tcMar>
              <w:top w:w="15" w:type="dxa"/>
              <w:left w:w="0" w:type="dxa"/>
              <w:bottom w:w="0" w:type="dxa"/>
              <w:right w:w="15" w:type="dxa"/>
            </w:tcMar>
            <w:hideMark/>
          </w:tcPr>
          <w:p w14:paraId="5CA03986"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Fiscal 2023</w:t>
            </w:r>
          </w:p>
        </w:tc>
        <w:tc>
          <w:tcPr>
            <w:tcW w:w="89" w:type="pct"/>
            <w:shd w:val="clear" w:color="auto" w:fill="FFFFFF"/>
            <w:tcMar>
              <w:top w:w="15" w:type="dxa"/>
              <w:left w:w="0" w:type="dxa"/>
              <w:bottom w:w="0" w:type="dxa"/>
              <w:right w:w="15" w:type="dxa"/>
            </w:tcMar>
            <w:vAlign w:val="bottom"/>
            <w:hideMark/>
          </w:tcPr>
          <w:p w14:paraId="09CBBDD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83DE998"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61" w:type="pct"/>
            <w:shd w:val="clear" w:color="auto" w:fill="FFFFFF"/>
            <w:noWrap/>
            <w:tcMar>
              <w:top w:w="15" w:type="dxa"/>
              <w:left w:w="0" w:type="dxa"/>
              <w:bottom w:w="0" w:type="dxa"/>
              <w:right w:w="15" w:type="dxa"/>
            </w:tcMar>
            <w:vAlign w:val="bottom"/>
            <w:hideMark/>
          </w:tcPr>
          <w:p w14:paraId="2A3750ED"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668</w:t>
            </w:r>
          </w:p>
        </w:tc>
        <w:tc>
          <w:tcPr>
            <w:tcW w:w="50" w:type="pct"/>
            <w:shd w:val="clear" w:color="auto" w:fill="FFFFFF"/>
            <w:noWrap/>
            <w:tcMar>
              <w:top w:w="15" w:type="dxa"/>
              <w:left w:w="0" w:type="dxa"/>
              <w:bottom w:w="0" w:type="dxa"/>
              <w:right w:w="15" w:type="dxa"/>
            </w:tcMar>
            <w:vAlign w:val="bottom"/>
            <w:hideMark/>
          </w:tcPr>
          <w:p w14:paraId="27284C5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16C5644A" w14:textId="77777777">
        <w:trPr>
          <w:jc w:val="right"/>
        </w:trPr>
        <w:tc>
          <w:tcPr>
            <w:tcW w:w="4249" w:type="pct"/>
            <w:shd w:val="clear" w:color="auto" w:fill="CFF0FC"/>
            <w:tcMar>
              <w:top w:w="15" w:type="dxa"/>
              <w:left w:w="0" w:type="dxa"/>
              <w:bottom w:w="0" w:type="dxa"/>
              <w:right w:w="15" w:type="dxa"/>
            </w:tcMar>
            <w:hideMark/>
          </w:tcPr>
          <w:p w14:paraId="2893BF4C"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Fiscal 2024</w:t>
            </w:r>
          </w:p>
        </w:tc>
        <w:tc>
          <w:tcPr>
            <w:tcW w:w="89" w:type="pct"/>
            <w:shd w:val="clear" w:color="auto" w:fill="CFF0FC"/>
            <w:tcMar>
              <w:top w:w="15" w:type="dxa"/>
              <w:left w:w="0" w:type="dxa"/>
              <w:bottom w:w="0" w:type="dxa"/>
              <w:right w:w="15" w:type="dxa"/>
            </w:tcMar>
            <w:vAlign w:val="bottom"/>
            <w:hideMark/>
          </w:tcPr>
          <w:p w14:paraId="471E8673"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7918BA5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61" w:type="pct"/>
            <w:shd w:val="clear" w:color="auto" w:fill="CFF0FC"/>
            <w:noWrap/>
            <w:tcMar>
              <w:top w:w="15" w:type="dxa"/>
              <w:left w:w="0" w:type="dxa"/>
              <w:bottom w:w="0" w:type="dxa"/>
              <w:right w:w="15" w:type="dxa"/>
            </w:tcMar>
            <w:vAlign w:val="bottom"/>
            <w:hideMark/>
          </w:tcPr>
          <w:p w14:paraId="44B0E61B"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440</w:t>
            </w:r>
          </w:p>
        </w:tc>
        <w:tc>
          <w:tcPr>
            <w:tcW w:w="50" w:type="pct"/>
            <w:shd w:val="clear" w:color="auto" w:fill="CFF0FC"/>
            <w:noWrap/>
            <w:tcMar>
              <w:top w:w="15" w:type="dxa"/>
              <w:left w:w="0" w:type="dxa"/>
              <w:bottom w:w="0" w:type="dxa"/>
              <w:right w:w="15" w:type="dxa"/>
            </w:tcMar>
            <w:vAlign w:val="bottom"/>
            <w:hideMark/>
          </w:tcPr>
          <w:p w14:paraId="51787FA3"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074DF7B9" w14:textId="77777777">
        <w:trPr>
          <w:jc w:val="right"/>
        </w:trPr>
        <w:tc>
          <w:tcPr>
            <w:tcW w:w="4249" w:type="pct"/>
            <w:shd w:val="clear" w:color="auto" w:fill="FFFFFF"/>
            <w:tcMar>
              <w:top w:w="15" w:type="dxa"/>
              <w:left w:w="0" w:type="dxa"/>
              <w:bottom w:w="0" w:type="dxa"/>
              <w:right w:w="15" w:type="dxa"/>
            </w:tcMar>
            <w:hideMark/>
          </w:tcPr>
          <w:p w14:paraId="2DA516B8"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Thereafter</w:t>
            </w:r>
          </w:p>
        </w:tc>
        <w:tc>
          <w:tcPr>
            <w:tcW w:w="89" w:type="pct"/>
            <w:shd w:val="clear" w:color="auto" w:fill="FFFFFF"/>
            <w:tcMar>
              <w:top w:w="15" w:type="dxa"/>
              <w:left w:w="0" w:type="dxa"/>
              <w:bottom w:w="0" w:type="dxa"/>
              <w:right w:w="15" w:type="dxa"/>
            </w:tcMar>
            <w:vAlign w:val="bottom"/>
            <w:hideMark/>
          </w:tcPr>
          <w:p w14:paraId="31654E49"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6791E43"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14:paraId="3F8ABEB7"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159</w:t>
            </w:r>
          </w:p>
        </w:tc>
        <w:tc>
          <w:tcPr>
            <w:tcW w:w="50" w:type="pct"/>
            <w:shd w:val="clear" w:color="auto" w:fill="FFFFFF"/>
            <w:noWrap/>
            <w:tcMar>
              <w:top w:w="15" w:type="dxa"/>
              <w:left w:w="0" w:type="dxa"/>
              <w:bottom w:w="0" w:type="dxa"/>
              <w:right w:w="15" w:type="dxa"/>
            </w:tcMar>
            <w:vAlign w:val="bottom"/>
            <w:hideMark/>
          </w:tcPr>
          <w:p w14:paraId="48C34C2B"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4B636449" w14:textId="77777777">
        <w:trPr>
          <w:jc w:val="right"/>
        </w:trPr>
        <w:tc>
          <w:tcPr>
            <w:tcW w:w="4249" w:type="pct"/>
            <w:shd w:val="clear" w:color="auto" w:fill="CFF0FC"/>
            <w:tcMar>
              <w:top w:w="15" w:type="dxa"/>
              <w:left w:w="0" w:type="dxa"/>
              <w:bottom w:w="0" w:type="dxa"/>
              <w:right w:w="15" w:type="dxa"/>
            </w:tcMar>
            <w:hideMark/>
          </w:tcPr>
          <w:p w14:paraId="55252F79" w14:textId="77777777" w:rsidR="00251D72" w:rsidRDefault="00251D72">
            <w:pPr>
              <w:pStyle w:val="a3"/>
              <w:spacing w:before="0" w:beforeAutospacing="0" w:after="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89" w:type="pct"/>
            <w:shd w:val="clear" w:color="auto" w:fill="CFF0FC"/>
            <w:tcMar>
              <w:top w:w="15" w:type="dxa"/>
              <w:left w:w="0" w:type="dxa"/>
              <w:bottom w:w="0" w:type="dxa"/>
              <w:right w:w="15" w:type="dxa"/>
            </w:tcMar>
            <w:vAlign w:val="bottom"/>
            <w:hideMark/>
          </w:tcPr>
          <w:p w14:paraId="0E9B28CD"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78ECE7"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7254F1B"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5,279</w:t>
            </w:r>
          </w:p>
        </w:tc>
        <w:tc>
          <w:tcPr>
            <w:tcW w:w="50" w:type="pct"/>
            <w:shd w:val="clear" w:color="auto" w:fill="CFF0FC"/>
            <w:noWrap/>
            <w:tcMar>
              <w:top w:w="15" w:type="dxa"/>
              <w:left w:w="0" w:type="dxa"/>
              <w:bottom w:w="0" w:type="dxa"/>
              <w:right w:w="15" w:type="dxa"/>
            </w:tcMar>
            <w:vAlign w:val="bottom"/>
            <w:hideMark/>
          </w:tcPr>
          <w:p w14:paraId="7D589BF1"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F0B288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577B4EF9" w14:textId="77777777">
        <w:tc>
          <w:tcPr>
            <w:tcW w:w="192" w:type="pct"/>
            <w:noWrap/>
            <w:hideMark/>
          </w:tcPr>
          <w:p w14:paraId="2A1F6F82"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(4)</w:t>
            </w:r>
          </w:p>
        </w:tc>
        <w:tc>
          <w:tcPr>
            <w:tcW w:w="0" w:type="auto"/>
            <w:hideMark/>
          </w:tcPr>
          <w:p w14:paraId="1305903E"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 xml:space="preserve">Acquisition related and other expenses primarily consist of personnel related costs and stock-based compensation expenses for transitional and certain other employees, integration related professional services, certain business combination adjustments including certain adjustments after the measurement period has ended and certain other operating items, net. </w:t>
            </w:r>
          </w:p>
        </w:tc>
      </w:tr>
    </w:tbl>
    <w:p w14:paraId="309185FE"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3E8BEC7F" w14:textId="77777777">
        <w:tc>
          <w:tcPr>
            <w:tcW w:w="192" w:type="pct"/>
            <w:noWrap/>
            <w:hideMark/>
          </w:tcPr>
          <w:p w14:paraId="59CE2B74"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(5)</w:t>
            </w:r>
          </w:p>
        </w:tc>
        <w:tc>
          <w:tcPr>
            <w:tcW w:w="0" w:type="auto"/>
            <w:hideMark/>
          </w:tcPr>
          <w:p w14:paraId="5565D43C"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Restructuring expenses during fiscal 2019</w:t>
            </w:r>
            <w:r>
              <w:rPr>
                <w:sz w:val="20"/>
                <w:szCs w:val="20"/>
              </w:rPr>
              <w:t xml:space="preserve"> </w:t>
            </w:r>
            <w:r>
              <w:rPr>
                <w:rFonts w:ascii="Calibri" w:hAnsi="Calibri" w:cs="Calibri"/>
                <w:sz w:val="15"/>
                <w:szCs w:val="15"/>
              </w:rPr>
              <w:t>primarily related to employee severance in connection with our Fiscal 2019 Oracle Restructuring Plan (2019 Restructuring Plan). Restructuring expenses during fiscal 2018 primarily related to employee severance in connection with our Fiscal 2017 Oracle Restructuring Plan (2017 Restructuring Plan). Additional information regarding certain of our restructuring plans is provided in the discussion below under “Restructuring Expenses” and in Note 8 of Notes to Consolidated Financial Statements included elsewhere in this Annual Report.</w:t>
            </w:r>
          </w:p>
        </w:tc>
      </w:tr>
    </w:tbl>
    <w:p w14:paraId="18FC90CB"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46</w:t>
      </w:r>
    </w:p>
    <w:p w14:paraId="2C4B6841" w14:textId="77777777" w:rsidR="00251D72" w:rsidRDefault="00251D72">
      <w:pPr>
        <w:rPr>
          <w:rFonts w:ascii="Times New Roman" w:eastAsia="Times New Roman" w:hAnsi="Times New Roman" w:cs="Times New Roman"/>
          <w:sz w:val="24"/>
          <w:szCs w:val="24"/>
        </w:rPr>
      </w:pPr>
      <w:r>
        <w:rPr>
          <w:rFonts w:eastAsia="Times New Roman"/>
        </w:rPr>
        <w:pict w14:anchorId="0A464283">
          <v:rect id="_x0000_i1072" style="width:415.3pt;height:1.5pt" o:hralign="center" o:hrstd="t" o:hr="t" fillcolor="#a0a0a0" stroked="f"/>
        </w:pict>
      </w:r>
    </w:p>
    <w:p w14:paraId="63EB5B6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571E7DCC"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47CCCCDB" w14:textId="77777777" w:rsidR="00251D72" w:rsidRDefault="00251D72">
      <w:pPr>
        <w:pStyle w:val="a3"/>
        <w:spacing w:before="12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47A26673" w14:textId="77777777">
        <w:tc>
          <w:tcPr>
            <w:tcW w:w="192" w:type="pct"/>
            <w:noWrap/>
            <w:hideMark/>
          </w:tcPr>
          <w:p w14:paraId="16DBCDEB"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(6)</w:t>
            </w:r>
          </w:p>
        </w:tc>
        <w:tc>
          <w:tcPr>
            <w:tcW w:w="0" w:type="auto"/>
            <w:hideMark/>
          </w:tcPr>
          <w:p w14:paraId="09777A7B" w14:textId="77777777" w:rsidR="00251D72" w:rsidRDefault="00251D72">
            <w:pPr>
              <w:pStyle w:val="a3"/>
              <w:spacing w:before="120" w:beforeAutospacing="0" w:after="0" w:afterAutospacing="0"/>
              <w:jc w:val="both"/>
              <w:rPr>
                <w:rFonts w:ascii="Calibri" w:hAnsi="Calibri" w:cs="Calibri"/>
                <w:sz w:val="15"/>
                <w:szCs w:val="15"/>
              </w:rPr>
            </w:pPr>
            <w:bookmarkStart w:id="61" w:name="_AEIOULastRenderedPageBreakAEIOU49"/>
            <w:bookmarkEnd w:id="61"/>
            <w:r>
              <w:rPr>
                <w:rFonts w:ascii="Calibri" w:hAnsi="Calibri" w:cs="Calibri"/>
                <w:sz w:val="15"/>
                <w:szCs w:val="15"/>
              </w:rPr>
              <w:t xml:space="preserve">Stock-based compensation was included in the following operating expense line items of our consolidated statements of operations (in millions): </w:t>
            </w:r>
          </w:p>
        </w:tc>
      </w:tr>
    </w:tbl>
    <w:p w14:paraId="3C41123C" w14:textId="77777777" w:rsidR="00251D72" w:rsidRDefault="00251D72">
      <w:pPr>
        <w:pStyle w:val="a3"/>
        <w:spacing w:before="0" w:beforeAutospacing="0" w:after="0" w:afterAutospacing="0"/>
        <w:rPr>
          <w:sz w:val="12"/>
          <w:szCs w:val="12"/>
        </w:rPr>
      </w:pPr>
      <w:r>
        <w:rPr>
          <w:sz w:val="12"/>
          <w:szCs w:val="12"/>
        </w:rPr>
        <w:t> </w:t>
      </w:r>
    </w:p>
    <w:tbl>
      <w:tblPr>
        <w:tblW w:w="4800" w:type="pct"/>
        <w:jc w:val="right"/>
        <w:tblCellMar>
          <w:left w:w="0" w:type="dxa"/>
          <w:right w:w="0" w:type="dxa"/>
        </w:tblCellMar>
        <w:tblLook w:val="04A0" w:firstRow="1" w:lastRow="0" w:firstColumn="1" w:lastColumn="0" w:noHBand="0" w:noVBand="1"/>
      </w:tblPr>
      <w:tblGrid>
        <w:gridCol w:w="5659"/>
        <w:gridCol w:w="133"/>
        <w:gridCol w:w="92"/>
        <w:gridCol w:w="855"/>
        <w:gridCol w:w="77"/>
        <w:gridCol w:w="134"/>
        <w:gridCol w:w="92"/>
        <w:gridCol w:w="855"/>
        <w:gridCol w:w="77"/>
      </w:tblGrid>
      <w:tr w:rsidR="00251D72" w14:paraId="328953FC" w14:textId="77777777">
        <w:trPr>
          <w:jc w:val="right"/>
        </w:trPr>
        <w:tc>
          <w:tcPr>
            <w:tcW w:w="3550" w:type="pct"/>
            <w:shd w:val="clear" w:color="auto" w:fill="FFFFFF"/>
            <w:tcMar>
              <w:top w:w="15" w:type="dxa"/>
              <w:left w:w="0" w:type="dxa"/>
              <w:bottom w:w="0" w:type="dxa"/>
              <w:right w:w="15" w:type="dxa"/>
            </w:tcMar>
            <w:vAlign w:val="bottom"/>
            <w:hideMark/>
          </w:tcPr>
          <w:p w14:paraId="27655413" w14:textId="77777777" w:rsidR="00251D72" w:rsidRDefault="00251D72">
            <w:pPr>
              <w:pStyle w:val="a3"/>
              <w:spacing w:before="0" w:beforeAutospacing="0" w:after="0" w:afterAutospacing="0"/>
              <w:rPr>
                <w:sz w:val="20"/>
                <w:szCs w:val="20"/>
              </w:rPr>
            </w:pPr>
            <w:r>
              <w:rPr>
                <w:sz w:val="20"/>
                <w:szCs w:val="20"/>
              </w:rPr>
              <w:t> </w:t>
            </w:r>
          </w:p>
        </w:tc>
        <w:tc>
          <w:tcPr>
            <w:tcW w:w="86" w:type="pct"/>
            <w:shd w:val="clear" w:color="auto" w:fill="FFFFFF"/>
            <w:tcMar>
              <w:top w:w="15" w:type="dxa"/>
              <w:left w:w="0" w:type="dxa"/>
              <w:bottom w:w="0" w:type="dxa"/>
              <w:right w:w="15" w:type="dxa"/>
            </w:tcMar>
            <w:vAlign w:val="bottom"/>
            <w:hideMark/>
          </w:tcPr>
          <w:p w14:paraId="7557334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312" w:type="pct"/>
            <w:gridSpan w:val="6"/>
            <w:tcBorders>
              <w:bottom w:val="single" w:sz="6" w:space="0" w:color="000000"/>
            </w:tcBorders>
            <w:shd w:val="clear" w:color="auto" w:fill="FFFFFF"/>
            <w:tcMar>
              <w:top w:w="15" w:type="dxa"/>
              <w:left w:w="0" w:type="dxa"/>
              <w:bottom w:w="0" w:type="dxa"/>
              <w:right w:w="15" w:type="dxa"/>
            </w:tcMar>
            <w:vAlign w:val="bottom"/>
            <w:hideMark/>
          </w:tcPr>
          <w:p w14:paraId="2D57AEA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17D3C71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5A99189" w14:textId="77777777">
        <w:trPr>
          <w:jc w:val="right"/>
        </w:trPr>
        <w:tc>
          <w:tcPr>
            <w:tcW w:w="3550" w:type="pct"/>
            <w:shd w:val="clear" w:color="auto" w:fill="FFFFFF"/>
            <w:tcMar>
              <w:top w:w="15" w:type="dxa"/>
              <w:left w:w="0" w:type="dxa"/>
              <w:bottom w:w="0" w:type="dxa"/>
              <w:right w:w="15" w:type="dxa"/>
            </w:tcMar>
            <w:vAlign w:val="bottom"/>
            <w:hideMark/>
          </w:tcPr>
          <w:p w14:paraId="5967BED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shd w:val="clear" w:color="auto" w:fill="FFFFFF"/>
            <w:tcMar>
              <w:top w:w="15" w:type="dxa"/>
              <w:left w:w="0" w:type="dxa"/>
              <w:bottom w:w="0" w:type="dxa"/>
              <w:right w:w="15" w:type="dxa"/>
            </w:tcMar>
            <w:vAlign w:val="bottom"/>
            <w:hideMark/>
          </w:tcPr>
          <w:p w14:paraId="7C11253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CD39B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42B3A9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tcBorders>
              <w:top w:val="single" w:sz="6" w:space="0" w:color="000000"/>
            </w:tcBorders>
            <w:shd w:val="clear" w:color="auto" w:fill="FFFFFF"/>
            <w:tcMar>
              <w:top w:w="15" w:type="dxa"/>
              <w:left w:w="0" w:type="dxa"/>
              <w:bottom w:w="0" w:type="dxa"/>
              <w:right w:w="15" w:type="dxa"/>
            </w:tcMar>
            <w:vAlign w:val="bottom"/>
            <w:hideMark/>
          </w:tcPr>
          <w:p w14:paraId="7974171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A68B7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1416AC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7235D5F1" w14:textId="77777777">
        <w:trPr>
          <w:jc w:val="right"/>
        </w:trPr>
        <w:tc>
          <w:tcPr>
            <w:tcW w:w="3550" w:type="pct"/>
            <w:shd w:val="clear" w:color="auto" w:fill="CFF0FC"/>
            <w:tcMar>
              <w:top w:w="15" w:type="dxa"/>
              <w:left w:w="0" w:type="dxa"/>
              <w:bottom w:w="0" w:type="dxa"/>
              <w:right w:w="15" w:type="dxa"/>
            </w:tcMar>
            <w:hideMark/>
          </w:tcPr>
          <w:p w14:paraId="2540EE51"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86" w:type="pct"/>
            <w:shd w:val="clear" w:color="auto" w:fill="CFF0FC"/>
            <w:tcMar>
              <w:top w:w="15" w:type="dxa"/>
              <w:left w:w="0" w:type="dxa"/>
              <w:bottom w:w="0" w:type="dxa"/>
              <w:right w:w="15" w:type="dxa"/>
            </w:tcMar>
            <w:vAlign w:val="bottom"/>
            <w:hideMark/>
          </w:tcPr>
          <w:p w14:paraId="4703601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89EA7B"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30F55D42"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99</w:t>
            </w:r>
          </w:p>
        </w:tc>
        <w:tc>
          <w:tcPr>
            <w:tcW w:w="50" w:type="pct"/>
            <w:shd w:val="clear" w:color="auto" w:fill="CFF0FC"/>
            <w:noWrap/>
            <w:tcMar>
              <w:top w:w="15" w:type="dxa"/>
              <w:left w:w="0" w:type="dxa"/>
              <w:bottom w:w="0" w:type="dxa"/>
              <w:right w:w="15" w:type="dxa"/>
            </w:tcMar>
            <w:vAlign w:val="bottom"/>
            <w:hideMark/>
          </w:tcPr>
          <w:p w14:paraId="5007680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CFF0FC"/>
            <w:tcMar>
              <w:top w:w="15" w:type="dxa"/>
              <w:left w:w="0" w:type="dxa"/>
              <w:bottom w:w="0" w:type="dxa"/>
              <w:right w:w="15" w:type="dxa"/>
            </w:tcMar>
            <w:vAlign w:val="bottom"/>
            <w:hideMark/>
          </w:tcPr>
          <w:p w14:paraId="472E66C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28B2E8"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66646258"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82</w:t>
            </w:r>
          </w:p>
        </w:tc>
        <w:tc>
          <w:tcPr>
            <w:tcW w:w="50" w:type="pct"/>
            <w:shd w:val="clear" w:color="auto" w:fill="CFF0FC"/>
            <w:noWrap/>
            <w:tcMar>
              <w:top w:w="15" w:type="dxa"/>
              <w:left w:w="0" w:type="dxa"/>
              <w:bottom w:w="0" w:type="dxa"/>
              <w:right w:w="15" w:type="dxa"/>
            </w:tcMar>
            <w:vAlign w:val="bottom"/>
            <w:hideMark/>
          </w:tcPr>
          <w:p w14:paraId="341DB1AC"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0D74BC90" w14:textId="77777777">
        <w:trPr>
          <w:jc w:val="right"/>
        </w:trPr>
        <w:tc>
          <w:tcPr>
            <w:tcW w:w="3550" w:type="pct"/>
            <w:shd w:val="clear" w:color="auto" w:fill="FFFFFF"/>
            <w:tcMar>
              <w:top w:w="15" w:type="dxa"/>
              <w:left w:w="0" w:type="dxa"/>
              <w:bottom w:w="0" w:type="dxa"/>
              <w:right w:w="15" w:type="dxa"/>
            </w:tcMar>
            <w:hideMark/>
          </w:tcPr>
          <w:p w14:paraId="165D832D"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Hardware</w:t>
            </w:r>
          </w:p>
        </w:tc>
        <w:tc>
          <w:tcPr>
            <w:tcW w:w="86" w:type="pct"/>
            <w:shd w:val="clear" w:color="auto" w:fill="FFFFFF"/>
            <w:tcMar>
              <w:top w:w="15" w:type="dxa"/>
              <w:left w:w="0" w:type="dxa"/>
              <w:bottom w:w="0" w:type="dxa"/>
              <w:right w:w="15" w:type="dxa"/>
            </w:tcMar>
            <w:vAlign w:val="bottom"/>
            <w:hideMark/>
          </w:tcPr>
          <w:p w14:paraId="1C7E1C4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D10B6B3"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shd w:val="clear" w:color="auto" w:fill="FFFFFF"/>
            <w:noWrap/>
            <w:tcMar>
              <w:top w:w="15" w:type="dxa"/>
              <w:left w:w="0" w:type="dxa"/>
              <w:bottom w:w="0" w:type="dxa"/>
              <w:right w:w="15" w:type="dxa"/>
            </w:tcMar>
            <w:vAlign w:val="bottom"/>
            <w:hideMark/>
          </w:tcPr>
          <w:p w14:paraId="753DCD1C"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10</w:t>
            </w:r>
          </w:p>
        </w:tc>
        <w:tc>
          <w:tcPr>
            <w:tcW w:w="50" w:type="pct"/>
            <w:shd w:val="clear" w:color="auto" w:fill="FFFFFF"/>
            <w:noWrap/>
            <w:tcMar>
              <w:top w:w="15" w:type="dxa"/>
              <w:left w:w="0" w:type="dxa"/>
              <w:bottom w:w="0" w:type="dxa"/>
              <w:right w:w="15" w:type="dxa"/>
            </w:tcMar>
            <w:vAlign w:val="bottom"/>
            <w:hideMark/>
          </w:tcPr>
          <w:p w14:paraId="5EF2B47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FFFFFF"/>
            <w:tcMar>
              <w:top w:w="15" w:type="dxa"/>
              <w:left w:w="0" w:type="dxa"/>
              <w:bottom w:w="0" w:type="dxa"/>
              <w:right w:w="15" w:type="dxa"/>
            </w:tcMar>
            <w:vAlign w:val="bottom"/>
            <w:hideMark/>
          </w:tcPr>
          <w:p w14:paraId="200123E7"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6CB0804"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shd w:val="clear" w:color="auto" w:fill="FFFFFF"/>
            <w:noWrap/>
            <w:tcMar>
              <w:top w:w="15" w:type="dxa"/>
              <w:left w:w="0" w:type="dxa"/>
              <w:bottom w:w="0" w:type="dxa"/>
              <w:right w:w="15" w:type="dxa"/>
            </w:tcMar>
            <w:vAlign w:val="bottom"/>
            <w:hideMark/>
          </w:tcPr>
          <w:p w14:paraId="15FF7D03"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10</w:t>
            </w:r>
          </w:p>
        </w:tc>
        <w:tc>
          <w:tcPr>
            <w:tcW w:w="50" w:type="pct"/>
            <w:shd w:val="clear" w:color="auto" w:fill="FFFFFF"/>
            <w:noWrap/>
            <w:tcMar>
              <w:top w:w="15" w:type="dxa"/>
              <w:left w:w="0" w:type="dxa"/>
              <w:bottom w:w="0" w:type="dxa"/>
              <w:right w:w="15" w:type="dxa"/>
            </w:tcMar>
            <w:vAlign w:val="bottom"/>
            <w:hideMark/>
          </w:tcPr>
          <w:p w14:paraId="056BA3BA"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3858F8CE" w14:textId="77777777">
        <w:trPr>
          <w:jc w:val="right"/>
        </w:trPr>
        <w:tc>
          <w:tcPr>
            <w:tcW w:w="3550" w:type="pct"/>
            <w:shd w:val="clear" w:color="auto" w:fill="CFF0FC"/>
            <w:tcMar>
              <w:top w:w="15" w:type="dxa"/>
              <w:left w:w="0" w:type="dxa"/>
              <w:bottom w:w="0" w:type="dxa"/>
              <w:right w:w="15" w:type="dxa"/>
            </w:tcMar>
            <w:hideMark/>
          </w:tcPr>
          <w:p w14:paraId="5272974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Services</w:t>
            </w:r>
          </w:p>
        </w:tc>
        <w:tc>
          <w:tcPr>
            <w:tcW w:w="86" w:type="pct"/>
            <w:shd w:val="clear" w:color="auto" w:fill="CFF0FC"/>
            <w:tcMar>
              <w:top w:w="15" w:type="dxa"/>
              <w:left w:w="0" w:type="dxa"/>
              <w:bottom w:w="0" w:type="dxa"/>
              <w:right w:w="15" w:type="dxa"/>
            </w:tcMar>
            <w:vAlign w:val="bottom"/>
            <w:hideMark/>
          </w:tcPr>
          <w:p w14:paraId="112397FB"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1D8A2957"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shd w:val="clear" w:color="auto" w:fill="CFF0FC"/>
            <w:noWrap/>
            <w:tcMar>
              <w:top w:w="15" w:type="dxa"/>
              <w:left w:w="0" w:type="dxa"/>
              <w:bottom w:w="0" w:type="dxa"/>
              <w:right w:w="15" w:type="dxa"/>
            </w:tcMar>
            <w:vAlign w:val="bottom"/>
            <w:hideMark/>
          </w:tcPr>
          <w:p w14:paraId="5860A813"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49</w:t>
            </w:r>
          </w:p>
        </w:tc>
        <w:tc>
          <w:tcPr>
            <w:tcW w:w="50" w:type="pct"/>
            <w:shd w:val="clear" w:color="auto" w:fill="CFF0FC"/>
            <w:noWrap/>
            <w:tcMar>
              <w:top w:w="15" w:type="dxa"/>
              <w:left w:w="0" w:type="dxa"/>
              <w:bottom w:w="0" w:type="dxa"/>
              <w:right w:w="15" w:type="dxa"/>
            </w:tcMar>
            <w:vAlign w:val="bottom"/>
            <w:hideMark/>
          </w:tcPr>
          <w:p w14:paraId="0F1CC6F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CFF0FC"/>
            <w:tcMar>
              <w:top w:w="15" w:type="dxa"/>
              <w:left w:w="0" w:type="dxa"/>
              <w:bottom w:w="0" w:type="dxa"/>
              <w:right w:w="15" w:type="dxa"/>
            </w:tcMar>
            <w:vAlign w:val="bottom"/>
            <w:hideMark/>
          </w:tcPr>
          <w:p w14:paraId="5E09679D"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29D8DE3C"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shd w:val="clear" w:color="auto" w:fill="CFF0FC"/>
            <w:noWrap/>
            <w:tcMar>
              <w:top w:w="15" w:type="dxa"/>
              <w:left w:w="0" w:type="dxa"/>
              <w:bottom w:w="0" w:type="dxa"/>
              <w:right w:w="15" w:type="dxa"/>
            </w:tcMar>
            <w:vAlign w:val="bottom"/>
            <w:hideMark/>
          </w:tcPr>
          <w:p w14:paraId="7FD2625C"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52</w:t>
            </w:r>
          </w:p>
        </w:tc>
        <w:tc>
          <w:tcPr>
            <w:tcW w:w="50" w:type="pct"/>
            <w:shd w:val="clear" w:color="auto" w:fill="CFF0FC"/>
            <w:noWrap/>
            <w:tcMar>
              <w:top w:w="15" w:type="dxa"/>
              <w:left w:w="0" w:type="dxa"/>
              <w:bottom w:w="0" w:type="dxa"/>
              <w:right w:w="15" w:type="dxa"/>
            </w:tcMar>
            <w:vAlign w:val="bottom"/>
            <w:hideMark/>
          </w:tcPr>
          <w:p w14:paraId="451456F6"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3DF9DCDF" w14:textId="77777777">
        <w:trPr>
          <w:jc w:val="right"/>
        </w:trPr>
        <w:tc>
          <w:tcPr>
            <w:tcW w:w="3550" w:type="pct"/>
            <w:shd w:val="clear" w:color="auto" w:fill="FFFFFF"/>
            <w:tcMar>
              <w:top w:w="15" w:type="dxa"/>
              <w:left w:w="0" w:type="dxa"/>
              <w:bottom w:w="0" w:type="dxa"/>
              <w:right w:w="15" w:type="dxa"/>
            </w:tcMar>
            <w:hideMark/>
          </w:tcPr>
          <w:p w14:paraId="484DBDB8"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Sales and marketing</w:t>
            </w:r>
          </w:p>
        </w:tc>
        <w:tc>
          <w:tcPr>
            <w:tcW w:w="86" w:type="pct"/>
            <w:shd w:val="clear" w:color="auto" w:fill="FFFFFF"/>
            <w:tcMar>
              <w:top w:w="15" w:type="dxa"/>
              <w:left w:w="0" w:type="dxa"/>
              <w:bottom w:w="0" w:type="dxa"/>
              <w:right w:w="15" w:type="dxa"/>
            </w:tcMar>
            <w:vAlign w:val="bottom"/>
            <w:hideMark/>
          </w:tcPr>
          <w:p w14:paraId="69740F3D"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479775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62E533AD"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360</w:t>
            </w:r>
          </w:p>
        </w:tc>
        <w:tc>
          <w:tcPr>
            <w:tcW w:w="50" w:type="pct"/>
            <w:shd w:val="clear" w:color="auto" w:fill="FFFFFF"/>
            <w:noWrap/>
            <w:tcMar>
              <w:top w:w="15" w:type="dxa"/>
              <w:left w:w="0" w:type="dxa"/>
              <w:bottom w:w="0" w:type="dxa"/>
              <w:right w:w="15" w:type="dxa"/>
            </w:tcMar>
            <w:vAlign w:val="bottom"/>
            <w:hideMark/>
          </w:tcPr>
          <w:p w14:paraId="0DFC6E9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FFFFFF"/>
            <w:tcMar>
              <w:top w:w="15" w:type="dxa"/>
              <w:left w:w="0" w:type="dxa"/>
              <w:bottom w:w="0" w:type="dxa"/>
              <w:right w:w="15" w:type="dxa"/>
            </w:tcMar>
            <w:vAlign w:val="center"/>
            <w:hideMark/>
          </w:tcPr>
          <w:p w14:paraId="282B11D6"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7581211"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28B9C90E"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361</w:t>
            </w:r>
          </w:p>
        </w:tc>
        <w:tc>
          <w:tcPr>
            <w:tcW w:w="50" w:type="pct"/>
            <w:shd w:val="clear" w:color="auto" w:fill="FFFFFF"/>
            <w:noWrap/>
            <w:tcMar>
              <w:top w:w="15" w:type="dxa"/>
              <w:left w:w="0" w:type="dxa"/>
              <w:bottom w:w="0" w:type="dxa"/>
              <w:right w:w="15" w:type="dxa"/>
            </w:tcMar>
            <w:vAlign w:val="bottom"/>
            <w:hideMark/>
          </w:tcPr>
          <w:p w14:paraId="7A62DE5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1A33AAE5" w14:textId="77777777">
        <w:trPr>
          <w:jc w:val="right"/>
        </w:trPr>
        <w:tc>
          <w:tcPr>
            <w:tcW w:w="3550" w:type="pct"/>
            <w:shd w:val="clear" w:color="auto" w:fill="CFF0FC"/>
            <w:tcMar>
              <w:top w:w="15" w:type="dxa"/>
              <w:left w:w="0" w:type="dxa"/>
              <w:bottom w:w="0" w:type="dxa"/>
              <w:right w:w="15" w:type="dxa"/>
            </w:tcMar>
            <w:hideMark/>
          </w:tcPr>
          <w:p w14:paraId="359B2251" w14:textId="77777777" w:rsidR="00251D72" w:rsidRDefault="00251D72">
            <w:pPr>
              <w:pStyle w:val="a3"/>
              <w:spacing w:before="0" w:beforeAutospacing="0" w:after="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86" w:type="pct"/>
            <w:shd w:val="clear" w:color="auto" w:fill="CFF0FC"/>
            <w:tcMar>
              <w:top w:w="15" w:type="dxa"/>
              <w:left w:w="0" w:type="dxa"/>
              <w:bottom w:w="0" w:type="dxa"/>
              <w:right w:w="15" w:type="dxa"/>
            </w:tcMar>
            <w:vAlign w:val="bottom"/>
            <w:hideMark/>
          </w:tcPr>
          <w:p w14:paraId="1B8045F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3089B4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C38B886"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518</w:t>
            </w:r>
          </w:p>
        </w:tc>
        <w:tc>
          <w:tcPr>
            <w:tcW w:w="50" w:type="pct"/>
            <w:shd w:val="clear" w:color="auto" w:fill="CFF0FC"/>
            <w:noWrap/>
            <w:tcMar>
              <w:top w:w="15" w:type="dxa"/>
              <w:left w:w="0" w:type="dxa"/>
              <w:bottom w:w="0" w:type="dxa"/>
              <w:right w:w="15" w:type="dxa"/>
            </w:tcMar>
            <w:vAlign w:val="bottom"/>
            <w:hideMark/>
          </w:tcPr>
          <w:p w14:paraId="470BB117"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CFF0FC"/>
            <w:tcMar>
              <w:top w:w="15" w:type="dxa"/>
              <w:left w:w="0" w:type="dxa"/>
              <w:bottom w:w="0" w:type="dxa"/>
              <w:right w:w="15" w:type="dxa"/>
            </w:tcMar>
            <w:vAlign w:val="bottom"/>
            <w:hideMark/>
          </w:tcPr>
          <w:p w14:paraId="269592FA"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3344F9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8DD6A36"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505</w:t>
            </w:r>
          </w:p>
        </w:tc>
        <w:tc>
          <w:tcPr>
            <w:tcW w:w="50" w:type="pct"/>
            <w:shd w:val="clear" w:color="auto" w:fill="CFF0FC"/>
            <w:noWrap/>
            <w:tcMar>
              <w:top w:w="15" w:type="dxa"/>
              <w:left w:w="0" w:type="dxa"/>
              <w:bottom w:w="0" w:type="dxa"/>
              <w:right w:w="15" w:type="dxa"/>
            </w:tcMar>
            <w:vAlign w:val="bottom"/>
            <w:hideMark/>
          </w:tcPr>
          <w:p w14:paraId="014048C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14604126" w14:textId="77777777">
        <w:trPr>
          <w:jc w:val="right"/>
        </w:trPr>
        <w:tc>
          <w:tcPr>
            <w:tcW w:w="3550" w:type="pct"/>
            <w:shd w:val="clear" w:color="auto" w:fill="FFFFFF"/>
            <w:tcMar>
              <w:top w:w="15" w:type="dxa"/>
              <w:left w:w="0" w:type="dxa"/>
              <w:bottom w:w="0" w:type="dxa"/>
              <w:right w:w="15" w:type="dxa"/>
            </w:tcMar>
            <w:hideMark/>
          </w:tcPr>
          <w:p w14:paraId="4B2FCF0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86" w:type="pct"/>
            <w:shd w:val="clear" w:color="auto" w:fill="FFFFFF"/>
            <w:tcMar>
              <w:top w:w="15" w:type="dxa"/>
              <w:left w:w="0" w:type="dxa"/>
              <w:bottom w:w="0" w:type="dxa"/>
              <w:right w:w="15" w:type="dxa"/>
            </w:tcMar>
            <w:vAlign w:val="bottom"/>
            <w:hideMark/>
          </w:tcPr>
          <w:p w14:paraId="04275CD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52057F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14:paraId="74DCD9EE"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963</w:t>
            </w:r>
          </w:p>
        </w:tc>
        <w:tc>
          <w:tcPr>
            <w:tcW w:w="50" w:type="pct"/>
            <w:shd w:val="clear" w:color="auto" w:fill="FFFFFF"/>
            <w:noWrap/>
            <w:tcMar>
              <w:top w:w="15" w:type="dxa"/>
              <w:left w:w="0" w:type="dxa"/>
              <w:bottom w:w="0" w:type="dxa"/>
              <w:right w:w="15" w:type="dxa"/>
            </w:tcMar>
            <w:vAlign w:val="bottom"/>
            <w:hideMark/>
          </w:tcPr>
          <w:p w14:paraId="57A168E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FFFFFF"/>
            <w:tcMar>
              <w:top w:w="15" w:type="dxa"/>
              <w:left w:w="0" w:type="dxa"/>
              <w:bottom w:w="0" w:type="dxa"/>
              <w:right w:w="15" w:type="dxa"/>
            </w:tcMar>
            <w:vAlign w:val="bottom"/>
            <w:hideMark/>
          </w:tcPr>
          <w:p w14:paraId="664195D1"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D1D6C7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14:paraId="6CD6B62B"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921</w:t>
            </w:r>
          </w:p>
        </w:tc>
        <w:tc>
          <w:tcPr>
            <w:tcW w:w="50" w:type="pct"/>
            <w:shd w:val="clear" w:color="auto" w:fill="FFFFFF"/>
            <w:noWrap/>
            <w:tcMar>
              <w:top w:w="15" w:type="dxa"/>
              <w:left w:w="0" w:type="dxa"/>
              <w:bottom w:w="0" w:type="dxa"/>
              <w:right w:w="15" w:type="dxa"/>
            </w:tcMar>
            <w:vAlign w:val="bottom"/>
            <w:hideMark/>
          </w:tcPr>
          <w:p w14:paraId="04177E98"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286ADFE2" w14:textId="77777777">
        <w:trPr>
          <w:jc w:val="right"/>
        </w:trPr>
        <w:tc>
          <w:tcPr>
            <w:tcW w:w="3550" w:type="pct"/>
            <w:shd w:val="clear" w:color="auto" w:fill="CFF0FC"/>
            <w:tcMar>
              <w:top w:w="15" w:type="dxa"/>
              <w:left w:w="0" w:type="dxa"/>
              <w:bottom w:w="0" w:type="dxa"/>
              <w:right w:w="15" w:type="dxa"/>
            </w:tcMar>
            <w:hideMark/>
          </w:tcPr>
          <w:p w14:paraId="4BAFFD8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86" w:type="pct"/>
            <w:shd w:val="clear" w:color="auto" w:fill="CFF0FC"/>
            <w:tcMar>
              <w:top w:w="15" w:type="dxa"/>
              <w:left w:w="0" w:type="dxa"/>
              <w:bottom w:w="0" w:type="dxa"/>
              <w:right w:w="15" w:type="dxa"/>
            </w:tcMar>
            <w:vAlign w:val="bottom"/>
            <w:hideMark/>
          </w:tcPr>
          <w:p w14:paraId="399F3DFA"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2D19704B"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shd w:val="clear" w:color="auto" w:fill="CFF0FC"/>
            <w:noWrap/>
            <w:tcMar>
              <w:top w:w="15" w:type="dxa"/>
              <w:left w:w="0" w:type="dxa"/>
              <w:bottom w:w="0" w:type="dxa"/>
              <w:right w:w="15" w:type="dxa"/>
            </w:tcMar>
            <w:vAlign w:val="bottom"/>
            <w:hideMark/>
          </w:tcPr>
          <w:p w14:paraId="43F5CA3B"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172</w:t>
            </w:r>
          </w:p>
        </w:tc>
        <w:tc>
          <w:tcPr>
            <w:tcW w:w="50" w:type="pct"/>
            <w:shd w:val="clear" w:color="auto" w:fill="CFF0FC"/>
            <w:noWrap/>
            <w:tcMar>
              <w:top w:w="15" w:type="dxa"/>
              <w:left w:w="0" w:type="dxa"/>
              <w:bottom w:w="0" w:type="dxa"/>
              <w:right w:w="15" w:type="dxa"/>
            </w:tcMar>
            <w:vAlign w:val="bottom"/>
            <w:hideMark/>
          </w:tcPr>
          <w:p w14:paraId="475C233B"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CFF0FC"/>
            <w:tcMar>
              <w:top w:w="15" w:type="dxa"/>
              <w:left w:w="0" w:type="dxa"/>
              <w:bottom w:w="0" w:type="dxa"/>
              <w:right w:w="15" w:type="dxa"/>
            </w:tcMar>
            <w:vAlign w:val="bottom"/>
            <w:hideMark/>
          </w:tcPr>
          <w:p w14:paraId="34C07A8E"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572A778C"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shd w:val="clear" w:color="auto" w:fill="CFF0FC"/>
            <w:noWrap/>
            <w:tcMar>
              <w:top w:w="15" w:type="dxa"/>
              <w:left w:w="0" w:type="dxa"/>
              <w:bottom w:w="0" w:type="dxa"/>
              <w:right w:w="15" w:type="dxa"/>
            </w:tcMar>
            <w:vAlign w:val="bottom"/>
            <w:hideMark/>
          </w:tcPr>
          <w:p w14:paraId="13390729"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180</w:t>
            </w:r>
          </w:p>
        </w:tc>
        <w:tc>
          <w:tcPr>
            <w:tcW w:w="50" w:type="pct"/>
            <w:shd w:val="clear" w:color="auto" w:fill="CFF0FC"/>
            <w:noWrap/>
            <w:tcMar>
              <w:top w:w="15" w:type="dxa"/>
              <w:left w:w="0" w:type="dxa"/>
              <w:bottom w:w="0" w:type="dxa"/>
              <w:right w:w="15" w:type="dxa"/>
            </w:tcMar>
            <w:vAlign w:val="bottom"/>
            <w:hideMark/>
          </w:tcPr>
          <w:p w14:paraId="0DD4667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048E3FE4" w14:textId="77777777">
        <w:trPr>
          <w:jc w:val="right"/>
        </w:trPr>
        <w:tc>
          <w:tcPr>
            <w:tcW w:w="3550" w:type="pct"/>
            <w:shd w:val="clear" w:color="auto" w:fill="FFFFFF"/>
            <w:tcMar>
              <w:top w:w="15" w:type="dxa"/>
              <w:left w:w="0" w:type="dxa"/>
              <w:bottom w:w="0" w:type="dxa"/>
              <w:right w:w="15" w:type="dxa"/>
            </w:tcMar>
            <w:hideMark/>
          </w:tcPr>
          <w:p w14:paraId="271BAAFC"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Acquisition related and other</w:t>
            </w:r>
          </w:p>
        </w:tc>
        <w:tc>
          <w:tcPr>
            <w:tcW w:w="86" w:type="pct"/>
            <w:shd w:val="clear" w:color="auto" w:fill="FFFFFF"/>
            <w:tcMar>
              <w:top w:w="15" w:type="dxa"/>
              <w:left w:w="0" w:type="dxa"/>
              <w:bottom w:w="0" w:type="dxa"/>
              <w:right w:w="15" w:type="dxa"/>
            </w:tcMar>
            <w:vAlign w:val="bottom"/>
            <w:hideMark/>
          </w:tcPr>
          <w:p w14:paraId="6B7B3CC4"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1D7266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65E86F1E"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noWrap/>
            <w:tcMar>
              <w:top w:w="15" w:type="dxa"/>
              <w:left w:w="0" w:type="dxa"/>
              <w:bottom w:w="0" w:type="dxa"/>
              <w:right w:w="15" w:type="dxa"/>
            </w:tcMar>
            <w:vAlign w:val="bottom"/>
            <w:hideMark/>
          </w:tcPr>
          <w:p w14:paraId="20FBB2E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FFFFFF"/>
            <w:tcMar>
              <w:top w:w="15" w:type="dxa"/>
              <w:left w:w="0" w:type="dxa"/>
              <w:bottom w:w="0" w:type="dxa"/>
              <w:right w:w="15" w:type="dxa"/>
            </w:tcMar>
            <w:vAlign w:val="bottom"/>
            <w:hideMark/>
          </w:tcPr>
          <w:p w14:paraId="730C36EA"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6A3A2C6"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3EA851D5"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w:t>
            </w:r>
          </w:p>
        </w:tc>
        <w:tc>
          <w:tcPr>
            <w:tcW w:w="50" w:type="pct"/>
            <w:shd w:val="clear" w:color="auto" w:fill="FFFFFF"/>
            <w:noWrap/>
            <w:tcMar>
              <w:top w:w="15" w:type="dxa"/>
              <w:left w:w="0" w:type="dxa"/>
              <w:bottom w:w="0" w:type="dxa"/>
              <w:right w:w="15" w:type="dxa"/>
            </w:tcMar>
            <w:vAlign w:val="bottom"/>
            <w:hideMark/>
          </w:tcPr>
          <w:p w14:paraId="5A58324B"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251D72" w14:paraId="2EA12EA2" w14:textId="77777777">
        <w:trPr>
          <w:jc w:val="right"/>
        </w:trPr>
        <w:tc>
          <w:tcPr>
            <w:tcW w:w="3550" w:type="pct"/>
            <w:shd w:val="clear" w:color="auto" w:fill="CFF0FC"/>
            <w:tcMar>
              <w:top w:w="15" w:type="dxa"/>
              <w:left w:w="0" w:type="dxa"/>
              <w:bottom w:w="0" w:type="dxa"/>
              <w:right w:w="15" w:type="dxa"/>
            </w:tcMar>
            <w:hideMark/>
          </w:tcPr>
          <w:p w14:paraId="6035BCBB" w14:textId="77777777" w:rsidR="00251D72" w:rsidRDefault="00251D72">
            <w:pPr>
              <w:pStyle w:val="a3"/>
              <w:spacing w:before="0" w:beforeAutospacing="0" w:after="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86" w:type="pct"/>
            <w:shd w:val="clear" w:color="auto" w:fill="CFF0FC"/>
            <w:tcMar>
              <w:top w:w="15" w:type="dxa"/>
              <w:left w:w="0" w:type="dxa"/>
              <w:bottom w:w="0" w:type="dxa"/>
              <w:right w:w="15" w:type="dxa"/>
            </w:tcMar>
            <w:vAlign w:val="bottom"/>
            <w:hideMark/>
          </w:tcPr>
          <w:p w14:paraId="089646E6"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82AADCA"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59D5C1"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1,653</w:t>
            </w:r>
          </w:p>
        </w:tc>
        <w:tc>
          <w:tcPr>
            <w:tcW w:w="50" w:type="pct"/>
            <w:shd w:val="clear" w:color="auto" w:fill="CFF0FC"/>
            <w:noWrap/>
            <w:tcMar>
              <w:top w:w="15" w:type="dxa"/>
              <w:left w:w="0" w:type="dxa"/>
              <w:bottom w:w="0" w:type="dxa"/>
              <w:right w:w="15" w:type="dxa"/>
            </w:tcMar>
            <w:vAlign w:val="bottom"/>
            <w:hideMark/>
          </w:tcPr>
          <w:p w14:paraId="596A2FDE"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CFF0FC"/>
            <w:tcMar>
              <w:top w:w="15" w:type="dxa"/>
              <w:left w:w="0" w:type="dxa"/>
              <w:bottom w:w="0" w:type="dxa"/>
              <w:right w:w="15" w:type="dxa"/>
            </w:tcMar>
            <w:vAlign w:val="bottom"/>
            <w:hideMark/>
          </w:tcPr>
          <w:p w14:paraId="59BB40EC"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FB67F7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743E67F"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1,607</w:t>
            </w:r>
          </w:p>
        </w:tc>
        <w:tc>
          <w:tcPr>
            <w:tcW w:w="50" w:type="pct"/>
            <w:shd w:val="clear" w:color="auto" w:fill="CFF0FC"/>
            <w:noWrap/>
            <w:tcMar>
              <w:top w:w="15" w:type="dxa"/>
              <w:left w:w="0" w:type="dxa"/>
              <w:bottom w:w="0" w:type="dxa"/>
              <w:right w:w="15" w:type="dxa"/>
            </w:tcMar>
            <w:vAlign w:val="bottom"/>
            <w:hideMark/>
          </w:tcPr>
          <w:p w14:paraId="22EE64E3"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886D257" w14:textId="77777777" w:rsidR="00251D72" w:rsidRDefault="00251D72">
      <w:pPr>
        <w:pStyle w:val="a3"/>
        <w:spacing w:before="120" w:beforeAutospacing="0" w:after="0" w:afterAutospacing="0"/>
        <w:ind w:left="357"/>
        <w:jc w:val="both"/>
        <w:rPr>
          <w:rFonts w:ascii="Calibri" w:hAnsi="Calibri" w:cs="Calibri"/>
          <w:sz w:val="15"/>
          <w:szCs w:val="15"/>
        </w:rPr>
      </w:pPr>
      <w:r>
        <w:rPr>
          <w:rFonts w:ascii="Calibri" w:hAnsi="Calibri" w:cs="Calibri"/>
          <w:sz w:val="15"/>
          <w:szCs w:val="15"/>
        </w:rPr>
        <w:t xml:space="preserve">Stock-based compensation included in acquisition related and other expenses resulted from unvested stock options and restricted stock-based awards assumed from acquisitions whose vesting was accelerated generally upon termination of the employees pursuant to the terms of those stock options and restricted stock-based awards. </w:t>
      </w:r>
    </w:p>
    <w:tbl>
      <w:tblPr>
        <w:tblW w:w="5000" w:type="pct"/>
        <w:tblCellMar>
          <w:left w:w="0" w:type="dxa"/>
          <w:right w:w="0" w:type="dxa"/>
        </w:tblCellMar>
        <w:tblLook w:val="04A0" w:firstRow="1" w:lastRow="0" w:firstColumn="1" w:lastColumn="0" w:noHBand="0" w:noVBand="1"/>
      </w:tblPr>
      <w:tblGrid>
        <w:gridCol w:w="319"/>
        <w:gridCol w:w="7987"/>
      </w:tblGrid>
      <w:tr w:rsidR="00251D72" w14:paraId="0922894D" w14:textId="77777777">
        <w:tc>
          <w:tcPr>
            <w:tcW w:w="192" w:type="pct"/>
            <w:noWrap/>
            <w:hideMark/>
          </w:tcPr>
          <w:p w14:paraId="67405D79"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(7)</w:t>
            </w:r>
          </w:p>
        </w:tc>
        <w:tc>
          <w:tcPr>
            <w:tcW w:w="0" w:type="auto"/>
            <w:hideMark/>
          </w:tcPr>
          <w:p w14:paraId="2B4ECD31"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color w:val="000000"/>
                <w:sz w:val="15"/>
                <w:szCs w:val="15"/>
              </w:rPr>
              <w:t xml:space="preserve">For fiscal 2019 and 2018, the applicable jurisdictional tax rates applied to our income before provision for income taxes after excluding the tax effects of items within the table above such as for stock-based compensation, amortization of intangible assets, restructuring, and certain other acquisition related items; after excluding the effects of income tax reform (see footnote (8) below); and, for fiscal 2019, after excluding a tax benefit arising from the increase of a deferred tax asset associated with a partial realignment of our legal structure; resulted in an effective tax rate of 18.5% and 20.8% in fiscal 2019 and 2018, respectively, instead of 9.7% and 71.1%, respectively, which represented our effective tax rates as derived per our consolidated statements of operations. </w:t>
            </w:r>
          </w:p>
        </w:tc>
      </w:tr>
    </w:tbl>
    <w:p w14:paraId="0CFA00CE"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09333B77" w14:textId="77777777">
        <w:tc>
          <w:tcPr>
            <w:tcW w:w="192" w:type="pct"/>
            <w:noWrap/>
            <w:hideMark/>
          </w:tcPr>
          <w:p w14:paraId="6DFD8A4B"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 xml:space="preserve">(8) </w:t>
            </w:r>
          </w:p>
        </w:tc>
        <w:tc>
          <w:tcPr>
            <w:tcW w:w="0" w:type="auto"/>
            <w:hideMark/>
          </w:tcPr>
          <w:p w14:paraId="32AF4693"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color w:val="000000"/>
                <w:sz w:val="15"/>
                <w:szCs w:val="15"/>
              </w:rPr>
              <w:t>The income tax reform adjustments presented in the table above were due to the enactment of the Tax Act (refer to Note 1 of Notes to Consolidated Financial Statements included elsewhere in this Annual Report), which was effective for us in fiscal 2018, and also due to subsequent income tax expense adjustments made pursuant to SAB 118 during fiscal 2019.</w:t>
            </w:r>
          </w:p>
        </w:tc>
      </w:tr>
    </w:tbl>
    <w:p w14:paraId="0D7CF157"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Cloud and License Business</w:t>
      </w:r>
    </w:p>
    <w:p w14:paraId="0D43576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cloud and license business engages in the sale, marketing and delivery of our applications and infrastructure technologies through various deployment models, including Oracle Cloud Services offerings, cloud license and on-premise license offerings and license support offerings. Oracle Cloud Services deliver certain of our applications and infrastructure technologies on a subscription basis via cloud-based deployment models that we develop, provide unspecified updates and enhancements for, host, manage, upgrade and support. Our cloud services revenues are generally recognized over the contractual term, which is generally one to three years, or in the case of usage model contracts, as the cloud services are consumed. Cloud license and on-premise license revenues represent fees earned from granting customers licenses, generally on a perpetual basis, to use our database and middleware and our applications software products within cloud and on-premise IT environments and are generally recognized upfront at the point in time when the software is made available to the customer to download and use. License support revenues are typically generated through the sale of license support contracts related to cloud licenses and on-premise licenses purchased and renewed by our customers at their option and are generally recognized as revenues ratably over the contractual term, which is generally one year. We continue to place significant emphasis, both domestically and internationally, on direct sales through our own sales force. We also continue to market certain of our offerings through indirect channels. Costs associated with our cloud and license business are included in cloud services and license support expenses, and sales and marketing expenses. These costs are largely personnel and infrastructure related including the cost of providing our cloud services and license support offerings, salaries and commissions earned by our sales force for the sale of our cloud and license offerings, and marketing program costs.</w:t>
      </w:r>
    </w:p>
    <w:p w14:paraId="6B7D8247"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47</w:t>
      </w:r>
    </w:p>
    <w:p w14:paraId="48FBD8E6" w14:textId="77777777" w:rsidR="00251D72" w:rsidRDefault="00251D72">
      <w:pPr>
        <w:rPr>
          <w:rFonts w:ascii="Times New Roman" w:eastAsia="Times New Roman" w:hAnsi="Times New Roman" w:cs="Times New Roman"/>
          <w:sz w:val="24"/>
          <w:szCs w:val="24"/>
        </w:rPr>
      </w:pPr>
      <w:r>
        <w:rPr>
          <w:rFonts w:eastAsia="Times New Roman"/>
        </w:rPr>
        <w:pict w14:anchorId="44725223">
          <v:rect id="_x0000_i1073" style="width:415.3pt;height:1.5pt" o:hralign="center" o:hrstd="t" o:hr="t" fillcolor="#a0a0a0" stroked="f"/>
        </w:pict>
      </w:r>
    </w:p>
    <w:p w14:paraId="00BCDA2F"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680ADC64"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3B5E5B0" w14:textId="77777777" w:rsidR="00251D72" w:rsidRDefault="00251D72">
      <w:pPr>
        <w:pStyle w:val="a3"/>
        <w:spacing w:before="120" w:beforeAutospacing="0" w:after="0" w:afterAutospacing="0"/>
        <w:rPr>
          <w:sz w:val="20"/>
          <w:szCs w:val="20"/>
        </w:rPr>
      </w:pPr>
      <w:r>
        <w:rPr>
          <w:sz w:val="20"/>
          <w:szCs w:val="20"/>
        </w:rPr>
        <w:t> </w:t>
      </w:r>
    </w:p>
    <w:p w14:paraId="74394B74" w14:textId="77777777" w:rsidR="00251D72" w:rsidRDefault="00251D72">
      <w:pPr>
        <w:pStyle w:val="a3"/>
        <w:spacing w:before="0" w:beforeAutospacing="0" w:after="0" w:afterAutospacing="0"/>
        <w:rPr>
          <w:sz w:val="12"/>
          <w:szCs w:val="12"/>
        </w:rPr>
      </w:pPr>
      <w:bookmarkStart w:id="62" w:name="_AEIOULastRenderedPageBreakAEIOU50"/>
      <w:bookmarkEnd w:id="62"/>
      <w:r>
        <w:rPr>
          <w:sz w:val="12"/>
          <w:szCs w:val="12"/>
        </w:rPr>
        <w:t> </w:t>
      </w:r>
    </w:p>
    <w:tbl>
      <w:tblPr>
        <w:tblW w:w="5000" w:type="pct"/>
        <w:jc w:val="center"/>
        <w:tblCellMar>
          <w:left w:w="0" w:type="dxa"/>
          <w:right w:w="0" w:type="dxa"/>
        </w:tblCellMar>
        <w:tblLook w:val="04A0" w:firstRow="1" w:lastRow="0" w:firstColumn="1" w:lastColumn="0" w:noHBand="0" w:noVBand="1"/>
      </w:tblPr>
      <w:tblGrid>
        <w:gridCol w:w="3735"/>
        <w:gridCol w:w="152"/>
        <w:gridCol w:w="107"/>
        <w:gridCol w:w="813"/>
        <w:gridCol w:w="79"/>
        <w:gridCol w:w="152"/>
        <w:gridCol w:w="979"/>
        <w:gridCol w:w="152"/>
        <w:gridCol w:w="981"/>
        <w:gridCol w:w="152"/>
        <w:gridCol w:w="107"/>
        <w:gridCol w:w="818"/>
        <w:gridCol w:w="79"/>
      </w:tblGrid>
      <w:tr w:rsidR="00251D72" w14:paraId="043C7417" w14:textId="77777777">
        <w:trPr>
          <w:divId w:val="1099451378"/>
          <w:jc w:val="center"/>
        </w:trPr>
        <w:tc>
          <w:tcPr>
            <w:tcW w:w="2251" w:type="pct"/>
            <w:shd w:val="clear" w:color="auto" w:fill="FFFFFF"/>
            <w:tcMar>
              <w:top w:w="15" w:type="dxa"/>
              <w:left w:w="0" w:type="dxa"/>
              <w:bottom w:w="0" w:type="dxa"/>
              <w:right w:w="15" w:type="dxa"/>
            </w:tcMar>
            <w:vAlign w:val="center"/>
            <w:hideMark/>
          </w:tcPr>
          <w:p w14:paraId="55109C06" w14:textId="77777777" w:rsidR="00251D72" w:rsidRDefault="00251D72">
            <w:pPr>
              <w:pStyle w:val="a3"/>
              <w:spacing w:before="0" w:beforeAutospacing="0" w:after="0" w:afterAutospacing="0"/>
              <w:rPr>
                <w:sz w:val="15"/>
                <w:szCs w:val="15"/>
              </w:rPr>
            </w:pPr>
            <w:r>
              <w:rPr>
                <w:sz w:val="15"/>
                <w:szCs w:val="15"/>
              </w:rPr>
              <w:t> </w:t>
            </w:r>
          </w:p>
        </w:tc>
        <w:tc>
          <w:tcPr>
            <w:tcW w:w="94" w:type="pct"/>
            <w:shd w:val="clear" w:color="auto" w:fill="FFFFFF"/>
            <w:tcMar>
              <w:top w:w="15" w:type="dxa"/>
              <w:left w:w="0" w:type="dxa"/>
              <w:bottom w:w="0" w:type="dxa"/>
              <w:right w:w="15" w:type="dxa"/>
            </w:tcMar>
            <w:vAlign w:val="bottom"/>
            <w:hideMark/>
          </w:tcPr>
          <w:p w14:paraId="793E67D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604" w:type="pct"/>
            <w:gridSpan w:val="10"/>
            <w:tcBorders>
              <w:bottom w:val="single" w:sz="6" w:space="0" w:color="000000"/>
            </w:tcBorders>
            <w:shd w:val="clear" w:color="auto" w:fill="FFFFFF"/>
            <w:tcMar>
              <w:top w:w="15" w:type="dxa"/>
              <w:left w:w="0" w:type="dxa"/>
              <w:bottom w:w="0" w:type="dxa"/>
              <w:right w:w="15" w:type="dxa"/>
            </w:tcMar>
            <w:vAlign w:val="bottom"/>
            <w:hideMark/>
          </w:tcPr>
          <w:p w14:paraId="6A21D4B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2EEAE41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E98FCA6" w14:textId="77777777">
        <w:trPr>
          <w:divId w:val="1099451378"/>
          <w:jc w:val="center"/>
        </w:trPr>
        <w:tc>
          <w:tcPr>
            <w:tcW w:w="2251" w:type="pct"/>
            <w:shd w:val="clear" w:color="auto" w:fill="FFFFFF"/>
            <w:tcMar>
              <w:top w:w="15" w:type="dxa"/>
              <w:left w:w="0" w:type="dxa"/>
              <w:bottom w:w="0" w:type="dxa"/>
              <w:right w:w="15" w:type="dxa"/>
            </w:tcMar>
            <w:vAlign w:val="center"/>
            <w:hideMark/>
          </w:tcPr>
          <w:p w14:paraId="1E3E38E6" w14:textId="77777777" w:rsidR="00251D72" w:rsidRDefault="00251D72">
            <w:pPr>
              <w:pStyle w:val="a3"/>
              <w:spacing w:before="0" w:beforeAutospacing="0" w:after="0" w:afterAutospacing="0"/>
              <w:rPr>
                <w:rFonts w:ascii="Calibri" w:hAnsi="Calibri" w:cs="Calibri"/>
                <w:b/>
                <w:bCs/>
                <w:color w:val="000000"/>
                <w:sz w:val="15"/>
                <w:szCs w:val="15"/>
              </w:rPr>
            </w:pPr>
            <w:bookmarkStart w:id="63" w:name="_Hlk11343077"/>
            <w:bookmarkEnd w:id="63"/>
            <w:r>
              <w:rPr>
                <w:rFonts w:ascii="Calibri" w:hAnsi="Calibri" w:cs="Calibri"/>
                <w:b/>
                <w:bCs/>
                <w:color w:val="000000"/>
                <w:sz w:val="15"/>
                <w:szCs w:val="15"/>
              </w:rPr>
              <w:t> </w:t>
            </w:r>
          </w:p>
        </w:tc>
        <w:tc>
          <w:tcPr>
            <w:tcW w:w="94" w:type="pct"/>
            <w:shd w:val="clear" w:color="auto" w:fill="FFFFFF"/>
            <w:tcMar>
              <w:top w:w="15" w:type="dxa"/>
              <w:left w:w="0" w:type="dxa"/>
              <w:bottom w:w="0" w:type="dxa"/>
              <w:right w:w="15" w:type="dxa"/>
            </w:tcMar>
            <w:vAlign w:val="bottom"/>
            <w:hideMark/>
          </w:tcPr>
          <w:p w14:paraId="54199F4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76004AD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tcBorders>
            <w:shd w:val="clear" w:color="auto" w:fill="FFFFFF"/>
            <w:noWrap/>
            <w:tcMar>
              <w:top w:w="15" w:type="dxa"/>
              <w:left w:w="0" w:type="dxa"/>
              <w:bottom w:w="0" w:type="dxa"/>
              <w:right w:w="15" w:type="dxa"/>
            </w:tcMar>
            <w:vAlign w:val="center"/>
            <w:hideMark/>
          </w:tcPr>
          <w:p w14:paraId="044346F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2405275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4" w:type="pct"/>
            <w:tcBorders>
              <w:top w:val="single" w:sz="6" w:space="0" w:color="000000"/>
            </w:tcBorders>
            <w:shd w:val="clear" w:color="auto" w:fill="FFFFFF"/>
            <w:tcMar>
              <w:top w:w="15" w:type="dxa"/>
              <w:left w:w="0" w:type="dxa"/>
              <w:bottom w:w="0" w:type="dxa"/>
              <w:right w:w="15" w:type="dxa"/>
            </w:tcMar>
            <w:vAlign w:val="center"/>
            <w:hideMark/>
          </w:tcPr>
          <w:p w14:paraId="74C36A1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279"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7C97EE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94" w:type="pct"/>
            <w:tcBorders>
              <w:top w:val="single" w:sz="6" w:space="0" w:color="000000"/>
            </w:tcBorders>
            <w:shd w:val="clear" w:color="auto" w:fill="FFFFFF"/>
            <w:tcMar>
              <w:top w:w="15" w:type="dxa"/>
              <w:left w:w="0" w:type="dxa"/>
              <w:bottom w:w="0" w:type="dxa"/>
              <w:right w:w="15" w:type="dxa"/>
            </w:tcMar>
            <w:vAlign w:val="center"/>
            <w:hideMark/>
          </w:tcPr>
          <w:p w14:paraId="5816EEB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02D19BA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tcBorders>
            <w:shd w:val="clear" w:color="auto" w:fill="FFFFFF"/>
            <w:noWrap/>
            <w:tcMar>
              <w:top w:w="15" w:type="dxa"/>
              <w:left w:w="0" w:type="dxa"/>
              <w:bottom w:w="0" w:type="dxa"/>
              <w:right w:w="15" w:type="dxa"/>
            </w:tcMar>
            <w:vAlign w:val="center"/>
            <w:hideMark/>
          </w:tcPr>
          <w:p w14:paraId="3E4E45F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5BDDFF5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93F8503" w14:textId="77777777">
        <w:trPr>
          <w:divId w:val="1099451378"/>
          <w:jc w:val="center"/>
        </w:trPr>
        <w:tc>
          <w:tcPr>
            <w:tcW w:w="2251" w:type="pct"/>
            <w:tcBorders>
              <w:bottom w:val="single" w:sz="6" w:space="0" w:color="000000"/>
            </w:tcBorders>
            <w:shd w:val="clear" w:color="auto" w:fill="FFFFFF"/>
            <w:tcMar>
              <w:top w:w="15" w:type="dxa"/>
              <w:left w:w="0" w:type="dxa"/>
              <w:bottom w:w="0" w:type="dxa"/>
              <w:right w:w="15" w:type="dxa"/>
            </w:tcMar>
            <w:vAlign w:val="bottom"/>
            <w:hideMark/>
          </w:tcPr>
          <w:p w14:paraId="7E2162E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94" w:type="pct"/>
            <w:shd w:val="clear" w:color="auto" w:fill="FFFFFF"/>
            <w:tcMar>
              <w:top w:w="15" w:type="dxa"/>
              <w:left w:w="0" w:type="dxa"/>
              <w:bottom w:w="0" w:type="dxa"/>
              <w:right w:w="15" w:type="dxa"/>
            </w:tcMar>
            <w:vAlign w:val="bottom"/>
            <w:hideMark/>
          </w:tcPr>
          <w:p w14:paraId="61DC998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42" w:type="pct"/>
            <w:gridSpan w:val="2"/>
            <w:tcBorders>
              <w:bottom w:val="single" w:sz="6" w:space="0" w:color="000000"/>
            </w:tcBorders>
            <w:shd w:val="clear" w:color="auto" w:fill="FFFFFF"/>
            <w:tcMar>
              <w:top w:w="15" w:type="dxa"/>
              <w:left w:w="0" w:type="dxa"/>
              <w:bottom w:w="0" w:type="dxa"/>
              <w:right w:w="15" w:type="dxa"/>
            </w:tcMar>
            <w:vAlign w:val="bottom"/>
            <w:hideMark/>
          </w:tcPr>
          <w:p w14:paraId="66FAA6E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8E119F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4" w:type="pct"/>
            <w:shd w:val="clear" w:color="auto" w:fill="FFFFFF"/>
            <w:tcMar>
              <w:top w:w="15" w:type="dxa"/>
              <w:left w:w="0" w:type="dxa"/>
              <w:bottom w:w="0" w:type="dxa"/>
              <w:right w:w="15" w:type="dxa"/>
            </w:tcMar>
            <w:vAlign w:val="bottom"/>
            <w:hideMark/>
          </w:tcPr>
          <w:p w14:paraId="2EAD3DB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9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2494E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94" w:type="pct"/>
            <w:tcBorders>
              <w:top w:val="single" w:sz="6" w:space="0" w:color="000000"/>
            </w:tcBorders>
            <w:shd w:val="clear" w:color="auto" w:fill="FFFFFF"/>
            <w:tcMar>
              <w:top w:w="15" w:type="dxa"/>
              <w:left w:w="0" w:type="dxa"/>
              <w:bottom w:w="0" w:type="dxa"/>
              <w:right w:w="15" w:type="dxa"/>
            </w:tcMar>
            <w:vAlign w:val="bottom"/>
            <w:hideMark/>
          </w:tcPr>
          <w:p w14:paraId="6171477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9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1CEBEF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94" w:type="pct"/>
            <w:shd w:val="clear" w:color="auto" w:fill="FFFFFF"/>
            <w:tcMar>
              <w:top w:w="15" w:type="dxa"/>
              <w:left w:w="0" w:type="dxa"/>
              <w:bottom w:w="0" w:type="dxa"/>
              <w:right w:w="15" w:type="dxa"/>
            </w:tcMar>
            <w:vAlign w:val="bottom"/>
            <w:hideMark/>
          </w:tcPr>
          <w:p w14:paraId="03813924"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42" w:type="pct"/>
            <w:gridSpan w:val="2"/>
            <w:tcBorders>
              <w:bottom w:val="single" w:sz="6" w:space="0" w:color="000000"/>
            </w:tcBorders>
            <w:shd w:val="clear" w:color="auto" w:fill="FFFFFF"/>
            <w:tcMar>
              <w:top w:w="15" w:type="dxa"/>
              <w:left w:w="0" w:type="dxa"/>
              <w:bottom w:w="0" w:type="dxa"/>
              <w:right w:w="15" w:type="dxa"/>
            </w:tcMar>
            <w:vAlign w:val="bottom"/>
            <w:hideMark/>
          </w:tcPr>
          <w:p w14:paraId="0F79D60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501463A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A5A40FC" w14:textId="77777777">
        <w:trPr>
          <w:divId w:val="1099451378"/>
          <w:jc w:val="center"/>
        </w:trPr>
        <w:tc>
          <w:tcPr>
            <w:tcW w:w="2251" w:type="pct"/>
            <w:tcBorders>
              <w:top w:val="single" w:sz="6" w:space="0" w:color="000000"/>
            </w:tcBorders>
            <w:shd w:val="clear" w:color="auto" w:fill="CFF0FC"/>
            <w:tcMar>
              <w:top w:w="15" w:type="dxa"/>
              <w:left w:w="0" w:type="dxa"/>
              <w:bottom w:w="0" w:type="dxa"/>
              <w:right w:w="15" w:type="dxa"/>
            </w:tcMar>
            <w:hideMark/>
          </w:tcPr>
          <w:p w14:paraId="54DE9649"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Cloud and License Revenues:</w:t>
            </w:r>
          </w:p>
        </w:tc>
        <w:tc>
          <w:tcPr>
            <w:tcW w:w="94" w:type="pct"/>
            <w:shd w:val="clear" w:color="auto" w:fill="CFF0FC"/>
            <w:tcMar>
              <w:top w:w="15" w:type="dxa"/>
              <w:left w:w="0" w:type="dxa"/>
              <w:bottom w:w="0" w:type="dxa"/>
              <w:right w:w="15" w:type="dxa"/>
            </w:tcMar>
            <w:vAlign w:val="bottom"/>
            <w:hideMark/>
          </w:tcPr>
          <w:p w14:paraId="7A38525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DBB11E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CFF0FC"/>
            <w:noWrap/>
            <w:tcMar>
              <w:top w:w="15" w:type="dxa"/>
              <w:left w:w="0" w:type="dxa"/>
              <w:bottom w:w="0" w:type="dxa"/>
              <w:right w:w="15" w:type="dxa"/>
            </w:tcMar>
            <w:vAlign w:val="bottom"/>
            <w:hideMark/>
          </w:tcPr>
          <w:p w14:paraId="6CAA4CA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C4B103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46BAB3E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tcBorders>
              <w:top w:val="single" w:sz="6" w:space="0" w:color="000000"/>
            </w:tcBorders>
            <w:shd w:val="clear" w:color="auto" w:fill="CFF0FC"/>
            <w:tcMar>
              <w:top w:w="15" w:type="dxa"/>
              <w:left w:w="0" w:type="dxa"/>
              <w:bottom w:w="0" w:type="dxa"/>
              <w:right w:w="15" w:type="dxa"/>
            </w:tcMar>
            <w:vAlign w:val="bottom"/>
            <w:hideMark/>
          </w:tcPr>
          <w:p w14:paraId="039554A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12DE58E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tcBorders>
              <w:top w:val="single" w:sz="6" w:space="0" w:color="000000"/>
            </w:tcBorders>
            <w:shd w:val="clear" w:color="auto" w:fill="CFF0FC"/>
            <w:tcMar>
              <w:top w:w="15" w:type="dxa"/>
              <w:left w:w="0" w:type="dxa"/>
              <w:bottom w:w="0" w:type="dxa"/>
              <w:right w:w="15" w:type="dxa"/>
            </w:tcMar>
            <w:vAlign w:val="bottom"/>
            <w:hideMark/>
          </w:tcPr>
          <w:p w14:paraId="77063B0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4513B84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91B7A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CFF0FC"/>
            <w:noWrap/>
            <w:tcMar>
              <w:top w:w="15" w:type="dxa"/>
              <w:left w:w="0" w:type="dxa"/>
              <w:bottom w:w="0" w:type="dxa"/>
              <w:right w:w="15" w:type="dxa"/>
            </w:tcMar>
            <w:vAlign w:val="bottom"/>
            <w:hideMark/>
          </w:tcPr>
          <w:p w14:paraId="113ED05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1CC6C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690B5BB" w14:textId="77777777">
        <w:trPr>
          <w:divId w:val="1099451378"/>
          <w:jc w:val="center"/>
        </w:trPr>
        <w:tc>
          <w:tcPr>
            <w:tcW w:w="2251" w:type="pct"/>
            <w:shd w:val="clear" w:color="auto" w:fill="FFFFFF"/>
            <w:tcMar>
              <w:top w:w="15" w:type="dxa"/>
              <w:left w:w="0" w:type="dxa"/>
              <w:bottom w:w="0" w:type="dxa"/>
              <w:right w:w="15" w:type="dxa"/>
            </w:tcMar>
            <w:hideMark/>
          </w:tcPr>
          <w:p w14:paraId="437BCC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Americas</w:t>
            </w:r>
            <w:r>
              <w:rPr>
                <w:rFonts w:ascii="Calibri" w:hAnsi="Calibri" w:cs="Calibri"/>
                <w:color w:val="000000"/>
                <w:sz w:val="15"/>
                <w:szCs w:val="15"/>
                <w:vertAlign w:val="superscript"/>
              </w:rPr>
              <w:t>(1)</w:t>
            </w:r>
          </w:p>
        </w:tc>
        <w:tc>
          <w:tcPr>
            <w:tcW w:w="94" w:type="pct"/>
            <w:shd w:val="clear" w:color="auto" w:fill="FFFFFF"/>
            <w:tcMar>
              <w:top w:w="15" w:type="dxa"/>
              <w:left w:w="0" w:type="dxa"/>
              <w:bottom w:w="0" w:type="dxa"/>
              <w:right w:w="15" w:type="dxa"/>
            </w:tcMar>
            <w:vAlign w:val="bottom"/>
            <w:hideMark/>
          </w:tcPr>
          <w:p w14:paraId="7F650D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2C7CF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FFFFFF"/>
            <w:noWrap/>
            <w:tcMar>
              <w:top w:w="15" w:type="dxa"/>
              <w:left w:w="0" w:type="dxa"/>
              <w:bottom w:w="0" w:type="dxa"/>
              <w:right w:w="15" w:type="dxa"/>
            </w:tcMar>
            <w:vAlign w:val="bottom"/>
            <w:hideMark/>
          </w:tcPr>
          <w:p w14:paraId="2660B93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18,410</w:t>
            </w:r>
          </w:p>
        </w:tc>
        <w:tc>
          <w:tcPr>
            <w:tcW w:w="50" w:type="pct"/>
            <w:shd w:val="clear" w:color="auto" w:fill="FFFFFF"/>
            <w:noWrap/>
            <w:tcMar>
              <w:top w:w="15" w:type="dxa"/>
              <w:left w:w="0" w:type="dxa"/>
              <w:bottom w:w="0" w:type="dxa"/>
              <w:right w:w="15" w:type="dxa"/>
            </w:tcMar>
            <w:vAlign w:val="bottom"/>
            <w:hideMark/>
          </w:tcPr>
          <w:p w14:paraId="67AD4EB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7EB27C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205F448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94" w:type="pct"/>
            <w:shd w:val="clear" w:color="auto" w:fill="FFFFFF"/>
            <w:tcMar>
              <w:top w:w="15" w:type="dxa"/>
              <w:left w:w="0" w:type="dxa"/>
              <w:bottom w:w="0" w:type="dxa"/>
              <w:right w:w="15" w:type="dxa"/>
            </w:tcMar>
            <w:vAlign w:val="bottom"/>
            <w:hideMark/>
          </w:tcPr>
          <w:p w14:paraId="01D46C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4D4A779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94" w:type="pct"/>
            <w:shd w:val="clear" w:color="auto" w:fill="FFFFFF"/>
            <w:tcMar>
              <w:top w:w="15" w:type="dxa"/>
              <w:left w:w="0" w:type="dxa"/>
              <w:bottom w:w="0" w:type="dxa"/>
              <w:right w:w="15" w:type="dxa"/>
            </w:tcMar>
            <w:vAlign w:val="bottom"/>
            <w:hideMark/>
          </w:tcPr>
          <w:p w14:paraId="3CDBDF7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A18946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FFFFFF"/>
            <w:noWrap/>
            <w:tcMar>
              <w:top w:w="15" w:type="dxa"/>
              <w:left w:w="0" w:type="dxa"/>
              <w:bottom w:w="0" w:type="dxa"/>
              <w:right w:w="15" w:type="dxa"/>
            </w:tcMar>
            <w:vAlign w:val="bottom"/>
            <w:hideMark/>
          </w:tcPr>
          <w:p w14:paraId="7C01E16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18,030</w:t>
            </w:r>
          </w:p>
        </w:tc>
        <w:tc>
          <w:tcPr>
            <w:tcW w:w="50" w:type="pct"/>
            <w:shd w:val="clear" w:color="auto" w:fill="FFFFFF"/>
            <w:noWrap/>
            <w:tcMar>
              <w:top w:w="15" w:type="dxa"/>
              <w:left w:w="0" w:type="dxa"/>
              <w:bottom w:w="0" w:type="dxa"/>
              <w:right w:w="15" w:type="dxa"/>
            </w:tcMar>
            <w:vAlign w:val="bottom"/>
            <w:hideMark/>
          </w:tcPr>
          <w:p w14:paraId="6F31DA4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B76797B" w14:textId="77777777">
        <w:trPr>
          <w:divId w:val="1099451378"/>
          <w:jc w:val="center"/>
        </w:trPr>
        <w:tc>
          <w:tcPr>
            <w:tcW w:w="2251" w:type="pct"/>
            <w:shd w:val="clear" w:color="auto" w:fill="CFF0FC"/>
            <w:tcMar>
              <w:top w:w="15" w:type="dxa"/>
              <w:left w:w="0" w:type="dxa"/>
              <w:bottom w:w="0" w:type="dxa"/>
              <w:right w:w="15" w:type="dxa"/>
            </w:tcMar>
            <w:hideMark/>
          </w:tcPr>
          <w:p w14:paraId="5898A73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EMEA</w:t>
            </w:r>
            <w:r>
              <w:rPr>
                <w:rFonts w:ascii="Calibri" w:hAnsi="Calibri" w:cs="Calibri"/>
                <w:color w:val="000000"/>
                <w:sz w:val="15"/>
                <w:szCs w:val="15"/>
                <w:vertAlign w:val="superscript"/>
              </w:rPr>
              <w:t>(1)</w:t>
            </w:r>
          </w:p>
        </w:tc>
        <w:tc>
          <w:tcPr>
            <w:tcW w:w="94" w:type="pct"/>
            <w:shd w:val="clear" w:color="auto" w:fill="CFF0FC"/>
            <w:tcMar>
              <w:top w:w="15" w:type="dxa"/>
              <w:left w:w="0" w:type="dxa"/>
              <w:bottom w:w="0" w:type="dxa"/>
              <w:right w:w="15" w:type="dxa"/>
            </w:tcMar>
            <w:vAlign w:val="bottom"/>
            <w:hideMark/>
          </w:tcPr>
          <w:p w14:paraId="7353D27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1BE88E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left w:w="0" w:type="dxa"/>
              <w:bottom w:w="0" w:type="dxa"/>
              <w:right w:w="15" w:type="dxa"/>
            </w:tcMar>
            <w:vAlign w:val="bottom"/>
            <w:hideMark/>
          </w:tcPr>
          <w:p w14:paraId="359800F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9,168</w:t>
            </w:r>
          </w:p>
        </w:tc>
        <w:tc>
          <w:tcPr>
            <w:tcW w:w="50" w:type="pct"/>
            <w:shd w:val="clear" w:color="auto" w:fill="CFF0FC"/>
            <w:noWrap/>
            <w:tcMar>
              <w:top w:w="15" w:type="dxa"/>
              <w:left w:w="0" w:type="dxa"/>
              <w:bottom w:w="0" w:type="dxa"/>
              <w:right w:w="15" w:type="dxa"/>
            </w:tcMar>
            <w:vAlign w:val="bottom"/>
            <w:hideMark/>
          </w:tcPr>
          <w:p w14:paraId="236A740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45F1F8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6EC4E2F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w:t>
            </w:r>
          </w:p>
        </w:tc>
        <w:tc>
          <w:tcPr>
            <w:tcW w:w="94" w:type="pct"/>
            <w:shd w:val="clear" w:color="auto" w:fill="CFF0FC"/>
            <w:tcMar>
              <w:top w:w="15" w:type="dxa"/>
              <w:left w:w="0" w:type="dxa"/>
              <w:bottom w:w="0" w:type="dxa"/>
              <w:right w:w="15" w:type="dxa"/>
            </w:tcMar>
            <w:vAlign w:val="bottom"/>
            <w:hideMark/>
          </w:tcPr>
          <w:p w14:paraId="1243B69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4AC13DD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94" w:type="pct"/>
            <w:shd w:val="clear" w:color="auto" w:fill="CFF0FC"/>
            <w:tcMar>
              <w:top w:w="15" w:type="dxa"/>
              <w:left w:w="0" w:type="dxa"/>
              <w:bottom w:w="0" w:type="dxa"/>
              <w:right w:w="15" w:type="dxa"/>
            </w:tcMar>
            <w:vAlign w:val="bottom"/>
            <w:hideMark/>
          </w:tcPr>
          <w:p w14:paraId="726E194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4CD81A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left w:w="0" w:type="dxa"/>
              <w:bottom w:w="0" w:type="dxa"/>
              <w:right w:w="15" w:type="dxa"/>
            </w:tcMar>
            <w:vAlign w:val="bottom"/>
            <w:hideMark/>
          </w:tcPr>
          <w:p w14:paraId="5AF3C60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9,163</w:t>
            </w:r>
          </w:p>
        </w:tc>
        <w:tc>
          <w:tcPr>
            <w:tcW w:w="50" w:type="pct"/>
            <w:shd w:val="clear" w:color="auto" w:fill="CFF0FC"/>
            <w:noWrap/>
            <w:tcMar>
              <w:top w:w="15" w:type="dxa"/>
              <w:left w:w="0" w:type="dxa"/>
              <w:bottom w:w="0" w:type="dxa"/>
              <w:right w:w="15" w:type="dxa"/>
            </w:tcMar>
            <w:vAlign w:val="bottom"/>
            <w:hideMark/>
          </w:tcPr>
          <w:p w14:paraId="5501A72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4F84A36" w14:textId="77777777">
        <w:trPr>
          <w:divId w:val="1099451378"/>
          <w:jc w:val="center"/>
        </w:trPr>
        <w:tc>
          <w:tcPr>
            <w:tcW w:w="2251" w:type="pct"/>
            <w:shd w:val="clear" w:color="auto" w:fill="FFFFFF"/>
            <w:tcMar>
              <w:top w:w="15" w:type="dxa"/>
              <w:left w:w="0" w:type="dxa"/>
              <w:bottom w:w="0" w:type="dxa"/>
              <w:right w:w="15" w:type="dxa"/>
            </w:tcMar>
            <w:hideMark/>
          </w:tcPr>
          <w:p w14:paraId="4B1F36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Asia Pacific</w:t>
            </w:r>
            <w:r>
              <w:rPr>
                <w:rFonts w:ascii="Calibri" w:hAnsi="Calibri" w:cs="Calibri"/>
                <w:color w:val="000000"/>
                <w:sz w:val="15"/>
                <w:szCs w:val="15"/>
                <w:vertAlign w:val="superscript"/>
              </w:rPr>
              <w:t>(1)</w:t>
            </w:r>
          </w:p>
        </w:tc>
        <w:tc>
          <w:tcPr>
            <w:tcW w:w="94" w:type="pct"/>
            <w:shd w:val="clear" w:color="auto" w:fill="FFFFFF"/>
            <w:tcMar>
              <w:top w:w="15" w:type="dxa"/>
              <w:left w:w="0" w:type="dxa"/>
              <w:bottom w:w="0" w:type="dxa"/>
              <w:right w:w="15" w:type="dxa"/>
            </w:tcMar>
            <w:vAlign w:val="bottom"/>
            <w:hideMark/>
          </w:tcPr>
          <w:p w14:paraId="07713BE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E13A9B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left w:w="0" w:type="dxa"/>
              <w:bottom w:w="0" w:type="dxa"/>
              <w:right w:w="15" w:type="dxa"/>
            </w:tcMar>
            <w:vAlign w:val="bottom"/>
            <w:hideMark/>
          </w:tcPr>
          <w:p w14:paraId="7361BB8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5,004</w:t>
            </w:r>
          </w:p>
        </w:tc>
        <w:tc>
          <w:tcPr>
            <w:tcW w:w="50" w:type="pct"/>
            <w:shd w:val="clear" w:color="auto" w:fill="FFFFFF"/>
            <w:noWrap/>
            <w:tcMar>
              <w:top w:w="15" w:type="dxa"/>
              <w:left w:w="0" w:type="dxa"/>
              <w:bottom w:w="0" w:type="dxa"/>
              <w:right w:w="15" w:type="dxa"/>
            </w:tcMar>
            <w:vAlign w:val="bottom"/>
            <w:hideMark/>
          </w:tcPr>
          <w:p w14:paraId="0764D84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42CAF84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7FA3DB1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94" w:type="pct"/>
            <w:shd w:val="clear" w:color="auto" w:fill="FFFFFF"/>
            <w:tcMar>
              <w:top w:w="15" w:type="dxa"/>
              <w:left w:w="0" w:type="dxa"/>
              <w:bottom w:w="0" w:type="dxa"/>
              <w:right w:w="15" w:type="dxa"/>
            </w:tcMar>
            <w:vAlign w:val="bottom"/>
            <w:hideMark/>
          </w:tcPr>
          <w:p w14:paraId="4C18E1A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719513C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w:t>
            </w:r>
          </w:p>
        </w:tc>
        <w:tc>
          <w:tcPr>
            <w:tcW w:w="94" w:type="pct"/>
            <w:shd w:val="clear" w:color="auto" w:fill="FFFFFF"/>
            <w:tcMar>
              <w:top w:w="15" w:type="dxa"/>
              <w:left w:w="0" w:type="dxa"/>
              <w:bottom w:w="0" w:type="dxa"/>
              <w:right w:w="15" w:type="dxa"/>
            </w:tcMar>
            <w:vAlign w:val="bottom"/>
            <w:hideMark/>
          </w:tcPr>
          <w:p w14:paraId="7F2503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A07EEE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left w:w="0" w:type="dxa"/>
              <w:bottom w:w="0" w:type="dxa"/>
              <w:right w:w="15" w:type="dxa"/>
            </w:tcMar>
            <w:vAlign w:val="bottom"/>
            <w:hideMark/>
          </w:tcPr>
          <w:p w14:paraId="2D650A8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4,848</w:t>
            </w:r>
          </w:p>
        </w:tc>
        <w:tc>
          <w:tcPr>
            <w:tcW w:w="50" w:type="pct"/>
            <w:shd w:val="clear" w:color="auto" w:fill="FFFFFF"/>
            <w:noWrap/>
            <w:tcMar>
              <w:top w:w="15" w:type="dxa"/>
              <w:left w:w="0" w:type="dxa"/>
              <w:bottom w:w="0" w:type="dxa"/>
              <w:right w:w="15" w:type="dxa"/>
            </w:tcMar>
            <w:vAlign w:val="bottom"/>
            <w:hideMark/>
          </w:tcPr>
          <w:p w14:paraId="1851CB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CCEC6F4" w14:textId="77777777">
        <w:trPr>
          <w:divId w:val="1099451378"/>
          <w:jc w:val="center"/>
        </w:trPr>
        <w:tc>
          <w:tcPr>
            <w:tcW w:w="2251" w:type="pct"/>
            <w:shd w:val="clear" w:color="auto" w:fill="CFF0FC"/>
            <w:tcMar>
              <w:top w:w="15" w:type="dxa"/>
              <w:left w:w="0" w:type="dxa"/>
              <w:bottom w:w="0" w:type="dxa"/>
              <w:right w:w="15" w:type="dxa"/>
            </w:tcMar>
            <w:hideMark/>
          </w:tcPr>
          <w:p w14:paraId="1443BE41"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 revenues</w:t>
            </w:r>
            <w:r>
              <w:rPr>
                <w:rFonts w:ascii="Calibri" w:hAnsi="Calibri" w:cs="Calibri"/>
                <w:color w:val="000000"/>
                <w:sz w:val="15"/>
                <w:szCs w:val="15"/>
                <w:vertAlign w:val="superscript"/>
              </w:rPr>
              <w:t>(1)</w:t>
            </w:r>
          </w:p>
        </w:tc>
        <w:tc>
          <w:tcPr>
            <w:tcW w:w="94" w:type="pct"/>
            <w:shd w:val="clear" w:color="auto" w:fill="CFF0FC"/>
            <w:tcMar>
              <w:top w:w="15" w:type="dxa"/>
              <w:left w:w="0" w:type="dxa"/>
              <w:bottom w:w="0" w:type="dxa"/>
              <w:right w:w="15" w:type="dxa"/>
            </w:tcMar>
            <w:vAlign w:val="bottom"/>
            <w:hideMark/>
          </w:tcPr>
          <w:p w14:paraId="05E685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7A6E5A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CFF0FC"/>
            <w:noWrap/>
            <w:tcMar>
              <w:top w:w="15" w:type="dxa"/>
              <w:left w:w="0" w:type="dxa"/>
              <w:bottom w:w="0" w:type="dxa"/>
              <w:right w:w="15" w:type="dxa"/>
            </w:tcMar>
            <w:vAlign w:val="bottom"/>
            <w:hideMark/>
          </w:tcPr>
          <w:p w14:paraId="58C61B8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32,582</w:t>
            </w:r>
          </w:p>
        </w:tc>
        <w:tc>
          <w:tcPr>
            <w:tcW w:w="50" w:type="pct"/>
            <w:shd w:val="clear" w:color="auto" w:fill="CFF0FC"/>
            <w:noWrap/>
            <w:tcMar>
              <w:top w:w="15" w:type="dxa"/>
              <w:left w:w="0" w:type="dxa"/>
              <w:bottom w:w="0" w:type="dxa"/>
              <w:right w:w="15" w:type="dxa"/>
            </w:tcMar>
            <w:vAlign w:val="bottom"/>
            <w:hideMark/>
          </w:tcPr>
          <w:p w14:paraId="4319EED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54ED8DA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3860BCD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94" w:type="pct"/>
            <w:shd w:val="clear" w:color="auto" w:fill="CFF0FC"/>
            <w:tcMar>
              <w:top w:w="15" w:type="dxa"/>
              <w:left w:w="0" w:type="dxa"/>
              <w:bottom w:w="0" w:type="dxa"/>
              <w:right w:w="15" w:type="dxa"/>
            </w:tcMar>
            <w:vAlign w:val="bottom"/>
            <w:hideMark/>
          </w:tcPr>
          <w:p w14:paraId="7239C7F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2DB9479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94" w:type="pct"/>
            <w:shd w:val="clear" w:color="auto" w:fill="CFF0FC"/>
            <w:tcMar>
              <w:top w:w="15" w:type="dxa"/>
              <w:left w:w="0" w:type="dxa"/>
              <w:bottom w:w="0" w:type="dxa"/>
              <w:right w:w="15" w:type="dxa"/>
            </w:tcMar>
            <w:vAlign w:val="bottom"/>
            <w:hideMark/>
          </w:tcPr>
          <w:p w14:paraId="37FC453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3F9501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CFF0FC"/>
            <w:noWrap/>
            <w:tcMar>
              <w:top w:w="15" w:type="dxa"/>
              <w:left w:w="0" w:type="dxa"/>
              <w:bottom w:w="0" w:type="dxa"/>
              <w:right w:w="15" w:type="dxa"/>
            </w:tcMar>
            <w:vAlign w:val="bottom"/>
            <w:hideMark/>
          </w:tcPr>
          <w:p w14:paraId="6E83344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32,041</w:t>
            </w:r>
          </w:p>
        </w:tc>
        <w:tc>
          <w:tcPr>
            <w:tcW w:w="50" w:type="pct"/>
            <w:shd w:val="clear" w:color="auto" w:fill="CFF0FC"/>
            <w:noWrap/>
            <w:tcMar>
              <w:top w:w="15" w:type="dxa"/>
              <w:left w:w="0" w:type="dxa"/>
              <w:bottom w:w="0" w:type="dxa"/>
              <w:right w:w="15" w:type="dxa"/>
            </w:tcMar>
            <w:vAlign w:val="bottom"/>
            <w:hideMark/>
          </w:tcPr>
          <w:p w14:paraId="3A79C6D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9386DA9" w14:textId="77777777">
        <w:trPr>
          <w:divId w:val="1099451378"/>
          <w:jc w:val="center"/>
        </w:trPr>
        <w:tc>
          <w:tcPr>
            <w:tcW w:w="2251" w:type="pct"/>
            <w:shd w:val="clear" w:color="auto" w:fill="FFFFFF"/>
            <w:tcMar>
              <w:top w:w="15" w:type="dxa"/>
              <w:left w:w="0" w:type="dxa"/>
              <w:bottom w:w="0" w:type="dxa"/>
              <w:right w:w="15" w:type="dxa"/>
            </w:tcMar>
            <w:hideMark/>
          </w:tcPr>
          <w:p w14:paraId="53B36118"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Expenses:</w:t>
            </w:r>
          </w:p>
        </w:tc>
        <w:tc>
          <w:tcPr>
            <w:tcW w:w="94" w:type="pct"/>
            <w:shd w:val="clear" w:color="auto" w:fill="FFFFFF"/>
            <w:tcMar>
              <w:top w:w="15" w:type="dxa"/>
              <w:left w:w="0" w:type="dxa"/>
              <w:bottom w:w="0" w:type="dxa"/>
              <w:right w:w="15" w:type="dxa"/>
            </w:tcMar>
            <w:vAlign w:val="bottom"/>
            <w:hideMark/>
          </w:tcPr>
          <w:p w14:paraId="23A0C9A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A64259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left w:w="0" w:type="dxa"/>
              <w:bottom w:w="0" w:type="dxa"/>
              <w:right w:w="15" w:type="dxa"/>
            </w:tcMar>
            <w:vAlign w:val="bottom"/>
            <w:hideMark/>
          </w:tcPr>
          <w:p w14:paraId="1F03E91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41267F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012AEFD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674073E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2EAB72D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02613BB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673D536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6B60B9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left w:w="0" w:type="dxa"/>
              <w:bottom w:w="0" w:type="dxa"/>
              <w:right w:w="15" w:type="dxa"/>
            </w:tcMar>
            <w:vAlign w:val="bottom"/>
            <w:hideMark/>
          </w:tcPr>
          <w:p w14:paraId="00E7509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50A5A5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F3B5484" w14:textId="77777777">
        <w:trPr>
          <w:divId w:val="1099451378"/>
          <w:jc w:val="center"/>
        </w:trPr>
        <w:tc>
          <w:tcPr>
            <w:tcW w:w="2251" w:type="pct"/>
            <w:shd w:val="clear" w:color="auto" w:fill="CFF0FC"/>
            <w:tcMar>
              <w:top w:w="15" w:type="dxa"/>
              <w:left w:w="0" w:type="dxa"/>
              <w:bottom w:w="0" w:type="dxa"/>
              <w:right w:w="15" w:type="dxa"/>
            </w:tcMar>
            <w:hideMark/>
          </w:tcPr>
          <w:p w14:paraId="44D3B8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vertAlign w:val="superscript"/>
              </w:rPr>
              <w:t>(2)</w:t>
            </w:r>
          </w:p>
        </w:tc>
        <w:tc>
          <w:tcPr>
            <w:tcW w:w="94" w:type="pct"/>
            <w:shd w:val="clear" w:color="auto" w:fill="CFF0FC"/>
            <w:tcMar>
              <w:top w:w="15" w:type="dxa"/>
              <w:left w:w="0" w:type="dxa"/>
              <w:bottom w:w="0" w:type="dxa"/>
              <w:right w:w="15" w:type="dxa"/>
            </w:tcMar>
            <w:vAlign w:val="bottom"/>
            <w:hideMark/>
          </w:tcPr>
          <w:p w14:paraId="094F35A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ECA246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left w:w="0" w:type="dxa"/>
              <w:bottom w:w="0" w:type="dxa"/>
              <w:right w:w="15" w:type="dxa"/>
            </w:tcMar>
            <w:vAlign w:val="bottom"/>
            <w:hideMark/>
          </w:tcPr>
          <w:p w14:paraId="6BE464D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3,597</w:t>
            </w:r>
          </w:p>
        </w:tc>
        <w:tc>
          <w:tcPr>
            <w:tcW w:w="50" w:type="pct"/>
            <w:shd w:val="clear" w:color="auto" w:fill="CFF0FC"/>
            <w:noWrap/>
            <w:tcMar>
              <w:top w:w="15" w:type="dxa"/>
              <w:left w:w="0" w:type="dxa"/>
              <w:bottom w:w="0" w:type="dxa"/>
              <w:right w:w="15" w:type="dxa"/>
            </w:tcMar>
            <w:vAlign w:val="bottom"/>
            <w:hideMark/>
          </w:tcPr>
          <w:p w14:paraId="33FDF7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3113AB0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5A95C73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w:t>
            </w:r>
          </w:p>
        </w:tc>
        <w:tc>
          <w:tcPr>
            <w:tcW w:w="94" w:type="pct"/>
            <w:shd w:val="clear" w:color="auto" w:fill="CFF0FC"/>
            <w:tcMar>
              <w:top w:w="15" w:type="dxa"/>
              <w:left w:w="0" w:type="dxa"/>
              <w:bottom w:w="0" w:type="dxa"/>
              <w:right w:w="15" w:type="dxa"/>
            </w:tcMar>
            <w:vAlign w:val="bottom"/>
            <w:hideMark/>
          </w:tcPr>
          <w:p w14:paraId="3F08A3B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497D33F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w:t>
            </w:r>
          </w:p>
        </w:tc>
        <w:tc>
          <w:tcPr>
            <w:tcW w:w="94" w:type="pct"/>
            <w:shd w:val="clear" w:color="auto" w:fill="CFF0FC"/>
            <w:tcMar>
              <w:top w:w="15" w:type="dxa"/>
              <w:left w:w="0" w:type="dxa"/>
              <w:bottom w:w="0" w:type="dxa"/>
              <w:right w:w="15" w:type="dxa"/>
            </w:tcMar>
            <w:vAlign w:val="bottom"/>
            <w:hideMark/>
          </w:tcPr>
          <w:p w14:paraId="633F63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1C8894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left w:w="0" w:type="dxa"/>
              <w:bottom w:w="0" w:type="dxa"/>
              <w:right w:w="15" w:type="dxa"/>
            </w:tcMar>
            <w:vAlign w:val="bottom"/>
            <w:hideMark/>
          </w:tcPr>
          <w:p w14:paraId="554807B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3,441</w:t>
            </w:r>
          </w:p>
        </w:tc>
        <w:tc>
          <w:tcPr>
            <w:tcW w:w="50" w:type="pct"/>
            <w:shd w:val="clear" w:color="auto" w:fill="CFF0FC"/>
            <w:noWrap/>
            <w:tcMar>
              <w:top w:w="15" w:type="dxa"/>
              <w:left w:w="0" w:type="dxa"/>
              <w:bottom w:w="0" w:type="dxa"/>
              <w:right w:w="15" w:type="dxa"/>
            </w:tcMar>
            <w:vAlign w:val="bottom"/>
            <w:hideMark/>
          </w:tcPr>
          <w:p w14:paraId="475BFE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93D168B" w14:textId="77777777">
        <w:trPr>
          <w:divId w:val="1099451378"/>
          <w:jc w:val="center"/>
        </w:trPr>
        <w:tc>
          <w:tcPr>
            <w:tcW w:w="2251" w:type="pct"/>
            <w:shd w:val="clear" w:color="auto" w:fill="FFFFFF"/>
            <w:tcMar>
              <w:top w:w="15" w:type="dxa"/>
              <w:left w:w="0" w:type="dxa"/>
              <w:bottom w:w="0" w:type="dxa"/>
              <w:right w:w="15" w:type="dxa"/>
            </w:tcMar>
            <w:hideMark/>
          </w:tcPr>
          <w:p w14:paraId="12260E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Sales and marketing</w:t>
            </w:r>
            <w:r>
              <w:rPr>
                <w:rFonts w:ascii="Calibri" w:hAnsi="Calibri" w:cs="Calibri"/>
                <w:color w:val="000000"/>
                <w:sz w:val="15"/>
                <w:szCs w:val="15"/>
                <w:vertAlign w:val="superscript"/>
              </w:rPr>
              <w:t>(2)</w:t>
            </w:r>
          </w:p>
        </w:tc>
        <w:tc>
          <w:tcPr>
            <w:tcW w:w="94" w:type="pct"/>
            <w:shd w:val="clear" w:color="auto" w:fill="FFFFFF"/>
            <w:tcMar>
              <w:top w:w="15" w:type="dxa"/>
              <w:left w:w="0" w:type="dxa"/>
              <w:bottom w:w="0" w:type="dxa"/>
              <w:right w:w="15" w:type="dxa"/>
            </w:tcMar>
            <w:vAlign w:val="bottom"/>
            <w:hideMark/>
          </w:tcPr>
          <w:p w14:paraId="58F577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BF2F8E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left w:w="0" w:type="dxa"/>
              <w:bottom w:w="0" w:type="dxa"/>
              <w:right w:w="15" w:type="dxa"/>
            </w:tcMar>
            <w:vAlign w:val="bottom"/>
            <w:hideMark/>
          </w:tcPr>
          <w:p w14:paraId="1344404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7,398</w:t>
            </w:r>
          </w:p>
        </w:tc>
        <w:tc>
          <w:tcPr>
            <w:tcW w:w="50" w:type="pct"/>
            <w:shd w:val="clear" w:color="auto" w:fill="FFFFFF"/>
            <w:noWrap/>
            <w:tcMar>
              <w:top w:w="15" w:type="dxa"/>
              <w:left w:w="0" w:type="dxa"/>
              <w:bottom w:w="0" w:type="dxa"/>
              <w:right w:w="15" w:type="dxa"/>
            </w:tcMar>
            <w:vAlign w:val="bottom"/>
            <w:hideMark/>
          </w:tcPr>
          <w:p w14:paraId="3C63267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42C72C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6E06B81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94" w:type="pct"/>
            <w:shd w:val="clear" w:color="auto" w:fill="FFFFFF"/>
            <w:tcMar>
              <w:top w:w="15" w:type="dxa"/>
              <w:left w:w="0" w:type="dxa"/>
              <w:bottom w:w="0" w:type="dxa"/>
              <w:right w:w="15" w:type="dxa"/>
            </w:tcMar>
            <w:vAlign w:val="bottom"/>
            <w:hideMark/>
          </w:tcPr>
          <w:p w14:paraId="12D1CB7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1576434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w:t>
            </w:r>
          </w:p>
        </w:tc>
        <w:tc>
          <w:tcPr>
            <w:tcW w:w="94" w:type="pct"/>
            <w:shd w:val="clear" w:color="auto" w:fill="FFFFFF"/>
            <w:tcMar>
              <w:top w:w="15" w:type="dxa"/>
              <w:left w:w="0" w:type="dxa"/>
              <w:bottom w:w="0" w:type="dxa"/>
              <w:right w:w="15" w:type="dxa"/>
            </w:tcMar>
            <w:vAlign w:val="bottom"/>
            <w:hideMark/>
          </w:tcPr>
          <w:p w14:paraId="74FEFDF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561AF0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left w:w="0" w:type="dxa"/>
              <w:bottom w:w="0" w:type="dxa"/>
              <w:right w:w="15" w:type="dxa"/>
            </w:tcMar>
            <w:vAlign w:val="bottom"/>
            <w:hideMark/>
          </w:tcPr>
          <w:p w14:paraId="3F85096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7,213</w:t>
            </w:r>
          </w:p>
        </w:tc>
        <w:tc>
          <w:tcPr>
            <w:tcW w:w="50" w:type="pct"/>
            <w:shd w:val="clear" w:color="auto" w:fill="FFFFFF"/>
            <w:noWrap/>
            <w:tcMar>
              <w:top w:w="15" w:type="dxa"/>
              <w:left w:w="0" w:type="dxa"/>
              <w:bottom w:w="0" w:type="dxa"/>
              <w:right w:w="15" w:type="dxa"/>
            </w:tcMar>
            <w:vAlign w:val="bottom"/>
            <w:hideMark/>
          </w:tcPr>
          <w:p w14:paraId="6DC63D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10C5CFE" w14:textId="77777777">
        <w:trPr>
          <w:divId w:val="1099451378"/>
          <w:jc w:val="center"/>
        </w:trPr>
        <w:tc>
          <w:tcPr>
            <w:tcW w:w="2251" w:type="pct"/>
            <w:shd w:val="clear" w:color="auto" w:fill="CFF0FC"/>
            <w:tcMar>
              <w:top w:w="15" w:type="dxa"/>
              <w:left w:w="0" w:type="dxa"/>
              <w:bottom w:w="0" w:type="dxa"/>
              <w:right w:w="15" w:type="dxa"/>
            </w:tcMar>
            <w:hideMark/>
          </w:tcPr>
          <w:p w14:paraId="6796BA1F"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 expenses</w:t>
            </w:r>
            <w:r>
              <w:rPr>
                <w:rFonts w:ascii="Calibri" w:hAnsi="Calibri" w:cs="Calibri"/>
                <w:color w:val="000000"/>
                <w:sz w:val="15"/>
                <w:szCs w:val="15"/>
                <w:vertAlign w:val="superscript"/>
              </w:rPr>
              <w:t>(2)</w:t>
            </w:r>
          </w:p>
        </w:tc>
        <w:tc>
          <w:tcPr>
            <w:tcW w:w="94" w:type="pct"/>
            <w:shd w:val="clear" w:color="auto" w:fill="CFF0FC"/>
            <w:tcMar>
              <w:top w:w="15" w:type="dxa"/>
              <w:left w:w="0" w:type="dxa"/>
              <w:bottom w:w="0" w:type="dxa"/>
              <w:right w:w="15" w:type="dxa"/>
            </w:tcMar>
            <w:vAlign w:val="bottom"/>
            <w:hideMark/>
          </w:tcPr>
          <w:p w14:paraId="1C6F191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2376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47D6E9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10,995</w:t>
            </w:r>
          </w:p>
        </w:tc>
        <w:tc>
          <w:tcPr>
            <w:tcW w:w="50" w:type="pct"/>
            <w:shd w:val="clear" w:color="auto" w:fill="CFF0FC"/>
            <w:noWrap/>
            <w:tcMar>
              <w:top w:w="15" w:type="dxa"/>
              <w:left w:w="0" w:type="dxa"/>
              <w:bottom w:w="0" w:type="dxa"/>
              <w:right w:w="15" w:type="dxa"/>
            </w:tcMar>
            <w:vAlign w:val="bottom"/>
            <w:hideMark/>
          </w:tcPr>
          <w:p w14:paraId="5B0866C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6C5CBF6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3D27D91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94" w:type="pct"/>
            <w:shd w:val="clear" w:color="auto" w:fill="CFF0FC"/>
            <w:tcMar>
              <w:top w:w="15" w:type="dxa"/>
              <w:left w:w="0" w:type="dxa"/>
              <w:bottom w:w="0" w:type="dxa"/>
              <w:right w:w="15" w:type="dxa"/>
            </w:tcMar>
            <w:vAlign w:val="bottom"/>
            <w:hideMark/>
          </w:tcPr>
          <w:p w14:paraId="3CBF246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0BE3C12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w:t>
            </w:r>
          </w:p>
        </w:tc>
        <w:tc>
          <w:tcPr>
            <w:tcW w:w="94" w:type="pct"/>
            <w:shd w:val="clear" w:color="auto" w:fill="CFF0FC"/>
            <w:tcMar>
              <w:top w:w="15" w:type="dxa"/>
              <w:left w:w="0" w:type="dxa"/>
              <w:bottom w:w="0" w:type="dxa"/>
              <w:right w:w="15" w:type="dxa"/>
            </w:tcMar>
            <w:vAlign w:val="bottom"/>
            <w:hideMark/>
          </w:tcPr>
          <w:p w14:paraId="3B76EC0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49E57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9F4078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10,654</w:t>
            </w:r>
          </w:p>
        </w:tc>
        <w:tc>
          <w:tcPr>
            <w:tcW w:w="50" w:type="pct"/>
            <w:shd w:val="clear" w:color="auto" w:fill="CFF0FC"/>
            <w:noWrap/>
            <w:tcMar>
              <w:top w:w="15" w:type="dxa"/>
              <w:left w:w="0" w:type="dxa"/>
              <w:bottom w:w="0" w:type="dxa"/>
              <w:right w:w="15" w:type="dxa"/>
            </w:tcMar>
            <w:vAlign w:val="bottom"/>
            <w:hideMark/>
          </w:tcPr>
          <w:p w14:paraId="41D199F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CD2A6B0" w14:textId="77777777">
        <w:trPr>
          <w:divId w:val="1099451378"/>
          <w:jc w:val="center"/>
        </w:trPr>
        <w:tc>
          <w:tcPr>
            <w:tcW w:w="2251" w:type="pct"/>
            <w:shd w:val="clear" w:color="auto" w:fill="FFFFFF"/>
            <w:tcMar>
              <w:top w:w="15" w:type="dxa"/>
              <w:left w:w="0" w:type="dxa"/>
              <w:bottom w:w="0" w:type="dxa"/>
              <w:right w:w="15" w:type="dxa"/>
            </w:tcMar>
            <w:hideMark/>
          </w:tcPr>
          <w:p w14:paraId="725841F4"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Total Margin</w:t>
            </w:r>
          </w:p>
        </w:tc>
        <w:tc>
          <w:tcPr>
            <w:tcW w:w="94" w:type="pct"/>
            <w:shd w:val="clear" w:color="auto" w:fill="FFFFFF"/>
            <w:tcMar>
              <w:top w:w="15" w:type="dxa"/>
              <w:left w:w="0" w:type="dxa"/>
              <w:bottom w:w="0" w:type="dxa"/>
              <w:right w:w="15" w:type="dxa"/>
            </w:tcMar>
            <w:vAlign w:val="bottom"/>
            <w:hideMark/>
          </w:tcPr>
          <w:p w14:paraId="3EE72AF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694E2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E72B7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21,587</w:t>
            </w:r>
          </w:p>
        </w:tc>
        <w:tc>
          <w:tcPr>
            <w:tcW w:w="50" w:type="pct"/>
            <w:shd w:val="clear" w:color="auto" w:fill="FFFFFF"/>
            <w:noWrap/>
            <w:tcMar>
              <w:top w:w="15" w:type="dxa"/>
              <w:left w:w="0" w:type="dxa"/>
              <w:bottom w:w="0" w:type="dxa"/>
              <w:right w:w="15" w:type="dxa"/>
            </w:tcMar>
            <w:vAlign w:val="bottom"/>
            <w:hideMark/>
          </w:tcPr>
          <w:p w14:paraId="067C630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6CEEFC4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2751CEC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94" w:type="pct"/>
            <w:shd w:val="clear" w:color="auto" w:fill="FFFFFF"/>
            <w:tcMar>
              <w:top w:w="15" w:type="dxa"/>
              <w:left w:w="0" w:type="dxa"/>
              <w:bottom w:w="0" w:type="dxa"/>
              <w:right w:w="15" w:type="dxa"/>
            </w:tcMar>
            <w:vAlign w:val="bottom"/>
            <w:hideMark/>
          </w:tcPr>
          <w:p w14:paraId="087629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381FBD2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94" w:type="pct"/>
            <w:shd w:val="clear" w:color="auto" w:fill="FFFFFF"/>
            <w:tcMar>
              <w:top w:w="15" w:type="dxa"/>
              <w:left w:w="0" w:type="dxa"/>
              <w:bottom w:w="0" w:type="dxa"/>
              <w:right w:w="15" w:type="dxa"/>
            </w:tcMar>
            <w:vAlign w:val="bottom"/>
            <w:hideMark/>
          </w:tcPr>
          <w:p w14:paraId="34A815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F3B663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CC259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21,387</w:t>
            </w:r>
          </w:p>
        </w:tc>
        <w:tc>
          <w:tcPr>
            <w:tcW w:w="50" w:type="pct"/>
            <w:shd w:val="clear" w:color="auto" w:fill="FFFFFF"/>
            <w:noWrap/>
            <w:tcMar>
              <w:top w:w="15" w:type="dxa"/>
              <w:left w:w="0" w:type="dxa"/>
              <w:bottom w:w="0" w:type="dxa"/>
              <w:right w:w="15" w:type="dxa"/>
            </w:tcMar>
            <w:vAlign w:val="bottom"/>
            <w:hideMark/>
          </w:tcPr>
          <w:p w14:paraId="76C9F5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FDF18C4" w14:textId="77777777">
        <w:trPr>
          <w:divId w:val="1099451378"/>
          <w:jc w:val="center"/>
        </w:trPr>
        <w:tc>
          <w:tcPr>
            <w:tcW w:w="2251" w:type="pct"/>
            <w:shd w:val="clear" w:color="auto" w:fill="CFF0FC"/>
            <w:tcMar>
              <w:top w:w="15" w:type="dxa"/>
              <w:left w:w="0" w:type="dxa"/>
              <w:bottom w:w="0" w:type="dxa"/>
              <w:right w:w="15" w:type="dxa"/>
            </w:tcMar>
            <w:hideMark/>
          </w:tcPr>
          <w:p w14:paraId="78519350"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Total Margin %</w:t>
            </w:r>
          </w:p>
        </w:tc>
        <w:tc>
          <w:tcPr>
            <w:tcW w:w="94" w:type="pct"/>
            <w:shd w:val="clear" w:color="auto" w:fill="CFF0FC"/>
            <w:tcMar>
              <w:top w:w="15" w:type="dxa"/>
              <w:left w:w="0" w:type="dxa"/>
              <w:bottom w:w="0" w:type="dxa"/>
              <w:right w:w="15" w:type="dxa"/>
            </w:tcMar>
            <w:vAlign w:val="bottom"/>
            <w:hideMark/>
          </w:tcPr>
          <w:p w14:paraId="6C8D5B0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tcBorders>
              <w:top w:val="double" w:sz="6" w:space="0" w:color="000000"/>
            </w:tcBorders>
            <w:shd w:val="clear" w:color="auto" w:fill="CFF0FC"/>
            <w:tcMar>
              <w:top w:w="15" w:type="dxa"/>
              <w:left w:w="0" w:type="dxa"/>
              <w:bottom w:w="0" w:type="dxa"/>
              <w:right w:w="15" w:type="dxa"/>
            </w:tcMar>
            <w:vAlign w:val="bottom"/>
            <w:hideMark/>
          </w:tcPr>
          <w:p w14:paraId="05EAC64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CFF0FC"/>
            <w:noWrap/>
            <w:tcMar>
              <w:top w:w="15" w:type="dxa"/>
              <w:left w:w="0" w:type="dxa"/>
              <w:bottom w:w="0" w:type="dxa"/>
              <w:right w:w="15" w:type="dxa"/>
            </w:tcMar>
            <w:vAlign w:val="bottom"/>
            <w:hideMark/>
          </w:tcPr>
          <w:p w14:paraId="1AC599C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29A9A7D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6C9975B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5645E2A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5215974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2158905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tcBorders>
              <w:top w:val="double" w:sz="6" w:space="0" w:color="000000"/>
            </w:tcBorders>
            <w:shd w:val="clear" w:color="auto" w:fill="CFF0FC"/>
            <w:tcMar>
              <w:top w:w="15" w:type="dxa"/>
              <w:left w:w="0" w:type="dxa"/>
              <w:bottom w:w="0" w:type="dxa"/>
              <w:right w:w="15" w:type="dxa"/>
            </w:tcMar>
            <w:vAlign w:val="bottom"/>
            <w:hideMark/>
          </w:tcPr>
          <w:p w14:paraId="5DA68A3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67%</w:t>
            </w:r>
          </w:p>
        </w:tc>
        <w:tc>
          <w:tcPr>
            <w:tcW w:w="50" w:type="pct"/>
            <w:shd w:val="clear" w:color="auto" w:fill="CFF0FC"/>
            <w:noWrap/>
            <w:tcMar>
              <w:top w:w="15" w:type="dxa"/>
              <w:left w:w="0" w:type="dxa"/>
              <w:bottom w:w="0" w:type="dxa"/>
              <w:right w:w="15" w:type="dxa"/>
            </w:tcMar>
            <w:vAlign w:val="bottom"/>
            <w:hideMark/>
          </w:tcPr>
          <w:p w14:paraId="591118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6F99CCF" w14:textId="77777777">
        <w:trPr>
          <w:divId w:val="1099451378"/>
          <w:jc w:val="center"/>
        </w:trPr>
        <w:tc>
          <w:tcPr>
            <w:tcW w:w="2251" w:type="pct"/>
            <w:shd w:val="clear" w:color="auto" w:fill="FFFFFF"/>
            <w:tcMar>
              <w:top w:w="15" w:type="dxa"/>
              <w:left w:w="0" w:type="dxa"/>
              <w:bottom w:w="0" w:type="dxa"/>
              <w:right w:w="15" w:type="dxa"/>
            </w:tcMar>
            <w:hideMark/>
          </w:tcPr>
          <w:p w14:paraId="2CC617A2"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 Revenues by Geography:</w:t>
            </w:r>
          </w:p>
        </w:tc>
        <w:tc>
          <w:tcPr>
            <w:tcW w:w="94" w:type="pct"/>
            <w:shd w:val="clear" w:color="auto" w:fill="FFFFFF"/>
            <w:tcMar>
              <w:top w:w="15" w:type="dxa"/>
              <w:left w:w="0" w:type="dxa"/>
              <w:bottom w:w="0" w:type="dxa"/>
              <w:right w:w="15" w:type="dxa"/>
            </w:tcMar>
            <w:vAlign w:val="bottom"/>
            <w:hideMark/>
          </w:tcPr>
          <w:p w14:paraId="4685623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15B2F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left w:w="0" w:type="dxa"/>
              <w:bottom w:w="0" w:type="dxa"/>
              <w:right w:w="15" w:type="dxa"/>
            </w:tcMar>
            <w:vAlign w:val="bottom"/>
            <w:hideMark/>
          </w:tcPr>
          <w:p w14:paraId="097EB50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F3691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011477B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094297A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5AC1B80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54BD539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7E3BEF9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634EB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left w:w="0" w:type="dxa"/>
              <w:bottom w:w="0" w:type="dxa"/>
              <w:right w:w="15" w:type="dxa"/>
            </w:tcMar>
            <w:vAlign w:val="bottom"/>
            <w:hideMark/>
          </w:tcPr>
          <w:p w14:paraId="68D0B59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9D3A1F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C026DBC" w14:textId="77777777">
        <w:trPr>
          <w:divId w:val="1099451378"/>
          <w:jc w:val="center"/>
        </w:trPr>
        <w:tc>
          <w:tcPr>
            <w:tcW w:w="2251" w:type="pct"/>
            <w:shd w:val="clear" w:color="auto" w:fill="CFF0FC"/>
            <w:tcMar>
              <w:top w:w="15" w:type="dxa"/>
              <w:left w:w="0" w:type="dxa"/>
              <w:bottom w:w="0" w:type="dxa"/>
              <w:right w:w="15" w:type="dxa"/>
            </w:tcMar>
            <w:hideMark/>
          </w:tcPr>
          <w:p w14:paraId="210172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Americas</w:t>
            </w:r>
          </w:p>
        </w:tc>
        <w:tc>
          <w:tcPr>
            <w:tcW w:w="94" w:type="pct"/>
            <w:shd w:val="clear" w:color="auto" w:fill="CFF0FC"/>
            <w:tcMar>
              <w:top w:w="15" w:type="dxa"/>
              <w:left w:w="0" w:type="dxa"/>
              <w:bottom w:w="0" w:type="dxa"/>
              <w:right w:w="15" w:type="dxa"/>
            </w:tcMar>
            <w:vAlign w:val="bottom"/>
            <w:hideMark/>
          </w:tcPr>
          <w:p w14:paraId="4F8E1AD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left w:w="0" w:type="dxa"/>
              <w:bottom w:w="0" w:type="dxa"/>
              <w:right w:w="15" w:type="dxa"/>
            </w:tcMar>
            <w:vAlign w:val="bottom"/>
            <w:hideMark/>
          </w:tcPr>
          <w:p w14:paraId="19A903B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w:t>
            </w:r>
          </w:p>
        </w:tc>
        <w:tc>
          <w:tcPr>
            <w:tcW w:w="50" w:type="pct"/>
            <w:shd w:val="clear" w:color="auto" w:fill="CFF0FC"/>
            <w:noWrap/>
            <w:tcMar>
              <w:top w:w="15" w:type="dxa"/>
              <w:left w:w="0" w:type="dxa"/>
              <w:bottom w:w="0" w:type="dxa"/>
              <w:right w:w="15" w:type="dxa"/>
            </w:tcMar>
            <w:vAlign w:val="bottom"/>
            <w:hideMark/>
          </w:tcPr>
          <w:p w14:paraId="03FFB01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03130F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0D45090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2C78C96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30D3868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3DDC6E8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left w:w="0" w:type="dxa"/>
              <w:bottom w:w="0" w:type="dxa"/>
              <w:right w:w="15" w:type="dxa"/>
            </w:tcMar>
            <w:vAlign w:val="bottom"/>
            <w:hideMark/>
          </w:tcPr>
          <w:p w14:paraId="4C89EB5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noWrap/>
            <w:tcMar>
              <w:top w:w="15" w:type="dxa"/>
              <w:left w:w="0" w:type="dxa"/>
              <w:bottom w:w="0" w:type="dxa"/>
              <w:right w:w="15" w:type="dxa"/>
            </w:tcMar>
            <w:vAlign w:val="bottom"/>
            <w:hideMark/>
          </w:tcPr>
          <w:p w14:paraId="6215DE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FF629FA" w14:textId="77777777">
        <w:trPr>
          <w:divId w:val="1099451378"/>
          <w:jc w:val="center"/>
        </w:trPr>
        <w:tc>
          <w:tcPr>
            <w:tcW w:w="2251" w:type="pct"/>
            <w:shd w:val="clear" w:color="auto" w:fill="FFFFFF"/>
            <w:tcMar>
              <w:top w:w="15" w:type="dxa"/>
              <w:left w:w="0" w:type="dxa"/>
              <w:bottom w:w="0" w:type="dxa"/>
              <w:right w:w="15" w:type="dxa"/>
            </w:tcMar>
            <w:hideMark/>
          </w:tcPr>
          <w:p w14:paraId="0438AE5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EMEA</w:t>
            </w:r>
          </w:p>
        </w:tc>
        <w:tc>
          <w:tcPr>
            <w:tcW w:w="94" w:type="pct"/>
            <w:shd w:val="clear" w:color="auto" w:fill="FFFFFF"/>
            <w:tcMar>
              <w:top w:w="15" w:type="dxa"/>
              <w:left w:w="0" w:type="dxa"/>
              <w:bottom w:w="0" w:type="dxa"/>
              <w:right w:w="15" w:type="dxa"/>
            </w:tcMar>
            <w:vAlign w:val="bottom"/>
            <w:hideMark/>
          </w:tcPr>
          <w:p w14:paraId="0D85594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FFFFFF"/>
            <w:tcMar>
              <w:top w:w="15" w:type="dxa"/>
              <w:left w:w="0" w:type="dxa"/>
              <w:bottom w:w="0" w:type="dxa"/>
              <w:right w:w="15" w:type="dxa"/>
            </w:tcMar>
            <w:vAlign w:val="bottom"/>
            <w:hideMark/>
          </w:tcPr>
          <w:p w14:paraId="4FBF0DE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FFFFFF"/>
            <w:noWrap/>
            <w:tcMar>
              <w:top w:w="15" w:type="dxa"/>
              <w:left w:w="0" w:type="dxa"/>
              <w:bottom w:w="0" w:type="dxa"/>
              <w:right w:w="15" w:type="dxa"/>
            </w:tcMar>
            <w:vAlign w:val="bottom"/>
            <w:hideMark/>
          </w:tcPr>
          <w:p w14:paraId="6F851C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6098B79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5DC7B92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5216E7D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53C8A7F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53E0F43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FFFFFF"/>
            <w:tcMar>
              <w:top w:w="15" w:type="dxa"/>
              <w:left w:w="0" w:type="dxa"/>
              <w:bottom w:w="0" w:type="dxa"/>
              <w:right w:w="15" w:type="dxa"/>
            </w:tcMar>
            <w:vAlign w:val="bottom"/>
            <w:hideMark/>
          </w:tcPr>
          <w:p w14:paraId="7806C0D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FFFFFF"/>
            <w:noWrap/>
            <w:tcMar>
              <w:top w:w="15" w:type="dxa"/>
              <w:left w:w="0" w:type="dxa"/>
              <w:bottom w:w="0" w:type="dxa"/>
              <w:right w:w="15" w:type="dxa"/>
            </w:tcMar>
            <w:vAlign w:val="bottom"/>
            <w:hideMark/>
          </w:tcPr>
          <w:p w14:paraId="3621F6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27FB126" w14:textId="77777777">
        <w:trPr>
          <w:divId w:val="1099451378"/>
          <w:jc w:val="center"/>
        </w:trPr>
        <w:tc>
          <w:tcPr>
            <w:tcW w:w="2251" w:type="pct"/>
            <w:shd w:val="clear" w:color="auto" w:fill="CFF0FC"/>
            <w:tcMar>
              <w:top w:w="15" w:type="dxa"/>
              <w:left w:w="0" w:type="dxa"/>
              <w:bottom w:w="0" w:type="dxa"/>
              <w:right w:w="15" w:type="dxa"/>
            </w:tcMar>
            <w:hideMark/>
          </w:tcPr>
          <w:p w14:paraId="31B538E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Asia Pacific</w:t>
            </w:r>
          </w:p>
        </w:tc>
        <w:tc>
          <w:tcPr>
            <w:tcW w:w="94" w:type="pct"/>
            <w:shd w:val="clear" w:color="auto" w:fill="CFF0FC"/>
            <w:tcMar>
              <w:top w:w="15" w:type="dxa"/>
              <w:left w:w="0" w:type="dxa"/>
              <w:bottom w:w="0" w:type="dxa"/>
              <w:right w:w="15" w:type="dxa"/>
            </w:tcMar>
            <w:vAlign w:val="bottom"/>
            <w:hideMark/>
          </w:tcPr>
          <w:p w14:paraId="1054008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left w:w="0" w:type="dxa"/>
              <w:bottom w:w="0" w:type="dxa"/>
              <w:right w:w="15" w:type="dxa"/>
            </w:tcMar>
            <w:vAlign w:val="bottom"/>
            <w:hideMark/>
          </w:tcPr>
          <w:p w14:paraId="01A43CD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noWrap/>
            <w:tcMar>
              <w:top w:w="15" w:type="dxa"/>
              <w:left w:w="0" w:type="dxa"/>
              <w:bottom w:w="0" w:type="dxa"/>
              <w:right w:w="15" w:type="dxa"/>
            </w:tcMar>
            <w:vAlign w:val="bottom"/>
            <w:hideMark/>
          </w:tcPr>
          <w:p w14:paraId="14BFC89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1C80498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009206F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7D21188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79B7452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06E5D7A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left w:w="0" w:type="dxa"/>
              <w:bottom w:w="0" w:type="dxa"/>
              <w:right w:w="15" w:type="dxa"/>
            </w:tcMar>
            <w:vAlign w:val="bottom"/>
            <w:hideMark/>
          </w:tcPr>
          <w:p w14:paraId="3A8E980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noWrap/>
            <w:tcMar>
              <w:top w:w="15" w:type="dxa"/>
              <w:left w:w="0" w:type="dxa"/>
              <w:bottom w:w="0" w:type="dxa"/>
              <w:right w:w="15" w:type="dxa"/>
            </w:tcMar>
            <w:vAlign w:val="bottom"/>
            <w:hideMark/>
          </w:tcPr>
          <w:p w14:paraId="0B6A27A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37F9C73" w14:textId="77777777">
        <w:trPr>
          <w:divId w:val="1099451378"/>
          <w:jc w:val="center"/>
        </w:trPr>
        <w:tc>
          <w:tcPr>
            <w:tcW w:w="2251" w:type="pct"/>
            <w:shd w:val="clear" w:color="auto" w:fill="FFFFFF"/>
            <w:tcMar>
              <w:top w:w="15" w:type="dxa"/>
              <w:left w:w="0" w:type="dxa"/>
              <w:bottom w:w="0" w:type="dxa"/>
              <w:right w:w="15" w:type="dxa"/>
            </w:tcMar>
            <w:hideMark/>
          </w:tcPr>
          <w:p w14:paraId="77BBA7DD"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Revenues by Offerings:</w:t>
            </w:r>
          </w:p>
        </w:tc>
        <w:tc>
          <w:tcPr>
            <w:tcW w:w="94" w:type="pct"/>
            <w:shd w:val="clear" w:color="auto" w:fill="FFFFFF"/>
            <w:tcMar>
              <w:top w:w="15" w:type="dxa"/>
              <w:left w:w="0" w:type="dxa"/>
              <w:bottom w:w="0" w:type="dxa"/>
              <w:right w:w="15" w:type="dxa"/>
            </w:tcMar>
            <w:vAlign w:val="bottom"/>
            <w:hideMark/>
          </w:tcPr>
          <w:p w14:paraId="7523B7C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64F47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left w:w="0" w:type="dxa"/>
              <w:bottom w:w="0" w:type="dxa"/>
              <w:right w:w="15" w:type="dxa"/>
            </w:tcMar>
            <w:vAlign w:val="bottom"/>
            <w:hideMark/>
          </w:tcPr>
          <w:p w14:paraId="5A7AE33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76ABF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154405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6D9A9C2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5F6684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7B0367A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4CAC3D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D1437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left w:w="0" w:type="dxa"/>
              <w:bottom w:w="0" w:type="dxa"/>
              <w:right w:w="15" w:type="dxa"/>
            </w:tcMar>
            <w:vAlign w:val="bottom"/>
            <w:hideMark/>
          </w:tcPr>
          <w:p w14:paraId="2515B17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C46643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5F4B7E4" w14:textId="77777777">
        <w:trPr>
          <w:divId w:val="1099451378"/>
          <w:jc w:val="center"/>
        </w:trPr>
        <w:tc>
          <w:tcPr>
            <w:tcW w:w="2251" w:type="pct"/>
            <w:shd w:val="clear" w:color="auto" w:fill="CFF0FC"/>
            <w:tcMar>
              <w:top w:w="15" w:type="dxa"/>
              <w:left w:w="0" w:type="dxa"/>
              <w:bottom w:w="0" w:type="dxa"/>
              <w:right w:w="15" w:type="dxa"/>
            </w:tcMar>
            <w:hideMark/>
          </w:tcPr>
          <w:p w14:paraId="11A1B50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vertAlign w:val="superscript"/>
              </w:rPr>
              <w:t>(1)</w:t>
            </w:r>
          </w:p>
        </w:tc>
        <w:tc>
          <w:tcPr>
            <w:tcW w:w="94" w:type="pct"/>
            <w:shd w:val="clear" w:color="auto" w:fill="CFF0FC"/>
            <w:tcMar>
              <w:top w:w="15" w:type="dxa"/>
              <w:left w:w="0" w:type="dxa"/>
              <w:bottom w:w="0" w:type="dxa"/>
              <w:right w:w="15" w:type="dxa"/>
            </w:tcMar>
            <w:vAlign w:val="bottom"/>
            <w:hideMark/>
          </w:tcPr>
          <w:p w14:paraId="03AAB1C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673BA4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left w:w="0" w:type="dxa"/>
              <w:bottom w:w="0" w:type="dxa"/>
              <w:right w:w="15" w:type="dxa"/>
            </w:tcMar>
            <w:vAlign w:val="bottom"/>
            <w:hideMark/>
          </w:tcPr>
          <w:p w14:paraId="60BED19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26,727</w:t>
            </w:r>
          </w:p>
        </w:tc>
        <w:tc>
          <w:tcPr>
            <w:tcW w:w="50" w:type="pct"/>
            <w:shd w:val="clear" w:color="auto" w:fill="CFF0FC"/>
            <w:noWrap/>
            <w:tcMar>
              <w:top w:w="15" w:type="dxa"/>
              <w:left w:w="0" w:type="dxa"/>
              <w:bottom w:w="0" w:type="dxa"/>
              <w:right w:w="15" w:type="dxa"/>
            </w:tcMar>
            <w:vAlign w:val="bottom"/>
            <w:hideMark/>
          </w:tcPr>
          <w:p w14:paraId="137C9CB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2E9453F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0B6736B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94" w:type="pct"/>
            <w:shd w:val="clear" w:color="auto" w:fill="CFF0FC"/>
            <w:tcMar>
              <w:top w:w="15" w:type="dxa"/>
              <w:left w:w="0" w:type="dxa"/>
              <w:bottom w:w="0" w:type="dxa"/>
              <w:right w:w="15" w:type="dxa"/>
            </w:tcMar>
            <w:vAlign w:val="bottom"/>
            <w:hideMark/>
          </w:tcPr>
          <w:p w14:paraId="11AB564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751A0AC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94" w:type="pct"/>
            <w:shd w:val="clear" w:color="auto" w:fill="CFF0FC"/>
            <w:tcMar>
              <w:top w:w="15" w:type="dxa"/>
              <w:left w:w="0" w:type="dxa"/>
              <w:bottom w:w="0" w:type="dxa"/>
              <w:right w:w="15" w:type="dxa"/>
            </w:tcMar>
            <w:vAlign w:val="bottom"/>
            <w:hideMark/>
          </w:tcPr>
          <w:p w14:paraId="031B7EF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0E245C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left w:w="0" w:type="dxa"/>
              <w:bottom w:w="0" w:type="dxa"/>
              <w:right w:w="15" w:type="dxa"/>
            </w:tcMar>
            <w:vAlign w:val="bottom"/>
            <w:hideMark/>
          </w:tcPr>
          <w:p w14:paraId="139B0BA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26,269</w:t>
            </w:r>
          </w:p>
        </w:tc>
        <w:tc>
          <w:tcPr>
            <w:tcW w:w="50" w:type="pct"/>
            <w:shd w:val="clear" w:color="auto" w:fill="CFF0FC"/>
            <w:noWrap/>
            <w:tcMar>
              <w:top w:w="15" w:type="dxa"/>
              <w:left w:w="0" w:type="dxa"/>
              <w:bottom w:w="0" w:type="dxa"/>
              <w:right w:w="15" w:type="dxa"/>
            </w:tcMar>
            <w:vAlign w:val="bottom"/>
            <w:hideMark/>
          </w:tcPr>
          <w:p w14:paraId="3E19FC6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0DC58D9" w14:textId="77777777">
        <w:trPr>
          <w:divId w:val="1099451378"/>
          <w:jc w:val="center"/>
        </w:trPr>
        <w:tc>
          <w:tcPr>
            <w:tcW w:w="2251" w:type="pct"/>
            <w:shd w:val="clear" w:color="auto" w:fill="FFFFFF"/>
            <w:tcMar>
              <w:top w:w="15" w:type="dxa"/>
              <w:left w:w="0" w:type="dxa"/>
              <w:bottom w:w="0" w:type="dxa"/>
              <w:right w:w="15" w:type="dxa"/>
            </w:tcMar>
            <w:hideMark/>
          </w:tcPr>
          <w:p w14:paraId="183F49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license and on-premise license</w:t>
            </w:r>
          </w:p>
        </w:tc>
        <w:tc>
          <w:tcPr>
            <w:tcW w:w="94" w:type="pct"/>
            <w:shd w:val="clear" w:color="auto" w:fill="FFFFFF"/>
            <w:tcMar>
              <w:top w:w="15" w:type="dxa"/>
              <w:left w:w="0" w:type="dxa"/>
              <w:bottom w:w="0" w:type="dxa"/>
              <w:right w:w="15" w:type="dxa"/>
            </w:tcMar>
            <w:vAlign w:val="bottom"/>
            <w:hideMark/>
          </w:tcPr>
          <w:p w14:paraId="4EED92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B1C266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left w:w="0" w:type="dxa"/>
              <w:bottom w:w="0" w:type="dxa"/>
              <w:right w:w="15" w:type="dxa"/>
            </w:tcMar>
            <w:vAlign w:val="bottom"/>
            <w:hideMark/>
          </w:tcPr>
          <w:p w14:paraId="51FA2EE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5,855</w:t>
            </w:r>
          </w:p>
        </w:tc>
        <w:tc>
          <w:tcPr>
            <w:tcW w:w="50" w:type="pct"/>
            <w:shd w:val="clear" w:color="auto" w:fill="FFFFFF"/>
            <w:noWrap/>
            <w:tcMar>
              <w:top w:w="15" w:type="dxa"/>
              <w:left w:w="0" w:type="dxa"/>
              <w:bottom w:w="0" w:type="dxa"/>
              <w:right w:w="15" w:type="dxa"/>
            </w:tcMar>
            <w:vAlign w:val="bottom"/>
            <w:hideMark/>
          </w:tcPr>
          <w:p w14:paraId="05E767C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19853F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27D43FF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94" w:type="pct"/>
            <w:shd w:val="clear" w:color="auto" w:fill="FFFFFF"/>
            <w:tcMar>
              <w:top w:w="15" w:type="dxa"/>
              <w:left w:w="0" w:type="dxa"/>
              <w:bottom w:w="0" w:type="dxa"/>
              <w:right w:w="15" w:type="dxa"/>
            </w:tcMar>
            <w:vAlign w:val="bottom"/>
            <w:hideMark/>
          </w:tcPr>
          <w:p w14:paraId="14A6B23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5A0E8B8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94" w:type="pct"/>
            <w:shd w:val="clear" w:color="auto" w:fill="FFFFFF"/>
            <w:tcMar>
              <w:top w:w="15" w:type="dxa"/>
              <w:left w:w="0" w:type="dxa"/>
              <w:bottom w:w="0" w:type="dxa"/>
              <w:right w:w="15" w:type="dxa"/>
            </w:tcMar>
            <w:vAlign w:val="bottom"/>
            <w:hideMark/>
          </w:tcPr>
          <w:p w14:paraId="7B0C1E7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AFAE78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left w:w="0" w:type="dxa"/>
              <w:bottom w:w="0" w:type="dxa"/>
              <w:right w:w="15" w:type="dxa"/>
            </w:tcMar>
            <w:vAlign w:val="bottom"/>
            <w:hideMark/>
          </w:tcPr>
          <w:p w14:paraId="2690BD0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5,772</w:t>
            </w:r>
          </w:p>
        </w:tc>
        <w:tc>
          <w:tcPr>
            <w:tcW w:w="50" w:type="pct"/>
            <w:shd w:val="clear" w:color="auto" w:fill="FFFFFF"/>
            <w:noWrap/>
            <w:tcMar>
              <w:top w:w="15" w:type="dxa"/>
              <w:left w:w="0" w:type="dxa"/>
              <w:bottom w:w="0" w:type="dxa"/>
              <w:right w:w="15" w:type="dxa"/>
            </w:tcMar>
            <w:vAlign w:val="bottom"/>
            <w:hideMark/>
          </w:tcPr>
          <w:p w14:paraId="19B1462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68BA0C5" w14:textId="77777777">
        <w:trPr>
          <w:divId w:val="1099451378"/>
          <w:jc w:val="center"/>
        </w:trPr>
        <w:tc>
          <w:tcPr>
            <w:tcW w:w="2251" w:type="pct"/>
            <w:shd w:val="clear" w:color="auto" w:fill="CFF0FC"/>
            <w:tcMar>
              <w:top w:w="15" w:type="dxa"/>
              <w:left w:w="0" w:type="dxa"/>
              <w:bottom w:w="0" w:type="dxa"/>
              <w:right w:w="15" w:type="dxa"/>
            </w:tcMar>
            <w:hideMark/>
          </w:tcPr>
          <w:p w14:paraId="60495625"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 revenues</w:t>
            </w:r>
            <w:r>
              <w:rPr>
                <w:rFonts w:ascii="Calibri" w:hAnsi="Calibri" w:cs="Calibri"/>
                <w:color w:val="000000"/>
                <w:sz w:val="15"/>
                <w:szCs w:val="15"/>
                <w:vertAlign w:val="superscript"/>
              </w:rPr>
              <w:t>(1)</w:t>
            </w:r>
          </w:p>
        </w:tc>
        <w:tc>
          <w:tcPr>
            <w:tcW w:w="94" w:type="pct"/>
            <w:shd w:val="clear" w:color="auto" w:fill="CFF0FC"/>
            <w:tcMar>
              <w:top w:w="15" w:type="dxa"/>
              <w:left w:w="0" w:type="dxa"/>
              <w:bottom w:w="0" w:type="dxa"/>
              <w:right w:w="15" w:type="dxa"/>
            </w:tcMar>
            <w:vAlign w:val="bottom"/>
            <w:hideMark/>
          </w:tcPr>
          <w:p w14:paraId="787AB7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6CDB0B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001BB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32,582</w:t>
            </w:r>
          </w:p>
        </w:tc>
        <w:tc>
          <w:tcPr>
            <w:tcW w:w="50" w:type="pct"/>
            <w:shd w:val="clear" w:color="auto" w:fill="CFF0FC"/>
            <w:noWrap/>
            <w:tcMar>
              <w:top w:w="15" w:type="dxa"/>
              <w:left w:w="0" w:type="dxa"/>
              <w:bottom w:w="0" w:type="dxa"/>
              <w:right w:w="15" w:type="dxa"/>
            </w:tcMar>
            <w:vAlign w:val="bottom"/>
            <w:hideMark/>
          </w:tcPr>
          <w:p w14:paraId="5B3321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539081D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69D15E1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94" w:type="pct"/>
            <w:shd w:val="clear" w:color="auto" w:fill="CFF0FC"/>
            <w:tcMar>
              <w:top w:w="15" w:type="dxa"/>
              <w:left w:w="0" w:type="dxa"/>
              <w:bottom w:w="0" w:type="dxa"/>
              <w:right w:w="15" w:type="dxa"/>
            </w:tcMar>
            <w:vAlign w:val="bottom"/>
            <w:hideMark/>
          </w:tcPr>
          <w:p w14:paraId="2014259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3FF2443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94" w:type="pct"/>
            <w:shd w:val="clear" w:color="auto" w:fill="CFF0FC"/>
            <w:tcMar>
              <w:top w:w="15" w:type="dxa"/>
              <w:left w:w="0" w:type="dxa"/>
              <w:bottom w:w="0" w:type="dxa"/>
              <w:right w:w="15" w:type="dxa"/>
            </w:tcMar>
            <w:vAlign w:val="bottom"/>
            <w:hideMark/>
          </w:tcPr>
          <w:p w14:paraId="4C305E6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6A18BF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E84B0E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32,041</w:t>
            </w:r>
          </w:p>
        </w:tc>
        <w:tc>
          <w:tcPr>
            <w:tcW w:w="50" w:type="pct"/>
            <w:shd w:val="clear" w:color="auto" w:fill="CFF0FC"/>
            <w:noWrap/>
            <w:tcMar>
              <w:top w:w="15" w:type="dxa"/>
              <w:left w:w="0" w:type="dxa"/>
              <w:bottom w:w="0" w:type="dxa"/>
              <w:right w:w="15" w:type="dxa"/>
            </w:tcMar>
            <w:vAlign w:val="bottom"/>
            <w:hideMark/>
          </w:tcPr>
          <w:p w14:paraId="338313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BE913F8" w14:textId="77777777">
        <w:trPr>
          <w:divId w:val="1099451378"/>
          <w:jc w:val="center"/>
        </w:trPr>
        <w:tc>
          <w:tcPr>
            <w:tcW w:w="2251" w:type="pct"/>
            <w:shd w:val="clear" w:color="auto" w:fill="FFFFFF"/>
            <w:tcMar>
              <w:top w:w="15" w:type="dxa"/>
              <w:left w:w="0" w:type="dxa"/>
              <w:bottom w:w="0" w:type="dxa"/>
              <w:right w:w="15" w:type="dxa"/>
            </w:tcMar>
            <w:hideMark/>
          </w:tcPr>
          <w:p w14:paraId="75A37D4E" w14:textId="77777777" w:rsidR="00251D72" w:rsidRDefault="00251D72">
            <w:pPr>
              <w:pStyle w:val="a3"/>
              <w:spacing w:before="0" w:beforeAutospacing="0" w:after="0" w:afterAutospacing="0"/>
              <w:rPr>
                <w:rFonts w:ascii="Calibri" w:hAnsi="Calibri" w:cs="Calibri"/>
                <w:b/>
                <w:bCs/>
                <w:i/>
                <w:iCs/>
                <w:color w:val="000000"/>
                <w:sz w:val="18"/>
                <w:szCs w:val="18"/>
              </w:rPr>
            </w:pPr>
            <w:r>
              <w:rPr>
                <w:rFonts w:ascii="Calibri" w:hAnsi="Calibri" w:cs="Calibri"/>
                <w:b/>
                <w:bCs/>
                <w:i/>
                <w:iCs/>
                <w:color w:val="000000"/>
                <w:sz w:val="18"/>
                <w:szCs w:val="18"/>
              </w:rPr>
              <w:t>Revenues by Ecosystem:</w:t>
            </w:r>
          </w:p>
        </w:tc>
        <w:tc>
          <w:tcPr>
            <w:tcW w:w="94" w:type="pct"/>
            <w:shd w:val="clear" w:color="auto" w:fill="FFFFFF"/>
            <w:tcMar>
              <w:top w:w="15" w:type="dxa"/>
              <w:left w:w="0" w:type="dxa"/>
              <w:bottom w:w="0" w:type="dxa"/>
              <w:right w:w="15" w:type="dxa"/>
            </w:tcMar>
            <w:vAlign w:val="bottom"/>
            <w:hideMark/>
          </w:tcPr>
          <w:p w14:paraId="1C0B0E1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F27C8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double" w:sz="6" w:space="0" w:color="000000"/>
            </w:tcBorders>
            <w:shd w:val="clear" w:color="auto" w:fill="FFFFFF"/>
            <w:noWrap/>
            <w:tcMar>
              <w:top w:w="15" w:type="dxa"/>
              <w:left w:w="0" w:type="dxa"/>
              <w:bottom w:w="0" w:type="dxa"/>
              <w:right w:w="15" w:type="dxa"/>
            </w:tcMar>
            <w:vAlign w:val="bottom"/>
            <w:hideMark/>
          </w:tcPr>
          <w:p w14:paraId="644CF2B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70770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7368570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04E077C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325EB52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7657653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11D1D71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A35D33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double" w:sz="6" w:space="0" w:color="000000"/>
            </w:tcBorders>
            <w:shd w:val="clear" w:color="auto" w:fill="FFFFFF"/>
            <w:noWrap/>
            <w:tcMar>
              <w:top w:w="15" w:type="dxa"/>
              <w:left w:w="0" w:type="dxa"/>
              <w:bottom w:w="0" w:type="dxa"/>
              <w:right w:w="15" w:type="dxa"/>
            </w:tcMar>
            <w:vAlign w:val="bottom"/>
            <w:hideMark/>
          </w:tcPr>
          <w:p w14:paraId="3DF5C05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7E0F37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ADECFA4" w14:textId="77777777">
        <w:trPr>
          <w:divId w:val="1099451378"/>
          <w:jc w:val="center"/>
        </w:trPr>
        <w:tc>
          <w:tcPr>
            <w:tcW w:w="2251" w:type="pct"/>
            <w:shd w:val="clear" w:color="auto" w:fill="CFF0FC"/>
            <w:tcMar>
              <w:top w:w="15" w:type="dxa"/>
              <w:left w:w="0" w:type="dxa"/>
              <w:bottom w:w="0" w:type="dxa"/>
              <w:right w:w="15" w:type="dxa"/>
            </w:tcMar>
            <w:hideMark/>
          </w:tcPr>
          <w:p w14:paraId="27AFCE9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Applications revenues</w:t>
            </w:r>
            <w:r>
              <w:rPr>
                <w:rFonts w:ascii="Calibri" w:hAnsi="Calibri" w:cs="Calibri"/>
                <w:color w:val="000000"/>
                <w:sz w:val="15"/>
                <w:szCs w:val="15"/>
                <w:vertAlign w:val="superscript"/>
              </w:rPr>
              <w:t>(1)</w:t>
            </w:r>
          </w:p>
        </w:tc>
        <w:tc>
          <w:tcPr>
            <w:tcW w:w="94" w:type="pct"/>
            <w:shd w:val="clear" w:color="auto" w:fill="CFF0FC"/>
            <w:tcMar>
              <w:top w:w="15" w:type="dxa"/>
              <w:left w:w="0" w:type="dxa"/>
              <w:bottom w:w="0" w:type="dxa"/>
              <w:right w:w="15" w:type="dxa"/>
            </w:tcMar>
            <w:vAlign w:val="bottom"/>
            <w:hideMark/>
          </w:tcPr>
          <w:p w14:paraId="1E9615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EBF1AD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left w:w="0" w:type="dxa"/>
              <w:bottom w:w="0" w:type="dxa"/>
              <w:right w:w="15" w:type="dxa"/>
            </w:tcMar>
            <w:vAlign w:val="bottom"/>
            <w:hideMark/>
          </w:tcPr>
          <w:p w14:paraId="04761DA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11,510</w:t>
            </w:r>
          </w:p>
        </w:tc>
        <w:tc>
          <w:tcPr>
            <w:tcW w:w="50" w:type="pct"/>
            <w:shd w:val="clear" w:color="auto" w:fill="CFF0FC"/>
            <w:noWrap/>
            <w:tcMar>
              <w:top w:w="15" w:type="dxa"/>
              <w:left w:w="0" w:type="dxa"/>
              <w:bottom w:w="0" w:type="dxa"/>
              <w:right w:w="15" w:type="dxa"/>
            </w:tcMar>
            <w:vAlign w:val="bottom"/>
            <w:hideMark/>
          </w:tcPr>
          <w:p w14:paraId="425B43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4238ED6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1CF742F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94" w:type="pct"/>
            <w:shd w:val="clear" w:color="auto" w:fill="CFF0FC"/>
            <w:tcMar>
              <w:top w:w="15" w:type="dxa"/>
              <w:left w:w="0" w:type="dxa"/>
              <w:bottom w:w="0" w:type="dxa"/>
              <w:right w:w="15" w:type="dxa"/>
            </w:tcMar>
            <w:vAlign w:val="bottom"/>
            <w:hideMark/>
          </w:tcPr>
          <w:p w14:paraId="54D17F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04148BE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w:t>
            </w:r>
          </w:p>
        </w:tc>
        <w:tc>
          <w:tcPr>
            <w:tcW w:w="94" w:type="pct"/>
            <w:shd w:val="clear" w:color="auto" w:fill="CFF0FC"/>
            <w:tcMar>
              <w:top w:w="15" w:type="dxa"/>
              <w:left w:w="0" w:type="dxa"/>
              <w:bottom w:w="0" w:type="dxa"/>
              <w:right w:w="15" w:type="dxa"/>
            </w:tcMar>
            <w:vAlign w:val="bottom"/>
            <w:hideMark/>
          </w:tcPr>
          <w:p w14:paraId="23478D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B0B97D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left w:w="0" w:type="dxa"/>
              <w:bottom w:w="0" w:type="dxa"/>
              <w:right w:w="15" w:type="dxa"/>
            </w:tcMar>
            <w:vAlign w:val="bottom"/>
            <w:hideMark/>
          </w:tcPr>
          <w:p w14:paraId="56CD5CD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11,065</w:t>
            </w:r>
          </w:p>
        </w:tc>
        <w:tc>
          <w:tcPr>
            <w:tcW w:w="50" w:type="pct"/>
            <w:shd w:val="clear" w:color="auto" w:fill="CFF0FC"/>
            <w:noWrap/>
            <w:tcMar>
              <w:top w:w="15" w:type="dxa"/>
              <w:left w:w="0" w:type="dxa"/>
              <w:bottom w:w="0" w:type="dxa"/>
              <w:right w:w="15" w:type="dxa"/>
            </w:tcMar>
            <w:vAlign w:val="bottom"/>
            <w:hideMark/>
          </w:tcPr>
          <w:p w14:paraId="1F6E708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BD6847D" w14:textId="77777777">
        <w:trPr>
          <w:divId w:val="1099451378"/>
          <w:jc w:val="center"/>
        </w:trPr>
        <w:tc>
          <w:tcPr>
            <w:tcW w:w="2251" w:type="pct"/>
            <w:shd w:val="clear" w:color="auto" w:fill="FFFFFF"/>
            <w:tcMar>
              <w:top w:w="15" w:type="dxa"/>
              <w:left w:w="0" w:type="dxa"/>
              <w:bottom w:w="0" w:type="dxa"/>
              <w:right w:w="15" w:type="dxa"/>
            </w:tcMar>
            <w:hideMark/>
          </w:tcPr>
          <w:p w14:paraId="00D0AB1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Infrastructure revenues</w:t>
            </w:r>
            <w:r>
              <w:rPr>
                <w:rFonts w:ascii="Calibri" w:hAnsi="Calibri" w:cs="Calibri"/>
                <w:color w:val="000000"/>
                <w:sz w:val="15"/>
                <w:szCs w:val="15"/>
                <w:vertAlign w:val="superscript"/>
              </w:rPr>
              <w:t>(1)</w:t>
            </w:r>
          </w:p>
        </w:tc>
        <w:tc>
          <w:tcPr>
            <w:tcW w:w="94" w:type="pct"/>
            <w:shd w:val="clear" w:color="auto" w:fill="FFFFFF"/>
            <w:tcMar>
              <w:top w:w="15" w:type="dxa"/>
              <w:left w:w="0" w:type="dxa"/>
              <w:bottom w:w="0" w:type="dxa"/>
              <w:right w:w="15" w:type="dxa"/>
            </w:tcMar>
            <w:vAlign w:val="bottom"/>
            <w:hideMark/>
          </w:tcPr>
          <w:p w14:paraId="603F284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1F81C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left w:w="0" w:type="dxa"/>
              <w:bottom w:w="0" w:type="dxa"/>
              <w:right w:w="15" w:type="dxa"/>
            </w:tcMar>
            <w:vAlign w:val="bottom"/>
            <w:hideMark/>
          </w:tcPr>
          <w:p w14:paraId="565FE7D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21,072</w:t>
            </w:r>
          </w:p>
        </w:tc>
        <w:tc>
          <w:tcPr>
            <w:tcW w:w="50" w:type="pct"/>
            <w:shd w:val="clear" w:color="auto" w:fill="FFFFFF"/>
            <w:noWrap/>
            <w:tcMar>
              <w:top w:w="15" w:type="dxa"/>
              <w:left w:w="0" w:type="dxa"/>
              <w:bottom w:w="0" w:type="dxa"/>
              <w:right w:w="15" w:type="dxa"/>
            </w:tcMar>
            <w:vAlign w:val="bottom"/>
            <w:hideMark/>
          </w:tcPr>
          <w:p w14:paraId="384DE5D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FFFFFF"/>
            <w:tcMar>
              <w:top w:w="15" w:type="dxa"/>
              <w:left w:w="0" w:type="dxa"/>
              <w:bottom w:w="0" w:type="dxa"/>
              <w:right w:w="15" w:type="dxa"/>
            </w:tcMar>
            <w:vAlign w:val="bottom"/>
            <w:hideMark/>
          </w:tcPr>
          <w:p w14:paraId="1F7849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64A56A8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w:t>
            </w:r>
          </w:p>
        </w:tc>
        <w:tc>
          <w:tcPr>
            <w:tcW w:w="94" w:type="pct"/>
            <w:shd w:val="clear" w:color="auto" w:fill="FFFFFF"/>
            <w:tcMar>
              <w:top w:w="15" w:type="dxa"/>
              <w:left w:w="0" w:type="dxa"/>
              <w:bottom w:w="0" w:type="dxa"/>
              <w:right w:w="15" w:type="dxa"/>
            </w:tcMar>
            <w:vAlign w:val="bottom"/>
            <w:hideMark/>
          </w:tcPr>
          <w:p w14:paraId="38F5BDE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left w:w="0" w:type="dxa"/>
              <w:bottom w:w="0" w:type="dxa"/>
              <w:right w:w="15" w:type="dxa"/>
            </w:tcMar>
            <w:vAlign w:val="bottom"/>
            <w:hideMark/>
          </w:tcPr>
          <w:p w14:paraId="4682109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94" w:type="pct"/>
            <w:shd w:val="clear" w:color="auto" w:fill="FFFFFF"/>
            <w:tcMar>
              <w:top w:w="15" w:type="dxa"/>
              <w:left w:w="0" w:type="dxa"/>
              <w:bottom w:w="0" w:type="dxa"/>
              <w:right w:w="15" w:type="dxa"/>
            </w:tcMar>
            <w:vAlign w:val="bottom"/>
            <w:hideMark/>
          </w:tcPr>
          <w:p w14:paraId="06C459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5B82C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left w:w="0" w:type="dxa"/>
              <w:bottom w:w="0" w:type="dxa"/>
              <w:right w:w="15" w:type="dxa"/>
            </w:tcMar>
            <w:vAlign w:val="bottom"/>
            <w:hideMark/>
          </w:tcPr>
          <w:p w14:paraId="75888EF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20,976</w:t>
            </w:r>
          </w:p>
        </w:tc>
        <w:tc>
          <w:tcPr>
            <w:tcW w:w="50" w:type="pct"/>
            <w:shd w:val="clear" w:color="auto" w:fill="FFFFFF"/>
            <w:noWrap/>
            <w:tcMar>
              <w:top w:w="15" w:type="dxa"/>
              <w:left w:w="0" w:type="dxa"/>
              <w:bottom w:w="0" w:type="dxa"/>
              <w:right w:w="15" w:type="dxa"/>
            </w:tcMar>
            <w:vAlign w:val="bottom"/>
            <w:hideMark/>
          </w:tcPr>
          <w:p w14:paraId="12E08EE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68E0A8D" w14:textId="77777777">
        <w:trPr>
          <w:divId w:val="1099451378"/>
          <w:jc w:val="center"/>
        </w:trPr>
        <w:tc>
          <w:tcPr>
            <w:tcW w:w="2251" w:type="pct"/>
            <w:shd w:val="clear" w:color="auto" w:fill="CFF0FC"/>
            <w:tcMar>
              <w:top w:w="15" w:type="dxa"/>
              <w:left w:w="0" w:type="dxa"/>
              <w:bottom w:w="0" w:type="dxa"/>
              <w:right w:w="15" w:type="dxa"/>
            </w:tcMar>
            <w:hideMark/>
          </w:tcPr>
          <w:p w14:paraId="7FA58A12"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 revenues</w:t>
            </w:r>
            <w:r>
              <w:rPr>
                <w:rFonts w:ascii="Calibri" w:hAnsi="Calibri" w:cs="Calibri"/>
                <w:color w:val="000000"/>
                <w:sz w:val="15"/>
                <w:szCs w:val="15"/>
                <w:vertAlign w:val="superscript"/>
              </w:rPr>
              <w:t>(1)</w:t>
            </w:r>
          </w:p>
        </w:tc>
        <w:tc>
          <w:tcPr>
            <w:tcW w:w="94" w:type="pct"/>
            <w:shd w:val="clear" w:color="auto" w:fill="CFF0FC"/>
            <w:tcMar>
              <w:top w:w="15" w:type="dxa"/>
              <w:left w:w="0" w:type="dxa"/>
              <w:bottom w:w="0" w:type="dxa"/>
              <w:right w:w="15" w:type="dxa"/>
            </w:tcMar>
            <w:vAlign w:val="bottom"/>
            <w:hideMark/>
          </w:tcPr>
          <w:p w14:paraId="0CAECC8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E81CF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AD3BF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32,582</w:t>
            </w:r>
          </w:p>
        </w:tc>
        <w:tc>
          <w:tcPr>
            <w:tcW w:w="50" w:type="pct"/>
            <w:shd w:val="clear" w:color="auto" w:fill="CFF0FC"/>
            <w:noWrap/>
            <w:tcMar>
              <w:top w:w="15" w:type="dxa"/>
              <w:left w:w="0" w:type="dxa"/>
              <w:bottom w:w="0" w:type="dxa"/>
              <w:right w:w="15" w:type="dxa"/>
            </w:tcMar>
            <w:vAlign w:val="bottom"/>
            <w:hideMark/>
          </w:tcPr>
          <w:p w14:paraId="6FE1C6E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4" w:type="pct"/>
            <w:shd w:val="clear" w:color="auto" w:fill="CFF0FC"/>
            <w:tcMar>
              <w:top w:w="15" w:type="dxa"/>
              <w:left w:w="0" w:type="dxa"/>
              <w:bottom w:w="0" w:type="dxa"/>
              <w:right w:w="15" w:type="dxa"/>
            </w:tcMar>
            <w:vAlign w:val="bottom"/>
            <w:hideMark/>
          </w:tcPr>
          <w:p w14:paraId="4398358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4149688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94" w:type="pct"/>
            <w:shd w:val="clear" w:color="auto" w:fill="CFF0FC"/>
            <w:tcMar>
              <w:top w:w="15" w:type="dxa"/>
              <w:left w:w="0" w:type="dxa"/>
              <w:bottom w:w="0" w:type="dxa"/>
              <w:right w:w="15" w:type="dxa"/>
            </w:tcMar>
            <w:vAlign w:val="bottom"/>
            <w:hideMark/>
          </w:tcPr>
          <w:p w14:paraId="383B2A7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left w:w="0" w:type="dxa"/>
              <w:bottom w:w="0" w:type="dxa"/>
              <w:right w:w="15" w:type="dxa"/>
            </w:tcMar>
            <w:vAlign w:val="bottom"/>
            <w:hideMark/>
          </w:tcPr>
          <w:p w14:paraId="50D96FB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94" w:type="pct"/>
            <w:shd w:val="clear" w:color="auto" w:fill="CFF0FC"/>
            <w:tcMar>
              <w:top w:w="15" w:type="dxa"/>
              <w:left w:w="0" w:type="dxa"/>
              <w:bottom w:w="0" w:type="dxa"/>
              <w:right w:w="15" w:type="dxa"/>
            </w:tcMar>
            <w:vAlign w:val="bottom"/>
            <w:hideMark/>
          </w:tcPr>
          <w:p w14:paraId="409EF6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6929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65F77A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32,041</w:t>
            </w:r>
          </w:p>
        </w:tc>
        <w:tc>
          <w:tcPr>
            <w:tcW w:w="50" w:type="pct"/>
            <w:shd w:val="clear" w:color="auto" w:fill="CFF0FC"/>
            <w:noWrap/>
            <w:tcMar>
              <w:top w:w="15" w:type="dxa"/>
              <w:left w:w="0" w:type="dxa"/>
              <w:bottom w:w="0" w:type="dxa"/>
              <w:right w:w="15" w:type="dxa"/>
            </w:tcMar>
            <w:vAlign w:val="bottom"/>
            <w:hideMark/>
          </w:tcPr>
          <w:p w14:paraId="077D2200"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237B808" w14:textId="77777777" w:rsidR="00251D72" w:rsidRDefault="00251D72">
      <w:pPr>
        <w:pStyle w:val="a3"/>
        <w:pBdr>
          <w:bottom w:val="single" w:sz="6" w:space="1" w:color="auto"/>
        </w:pBdr>
        <w:spacing w:before="0" w:beforeAutospacing="0" w:after="0" w:afterAutospacing="0"/>
        <w:ind w:right="10953"/>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5B7E55A6" w14:textId="77777777">
        <w:tc>
          <w:tcPr>
            <w:tcW w:w="192" w:type="pct"/>
            <w:noWrap/>
            <w:hideMark/>
          </w:tcPr>
          <w:p w14:paraId="5E9C11ED"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2468973A"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color w:val="000000"/>
                <w:sz w:val="15"/>
                <w:szCs w:val="15"/>
              </w:rPr>
              <w:t>Includes cloud services and license support revenue adjustments related to certain cloud services and license support contracts that would have otherwise been recorded as revenues by the acquired businesses as independent entities but were not recognized in our GAAP-based consolidated statements of operations for the periods presented due to business combination accounting requirements. Such revenue adjustments were included in our operating segment results for purposes of reporting to and review by our CODMs. See “Presentation of Operating Segment Results and Other Financial Information” above for additional information.</w:t>
            </w:r>
          </w:p>
        </w:tc>
      </w:tr>
    </w:tbl>
    <w:p w14:paraId="18A8A962"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18CFB1DA" w14:textId="77777777">
        <w:tc>
          <w:tcPr>
            <w:tcW w:w="192" w:type="pct"/>
            <w:noWrap/>
            <w:hideMark/>
          </w:tcPr>
          <w:p w14:paraId="1976D38B"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 xml:space="preserve">(2) </w:t>
            </w:r>
          </w:p>
        </w:tc>
        <w:tc>
          <w:tcPr>
            <w:tcW w:w="0" w:type="auto"/>
            <w:hideMark/>
          </w:tcPr>
          <w:p w14:paraId="7E9E4526"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color w:val="000000"/>
                <w:sz w:val="15"/>
                <w:szCs w:val="15"/>
              </w:rPr>
              <w:t>Excludes stock-based compensation and certain expense allocations. Also excludes amortization of intangible assets and certain other GAAP-based expenses, which were not allocated to our operating segment results for purposes of reporting to and review by our CODMs, as further described under “Presentation of Operating Segment Results and Other Financial Information” above.</w:t>
            </w:r>
          </w:p>
        </w:tc>
      </w:tr>
    </w:tbl>
    <w:p w14:paraId="72E6B32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Excluding the effects of currency rate fluctuations, our cloud and license business’ total revenues increased in fiscal 2019 relative to fiscal 2018 due to growth in our cloud services and license support revenues, which was primarily due to increased customer purchases and renewals of cloud-based services and license support services in recent periods, contributions from our recent acquisitions and increased cloud license and on-premise license revenues. In constant currency, our total applications revenues and our total infrastructure revenues each grew during fiscal 2019 relative to fiscal 2018 as customers continued to deploy our applications technologies and infrastructure technologies through different deployment models that we offer that enable customer choice. The Americas region contributed 43%, the EMEA region contributed 31% and the Asia Pacific region contributed 26% of the constant currency revenues growth for this business in fiscal 2019.</w:t>
      </w:r>
    </w:p>
    <w:p w14:paraId="17742A3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constant currency, total cloud and license expenses increased in fiscal 2019 compared to fiscal 2018 due to higher sales and marketing expenses and higher cloud services and license support expenses, each of which increased primarily due to higher employee related expenses from higher headcount and due to higher technology infrastructure expenses.  </w:t>
      </w:r>
    </w:p>
    <w:p w14:paraId="5E84B02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Excluding the effects of currency rate fluctuations, our cloud and license segment’s total margin increased in fiscal 2019 compared to fiscal 2018 primarily due to increased revenues, while total margin as a percentage of revenues decreased slightly due to expenses growth.</w:t>
      </w:r>
    </w:p>
    <w:p w14:paraId="236609FB"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48</w:t>
      </w:r>
    </w:p>
    <w:p w14:paraId="1C999ECE" w14:textId="77777777" w:rsidR="00251D72" w:rsidRDefault="00251D72">
      <w:pPr>
        <w:rPr>
          <w:rFonts w:ascii="Times New Roman" w:eastAsia="Times New Roman" w:hAnsi="Times New Roman" w:cs="Times New Roman"/>
          <w:sz w:val="24"/>
          <w:szCs w:val="24"/>
        </w:rPr>
      </w:pPr>
      <w:r>
        <w:rPr>
          <w:rFonts w:eastAsia="Times New Roman"/>
        </w:rPr>
        <w:pict w14:anchorId="70C5EB8B">
          <v:rect id="_x0000_i1074" style="width:415.3pt;height:1.5pt" o:hralign="center" o:hrstd="t" o:hr="t" fillcolor="#a0a0a0" stroked="f"/>
        </w:pict>
      </w:r>
    </w:p>
    <w:p w14:paraId="4C6DF64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18E4A3A"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AC268A4" w14:textId="77777777" w:rsidR="00251D72" w:rsidRDefault="00251D72">
      <w:pPr>
        <w:pStyle w:val="a3"/>
        <w:spacing w:before="120" w:beforeAutospacing="0" w:after="0" w:afterAutospacing="0"/>
        <w:rPr>
          <w:sz w:val="20"/>
          <w:szCs w:val="20"/>
        </w:rPr>
      </w:pPr>
      <w:r>
        <w:rPr>
          <w:sz w:val="20"/>
          <w:szCs w:val="20"/>
        </w:rPr>
        <w:t> </w:t>
      </w:r>
    </w:p>
    <w:p w14:paraId="4F351FB0" w14:textId="77777777" w:rsidR="00251D72" w:rsidRDefault="00251D72">
      <w:pPr>
        <w:pStyle w:val="a3"/>
        <w:spacing w:before="240" w:beforeAutospacing="0" w:after="0" w:afterAutospacing="0"/>
        <w:jc w:val="both"/>
        <w:rPr>
          <w:rFonts w:ascii="Calibri" w:hAnsi="Calibri" w:cs="Calibri"/>
          <w:b/>
          <w:bCs/>
          <w:sz w:val="20"/>
          <w:szCs w:val="20"/>
        </w:rPr>
      </w:pPr>
      <w:bookmarkStart w:id="64" w:name="_AEIOULastRenderedPageBreakAEIOU51"/>
      <w:bookmarkEnd w:id="64"/>
      <w:r>
        <w:rPr>
          <w:rFonts w:ascii="Calibri" w:hAnsi="Calibri" w:cs="Calibri"/>
          <w:b/>
          <w:bCs/>
          <w:sz w:val="20"/>
          <w:szCs w:val="20"/>
        </w:rPr>
        <w:t>Hardware Business</w:t>
      </w:r>
    </w:p>
    <w:p w14:paraId="440D810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hardware business’ revenues are generated from the sales of our Oracle Engineered Systems, server, storage, and industry-specific hardware products. Each hardware product and its related software, such as an operating system or firmware, are highly interdependent and interrelated and are accounted for as a combined performance obligation. The revenues for this combined performance obligation are generally recognized at the point in time that the hardware product and its related software are delivered to the customer and ownership is transferred to the customer. Our hardware business also earns revenues from the sale of hardware support contracts purchased and renewed by our customers at their option and are generally recognized as revenues ratably as the hardware support services are delivered over the contractual term, which is generally one year. The majority of our hardware products are sold through indirect channels such as independent distributors and value-added resellers, and we also market and sell our hardware products through our direct sales force. Operating expenses associated with our hardware business include the cost of hardware products, which consists of expenses for materials and labor used to produce these products by our internal manufacturing operations or by third-party manufacturers, warranty expenses and the impact of periodic changes in inventory valuation, including the impact of inventory determined to be excess and obsolete; the cost of materials used to repair customer products; the cost of labor and infrastructure to provide support services; and sales and marketing expenses, which are largely personnel related and include variable compensation earned by our sales force for the sales of our hardware offerings.</w:t>
      </w:r>
    </w:p>
    <w:p w14:paraId="551C8898"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89"/>
        <w:gridCol w:w="135"/>
        <w:gridCol w:w="117"/>
        <w:gridCol w:w="713"/>
        <w:gridCol w:w="77"/>
        <w:gridCol w:w="135"/>
        <w:gridCol w:w="879"/>
        <w:gridCol w:w="135"/>
        <w:gridCol w:w="881"/>
        <w:gridCol w:w="135"/>
        <w:gridCol w:w="117"/>
        <w:gridCol w:w="715"/>
        <w:gridCol w:w="78"/>
      </w:tblGrid>
      <w:tr w:rsidR="00251D72" w14:paraId="1587B07C" w14:textId="77777777">
        <w:trPr>
          <w:divId w:val="1732344392"/>
          <w:jc w:val="center"/>
        </w:trPr>
        <w:tc>
          <w:tcPr>
            <w:tcW w:w="2524" w:type="pct"/>
            <w:shd w:val="clear" w:color="auto" w:fill="FFFFFF"/>
            <w:tcMar>
              <w:top w:w="15" w:type="dxa"/>
              <w:left w:w="0" w:type="dxa"/>
              <w:bottom w:w="0" w:type="dxa"/>
              <w:right w:w="15" w:type="dxa"/>
            </w:tcMar>
            <w:vAlign w:val="center"/>
            <w:hideMark/>
          </w:tcPr>
          <w:p w14:paraId="42B103E3" w14:textId="77777777" w:rsidR="00251D72" w:rsidRDefault="00251D72">
            <w:pPr>
              <w:pStyle w:val="a3"/>
              <w:spacing w:before="0" w:beforeAutospacing="0" w:after="0" w:afterAutospacing="0"/>
              <w:rPr>
                <w:sz w:val="15"/>
                <w:szCs w:val="15"/>
              </w:rPr>
            </w:pPr>
            <w:r>
              <w:rPr>
                <w:sz w:val="15"/>
                <w:szCs w:val="15"/>
              </w:rPr>
              <w:t> </w:t>
            </w:r>
          </w:p>
        </w:tc>
        <w:tc>
          <w:tcPr>
            <w:tcW w:w="85" w:type="pct"/>
            <w:shd w:val="clear" w:color="auto" w:fill="FFFFFF"/>
            <w:tcMar>
              <w:top w:w="15" w:type="dxa"/>
              <w:left w:w="0" w:type="dxa"/>
              <w:bottom w:w="0" w:type="dxa"/>
              <w:right w:w="15" w:type="dxa"/>
            </w:tcMar>
            <w:vAlign w:val="bottom"/>
            <w:hideMark/>
          </w:tcPr>
          <w:p w14:paraId="1BEEFF0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339" w:type="pct"/>
            <w:gridSpan w:val="10"/>
            <w:tcBorders>
              <w:bottom w:val="single" w:sz="6" w:space="0" w:color="000000"/>
            </w:tcBorders>
            <w:shd w:val="clear" w:color="auto" w:fill="FFFFFF"/>
            <w:tcMar>
              <w:top w:w="15" w:type="dxa"/>
              <w:left w:w="0" w:type="dxa"/>
              <w:bottom w:w="0" w:type="dxa"/>
              <w:right w:w="15" w:type="dxa"/>
            </w:tcMar>
            <w:vAlign w:val="bottom"/>
            <w:hideMark/>
          </w:tcPr>
          <w:p w14:paraId="3ABB323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3A8182E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9F307A4" w14:textId="77777777">
        <w:trPr>
          <w:divId w:val="1732344392"/>
          <w:jc w:val="center"/>
        </w:trPr>
        <w:tc>
          <w:tcPr>
            <w:tcW w:w="2524" w:type="pct"/>
            <w:shd w:val="clear" w:color="auto" w:fill="FFFFFF"/>
            <w:tcMar>
              <w:top w:w="15" w:type="dxa"/>
              <w:left w:w="0" w:type="dxa"/>
              <w:bottom w:w="0" w:type="dxa"/>
              <w:right w:w="15" w:type="dxa"/>
            </w:tcMar>
            <w:vAlign w:val="center"/>
            <w:hideMark/>
          </w:tcPr>
          <w:p w14:paraId="118A535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02AC500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2787F0F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25332ED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3797A33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left w:w="0" w:type="dxa"/>
              <w:bottom w:w="0" w:type="dxa"/>
              <w:right w:w="15" w:type="dxa"/>
            </w:tcMar>
            <w:vAlign w:val="center"/>
            <w:hideMark/>
          </w:tcPr>
          <w:p w14:paraId="4F5CB9D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53211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left w:w="0" w:type="dxa"/>
              <w:bottom w:w="0" w:type="dxa"/>
              <w:right w:w="15" w:type="dxa"/>
            </w:tcMar>
            <w:vAlign w:val="center"/>
            <w:hideMark/>
          </w:tcPr>
          <w:p w14:paraId="17282B1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7B0B029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706FAC9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073C937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7D594C8" w14:textId="77777777">
        <w:trPr>
          <w:divId w:val="1732344392"/>
          <w:jc w:val="center"/>
        </w:trPr>
        <w:tc>
          <w:tcPr>
            <w:tcW w:w="2524" w:type="pct"/>
            <w:tcBorders>
              <w:bottom w:val="single" w:sz="6" w:space="0" w:color="000000"/>
            </w:tcBorders>
            <w:shd w:val="clear" w:color="auto" w:fill="FFFFFF"/>
            <w:tcMar>
              <w:top w:w="15" w:type="dxa"/>
              <w:left w:w="0" w:type="dxa"/>
              <w:bottom w:w="0" w:type="dxa"/>
              <w:right w:w="15" w:type="dxa"/>
            </w:tcMar>
            <w:vAlign w:val="bottom"/>
            <w:hideMark/>
          </w:tcPr>
          <w:p w14:paraId="3B78E14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left w:w="0" w:type="dxa"/>
              <w:bottom w:w="0" w:type="dxa"/>
              <w:right w:w="15" w:type="dxa"/>
            </w:tcMar>
            <w:vAlign w:val="bottom"/>
            <w:hideMark/>
          </w:tcPr>
          <w:p w14:paraId="2766BA8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2B0DC7A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AB1DF0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24C63609"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13C1F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08054AF9"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E19D9F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left w:w="0" w:type="dxa"/>
              <w:bottom w:w="0" w:type="dxa"/>
              <w:right w:w="15" w:type="dxa"/>
            </w:tcMar>
            <w:vAlign w:val="bottom"/>
            <w:hideMark/>
          </w:tcPr>
          <w:p w14:paraId="50CAE83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133A5A0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09C50D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231F146" w14:textId="77777777">
        <w:trPr>
          <w:divId w:val="1732344392"/>
          <w:jc w:val="center"/>
        </w:trPr>
        <w:tc>
          <w:tcPr>
            <w:tcW w:w="2524" w:type="pct"/>
            <w:tcBorders>
              <w:top w:val="single" w:sz="6" w:space="0" w:color="000000"/>
            </w:tcBorders>
            <w:shd w:val="clear" w:color="auto" w:fill="CFF0FC"/>
            <w:tcMar>
              <w:top w:w="15" w:type="dxa"/>
              <w:left w:w="0" w:type="dxa"/>
              <w:bottom w:w="0" w:type="dxa"/>
              <w:right w:w="15" w:type="dxa"/>
            </w:tcMar>
            <w:hideMark/>
          </w:tcPr>
          <w:p w14:paraId="67B9863C"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p>
        </w:tc>
        <w:tc>
          <w:tcPr>
            <w:tcW w:w="85" w:type="pct"/>
            <w:shd w:val="clear" w:color="auto" w:fill="CFF0FC"/>
            <w:tcMar>
              <w:top w:w="15" w:type="dxa"/>
              <w:left w:w="0" w:type="dxa"/>
              <w:bottom w:w="0" w:type="dxa"/>
              <w:right w:w="15" w:type="dxa"/>
            </w:tcMar>
            <w:hideMark/>
          </w:tcPr>
          <w:p w14:paraId="535F93D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4B8B75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0D5D681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6EB64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5954D5E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269E092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17D1228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4D25C82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3D7CE58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B7E1F9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308EE2D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A1E74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5FEE57A" w14:textId="77777777">
        <w:trPr>
          <w:divId w:val="1732344392"/>
          <w:jc w:val="center"/>
        </w:trPr>
        <w:tc>
          <w:tcPr>
            <w:tcW w:w="2524" w:type="pct"/>
            <w:shd w:val="clear" w:color="auto" w:fill="FFFFFF"/>
            <w:tcMar>
              <w:top w:w="15" w:type="dxa"/>
              <w:left w:w="0" w:type="dxa"/>
              <w:bottom w:w="0" w:type="dxa"/>
              <w:right w:w="15" w:type="dxa"/>
            </w:tcMar>
            <w:hideMark/>
          </w:tcPr>
          <w:p w14:paraId="5101CEB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FFFFFF"/>
            <w:tcMar>
              <w:top w:w="15" w:type="dxa"/>
              <w:left w:w="0" w:type="dxa"/>
              <w:bottom w:w="0" w:type="dxa"/>
              <w:right w:w="15" w:type="dxa"/>
            </w:tcMar>
            <w:hideMark/>
          </w:tcPr>
          <w:p w14:paraId="4D6321F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1BAE8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left w:w="0" w:type="dxa"/>
              <w:bottom w:w="0" w:type="dxa"/>
              <w:right w:w="15" w:type="dxa"/>
            </w:tcMar>
            <w:vAlign w:val="bottom"/>
            <w:hideMark/>
          </w:tcPr>
          <w:p w14:paraId="1403D6D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1,889</w:t>
            </w:r>
          </w:p>
        </w:tc>
        <w:tc>
          <w:tcPr>
            <w:tcW w:w="50" w:type="pct"/>
            <w:shd w:val="clear" w:color="auto" w:fill="FFFFFF"/>
            <w:noWrap/>
            <w:tcMar>
              <w:top w:w="15" w:type="dxa"/>
              <w:left w:w="0" w:type="dxa"/>
              <w:bottom w:w="0" w:type="dxa"/>
              <w:right w:w="15" w:type="dxa"/>
            </w:tcMar>
            <w:vAlign w:val="bottom"/>
            <w:hideMark/>
          </w:tcPr>
          <w:p w14:paraId="7256204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6D20BD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1C23E6D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85" w:type="pct"/>
            <w:shd w:val="clear" w:color="auto" w:fill="FFFFFF"/>
            <w:tcMar>
              <w:top w:w="15" w:type="dxa"/>
              <w:left w:w="0" w:type="dxa"/>
              <w:bottom w:w="0" w:type="dxa"/>
              <w:right w:w="15" w:type="dxa"/>
            </w:tcMar>
            <w:hideMark/>
          </w:tcPr>
          <w:p w14:paraId="285AF48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4463007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85" w:type="pct"/>
            <w:shd w:val="clear" w:color="auto" w:fill="FFFFFF"/>
            <w:tcMar>
              <w:top w:w="15" w:type="dxa"/>
              <w:left w:w="0" w:type="dxa"/>
              <w:bottom w:w="0" w:type="dxa"/>
              <w:right w:w="15" w:type="dxa"/>
            </w:tcMar>
            <w:hideMark/>
          </w:tcPr>
          <w:p w14:paraId="2516660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559B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left w:w="0" w:type="dxa"/>
              <w:bottom w:w="0" w:type="dxa"/>
              <w:right w:w="15" w:type="dxa"/>
            </w:tcMar>
            <w:vAlign w:val="bottom"/>
            <w:hideMark/>
          </w:tcPr>
          <w:p w14:paraId="5A37650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2,003</w:t>
            </w:r>
          </w:p>
        </w:tc>
        <w:tc>
          <w:tcPr>
            <w:tcW w:w="50" w:type="pct"/>
            <w:shd w:val="clear" w:color="auto" w:fill="FFFFFF"/>
            <w:noWrap/>
            <w:tcMar>
              <w:top w:w="15" w:type="dxa"/>
              <w:left w:w="0" w:type="dxa"/>
              <w:bottom w:w="0" w:type="dxa"/>
              <w:right w:w="15" w:type="dxa"/>
            </w:tcMar>
            <w:vAlign w:val="bottom"/>
            <w:hideMark/>
          </w:tcPr>
          <w:p w14:paraId="1A2AC61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DD275E2" w14:textId="77777777">
        <w:trPr>
          <w:divId w:val="1732344392"/>
          <w:jc w:val="center"/>
        </w:trPr>
        <w:tc>
          <w:tcPr>
            <w:tcW w:w="2524" w:type="pct"/>
            <w:shd w:val="clear" w:color="auto" w:fill="CFF0FC"/>
            <w:tcMar>
              <w:top w:w="15" w:type="dxa"/>
              <w:left w:w="0" w:type="dxa"/>
              <w:bottom w:w="0" w:type="dxa"/>
              <w:right w:w="15" w:type="dxa"/>
            </w:tcMar>
            <w:hideMark/>
          </w:tcPr>
          <w:p w14:paraId="4EB67A3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CFF0FC"/>
            <w:tcMar>
              <w:top w:w="15" w:type="dxa"/>
              <w:left w:w="0" w:type="dxa"/>
              <w:bottom w:w="0" w:type="dxa"/>
              <w:right w:w="15" w:type="dxa"/>
            </w:tcMar>
            <w:hideMark/>
          </w:tcPr>
          <w:p w14:paraId="497ABA3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459E1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left w:w="0" w:type="dxa"/>
              <w:bottom w:w="0" w:type="dxa"/>
              <w:right w:w="15" w:type="dxa"/>
            </w:tcMar>
            <w:vAlign w:val="bottom"/>
            <w:hideMark/>
          </w:tcPr>
          <w:p w14:paraId="7DCF1D0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1,082</w:t>
            </w:r>
          </w:p>
        </w:tc>
        <w:tc>
          <w:tcPr>
            <w:tcW w:w="50" w:type="pct"/>
            <w:shd w:val="clear" w:color="auto" w:fill="CFF0FC"/>
            <w:noWrap/>
            <w:tcMar>
              <w:top w:w="15" w:type="dxa"/>
              <w:left w:w="0" w:type="dxa"/>
              <w:bottom w:w="0" w:type="dxa"/>
              <w:right w:w="15" w:type="dxa"/>
            </w:tcMar>
            <w:vAlign w:val="bottom"/>
            <w:hideMark/>
          </w:tcPr>
          <w:p w14:paraId="0D9A016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683538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5CBA87B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85" w:type="pct"/>
            <w:shd w:val="clear" w:color="auto" w:fill="CFF0FC"/>
            <w:tcMar>
              <w:top w:w="15" w:type="dxa"/>
              <w:left w:w="0" w:type="dxa"/>
              <w:bottom w:w="0" w:type="dxa"/>
              <w:right w:w="15" w:type="dxa"/>
            </w:tcMar>
            <w:hideMark/>
          </w:tcPr>
          <w:p w14:paraId="7AF593B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3A3055E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85" w:type="pct"/>
            <w:shd w:val="clear" w:color="auto" w:fill="CFF0FC"/>
            <w:tcMar>
              <w:top w:w="15" w:type="dxa"/>
              <w:left w:w="0" w:type="dxa"/>
              <w:bottom w:w="0" w:type="dxa"/>
              <w:right w:w="15" w:type="dxa"/>
            </w:tcMar>
            <w:hideMark/>
          </w:tcPr>
          <w:p w14:paraId="6B5B6B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3375D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left w:w="0" w:type="dxa"/>
              <w:bottom w:w="0" w:type="dxa"/>
              <w:right w:w="15" w:type="dxa"/>
            </w:tcMar>
            <w:vAlign w:val="bottom"/>
            <w:hideMark/>
          </w:tcPr>
          <w:p w14:paraId="2A3D11B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1,201</w:t>
            </w:r>
          </w:p>
        </w:tc>
        <w:tc>
          <w:tcPr>
            <w:tcW w:w="50" w:type="pct"/>
            <w:shd w:val="clear" w:color="auto" w:fill="CFF0FC"/>
            <w:noWrap/>
            <w:tcMar>
              <w:top w:w="15" w:type="dxa"/>
              <w:left w:w="0" w:type="dxa"/>
              <w:bottom w:w="0" w:type="dxa"/>
              <w:right w:w="15" w:type="dxa"/>
            </w:tcMar>
            <w:vAlign w:val="bottom"/>
            <w:hideMark/>
          </w:tcPr>
          <w:p w14:paraId="03DDC4C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159B3DB" w14:textId="77777777">
        <w:trPr>
          <w:divId w:val="1732344392"/>
          <w:jc w:val="center"/>
        </w:trPr>
        <w:tc>
          <w:tcPr>
            <w:tcW w:w="2524" w:type="pct"/>
            <w:shd w:val="clear" w:color="auto" w:fill="FFFFFF"/>
            <w:tcMar>
              <w:top w:w="15" w:type="dxa"/>
              <w:left w:w="0" w:type="dxa"/>
              <w:bottom w:w="0" w:type="dxa"/>
              <w:right w:w="15" w:type="dxa"/>
            </w:tcMar>
            <w:hideMark/>
          </w:tcPr>
          <w:p w14:paraId="3E01416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FFFFFF"/>
            <w:tcMar>
              <w:top w:w="15" w:type="dxa"/>
              <w:left w:w="0" w:type="dxa"/>
              <w:bottom w:w="0" w:type="dxa"/>
              <w:right w:w="15" w:type="dxa"/>
            </w:tcMar>
            <w:hideMark/>
          </w:tcPr>
          <w:p w14:paraId="5137189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B7EC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3002073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733</w:t>
            </w:r>
          </w:p>
        </w:tc>
        <w:tc>
          <w:tcPr>
            <w:tcW w:w="50" w:type="pct"/>
            <w:shd w:val="clear" w:color="auto" w:fill="FFFFFF"/>
            <w:noWrap/>
            <w:tcMar>
              <w:top w:w="15" w:type="dxa"/>
              <w:left w:w="0" w:type="dxa"/>
              <w:bottom w:w="0" w:type="dxa"/>
              <w:right w:w="15" w:type="dxa"/>
            </w:tcMar>
            <w:vAlign w:val="bottom"/>
            <w:hideMark/>
          </w:tcPr>
          <w:p w14:paraId="58DBD32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0440308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2D93393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85" w:type="pct"/>
            <w:shd w:val="clear" w:color="auto" w:fill="FFFFFF"/>
            <w:tcMar>
              <w:top w:w="15" w:type="dxa"/>
              <w:left w:w="0" w:type="dxa"/>
              <w:bottom w:w="0" w:type="dxa"/>
              <w:right w:w="15" w:type="dxa"/>
            </w:tcMar>
            <w:hideMark/>
          </w:tcPr>
          <w:p w14:paraId="04078C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30A55B2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85" w:type="pct"/>
            <w:shd w:val="clear" w:color="auto" w:fill="FFFFFF"/>
            <w:tcMar>
              <w:top w:w="15" w:type="dxa"/>
              <w:left w:w="0" w:type="dxa"/>
              <w:bottom w:w="0" w:type="dxa"/>
              <w:right w:w="15" w:type="dxa"/>
            </w:tcMar>
            <w:hideMark/>
          </w:tcPr>
          <w:p w14:paraId="52A67C1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7F2B26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14B2060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790</w:t>
            </w:r>
          </w:p>
        </w:tc>
        <w:tc>
          <w:tcPr>
            <w:tcW w:w="50" w:type="pct"/>
            <w:shd w:val="clear" w:color="auto" w:fill="FFFFFF"/>
            <w:noWrap/>
            <w:tcMar>
              <w:top w:w="15" w:type="dxa"/>
              <w:left w:w="0" w:type="dxa"/>
              <w:bottom w:w="0" w:type="dxa"/>
              <w:right w:w="15" w:type="dxa"/>
            </w:tcMar>
            <w:vAlign w:val="bottom"/>
            <w:hideMark/>
          </w:tcPr>
          <w:p w14:paraId="0C9E561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7BE3174" w14:textId="77777777">
        <w:trPr>
          <w:divId w:val="1732344392"/>
          <w:jc w:val="center"/>
        </w:trPr>
        <w:tc>
          <w:tcPr>
            <w:tcW w:w="2524" w:type="pct"/>
            <w:shd w:val="clear" w:color="auto" w:fill="CFF0FC"/>
            <w:tcMar>
              <w:top w:w="15" w:type="dxa"/>
              <w:left w:w="0" w:type="dxa"/>
              <w:bottom w:w="0" w:type="dxa"/>
              <w:right w:w="15" w:type="dxa"/>
            </w:tcMar>
            <w:hideMark/>
          </w:tcPr>
          <w:p w14:paraId="5955A9EE"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5" w:type="pct"/>
            <w:shd w:val="clear" w:color="auto" w:fill="CFF0FC"/>
            <w:tcMar>
              <w:top w:w="15" w:type="dxa"/>
              <w:left w:w="0" w:type="dxa"/>
              <w:bottom w:w="0" w:type="dxa"/>
              <w:right w:w="15" w:type="dxa"/>
            </w:tcMar>
            <w:hideMark/>
          </w:tcPr>
          <w:p w14:paraId="4664F35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D82F5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659C00A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3,704</w:t>
            </w:r>
          </w:p>
        </w:tc>
        <w:tc>
          <w:tcPr>
            <w:tcW w:w="50" w:type="pct"/>
            <w:shd w:val="clear" w:color="auto" w:fill="CFF0FC"/>
            <w:noWrap/>
            <w:tcMar>
              <w:top w:w="15" w:type="dxa"/>
              <w:left w:w="0" w:type="dxa"/>
              <w:bottom w:w="0" w:type="dxa"/>
              <w:right w:w="15" w:type="dxa"/>
            </w:tcMar>
            <w:vAlign w:val="bottom"/>
            <w:hideMark/>
          </w:tcPr>
          <w:p w14:paraId="2CD2ED4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32E57D0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28F982C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85" w:type="pct"/>
            <w:shd w:val="clear" w:color="auto" w:fill="CFF0FC"/>
            <w:tcMar>
              <w:top w:w="15" w:type="dxa"/>
              <w:left w:w="0" w:type="dxa"/>
              <w:bottom w:w="0" w:type="dxa"/>
              <w:right w:w="15" w:type="dxa"/>
            </w:tcMar>
            <w:hideMark/>
          </w:tcPr>
          <w:p w14:paraId="0719F57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09EA976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85" w:type="pct"/>
            <w:shd w:val="clear" w:color="auto" w:fill="CFF0FC"/>
            <w:tcMar>
              <w:top w:w="15" w:type="dxa"/>
              <w:left w:w="0" w:type="dxa"/>
              <w:bottom w:w="0" w:type="dxa"/>
              <w:right w:w="15" w:type="dxa"/>
            </w:tcMar>
            <w:hideMark/>
          </w:tcPr>
          <w:p w14:paraId="07BFBEC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05FE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1B13A93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3,994</w:t>
            </w:r>
          </w:p>
        </w:tc>
        <w:tc>
          <w:tcPr>
            <w:tcW w:w="50" w:type="pct"/>
            <w:shd w:val="clear" w:color="auto" w:fill="CFF0FC"/>
            <w:noWrap/>
            <w:tcMar>
              <w:top w:w="15" w:type="dxa"/>
              <w:left w:w="0" w:type="dxa"/>
              <w:bottom w:w="0" w:type="dxa"/>
              <w:right w:w="15" w:type="dxa"/>
            </w:tcMar>
            <w:vAlign w:val="bottom"/>
            <w:hideMark/>
          </w:tcPr>
          <w:p w14:paraId="5C5082F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CDB5B56" w14:textId="77777777">
        <w:trPr>
          <w:divId w:val="1732344392"/>
          <w:jc w:val="center"/>
        </w:trPr>
        <w:tc>
          <w:tcPr>
            <w:tcW w:w="2524" w:type="pct"/>
            <w:shd w:val="clear" w:color="auto" w:fill="FFFFFF"/>
            <w:tcMar>
              <w:top w:w="15" w:type="dxa"/>
              <w:left w:w="0" w:type="dxa"/>
              <w:bottom w:w="0" w:type="dxa"/>
              <w:right w:w="15" w:type="dxa"/>
            </w:tcMar>
            <w:hideMark/>
          </w:tcPr>
          <w:p w14:paraId="767BE72F"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Expenses:</w:t>
            </w:r>
          </w:p>
        </w:tc>
        <w:tc>
          <w:tcPr>
            <w:tcW w:w="85" w:type="pct"/>
            <w:shd w:val="clear" w:color="auto" w:fill="FFFFFF"/>
            <w:tcMar>
              <w:top w:w="15" w:type="dxa"/>
              <w:left w:w="0" w:type="dxa"/>
              <w:bottom w:w="0" w:type="dxa"/>
              <w:right w:w="15" w:type="dxa"/>
            </w:tcMar>
            <w:hideMark/>
          </w:tcPr>
          <w:p w14:paraId="0A60F1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115C5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left w:w="0" w:type="dxa"/>
              <w:bottom w:w="0" w:type="dxa"/>
              <w:right w:w="15" w:type="dxa"/>
            </w:tcMar>
            <w:vAlign w:val="bottom"/>
            <w:hideMark/>
          </w:tcPr>
          <w:p w14:paraId="691014E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FF9F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71870AC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64B52A7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152AFDA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2D51FB7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3D299BA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44A30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left w:w="0" w:type="dxa"/>
              <w:bottom w:w="0" w:type="dxa"/>
              <w:right w:w="15" w:type="dxa"/>
            </w:tcMar>
            <w:vAlign w:val="bottom"/>
            <w:hideMark/>
          </w:tcPr>
          <w:p w14:paraId="642EB26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7E42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CBBA7D7" w14:textId="77777777">
        <w:trPr>
          <w:divId w:val="1732344392"/>
          <w:jc w:val="center"/>
        </w:trPr>
        <w:tc>
          <w:tcPr>
            <w:tcW w:w="2524" w:type="pct"/>
            <w:shd w:val="clear" w:color="auto" w:fill="CFF0FC"/>
            <w:tcMar>
              <w:top w:w="15" w:type="dxa"/>
              <w:left w:w="0" w:type="dxa"/>
              <w:bottom w:w="0" w:type="dxa"/>
              <w:right w:w="15" w:type="dxa"/>
            </w:tcMar>
            <w:hideMark/>
          </w:tcPr>
          <w:p w14:paraId="064BE43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vertAlign w:val="superscript"/>
              </w:rPr>
              <w:t>(1)</w:t>
            </w:r>
          </w:p>
        </w:tc>
        <w:tc>
          <w:tcPr>
            <w:tcW w:w="85" w:type="pct"/>
            <w:shd w:val="clear" w:color="auto" w:fill="CFF0FC"/>
            <w:tcMar>
              <w:top w:w="15" w:type="dxa"/>
              <w:left w:w="0" w:type="dxa"/>
              <w:bottom w:w="0" w:type="dxa"/>
              <w:right w:w="15" w:type="dxa"/>
            </w:tcMar>
            <w:hideMark/>
          </w:tcPr>
          <w:p w14:paraId="287EA9B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425B0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left w:w="0" w:type="dxa"/>
              <w:bottom w:w="0" w:type="dxa"/>
              <w:right w:w="15" w:type="dxa"/>
            </w:tcMar>
            <w:vAlign w:val="bottom"/>
            <w:hideMark/>
          </w:tcPr>
          <w:p w14:paraId="72AAEB3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1,327</w:t>
            </w:r>
          </w:p>
        </w:tc>
        <w:tc>
          <w:tcPr>
            <w:tcW w:w="50" w:type="pct"/>
            <w:shd w:val="clear" w:color="auto" w:fill="CFF0FC"/>
            <w:noWrap/>
            <w:tcMar>
              <w:top w:w="15" w:type="dxa"/>
              <w:left w:w="0" w:type="dxa"/>
              <w:bottom w:w="0" w:type="dxa"/>
              <w:right w:w="15" w:type="dxa"/>
            </w:tcMar>
            <w:vAlign w:val="bottom"/>
            <w:hideMark/>
          </w:tcPr>
          <w:p w14:paraId="220D93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7DEE4F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3A79BAA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w:t>
            </w:r>
          </w:p>
        </w:tc>
        <w:tc>
          <w:tcPr>
            <w:tcW w:w="85" w:type="pct"/>
            <w:shd w:val="clear" w:color="auto" w:fill="CFF0FC"/>
            <w:tcMar>
              <w:top w:w="15" w:type="dxa"/>
              <w:left w:w="0" w:type="dxa"/>
              <w:bottom w:w="0" w:type="dxa"/>
              <w:right w:w="15" w:type="dxa"/>
            </w:tcMar>
            <w:hideMark/>
          </w:tcPr>
          <w:p w14:paraId="6AFB7B7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4CBBED9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w:t>
            </w:r>
          </w:p>
        </w:tc>
        <w:tc>
          <w:tcPr>
            <w:tcW w:w="85" w:type="pct"/>
            <w:shd w:val="clear" w:color="auto" w:fill="CFF0FC"/>
            <w:tcMar>
              <w:top w:w="15" w:type="dxa"/>
              <w:left w:w="0" w:type="dxa"/>
              <w:bottom w:w="0" w:type="dxa"/>
              <w:right w:w="15" w:type="dxa"/>
            </w:tcMar>
            <w:hideMark/>
          </w:tcPr>
          <w:p w14:paraId="60970C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C694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left w:w="0" w:type="dxa"/>
              <w:bottom w:w="0" w:type="dxa"/>
              <w:right w:w="15" w:type="dxa"/>
            </w:tcMar>
            <w:vAlign w:val="bottom"/>
            <w:hideMark/>
          </w:tcPr>
          <w:p w14:paraId="6649B56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1,547</w:t>
            </w:r>
          </w:p>
        </w:tc>
        <w:tc>
          <w:tcPr>
            <w:tcW w:w="50" w:type="pct"/>
            <w:shd w:val="clear" w:color="auto" w:fill="CFF0FC"/>
            <w:noWrap/>
            <w:tcMar>
              <w:top w:w="15" w:type="dxa"/>
              <w:left w:w="0" w:type="dxa"/>
              <w:bottom w:w="0" w:type="dxa"/>
              <w:right w:w="15" w:type="dxa"/>
            </w:tcMar>
            <w:vAlign w:val="bottom"/>
            <w:hideMark/>
          </w:tcPr>
          <w:p w14:paraId="34C034F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945F23D" w14:textId="77777777">
        <w:trPr>
          <w:divId w:val="1732344392"/>
          <w:jc w:val="center"/>
        </w:trPr>
        <w:tc>
          <w:tcPr>
            <w:tcW w:w="2524" w:type="pct"/>
            <w:shd w:val="clear" w:color="auto" w:fill="FFFFFF"/>
            <w:tcMar>
              <w:top w:w="15" w:type="dxa"/>
              <w:left w:w="0" w:type="dxa"/>
              <w:bottom w:w="0" w:type="dxa"/>
              <w:right w:w="15" w:type="dxa"/>
            </w:tcMar>
            <w:hideMark/>
          </w:tcPr>
          <w:p w14:paraId="5622B5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vertAlign w:val="superscript"/>
              </w:rPr>
              <w:t>(1)</w:t>
            </w:r>
          </w:p>
        </w:tc>
        <w:tc>
          <w:tcPr>
            <w:tcW w:w="85" w:type="pct"/>
            <w:shd w:val="clear" w:color="auto" w:fill="FFFFFF"/>
            <w:tcMar>
              <w:top w:w="15" w:type="dxa"/>
              <w:left w:w="0" w:type="dxa"/>
              <w:bottom w:w="0" w:type="dxa"/>
              <w:right w:w="15" w:type="dxa"/>
            </w:tcMar>
            <w:hideMark/>
          </w:tcPr>
          <w:p w14:paraId="0CAC0D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F93190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0934D97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520</w:t>
            </w:r>
          </w:p>
        </w:tc>
        <w:tc>
          <w:tcPr>
            <w:tcW w:w="50" w:type="pct"/>
            <w:shd w:val="clear" w:color="auto" w:fill="FFFFFF"/>
            <w:noWrap/>
            <w:tcMar>
              <w:top w:w="15" w:type="dxa"/>
              <w:left w:w="0" w:type="dxa"/>
              <w:bottom w:w="0" w:type="dxa"/>
              <w:right w:w="15" w:type="dxa"/>
            </w:tcMar>
            <w:vAlign w:val="bottom"/>
            <w:hideMark/>
          </w:tcPr>
          <w:p w14:paraId="4B87B0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2F9C4AB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19EC4D8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w:t>
            </w:r>
          </w:p>
        </w:tc>
        <w:tc>
          <w:tcPr>
            <w:tcW w:w="85" w:type="pct"/>
            <w:shd w:val="clear" w:color="auto" w:fill="FFFFFF"/>
            <w:tcMar>
              <w:top w:w="15" w:type="dxa"/>
              <w:left w:w="0" w:type="dxa"/>
              <w:bottom w:w="0" w:type="dxa"/>
              <w:right w:w="15" w:type="dxa"/>
            </w:tcMar>
            <w:hideMark/>
          </w:tcPr>
          <w:p w14:paraId="196689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0DB24D6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85" w:type="pct"/>
            <w:shd w:val="clear" w:color="auto" w:fill="FFFFFF"/>
            <w:tcMar>
              <w:top w:w="15" w:type="dxa"/>
              <w:left w:w="0" w:type="dxa"/>
              <w:bottom w:w="0" w:type="dxa"/>
              <w:right w:w="15" w:type="dxa"/>
            </w:tcMar>
            <w:hideMark/>
          </w:tcPr>
          <w:p w14:paraId="0C50FEA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A452A8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6A7D2DD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643</w:t>
            </w:r>
          </w:p>
        </w:tc>
        <w:tc>
          <w:tcPr>
            <w:tcW w:w="50" w:type="pct"/>
            <w:shd w:val="clear" w:color="auto" w:fill="FFFFFF"/>
            <w:noWrap/>
            <w:tcMar>
              <w:top w:w="15" w:type="dxa"/>
              <w:left w:w="0" w:type="dxa"/>
              <w:bottom w:w="0" w:type="dxa"/>
              <w:right w:w="15" w:type="dxa"/>
            </w:tcMar>
            <w:vAlign w:val="bottom"/>
            <w:hideMark/>
          </w:tcPr>
          <w:p w14:paraId="5F53B4A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E9E5020" w14:textId="77777777">
        <w:trPr>
          <w:divId w:val="1732344392"/>
          <w:jc w:val="center"/>
        </w:trPr>
        <w:tc>
          <w:tcPr>
            <w:tcW w:w="2524" w:type="pct"/>
            <w:shd w:val="clear" w:color="auto" w:fill="CFF0FC"/>
            <w:tcMar>
              <w:top w:w="15" w:type="dxa"/>
              <w:left w:w="0" w:type="dxa"/>
              <w:bottom w:w="0" w:type="dxa"/>
              <w:right w:w="15" w:type="dxa"/>
            </w:tcMar>
            <w:hideMark/>
          </w:tcPr>
          <w:p w14:paraId="7B6ACEE5"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vertAlign w:val="superscript"/>
              </w:rPr>
              <w:t>(1)</w:t>
            </w:r>
          </w:p>
        </w:tc>
        <w:tc>
          <w:tcPr>
            <w:tcW w:w="85" w:type="pct"/>
            <w:shd w:val="clear" w:color="auto" w:fill="CFF0FC"/>
            <w:tcMar>
              <w:top w:w="15" w:type="dxa"/>
              <w:left w:w="0" w:type="dxa"/>
              <w:bottom w:w="0" w:type="dxa"/>
              <w:right w:w="15" w:type="dxa"/>
            </w:tcMar>
            <w:hideMark/>
          </w:tcPr>
          <w:p w14:paraId="4B9024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3E8239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BA9AF8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1,847</w:t>
            </w:r>
          </w:p>
        </w:tc>
        <w:tc>
          <w:tcPr>
            <w:tcW w:w="50" w:type="pct"/>
            <w:shd w:val="clear" w:color="auto" w:fill="CFF0FC"/>
            <w:noWrap/>
            <w:tcMar>
              <w:top w:w="15" w:type="dxa"/>
              <w:left w:w="0" w:type="dxa"/>
              <w:bottom w:w="0" w:type="dxa"/>
              <w:right w:w="15" w:type="dxa"/>
            </w:tcMar>
            <w:vAlign w:val="bottom"/>
            <w:hideMark/>
          </w:tcPr>
          <w:p w14:paraId="27C04C2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17353F4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70C9E7A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85" w:type="pct"/>
            <w:shd w:val="clear" w:color="auto" w:fill="CFF0FC"/>
            <w:tcMar>
              <w:top w:w="15" w:type="dxa"/>
              <w:left w:w="0" w:type="dxa"/>
              <w:bottom w:w="0" w:type="dxa"/>
              <w:right w:w="15" w:type="dxa"/>
            </w:tcMar>
            <w:hideMark/>
          </w:tcPr>
          <w:p w14:paraId="0CC8CF7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0ECC650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w:t>
            </w:r>
          </w:p>
        </w:tc>
        <w:tc>
          <w:tcPr>
            <w:tcW w:w="85" w:type="pct"/>
            <w:shd w:val="clear" w:color="auto" w:fill="CFF0FC"/>
            <w:tcMar>
              <w:top w:w="15" w:type="dxa"/>
              <w:left w:w="0" w:type="dxa"/>
              <w:bottom w:w="0" w:type="dxa"/>
              <w:right w:w="15" w:type="dxa"/>
            </w:tcMar>
            <w:hideMark/>
          </w:tcPr>
          <w:p w14:paraId="524D3C2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8095FE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AB0586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2,190</w:t>
            </w:r>
          </w:p>
        </w:tc>
        <w:tc>
          <w:tcPr>
            <w:tcW w:w="50" w:type="pct"/>
            <w:shd w:val="clear" w:color="auto" w:fill="CFF0FC"/>
            <w:noWrap/>
            <w:tcMar>
              <w:top w:w="15" w:type="dxa"/>
              <w:left w:w="0" w:type="dxa"/>
              <w:bottom w:w="0" w:type="dxa"/>
              <w:right w:w="15" w:type="dxa"/>
            </w:tcMar>
            <w:vAlign w:val="bottom"/>
            <w:hideMark/>
          </w:tcPr>
          <w:p w14:paraId="7A3BAE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E6076F1" w14:textId="77777777">
        <w:trPr>
          <w:divId w:val="1732344392"/>
          <w:jc w:val="center"/>
        </w:trPr>
        <w:tc>
          <w:tcPr>
            <w:tcW w:w="2524" w:type="pct"/>
            <w:shd w:val="clear" w:color="auto" w:fill="FFFFFF"/>
            <w:tcMar>
              <w:top w:w="15" w:type="dxa"/>
              <w:left w:w="0" w:type="dxa"/>
              <w:bottom w:w="0" w:type="dxa"/>
              <w:right w:w="15" w:type="dxa"/>
            </w:tcMar>
            <w:hideMark/>
          </w:tcPr>
          <w:p w14:paraId="7A74CA24"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85" w:type="pct"/>
            <w:shd w:val="clear" w:color="auto" w:fill="FFFFFF"/>
            <w:tcMar>
              <w:top w:w="15" w:type="dxa"/>
              <w:left w:w="0" w:type="dxa"/>
              <w:bottom w:w="0" w:type="dxa"/>
              <w:right w:w="15" w:type="dxa"/>
            </w:tcMar>
            <w:hideMark/>
          </w:tcPr>
          <w:p w14:paraId="6D7BC4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230C4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9AF6B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1,857</w:t>
            </w:r>
          </w:p>
        </w:tc>
        <w:tc>
          <w:tcPr>
            <w:tcW w:w="50" w:type="pct"/>
            <w:shd w:val="clear" w:color="auto" w:fill="FFFFFF"/>
            <w:noWrap/>
            <w:tcMar>
              <w:top w:w="15" w:type="dxa"/>
              <w:left w:w="0" w:type="dxa"/>
              <w:bottom w:w="0" w:type="dxa"/>
              <w:right w:w="15" w:type="dxa"/>
            </w:tcMar>
            <w:vAlign w:val="bottom"/>
            <w:hideMark/>
          </w:tcPr>
          <w:p w14:paraId="22F73B5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01AC84A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52699A7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85" w:type="pct"/>
            <w:shd w:val="clear" w:color="auto" w:fill="FFFFFF"/>
            <w:tcMar>
              <w:top w:w="15" w:type="dxa"/>
              <w:left w:w="0" w:type="dxa"/>
              <w:bottom w:w="0" w:type="dxa"/>
              <w:right w:w="15" w:type="dxa"/>
            </w:tcMar>
            <w:hideMark/>
          </w:tcPr>
          <w:p w14:paraId="385695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6CA3E6A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85" w:type="pct"/>
            <w:shd w:val="clear" w:color="auto" w:fill="FFFFFF"/>
            <w:tcMar>
              <w:top w:w="15" w:type="dxa"/>
              <w:left w:w="0" w:type="dxa"/>
              <w:bottom w:w="0" w:type="dxa"/>
              <w:right w:w="15" w:type="dxa"/>
            </w:tcMar>
            <w:hideMark/>
          </w:tcPr>
          <w:p w14:paraId="66D59D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00184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B0CB1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1,804</w:t>
            </w:r>
          </w:p>
        </w:tc>
        <w:tc>
          <w:tcPr>
            <w:tcW w:w="50" w:type="pct"/>
            <w:shd w:val="clear" w:color="auto" w:fill="FFFFFF"/>
            <w:noWrap/>
            <w:tcMar>
              <w:top w:w="15" w:type="dxa"/>
              <w:left w:w="0" w:type="dxa"/>
              <w:bottom w:w="0" w:type="dxa"/>
              <w:right w:w="15" w:type="dxa"/>
            </w:tcMar>
            <w:vAlign w:val="bottom"/>
            <w:hideMark/>
          </w:tcPr>
          <w:p w14:paraId="0B6CF78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B62F713" w14:textId="77777777">
        <w:trPr>
          <w:divId w:val="1732344392"/>
          <w:jc w:val="center"/>
        </w:trPr>
        <w:tc>
          <w:tcPr>
            <w:tcW w:w="2524" w:type="pct"/>
            <w:shd w:val="clear" w:color="auto" w:fill="CFF0FC"/>
            <w:tcMar>
              <w:top w:w="15" w:type="dxa"/>
              <w:left w:w="0" w:type="dxa"/>
              <w:bottom w:w="0" w:type="dxa"/>
              <w:right w:w="15" w:type="dxa"/>
            </w:tcMar>
            <w:hideMark/>
          </w:tcPr>
          <w:p w14:paraId="05BFDC49"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5" w:type="pct"/>
            <w:shd w:val="clear" w:color="auto" w:fill="CFF0FC"/>
            <w:tcMar>
              <w:top w:w="15" w:type="dxa"/>
              <w:left w:w="0" w:type="dxa"/>
              <w:bottom w:w="0" w:type="dxa"/>
              <w:right w:w="15" w:type="dxa"/>
            </w:tcMar>
            <w:hideMark/>
          </w:tcPr>
          <w:p w14:paraId="2C72A32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CFF0FC"/>
            <w:tcMar>
              <w:top w:w="15" w:type="dxa"/>
              <w:left w:w="0" w:type="dxa"/>
              <w:bottom w:w="0" w:type="dxa"/>
              <w:right w:w="15" w:type="dxa"/>
            </w:tcMar>
            <w:vAlign w:val="bottom"/>
            <w:hideMark/>
          </w:tcPr>
          <w:p w14:paraId="44EADA3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left w:w="0" w:type="dxa"/>
              <w:bottom w:w="0" w:type="dxa"/>
              <w:right w:w="15" w:type="dxa"/>
            </w:tcMar>
            <w:vAlign w:val="bottom"/>
            <w:hideMark/>
          </w:tcPr>
          <w:p w14:paraId="00C1C31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2466777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0A02D55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29BF7BA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31F6ABD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5F2B18D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CFF0FC"/>
            <w:tcMar>
              <w:top w:w="15" w:type="dxa"/>
              <w:left w:w="0" w:type="dxa"/>
              <w:bottom w:w="0" w:type="dxa"/>
              <w:right w:w="15" w:type="dxa"/>
            </w:tcMar>
            <w:vAlign w:val="bottom"/>
            <w:hideMark/>
          </w:tcPr>
          <w:p w14:paraId="13655F2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w:t>
            </w:r>
          </w:p>
        </w:tc>
        <w:tc>
          <w:tcPr>
            <w:tcW w:w="50" w:type="pct"/>
            <w:shd w:val="clear" w:color="auto" w:fill="CFF0FC"/>
            <w:noWrap/>
            <w:tcMar>
              <w:top w:w="15" w:type="dxa"/>
              <w:left w:w="0" w:type="dxa"/>
              <w:bottom w:w="0" w:type="dxa"/>
              <w:right w:w="15" w:type="dxa"/>
            </w:tcMar>
            <w:vAlign w:val="bottom"/>
            <w:hideMark/>
          </w:tcPr>
          <w:p w14:paraId="3300A91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3BE2E78" w14:textId="77777777">
        <w:trPr>
          <w:divId w:val="1732344392"/>
          <w:jc w:val="center"/>
        </w:trPr>
        <w:tc>
          <w:tcPr>
            <w:tcW w:w="2524" w:type="pct"/>
            <w:shd w:val="clear" w:color="auto" w:fill="FFFFFF"/>
            <w:tcMar>
              <w:top w:w="15" w:type="dxa"/>
              <w:left w:w="0" w:type="dxa"/>
              <w:bottom w:w="0" w:type="dxa"/>
              <w:right w:w="15" w:type="dxa"/>
            </w:tcMar>
            <w:hideMark/>
          </w:tcPr>
          <w:p w14:paraId="5EAD5E14"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p>
        </w:tc>
        <w:tc>
          <w:tcPr>
            <w:tcW w:w="85" w:type="pct"/>
            <w:shd w:val="clear" w:color="auto" w:fill="FFFFFF"/>
            <w:tcMar>
              <w:top w:w="15" w:type="dxa"/>
              <w:left w:w="0" w:type="dxa"/>
              <w:bottom w:w="0" w:type="dxa"/>
              <w:right w:w="15" w:type="dxa"/>
            </w:tcMar>
            <w:hideMark/>
          </w:tcPr>
          <w:p w14:paraId="3BFF1EB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4A89E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left w:w="0" w:type="dxa"/>
              <w:bottom w:w="0" w:type="dxa"/>
              <w:right w:w="15" w:type="dxa"/>
            </w:tcMar>
            <w:vAlign w:val="bottom"/>
            <w:hideMark/>
          </w:tcPr>
          <w:p w14:paraId="579955E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8284B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1A29767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43B23F8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283BA31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12EB7D2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6F2DCB1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D4FD7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left w:w="0" w:type="dxa"/>
              <w:bottom w:w="0" w:type="dxa"/>
              <w:right w:w="15" w:type="dxa"/>
            </w:tcMar>
            <w:vAlign w:val="bottom"/>
            <w:hideMark/>
          </w:tcPr>
          <w:p w14:paraId="680D468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568F2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FF2BAA9" w14:textId="77777777">
        <w:trPr>
          <w:divId w:val="1732344392"/>
          <w:jc w:val="center"/>
        </w:trPr>
        <w:tc>
          <w:tcPr>
            <w:tcW w:w="2524" w:type="pct"/>
            <w:shd w:val="clear" w:color="auto" w:fill="CFF0FC"/>
            <w:tcMar>
              <w:top w:w="15" w:type="dxa"/>
              <w:left w:w="0" w:type="dxa"/>
              <w:bottom w:w="0" w:type="dxa"/>
              <w:right w:w="15" w:type="dxa"/>
            </w:tcMar>
            <w:hideMark/>
          </w:tcPr>
          <w:p w14:paraId="62099BF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CFF0FC"/>
            <w:tcMar>
              <w:top w:w="15" w:type="dxa"/>
              <w:left w:w="0" w:type="dxa"/>
              <w:bottom w:w="0" w:type="dxa"/>
              <w:right w:w="15" w:type="dxa"/>
            </w:tcMar>
            <w:hideMark/>
          </w:tcPr>
          <w:p w14:paraId="25B2366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left w:w="0" w:type="dxa"/>
              <w:bottom w:w="0" w:type="dxa"/>
              <w:right w:w="15" w:type="dxa"/>
            </w:tcMar>
            <w:vAlign w:val="bottom"/>
            <w:hideMark/>
          </w:tcPr>
          <w:p w14:paraId="40DE63D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left w:w="0" w:type="dxa"/>
              <w:bottom w:w="0" w:type="dxa"/>
              <w:right w:w="15" w:type="dxa"/>
            </w:tcMar>
            <w:vAlign w:val="bottom"/>
            <w:hideMark/>
          </w:tcPr>
          <w:p w14:paraId="2EA9E99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4772B9D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1751511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25A0B83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21C8268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167A7E8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left w:w="0" w:type="dxa"/>
              <w:bottom w:w="0" w:type="dxa"/>
              <w:right w:w="15" w:type="dxa"/>
            </w:tcMar>
            <w:vAlign w:val="bottom"/>
            <w:hideMark/>
          </w:tcPr>
          <w:p w14:paraId="7455D6F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left w:w="0" w:type="dxa"/>
              <w:bottom w:w="0" w:type="dxa"/>
              <w:right w:w="15" w:type="dxa"/>
            </w:tcMar>
            <w:vAlign w:val="bottom"/>
            <w:hideMark/>
          </w:tcPr>
          <w:p w14:paraId="1C23AEB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87AB690" w14:textId="77777777">
        <w:trPr>
          <w:divId w:val="1732344392"/>
          <w:jc w:val="center"/>
        </w:trPr>
        <w:tc>
          <w:tcPr>
            <w:tcW w:w="2524" w:type="pct"/>
            <w:shd w:val="clear" w:color="auto" w:fill="FFFFFF"/>
            <w:tcMar>
              <w:top w:w="15" w:type="dxa"/>
              <w:left w:w="0" w:type="dxa"/>
              <w:bottom w:w="0" w:type="dxa"/>
              <w:right w:w="15" w:type="dxa"/>
            </w:tcMar>
            <w:hideMark/>
          </w:tcPr>
          <w:p w14:paraId="3DEFBB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FFFFFF"/>
            <w:tcMar>
              <w:top w:w="15" w:type="dxa"/>
              <w:left w:w="0" w:type="dxa"/>
              <w:bottom w:w="0" w:type="dxa"/>
              <w:right w:w="15" w:type="dxa"/>
            </w:tcMar>
            <w:hideMark/>
          </w:tcPr>
          <w:p w14:paraId="3106D8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left w:w="0" w:type="dxa"/>
              <w:bottom w:w="0" w:type="dxa"/>
              <w:right w:w="15" w:type="dxa"/>
            </w:tcMar>
            <w:vAlign w:val="bottom"/>
            <w:hideMark/>
          </w:tcPr>
          <w:p w14:paraId="6EA461E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left w:w="0" w:type="dxa"/>
              <w:bottom w:w="0" w:type="dxa"/>
              <w:right w:w="15" w:type="dxa"/>
            </w:tcMar>
            <w:vAlign w:val="bottom"/>
            <w:hideMark/>
          </w:tcPr>
          <w:p w14:paraId="334CBEA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223AB7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41912CA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796A180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76294BF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hideMark/>
          </w:tcPr>
          <w:p w14:paraId="29551BA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left w:w="0" w:type="dxa"/>
              <w:bottom w:w="0" w:type="dxa"/>
              <w:right w:w="15" w:type="dxa"/>
            </w:tcMar>
            <w:vAlign w:val="bottom"/>
            <w:hideMark/>
          </w:tcPr>
          <w:p w14:paraId="4111A69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left w:w="0" w:type="dxa"/>
              <w:bottom w:w="0" w:type="dxa"/>
              <w:right w:w="15" w:type="dxa"/>
            </w:tcMar>
            <w:vAlign w:val="bottom"/>
            <w:hideMark/>
          </w:tcPr>
          <w:p w14:paraId="5D2FA9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FA22784" w14:textId="77777777">
        <w:trPr>
          <w:divId w:val="1732344392"/>
          <w:jc w:val="center"/>
        </w:trPr>
        <w:tc>
          <w:tcPr>
            <w:tcW w:w="2524" w:type="pct"/>
            <w:shd w:val="clear" w:color="auto" w:fill="CFF0FC"/>
            <w:tcMar>
              <w:top w:w="15" w:type="dxa"/>
              <w:left w:w="0" w:type="dxa"/>
              <w:bottom w:w="0" w:type="dxa"/>
              <w:right w:w="15" w:type="dxa"/>
            </w:tcMar>
            <w:hideMark/>
          </w:tcPr>
          <w:p w14:paraId="66BA6C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CFF0FC"/>
            <w:tcMar>
              <w:top w:w="15" w:type="dxa"/>
              <w:left w:w="0" w:type="dxa"/>
              <w:bottom w:w="0" w:type="dxa"/>
              <w:right w:w="15" w:type="dxa"/>
            </w:tcMar>
            <w:hideMark/>
          </w:tcPr>
          <w:p w14:paraId="18D41D1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left w:w="0" w:type="dxa"/>
              <w:bottom w:w="0" w:type="dxa"/>
              <w:right w:w="15" w:type="dxa"/>
            </w:tcMar>
            <w:vAlign w:val="bottom"/>
            <w:hideMark/>
          </w:tcPr>
          <w:p w14:paraId="1C6BC32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left w:w="0" w:type="dxa"/>
              <w:bottom w:w="0" w:type="dxa"/>
              <w:right w:w="15" w:type="dxa"/>
            </w:tcMar>
            <w:vAlign w:val="bottom"/>
            <w:hideMark/>
          </w:tcPr>
          <w:p w14:paraId="6D2BA9C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3F1D30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5DECC00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5E90E61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77D8477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hideMark/>
          </w:tcPr>
          <w:p w14:paraId="3F39854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left w:w="0" w:type="dxa"/>
              <w:bottom w:w="0" w:type="dxa"/>
              <w:right w:w="15" w:type="dxa"/>
            </w:tcMar>
            <w:vAlign w:val="bottom"/>
            <w:hideMark/>
          </w:tcPr>
          <w:p w14:paraId="1CBADCB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left w:w="0" w:type="dxa"/>
              <w:bottom w:w="0" w:type="dxa"/>
              <w:right w:w="15" w:type="dxa"/>
            </w:tcMar>
            <w:vAlign w:val="bottom"/>
            <w:hideMark/>
          </w:tcPr>
          <w:p w14:paraId="47B25636"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2AD2BAE3" w14:textId="77777777" w:rsidR="00251D72" w:rsidRDefault="00251D72">
      <w:pPr>
        <w:pStyle w:val="a3"/>
        <w:pBdr>
          <w:bottom w:val="single" w:sz="6" w:space="1" w:color="auto"/>
        </w:pBdr>
        <w:spacing w:before="0" w:beforeAutospacing="0" w:after="0" w:afterAutospacing="0"/>
        <w:ind w:right="10953"/>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175BF342" w14:textId="77777777">
        <w:tc>
          <w:tcPr>
            <w:tcW w:w="192" w:type="pct"/>
            <w:noWrap/>
            <w:hideMark/>
          </w:tcPr>
          <w:p w14:paraId="71585853"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65415B64"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Excludes stock-based compensation and certain expense allocations. Also excludes amortization of intangible assets and certain other GAAP-based expenses, which were not allocated to our operating segment results for purposes of reporting to and review by our CODMs, as further described under “Presentation of Operating Segments and Other Financial Information” above.</w:t>
            </w:r>
          </w:p>
        </w:tc>
      </w:tr>
    </w:tbl>
    <w:p w14:paraId="3D8FDBFB" w14:textId="77777777" w:rsidR="00251D72" w:rsidRDefault="00251D72">
      <w:pPr>
        <w:pStyle w:val="a3"/>
        <w:spacing w:before="180" w:beforeAutospacing="0" w:afterAutospacing="0"/>
        <w:jc w:val="both"/>
        <w:rPr>
          <w:rFonts w:ascii="Calibri" w:hAnsi="Calibri" w:cs="Calibri"/>
          <w:sz w:val="20"/>
          <w:szCs w:val="20"/>
        </w:rPr>
      </w:pPr>
      <w:r>
        <w:rPr>
          <w:rFonts w:ascii="Calibri" w:hAnsi="Calibri" w:cs="Calibri"/>
          <w:sz w:val="20"/>
          <w:szCs w:val="20"/>
        </w:rPr>
        <w:t>Excluding the effects of currency rate fluctuations, total hardware revenues decreased in fiscal 2019 relative to fiscal 2018 due to lower hardware products revenues and, to a lesser extent, lower hardware support revenues. The decrease in hardware products revenues in fiscal 2019 relative to fiscal 2018 was primarily attributable to our continued emphasis on the marketing and sale of our cloud-based infrastructure technologies, which resulted in reduced sales volumes of certain of our hardware product lines and also impacted the volume of hardware support contracts sold in recent periods. This constant currency hardware revenue decrease was partially offset by certain hardware revenue increases related to our Oracle Engineered Systems offerings, primarily Oracle Exadata.</w:t>
      </w:r>
    </w:p>
    <w:p w14:paraId="52F6FE14" w14:textId="77777777" w:rsidR="00251D72" w:rsidRDefault="00251D72">
      <w:pPr>
        <w:pStyle w:val="a3"/>
        <w:spacing w:before="180" w:beforeAutospacing="0" w:afterAutospacing="0"/>
        <w:jc w:val="both"/>
        <w:rPr>
          <w:rFonts w:ascii="Calibri" w:hAnsi="Calibri" w:cs="Calibri"/>
          <w:sz w:val="20"/>
          <w:szCs w:val="20"/>
        </w:rPr>
      </w:pPr>
      <w:r>
        <w:rPr>
          <w:rFonts w:ascii="Calibri" w:hAnsi="Calibri" w:cs="Calibri"/>
          <w:sz w:val="20"/>
          <w:szCs w:val="20"/>
        </w:rPr>
        <w:t>Excluding the effects of currency rate fluctuations, total hardware expenses decreased in fiscal 2019 compared to fiscal 2018 primarily due to lower hardware products and support costs and lower sales and marketing employee related expenses, all of which aligned to lower hardware revenues.</w:t>
      </w:r>
    </w:p>
    <w:p w14:paraId="687E338F"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49</w:t>
      </w:r>
    </w:p>
    <w:p w14:paraId="4C8CDD2D" w14:textId="77777777" w:rsidR="00251D72" w:rsidRDefault="00251D72">
      <w:pPr>
        <w:rPr>
          <w:rFonts w:ascii="Times New Roman" w:eastAsia="Times New Roman" w:hAnsi="Times New Roman" w:cs="Times New Roman"/>
          <w:sz w:val="24"/>
          <w:szCs w:val="24"/>
        </w:rPr>
      </w:pPr>
      <w:r>
        <w:rPr>
          <w:rFonts w:eastAsia="Times New Roman"/>
        </w:rPr>
        <w:pict w14:anchorId="73EA23BC">
          <v:rect id="_x0000_i1075" style="width:415.3pt;height:1.5pt" o:hralign="center" o:hrstd="t" o:hr="t" fillcolor="#a0a0a0" stroked="f"/>
        </w:pict>
      </w:r>
    </w:p>
    <w:p w14:paraId="530DD439"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5493767B"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8353C7A" w14:textId="77777777" w:rsidR="00251D72" w:rsidRDefault="00251D72">
      <w:pPr>
        <w:pStyle w:val="a3"/>
        <w:spacing w:before="120" w:beforeAutospacing="0" w:after="0" w:afterAutospacing="0"/>
        <w:rPr>
          <w:sz w:val="20"/>
          <w:szCs w:val="20"/>
        </w:rPr>
      </w:pPr>
      <w:r>
        <w:rPr>
          <w:sz w:val="20"/>
          <w:szCs w:val="20"/>
        </w:rPr>
        <w:t> </w:t>
      </w:r>
    </w:p>
    <w:p w14:paraId="6D5DEE75" w14:textId="77777777" w:rsidR="00251D72" w:rsidRDefault="00251D72">
      <w:pPr>
        <w:pStyle w:val="a3"/>
        <w:spacing w:before="120" w:beforeAutospacing="0" w:after="0" w:afterAutospacing="0"/>
        <w:jc w:val="both"/>
        <w:rPr>
          <w:rFonts w:ascii="Calibri" w:hAnsi="Calibri" w:cs="Calibri"/>
          <w:sz w:val="20"/>
          <w:szCs w:val="20"/>
        </w:rPr>
      </w:pPr>
      <w:bookmarkStart w:id="65" w:name="_AEIOULastRenderedPageBreakAEIOU52"/>
      <w:bookmarkEnd w:id="65"/>
      <w:r>
        <w:rPr>
          <w:rFonts w:ascii="Calibri" w:hAnsi="Calibri" w:cs="Calibri"/>
          <w:sz w:val="20"/>
          <w:szCs w:val="20"/>
        </w:rPr>
        <w:t>In constant currency, total margin and total margin as a percentage of revenues for our hardware segment increased in fiscal 2019 due to lower expenses</w:t>
      </w:r>
      <w:r>
        <w:rPr>
          <w:rFonts w:ascii="Calibri" w:hAnsi="Calibri" w:cs="Calibri"/>
        </w:rPr>
        <w:t xml:space="preserve">. </w:t>
      </w:r>
    </w:p>
    <w:p w14:paraId="4791EC0D"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Services Business</w:t>
      </w:r>
    </w:p>
    <w:p w14:paraId="441977C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offer services to customers and partners to help to maximize the performance of their investments in Oracle applications and infrastructure technologies. Services revenues are generally recognized as the services are performed. The cost of providing our services consists primarily of personnel related expenses, technology infrastructure expenditures, facilities expenses and external contractor expenses.</w:t>
      </w:r>
      <w:r>
        <w:rPr>
          <w:rFonts w:ascii="Calibri" w:hAnsi="Calibri" w:cs="Calibri"/>
          <w:sz w:val="12"/>
          <w:szCs w:val="12"/>
        </w:rPr>
        <w:t> </w:t>
      </w:r>
    </w:p>
    <w:tbl>
      <w:tblPr>
        <w:tblW w:w="5000" w:type="pct"/>
        <w:jc w:val="center"/>
        <w:tblCellMar>
          <w:left w:w="0" w:type="dxa"/>
          <w:right w:w="0" w:type="dxa"/>
        </w:tblCellMar>
        <w:tblLook w:val="04A0" w:firstRow="1" w:lastRow="0" w:firstColumn="1" w:lastColumn="0" w:noHBand="0" w:noVBand="1"/>
      </w:tblPr>
      <w:tblGrid>
        <w:gridCol w:w="4189"/>
        <w:gridCol w:w="135"/>
        <w:gridCol w:w="117"/>
        <w:gridCol w:w="713"/>
        <w:gridCol w:w="77"/>
        <w:gridCol w:w="135"/>
        <w:gridCol w:w="879"/>
        <w:gridCol w:w="135"/>
        <w:gridCol w:w="881"/>
        <w:gridCol w:w="135"/>
        <w:gridCol w:w="117"/>
        <w:gridCol w:w="715"/>
        <w:gridCol w:w="78"/>
      </w:tblGrid>
      <w:tr w:rsidR="00251D72" w14:paraId="31AE9747" w14:textId="77777777">
        <w:trPr>
          <w:divId w:val="4938708"/>
          <w:jc w:val="center"/>
        </w:trPr>
        <w:tc>
          <w:tcPr>
            <w:tcW w:w="2524" w:type="pct"/>
            <w:shd w:val="clear" w:color="auto" w:fill="FFFFFF"/>
            <w:tcMar>
              <w:top w:w="15" w:type="dxa"/>
              <w:left w:w="0" w:type="dxa"/>
              <w:bottom w:w="0" w:type="dxa"/>
              <w:right w:w="15" w:type="dxa"/>
            </w:tcMar>
            <w:vAlign w:val="center"/>
            <w:hideMark/>
          </w:tcPr>
          <w:p w14:paraId="2014EAF5" w14:textId="77777777" w:rsidR="00251D72" w:rsidRDefault="00251D72">
            <w:pPr>
              <w:pStyle w:val="a3"/>
              <w:spacing w:before="0" w:beforeAutospacing="0" w:after="0" w:afterAutospacing="0"/>
              <w:rPr>
                <w:sz w:val="15"/>
                <w:szCs w:val="15"/>
              </w:rPr>
            </w:pPr>
            <w:r>
              <w:rPr>
                <w:sz w:val="15"/>
                <w:szCs w:val="15"/>
              </w:rPr>
              <w:t> </w:t>
            </w:r>
          </w:p>
        </w:tc>
        <w:tc>
          <w:tcPr>
            <w:tcW w:w="85" w:type="pct"/>
            <w:shd w:val="clear" w:color="auto" w:fill="FFFFFF"/>
            <w:tcMar>
              <w:top w:w="15" w:type="dxa"/>
              <w:left w:w="0" w:type="dxa"/>
              <w:bottom w:w="0" w:type="dxa"/>
              <w:right w:w="15" w:type="dxa"/>
            </w:tcMar>
            <w:vAlign w:val="bottom"/>
            <w:hideMark/>
          </w:tcPr>
          <w:p w14:paraId="5D866E6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339" w:type="pct"/>
            <w:gridSpan w:val="10"/>
            <w:tcBorders>
              <w:bottom w:val="single" w:sz="6" w:space="0" w:color="000000"/>
            </w:tcBorders>
            <w:shd w:val="clear" w:color="auto" w:fill="FFFFFF"/>
            <w:tcMar>
              <w:top w:w="15" w:type="dxa"/>
              <w:left w:w="0" w:type="dxa"/>
              <w:bottom w:w="0" w:type="dxa"/>
              <w:right w:w="15" w:type="dxa"/>
            </w:tcMar>
            <w:vAlign w:val="bottom"/>
            <w:hideMark/>
          </w:tcPr>
          <w:p w14:paraId="094738F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0C62499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7D7025E0" w14:textId="77777777">
        <w:trPr>
          <w:divId w:val="4938708"/>
          <w:jc w:val="center"/>
        </w:trPr>
        <w:tc>
          <w:tcPr>
            <w:tcW w:w="2524" w:type="pct"/>
            <w:shd w:val="clear" w:color="auto" w:fill="FFFFFF"/>
            <w:tcMar>
              <w:top w:w="15" w:type="dxa"/>
              <w:left w:w="0" w:type="dxa"/>
              <w:bottom w:w="0" w:type="dxa"/>
              <w:right w:w="15" w:type="dxa"/>
            </w:tcMar>
            <w:vAlign w:val="center"/>
            <w:hideMark/>
          </w:tcPr>
          <w:p w14:paraId="11EE3BB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7B75827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661A144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1188989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4051FC6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left w:w="0" w:type="dxa"/>
              <w:bottom w:w="0" w:type="dxa"/>
              <w:right w:w="15" w:type="dxa"/>
            </w:tcMar>
            <w:vAlign w:val="center"/>
            <w:hideMark/>
          </w:tcPr>
          <w:p w14:paraId="244C82F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649E4A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left w:w="0" w:type="dxa"/>
              <w:bottom w:w="0" w:type="dxa"/>
              <w:right w:w="15" w:type="dxa"/>
            </w:tcMar>
            <w:vAlign w:val="center"/>
            <w:hideMark/>
          </w:tcPr>
          <w:p w14:paraId="7BD58BB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4A5EF74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38403C9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1360A39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64A0B9B" w14:textId="77777777">
        <w:trPr>
          <w:divId w:val="4938708"/>
          <w:jc w:val="center"/>
        </w:trPr>
        <w:tc>
          <w:tcPr>
            <w:tcW w:w="2524" w:type="pct"/>
            <w:tcBorders>
              <w:bottom w:val="single" w:sz="6" w:space="0" w:color="000000"/>
            </w:tcBorders>
            <w:shd w:val="clear" w:color="auto" w:fill="FFFFFF"/>
            <w:tcMar>
              <w:top w:w="15" w:type="dxa"/>
              <w:left w:w="0" w:type="dxa"/>
              <w:bottom w:w="0" w:type="dxa"/>
              <w:right w:w="15" w:type="dxa"/>
            </w:tcMar>
            <w:vAlign w:val="bottom"/>
            <w:hideMark/>
          </w:tcPr>
          <w:p w14:paraId="5269FCA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left w:w="0" w:type="dxa"/>
              <w:bottom w:w="0" w:type="dxa"/>
              <w:right w:w="15" w:type="dxa"/>
            </w:tcMar>
            <w:vAlign w:val="bottom"/>
            <w:hideMark/>
          </w:tcPr>
          <w:p w14:paraId="470EA3A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17A929B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FB2287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00C77F61"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6E626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25C23C8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97BE1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left w:w="0" w:type="dxa"/>
              <w:bottom w:w="0" w:type="dxa"/>
              <w:right w:w="15" w:type="dxa"/>
            </w:tcMar>
            <w:vAlign w:val="bottom"/>
            <w:hideMark/>
          </w:tcPr>
          <w:p w14:paraId="03657EA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67B7634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16978C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ADC4B98" w14:textId="77777777">
        <w:trPr>
          <w:divId w:val="4938708"/>
          <w:jc w:val="center"/>
        </w:trPr>
        <w:tc>
          <w:tcPr>
            <w:tcW w:w="2524" w:type="pct"/>
            <w:tcBorders>
              <w:top w:val="single" w:sz="6" w:space="0" w:color="000000"/>
            </w:tcBorders>
            <w:shd w:val="clear" w:color="auto" w:fill="CFF0FC"/>
            <w:tcMar>
              <w:top w:w="15" w:type="dxa"/>
              <w:left w:w="0" w:type="dxa"/>
              <w:bottom w:w="0" w:type="dxa"/>
              <w:right w:w="15" w:type="dxa"/>
            </w:tcMar>
            <w:hideMark/>
          </w:tcPr>
          <w:p w14:paraId="21AC1972"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p>
        </w:tc>
        <w:tc>
          <w:tcPr>
            <w:tcW w:w="85" w:type="pct"/>
            <w:shd w:val="clear" w:color="auto" w:fill="CFF0FC"/>
            <w:tcMar>
              <w:top w:w="15" w:type="dxa"/>
              <w:left w:w="0" w:type="dxa"/>
              <w:bottom w:w="0" w:type="dxa"/>
              <w:right w:w="15" w:type="dxa"/>
            </w:tcMar>
            <w:vAlign w:val="bottom"/>
            <w:hideMark/>
          </w:tcPr>
          <w:p w14:paraId="6258EB13"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83F2E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7AF0E5A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A6D4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493C42C8"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27DAD09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10820EB3"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687A9F9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4348AD3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2AA0A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3C62EA6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C8792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D85FE52" w14:textId="77777777">
        <w:trPr>
          <w:divId w:val="4938708"/>
          <w:jc w:val="center"/>
        </w:trPr>
        <w:tc>
          <w:tcPr>
            <w:tcW w:w="2524" w:type="pct"/>
            <w:shd w:val="clear" w:color="auto" w:fill="FFFFFF"/>
            <w:tcMar>
              <w:top w:w="15" w:type="dxa"/>
              <w:left w:w="0" w:type="dxa"/>
              <w:bottom w:w="0" w:type="dxa"/>
              <w:right w:w="15" w:type="dxa"/>
            </w:tcMar>
            <w:hideMark/>
          </w:tcPr>
          <w:p w14:paraId="504CE72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FFFFFF"/>
            <w:tcMar>
              <w:top w:w="15" w:type="dxa"/>
              <w:left w:w="0" w:type="dxa"/>
              <w:bottom w:w="0" w:type="dxa"/>
              <w:right w:w="15" w:type="dxa"/>
            </w:tcMar>
            <w:vAlign w:val="bottom"/>
            <w:hideMark/>
          </w:tcPr>
          <w:p w14:paraId="314D84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EDD74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left w:w="0" w:type="dxa"/>
              <w:bottom w:w="0" w:type="dxa"/>
              <w:right w:w="15" w:type="dxa"/>
            </w:tcMar>
            <w:vAlign w:val="bottom"/>
            <w:hideMark/>
          </w:tcPr>
          <w:p w14:paraId="1068172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1,576</w:t>
            </w:r>
          </w:p>
        </w:tc>
        <w:tc>
          <w:tcPr>
            <w:tcW w:w="50" w:type="pct"/>
            <w:shd w:val="clear" w:color="auto" w:fill="FFFFFF"/>
            <w:noWrap/>
            <w:tcMar>
              <w:top w:w="15" w:type="dxa"/>
              <w:left w:w="0" w:type="dxa"/>
              <w:bottom w:w="0" w:type="dxa"/>
              <w:right w:w="15" w:type="dxa"/>
            </w:tcMar>
            <w:vAlign w:val="bottom"/>
            <w:hideMark/>
          </w:tcPr>
          <w:p w14:paraId="044D300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20373B0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01DF686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85" w:type="pct"/>
            <w:shd w:val="clear" w:color="auto" w:fill="FFFFFF"/>
            <w:tcMar>
              <w:top w:w="15" w:type="dxa"/>
              <w:left w:w="0" w:type="dxa"/>
              <w:bottom w:w="0" w:type="dxa"/>
              <w:right w:w="15" w:type="dxa"/>
            </w:tcMar>
            <w:vAlign w:val="bottom"/>
            <w:hideMark/>
          </w:tcPr>
          <w:p w14:paraId="72B45B5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0C209CA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85" w:type="pct"/>
            <w:shd w:val="clear" w:color="auto" w:fill="FFFFFF"/>
            <w:tcMar>
              <w:top w:w="15" w:type="dxa"/>
              <w:left w:w="0" w:type="dxa"/>
              <w:bottom w:w="0" w:type="dxa"/>
              <w:right w:w="15" w:type="dxa"/>
            </w:tcMar>
            <w:vAlign w:val="bottom"/>
            <w:hideMark/>
          </w:tcPr>
          <w:p w14:paraId="5A269C3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44CD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left w:w="0" w:type="dxa"/>
              <w:bottom w:w="0" w:type="dxa"/>
              <w:right w:w="15" w:type="dxa"/>
            </w:tcMar>
            <w:vAlign w:val="bottom"/>
            <w:hideMark/>
          </w:tcPr>
          <w:p w14:paraId="6895B5F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1,654</w:t>
            </w:r>
          </w:p>
        </w:tc>
        <w:tc>
          <w:tcPr>
            <w:tcW w:w="50" w:type="pct"/>
            <w:shd w:val="clear" w:color="auto" w:fill="FFFFFF"/>
            <w:noWrap/>
            <w:tcMar>
              <w:top w:w="15" w:type="dxa"/>
              <w:left w:w="0" w:type="dxa"/>
              <w:bottom w:w="0" w:type="dxa"/>
              <w:right w:w="15" w:type="dxa"/>
            </w:tcMar>
            <w:vAlign w:val="bottom"/>
            <w:hideMark/>
          </w:tcPr>
          <w:p w14:paraId="527354B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9CBA035" w14:textId="77777777">
        <w:trPr>
          <w:divId w:val="4938708"/>
          <w:jc w:val="center"/>
        </w:trPr>
        <w:tc>
          <w:tcPr>
            <w:tcW w:w="2524" w:type="pct"/>
            <w:shd w:val="clear" w:color="auto" w:fill="CFF0FC"/>
            <w:tcMar>
              <w:top w:w="15" w:type="dxa"/>
              <w:left w:w="0" w:type="dxa"/>
              <w:bottom w:w="0" w:type="dxa"/>
              <w:right w:w="15" w:type="dxa"/>
            </w:tcMar>
            <w:hideMark/>
          </w:tcPr>
          <w:p w14:paraId="087A63B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CFF0FC"/>
            <w:tcMar>
              <w:top w:w="15" w:type="dxa"/>
              <w:left w:w="0" w:type="dxa"/>
              <w:bottom w:w="0" w:type="dxa"/>
              <w:right w:w="15" w:type="dxa"/>
            </w:tcMar>
            <w:vAlign w:val="bottom"/>
            <w:hideMark/>
          </w:tcPr>
          <w:p w14:paraId="5A50016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51ABE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left w:w="0" w:type="dxa"/>
              <w:bottom w:w="0" w:type="dxa"/>
              <w:right w:w="15" w:type="dxa"/>
            </w:tcMar>
            <w:vAlign w:val="bottom"/>
            <w:hideMark/>
          </w:tcPr>
          <w:p w14:paraId="3A3D53B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1,021</w:t>
            </w:r>
          </w:p>
        </w:tc>
        <w:tc>
          <w:tcPr>
            <w:tcW w:w="50" w:type="pct"/>
            <w:shd w:val="clear" w:color="auto" w:fill="CFF0FC"/>
            <w:noWrap/>
            <w:tcMar>
              <w:top w:w="15" w:type="dxa"/>
              <w:left w:w="0" w:type="dxa"/>
              <w:bottom w:w="0" w:type="dxa"/>
              <w:right w:w="15" w:type="dxa"/>
            </w:tcMar>
            <w:vAlign w:val="bottom"/>
            <w:hideMark/>
          </w:tcPr>
          <w:p w14:paraId="5DC1DBF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7121557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26D7DCC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CFF0FC"/>
            <w:tcMar>
              <w:top w:w="15" w:type="dxa"/>
              <w:left w:w="0" w:type="dxa"/>
              <w:bottom w:w="0" w:type="dxa"/>
              <w:right w:w="15" w:type="dxa"/>
            </w:tcMar>
            <w:vAlign w:val="bottom"/>
            <w:hideMark/>
          </w:tcPr>
          <w:p w14:paraId="423D29D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3F7AE06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CFF0FC"/>
            <w:tcMar>
              <w:top w:w="15" w:type="dxa"/>
              <w:left w:w="0" w:type="dxa"/>
              <w:bottom w:w="0" w:type="dxa"/>
              <w:right w:w="15" w:type="dxa"/>
            </w:tcMar>
            <w:vAlign w:val="bottom"/>
            <w:hideMark/>
          </w:tcPr>
          <w:p w14:paraId="67FF3A8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7499C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left w:w="0" w:type="dxa"/>
              <w:bottom w:w="0" w:type="dxa"/>
              <w:right w:w="15" w:type="dxa"/>
            </w:tcMar>
            <w:vAlign w:val="bottom"/>
            <w:hideMark/>
          </w:tcPr>
          <w:p w14:paraId="253CD14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1,046</w:t>
            </w:r>
          </w:p>
        </w:tc>
        <w:tc>
          <w:tcPr>
            <w:tcW w:w="50" w:type="pct"/>
            <w:shd w:val="clear" w:color="auto" w:fill="CFF0FC"/>
            <w:noWrap/>
            <w:tcMar>
              <w:top w:w="15" w:type="dxa"/>
              <w:left w:w="0" w:type="dxa"/>
              <w:bottom w:w="0" w:type="dxa"/>
              <w:right w:w="15" w:type="dxa"/>
            </w:tcMar>
            <w:vAlign w:val="bottom"/>
            <w:hideMark/>
          </w:tcPr>
          <w:p w14:paraId="29360E3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B964DDE" w14:textId="77777777">
        <w:trPr>
          <w:divId w:val="4938708"/>
          <w:jc w:val="center"/>
        </w:trPr>
        <w:tc>
          <w:tcPr>
            <w:tcW w:w="2524" w:type="pct"/>
            <w:shd w:val="clear" w:color="auto" w:fill="FFFFFF"/>
            <w:tcMar>
              <w:top w:w="15" w:type="dxa"/>
              <w:left w:w="0" w:type="dxa"/>
              <w:bottom w:w="0" w:type="dxa"/>
              <w:right w:w="15" w:type="dxa"/>
            </w:tcMar>
            <w:hideMark/>
          </w:tcPr>
          <w:p w14:paraId="33CDD76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FFFFFF"/>
            <w:tcMar>
              <w:top w:w="15" w:type="dxa"/>
              <w:left w:w="0" w:type="dxa"/>
              <w:bottom w:w="0" w:type="dxa"/>
              <w:right w:w="15" w:type="dxa"/>
            </w:tcMar>
            <w:vAlign w:val="bottom"/>
            <w:hideMark/>
          </w:tcPr>
          <w:p w14:paraId="7ACCCB6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DA411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3A3F2DE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643</w:t>
            </w:r>
          </w:p>
        </w:tc>
        <w:tc>
          <w:tcPr>
            <w:tcW w:w="50" w:type="pct"/>
            <w:shd w:val="clear" w:color="auto" w:fill="FFFFFF"/>
            <w:noWrap/>
            <w:tcMar>
              <w:top w:w="15" w:type="dxa"/>
              <w:left w:w="0" w:type="dxa"/>
              <w:bottom w:w="0" w:type="dxa"/>
              <w:right w:w="15" w:type="dxa"/>
            </w:tcMar>
            <w:vAlign w:val="bottom"/>
            <w:hideMark/>
          </w:tcPr>
          <w:p w14:paraId="24D062F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6972519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61B1B55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85" w:type="pct"/>
            <w:shd w:val="clear" w:color="auto" w:fill="FFFFFF"/>
            <w:tcMar>
              <w:top w:w="15" w:type="dxa"/>
              <w:left w:w="0" w:type="dxa"/>
              <w:bottom w:w="0" w:type="dxa"/>
              <w:right w:w="15" w:type="dxa"/>
            </w:tcMar>
            <w:vAlign w:val="bottom"/>
            <w:hideMark/>
          </w:tcPr>
          <w:p w14:paraId="7987E65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6D9C4F8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85" w:type="pct"/>
            <w:shd w:val="clear" w:color="auto" w:fill="FFFFFF"/>
            <w:tcMar>
              <w:top w:w="15" w:type="dxa"/>
              <w:left w:w="0" w:type="dxa"/>
              <w:bottom w:w="0" w:type="dxa"/>
              <w:right w:w="15" w:type="dxa"/>
            </w:tcMar>
            <w:vAlign w:val="bottom"/>
            <w:hideMark/>
          </w:tcPr>
          <w:p w14:paraId="20A2CED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0E528B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12584AA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695</w:t>
            </w:r>
          </w:p>
        </w:tc>
        <w:tc>
          <w:tcPr>
            <w:tcW w:w="50" w:type="pct"/>
            <w:shd w:val="clear" w:color="auto" w:fill="FFFFFF"/>
            <w:noWrap/>
            <w:tcMar>
              <w:top w:w="15" w:type="dxa"/>
              <w:left w:w="0" w:type="dxa"/>
              <w:bottom w:w="0" w:type="dxa"/>
              <w:right w:w="15" w:type="dxa"/>
            </w:tcMar>
            <w:vAlign w:val="bottom"/>
            <w:hideMark/>
          </w:tcPr>
          <w:p w14:paraId="6033BAE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3DBC24D" w14:textId="77777777">
        <w:trPr>
          <w:divId w:val="4938708"/>
          <w:jc w:val="center"/>
        </w:trPr>
        <w:tc>
          <w:tcPr>
            <w:tcW w:w="2524" w:type="pct"/>
            <w:shd w:val="clear" w:color="auto" w:fill="CFF0FC"/>
            <w:tcMar>
              <w:top w:w="15" w:type="dxa"/>
              <w:left w:w="0" w:type="dxa"/>
              <w:bottom w:w="0" w:type="dxa"/>
              <w:right w:w="15" w:type="dxa"/>
            </w:tcMar>
            <w:hideMark/>
          </w:tcPr>
          <w:p w14:paraId="10361398"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5" w:type="pct"/>
            <w:shd w:val="clear" w:color="auto" w:fill="CFF0FC"/>
            <w:tcMar>
              <w:top w:w="15" w:type="dxa"/>
              <w:left w:w="0" w:type="dxa"/>
              <w:bottom w:w="0" w:type="dxa"/>
              <w:right w:w="15" w:type="dxa"/>
            </w:tcMar>
            <w:vAlign w:val="bottom"/>
            <w:hideMark/>
          </w:tcPr>
          <w:p w14:paraId="059A6ED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99C4B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761C0E7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3,240</w:t>
            </w:r>
          </w:p>
        </w:tc>
        <w:tc>
          <w:tcPr>
            <w:tcW w:w="50" w:type="pct"/>
            <w:shd w:val="clear" w:color="auto" w:fill="CFF0FC"/>
            <w:noWrap/>
            <w:tcMar>
              <w:top w:w="15" w:type="dxa"/>
              <w:left w:w="0" w:type="dxa"/>
              <w:bottom w:w="0" w:type="dxa"/>
              <w:right w:w="15" w:type="dxa"/>
            </w:tcMar>
            <w:vAlign w:val="bottom"/>
            <w:hideMark/>
          </w:tcPr>
          <w:p w14:paraId="2D65079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17DFE8A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03EDBB4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85" w:type="pct"/>
            <w:shd w:val="clear" w:color="auto" w:fill="CFF0FC"/>
            <w:tcMar>
              <w:top w:w="15" w:type="dxa"/>
              <w:left w:w="0" w:type="dxa"/>
              <w:bottom w:w="0" w:type="dxa"/>
              <w:right w:w="15" w:type="dxa"/>
            </w:tcMar>
            <w:vAlign w:val="bottom"/>
            <w:hideMark/>
          </w:tcPr>
          <w:p w14:paraId="5236F78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21C3A4C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CFF0FC"/>
            <w:tcMar>
              <w:top w:w="15" w:type="dxa"/>
              <w:left w:w="0" w:type="dxa"/>
              <w:bottom w:w="0" w:type="dxa"/>
              <w:right w:w="15" w:type="dxa"/>
            </w:tcMar>
            <w:vAlign w:val="bottom"/>
            <w:hideMark/>
          </w:tcPr>
          <w:p w14:paraId="6994535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A4EC2B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3A8FEB1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3,395</w:t>
            </w:r>
          </w:p>
        </w:tc>
        <w:tc>
          <w:tcPr>
            <w:tcW w:w="50" w:type="pct"/>
            <w:shd w:val="clear" w:color="auto" w:fill="CFF0FC"/>
            <w:noWrap/>
            <w:tcMar>
              <w:top w:w="15" w:type="dxa"/>
              <w:left w:w="0" w:type="dxa"/>
              <w:bottom w:w="0" w:type="dxa"/>
              <w:right w:w="15" w:type="dxa"/>
            </w:tcMar>
            <w:vAlign w:val="bottom"/>
            <w:hideMark/>
          </w:tcPr>
          <w:p w14:paraId="3E3A0B9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AF3B9D6" w14:textId="77777777">
        <w:trPr>
          <w:divId w:val="4938708"/>
          <w:jc w:val="center"/>
        </w:trPr>
        <w:tc>
          <w:tcPr>
            <w:tcW w:w="2524" w:type="pct"/>
            <w:shd w:val="clear" w:color="auto" w:fill="FFFFFF"/>
            <w:tcMar>
              <w:top w:w="15" w:type="dxa"/>
              <w:left w:w="0" w:type="dxa"/>
              <w:bottom w:w="0" w:type="dxa"/>
              <w:right w:w="15" w:type="dxa"/>
            </w:tcMar>
            <w:hideMark/>
          </w:tcPr>
          <w:p w14:paraId="30B9D605"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vertAlign w:val="superscript"/>
              </w:rPr>
              <w:t>(1)</w:t>
            </w:r>
          </w:p>
        </w:tc>
        <w:tc>
          <w:tcPr>
            <w:tcW w:w="85" w:type="pct"/>
            <w:shd w:val="clear" w:color="auto" w:fill="FFFFFF"/>
            <w:tcMar>
              <w:top w:w="15" w:type="dxa"/>
              <w:left w:w="0" w:type="dxa"/>
              <w:bottom w:w="0" w:type="dxa"/>
              <w:right w:w="15" w:type="dxa"/>
            </w:tcMar>
            <w:vAlign w:val="bottom"/>
            <w:hideMark/>
          </w:tcPr>
          <w:p w14:paraId="645453A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21B40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3A887B9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2,703</w:t>
            </w:r>
          </w:p>
        </w:tc>
        <w:tc>
          <w:tcPr>
            <w:tcW w:w="50" w:type="pct"/>
            <w:shd w:val="clear" w:color="auto" w:fill="FFFFFF"/>
            <w:noWrap/>
            <w:tcMar>
              <w:top w:w="15" w:type="dxa"/>
              <w:left w:w="0" w:type="dxa"/>
              <w:bottom w:w="0" w:type="dxa"/>
              <w:right w:w="15" w:type="dxa"/>
            </w:tcMar>
            <w:vAlign w:val="bottom"/>
            <w:hideMark/>
          </w:tcPr>
          <w:p w14:paraId="20F9972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2227E04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6ED4A17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FFFFFF"/>
            <w:tcMar>
              <w:top w:w="15" w:type="dxa"/>
              <w:left w:w="0" w:type="dxa"/>
              <w:bottom w:w="0" w:type="dxa"/>
              <w:right w:w="15" w:type="dxa"/>
            </w:tcMar>
            <w:vAlign w:val="bottom"/>
            <w:hideMark/>
          </w:tcPr>
          <w:p w14:paraId="6E444F7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4DA9694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FFFFFF"/>
            <w:tcMar>
              <w:top w:w="15" w:type="dxa"/>
              <w:left w:w="0" w:type="dxa"/>
              <w:bottom w:w="0" w:type="dxa"/>
              <w:right w:w="15" w:type="dxa"/>
            </w:tcMar>
            <w:vAlign w:val="bottom"/>
            <w:hideMark/>
          </w:tcPr>
          <w:p w14:paraId="773811D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D126C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06D4B37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2,729</w:t>
            </w:r>
          </w:p>
        </w:tc>
        <w:tc>
          <w:tcPr>
            <w:tcW w:w="50" w:type="pct"/>
            <w:shd w:val="clear" w:color="auto" w:fill="FFFFFF"/>
            <w:noWrap/>
            <w:tcMar>
              <w:top w:w="15" w:type="dxa"/>
              <w:left w:w="0" w:type="dxa"/>
              <w:bottom w:w="0" w:type="dxa"/>
              <w:right w:w="15" w:type="dxa"/>
            </w:tcMar>
            <w:vAlign w:val="bottom"/>
            <w:hideMark/>
          </w:tcPr>
          <w:p w14:paraId="28F570C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AD0683B" w14:textId="77777777">
        <w:trPr>
          <w:divId w:val="4938708"/>
          <w:jc w:val="center"/>
        </w:trPr>
        <w:tc>
          <w:tcPr>
            <w:tcW w:w="2524" w:type="pct"/>
            <w:shd w:val="clear" w:color="auto" w:fill="CFF0FC"/>
            <w:tcMar>
              <w:top w:w="15" w:type="dxa"/>
              <w:left w:w="0" w:type="dxa"/>
              <w:bottom w:w="0" w:type="dxa"/>
              <w:right w:w="15" w:type="dxa"/>
            </w:tcMar>
            <w:hideMark/>
          </w:tcPr>
          <w:p w14:paraId="232D2E25"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85" w:type="pct"/>
            <w:shd w:val="clear" w:color="auto" w:fill="CFF0FC"/>
            <w:tcMar>
              <w:top w:w="15" w:type="dxa"/>
              <w:left w:w="0" w:type="dxa"/>
              <w:bottom w:w="0" w:type="dxa"/>
              <w:right w:w="15" w:type="dxa"/>
            </w:tcMar>
            <w:vAlign w:val="bottom"/>
            <w:hideMark/>
          </w:tcPr>
          <w:p w14:paraId="17500E65"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45011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46FB3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537</w:t>
            </w:r>
          </w:p>
        </w:tc>
        <w:tc>
          <w:tcPr>
            <w:tcW w:w="50" w:type="pct"/>
            <w:shd w:val="clear" w:color="auto" w:fill="CFF0FC"/>
            <w:noWrap/>
            <w:tcMar>
              <w:top w:w="15" w:type="dxa"/>
              <w:left w:w="0" w:type="dxa"/>
              <w:bottom w:w="0" w:type="dxa"/>
              <w:right w:w="15" w:type="dxa"/>
            </w:tcMar>
            <w:vAlign w:val="bottom"/>
            <w:hideMark/>
          </w:tcPr>
          <w:p w14:paraId="0520213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3CA6B8F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63126C8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w:t>
            </w:r>
          </w:p>
        </w:tc>
        <w:tc>
          <w:tcPr>
            <w:tcW w:w="85" w:type="pct"/>
            <w:shd w:val="clear" w:color="auto" w:fill="CFF0FC"/>
            <w:tcMar>
              <w:top w:w="15" w:type="dxa"/>
              <w:left w:w="0" w:type="dxa"/>
              <w:bottom w:w="0" w:type="dxa"/>
              <w:right w:w="15" w:type="dxa"/>
            </w:tcMar>
            <w:vAlign w:val="bottom"/>
            <w:hideMark/>
          </w:tcPr>
          <w:p w14:paraId="54D9D1C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43529B1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w:t>
            </w:r>
          </w:p>
        </w:tc>
        <w:tc>
          <w:tcPr>
            <w:tcW w:w="85" w:type="pct"/>
            <w:shd w:val="clear" w:color="auto" w:fill="CFF0FC"/>
            <w:tcMar>
              <w:top w:w="15" w:type="dxa"/>
              <w:left w:w="0" w:type="dxa"/>
              <w:bottom w:w="0" w:type="dxa"/>
              <w:right w:w="15" w:type="dxa"/>
            </w:tcMar>
            <w:vAlign w:val="bottom"/>
            <w:hideMark/>
          </w:tcPr>
          <w:p w14:paraId="531561C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654081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0C8736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666</w:t>
            </w:r>
          </w:p>
        </w:tc>
        <w:tc>
          <w:tcPr>
            <w:tcW w:w="50" w:type="pct"/>
            <w:shd w:val="clear" w:color="auto" w:fill="CFF0FC"/>
            <w:noWrap/>
            <w:tcMar>
              <w:top w:w="15" w:type="dxa"/>
              <w:left w:w="0" w:type="dxa"/>
              <w:bottom w:w="0" w:type="dxa"/>
              <w:right w:w="15" w:type="dxa"/>
            </w:tcMar>
            <w:vAlign w:val="bottom"/>
            <w:hideMark/>
          </w:tcPr>
          <w:p w14:paraId="74FF8CF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2E5871D" w14:textId="77777777">
        <w:trPr>
          <w:divId w:val="4938708"/>
          <w:jc w:val="center"/>
        </w:trPr>
        <w:tc>
          <w:tcPr>
            <w:tcW w:w="2524" w:type="pct"/>
            <w:shd w:val="clear" w:color="auto" w:fill="FFFFFF"/>
            <w:tcMar>
              <w:top w:w="15" w:type="dxa"/>
              <w:left w:w="0" w:type="dxa"/>
              <w:bottom w:w="0" w:type="dxa"/>
              <w:right w:w="15" w:type="dxa"/>
            </w:tcMar>
            <w:hideMark/>
          </w:tcPr>
          <w:p w14:paraId="783B5A66"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5" w:type="pct"/>
            <w:shd w:val="clear" w:color="auto" w:fill="FFFFFF"/>
            <w:tcMar>
              <w:top w:w="15" w:type="dxa"/>
              <w:left w:w="0" w:type="dxa"/>
              <w:bottom w:w="0" w:type="dxa"/>
              <w:right w:w="15" w:type="dxa"/>
            </w:tcMar>
            <w:vAlign w:val="bottom"/>
            <w:hideMark/>
          </w:tcPr>
          <w:p w14:paraId="1807F963"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483" w:type="pct"/>
            <w:gridSpan w:val="2"/>
            <w:tcBorders>
              <w:top w:val="double" w:sz="6" w:space="0" w:color="000000"/>
            </w:tcBorders>
            <w:shd w:val="clear" w:color="auto" w:fill="FFFFFF"/>
            <w:tcMar>
              <w:top w:w="15" w:type="dxa"/>
              <w:left w:w="0" w:type="dxa"/>
              <w:bottom w:w="0" w:type="dxa"/>
              <w:right w:w="15" w:type="dxa"/>
            </w:tcMar>
            <w:vAlign w:val="bottom"/>
            <w:hideMark/>
          </w:tcPr>
          <w:p w14:paraId="04F7080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left w:w="0" w:type="dxa"/>
              <w:bottom w:w="0" w:type="dxa"/>
              <w:right w:w="15" w:type="dxa"/>
            </w:tcMar>
            <w:vAlign w:val="bottom"/>
            <w:hideMark/>
          </w:tcPr>
          <w:p w14:paraId="13FBF62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441FB29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0F1395C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7D652F2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2DCFF3A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1DC2C53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left w:w="0" w:type="dxa"/>
              <w:bottom w:w="0" w:type="dxa"/>
              <w:right w:w="15" w:type="dxa"/>
            </w:tcMar>
            <w:vAlign w:val="bottom"/>
            <w:hideMark/>
          </w:tcPr>
          <w:p w14:paraId="5414219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2358DB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DE4443B" w14:textId="77777777">
        <w:trPr>
          <w:divId w:val="4938708"/>
          <w:jc w:val="center"/>
        </w:trPr>
        <w:tc>
          <w:tcPr>
            <w:tcW w:w="2524" w:type="pct"/>
            <w:shd w:val="clear" w:color="auto" w:fill="CFF0FC"/>
            <w:tcMar>
              <w:top w:w="15" w:type="dxa"/>
              <w:left w:w="0" w:type="dxa"/>
              <w:bottom w:w="0" w:type="dxa"/>
              <w:right w:w="15" w:type="dxa"/>
            </w:tcMar>
            <w:hideMark/>
          </w:tcPr>
          <w:p w14:paraId="5A7D19B5"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p>
        </w:tc>
        <w:tc>
          <w:tcPr>
            <w:tcW w:w="85" w:type="pct"/>
            <w:shd w:val="clear" w:color="auto" w:fill="CFF0FC"/>
            <w:tcMar>
              <w:top w:w="15" w:type="dxa"/>
              <w:left w:w="0" w:type="dxa"/>
              <w:bottom w:w="0" w:type="dxa"/>
              <w:right w:w="15" w:type="dxa"/>
            </w:tcMar>
            <w:vAlign w:val="bottom"/>
            <w:hideMark/>
          </w:tcPr>
          <w:p w14:paraId="0C501B1C"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2CB9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left w:w="0" w:type="dxa"/>
              <w:bottom w:w="0" w:type="dxa"/>
              <w:right w:w="15" w:type="dxa"/>
            </w:tcMar>
            <w:vAlign w:val="bottom"/>
            <w:hideMark/>
          </w:tcPr>
          <w:p w14:paraId="66CD4DF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34966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157BDF6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4C36BD4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6B070E9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08C8E9D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1EBEBAB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60EA6E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left w:w="0" w:type="dxa"/>
              <w:bottom w:w="0" w:type="dxa"/>
              <w:right w:w="15" w:type="dxa"/>
            </w:tcMar>
            <w:vAlign w:val="bottom"/>
            <w:hideMark/>
          </w:tcPr>
          <w:p w14:paraId="4B258EE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E853D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83A10E6" w14:textId="77777777">
        <w:trPr>
          <w:divId w:val="4938708"/>
          <w:jc w:val="center"/>
        </w:trPr>
        <w:tc>
          <w:tcPr>
            <w:tcW w:w="2524" w:type="pct"/>
            <w:shd w:val="clear" w:color="auto" w:fill="FFFFFF"/>
            <w:tcMar>
              <w:top w:w="15" w:type="dxa"/>
              <w:left w:w="0" w:type="dxa"/>
              <w:bottom w:w="0" w:type="dxa"/>
              <w:right w:w="15" w:type="dxa"/>
            </w:tcMar>
            <w:hideMark/>
          </w:tcPr>
          <w:p w14:paraId="791A540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FFFFFF"/>
            <w:tcMar>
              <w:top w:w="15" w:type="dxa"/>
              <w:left w:w="0" w:type="dxa"/>
              <w:bottom w:w="0" w:type="dxa"/>
              <w:right w:w="15" w:type="dxa"/>
            </w:tcMar>
            <w:vAlign w:val="bottom"/>
            <w:hideMark/>
          </w:tcPr>
          <w:p w14:paraId="0216DDD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left w:w="0" w:type="dxa"/>
              <w:bottom w:w="0" w:type="dxa"/>
              <w:right w:w="15" w:type="dxa"/>
            </w:tcMar>
            <w:vAlign w:val="bottom"/>
            <w:hideMark/>
          </w:tcPr>
          <w:p w14:paraId="42499BF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left w:w="0" w:type="dxa"/>
              <w:bottom w:w="0" w:type="dxa"/>
              <w:right w:w="15" w:type="dxa"/>
            </w:tcMar>
            <w:vAlign w:val="bottom"/>
            <w:hideMark/>
          </w:tcPr>
          <w:p w14:paraId="1CF1D75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04DEBEF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70517A9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00DA24F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4BC9E83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1BDF15F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left w:w="0" w:type="dxa"/>
              <w:bottom w:w="0" w:type="dxa"/>
              <w:right w:w="15" w:type="dxa"/>
            </w:tcMar>
            <w:vAlign w:val="bottom"/>
            <w:hideMark/>
          </w:tcPr>
          <w:p w14:paraId="585ABE0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left w:w="0" w:type="dxa"/>
              <w:bottom w:w="0" w:type="dxa"/>
              <w:right w:w="15" w:type="dxa"/>
            </w:tcMar>
            <w:vAlign w:val="bottom"/>
            <w:hideMark/>
          </w:tcPr>
          <w:p w14:paraId="2C392B2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367C0F3" w14:textId="77777777">
        <w:trPr>
          <w:divId w:val="4938708"/>
          <w:jc w:val="center"/>
        </w:trPr>
        <w:tc>
          <w:tcPr>
            <w:tcW w:w="2524" w:type="pct"/>
            <w:shd w:val="clear" w:color="auto" w:fill="CFF0FC"/>
            <w:tcMar>
              <w:top w:w="15" w:type="dxa"/>
              <w:left w:w="0" w:type="dxa"/>
              <w:bottom w:w="0" w:type="dxa"/>
              <w:right w:w="15" w:type="dxa"/>
            </w:tcMar>
            <w:hideMark/>
          </w:tcPr>
          <w:p w14:paraId="56A7203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CFF0FC"/>
            <w:tcMar>
              <w:top w:w="15" w:type="dxa"/>
              <w:left w:w="0" w:type="dxa"/>
              <w:bottom w:w="0" w:type="dxa"/>
              <w:right w:w="15" w:type="dxa"/>
            </w:tcMar>
            <w:vAlign w:val="bottom"/>
            <w:hideMark/>
          </w:tcPr>
          <w:p w14:paraId="648AF36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left w:w="0" w:type="dxa"/>
              <w:bottom w:w="0" w:type="dxa"/>
              <w:right w:w="15" w:type="dxa"/>
            </w:tcMar>
            <w:vAlign w:val="bottom"/>
            <w:hideMark/>
          </w:tcPr>
          <w:p w14:paraId="41A9B7E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left w:w="0" w:type="dxa"/>
              <w:bottom w:w="0" w:type="dxa"/>
              <w:right w:w="15" w:type="dxa"/>
            </w:tcMar>
            <w:vAlign w:val="bottom"/>
            <w:hideMark/>
          </w:tcPr>
          <w:p w14:paraId="2701C75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0A48BF4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23DDDD0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117458A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377946E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42A2A02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left w:w="0" w:type="dxa"/>
              <w:bottom w:w="0" w:type="dxa"/>
              <w:right w:w="15" w:type="dxa"/>
            </w:tcMar>
            <w:vAlign w:val="bottom"/>
            <w:hideMark/>
          </w:tcPr>
          <w:p w14:paraId="73E7D36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left w:w="0" w:type="dxa"/>
              <w:bottom w:w="0" w:type="dxa"/>
              <w:right w:w="15" w:type="dxa"/>
            </w:tcMar>
            <w:vAlign w:val="bottom"/>
            <w:hideMark/>
          </w:tcPr>
          <w:p w14:paraId="1FA54C2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7F51CB0" w14:textId="77777777">
        <w:trPr>
          <w:divId w:val="4938708"/>
          <w:jc w:val="center"/>
        </w:trPr>
        <w:tc>
          <w:tcPr>
            <w:tcW w:w="2524" w:type="pct"/>
            <w:shd w:val="clear" w:color="auto" w:fill="FFFFFF"/>
            <w:tcMar>
              <w:top w:w="15" w:type="dxa"/>
              <w:left w:w="0" w:type="dxa"/>
              <w:bottom w:w="0" w:type="dxa"/>
              <w:right w:w="15" w:type="dxa"/>
            </w:tcMar>
            <w:hideMark/>
          </w:tcPr>
          <w:p w14:paraId="5E61EE0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FFFFFF"/>
            <w:tcMar>
              <w:top w:w="15" w:type="dxa"/>
              <w:left w:w="0" w:type="dxa"/>
              <w:bottom w:w="0" w:type="dxa"/>
              <w:right w:w="15" w:type="dxa"/>
            </w:tcMar>
            <w:vAlign w:val="bottom"/>
            <w:hideMark/>
          </w:tcPr>
          <w:p w14:paraId="6DF4CAB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left w:w="0" w:type="dxa"/>
              <w:bottom w:w="0" w:type="dxa"/>
              <w:right w:w="15" w:type="dxa"/>
            </w:tcMar>
            <w:vAlign w:val="bottom"/>
            <w:hideMark/>
          </w:tcPr>
          <w:p w14:paraId="6311E8A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4118548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5D6F4F1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1239872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4403020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4271304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0B5662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left w:w="0" w:type="dxa"/>
              <w:bottom w:w="0" w:type="dxa"/>
              <w:right w:w="15" w:type="dxa"/>
            </w:tcMar>
            <w:vAlign w:val="bottom"/>
            <w:hideMark/>
          </w:tcPr>
          <w:p w14:paraId="0C17076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6A833E2C"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215A6BB3"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58067081" w14:textId="77777777">
        <w:tc>
          <w:tcPr>
            <w:tcW w:w="192" w:type="pct"/>
            <w:noWrap/>
            <w:hideMark/>
          </w:tcPr>
          <w:p w14:paraId="24E26AC0"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1D260E7C"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Excludes stock-based compensation and certain expense allocations. Also excludes amortization of intangible assets and certain other GAAP-based expenses, which were not allocated to our operating segment results for purposes of reporting to and review by our CODMs, as further described under “Presentation of Operating Segments and Other Financial Information” above.</w:t>
            </w:r>
          </w:p>
        </w:tc>
      </w:tr>
    </w:tbl>
    <w:p w14:paraId="0A16ED5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Excluding the effects of currency rate fluctuations, our total services revenues decreased in fiscal 2019 relative to fiscal 2018 primarily due to revenue declines in our education services and, to a lesser extent, our consulting services. During fiscal 2019, constant currency increases in our EMEA-based services revenues were offset by constant currency services revenue decreases in the Americas and the Asia Pacific regions.</w:t>
      </w:r>
    </w:p>
    <w:p w14:paraId="2C9AF7D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constant currency, total services expenses increased in fiscal 2019 compared to fiscal 2018 primarily due to an increase in employee related expenses and external contractor expenses associated with investments in our consulting services that support our cloud offerings. In constant currency, total margin and total margin as a percentage of total services revenues decreased during fiscal 2019 relative to fiscal 2018 due to decreased revenues and increased expenses for this business.</w:t>
      </w:r>
    </w:p>
    <w:p w14:paraId="5022F4E1"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Research and Development Expenses: </w:t>
      </w:r>
      <w:r>
        <w:rPr>
          <w:rFonts w:ascii="Calibri" w:hAnsi="Calibri" w:cs="Calibri"/>
          <w:sz w:val="20"/>
          <w:szCs w:val="20"/>
        </w:rPr>
        <w:t>Research and development expenses consist primarily of personnel related expenditures. We intend to continue to invest significantly in our research and development efforts because, in our judgment, they are essential to maintaining our competitive position.</w:t>
      </w:r>
    </w:p>
    <w:p w14:paraId="68194CA7"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89"/>
        <w:gridCol w:w="135"/>
        <w:gridCol w:w="117"/>
        <w:gridCol w:w="713"/>
        <w:gridCol w:w="77"/>
        <w:gridCol w:w="135"/>
        <w:gridCol w:w="879"/>
        <w:gridCol w:w="135"/>
        <w:gridCol w:w="881"/>
        <w:gridCol w:w="135"/>
        <w:gridCol w:w="117"/>
        <w:gridCol w:w="715"/>
        <w:gridCol w:w="78"/>
      </w:tblGrid>
      <w:tr w:rsidR="00251D72" w14:paraId="59ABBE34" w14:textId="77777777">
        <w:trPr>
          <w:divId w:val="847327853"/>
          <w:jc w:val="center"/>
        </w:trPr>
        <w:tc>
          <w:tcPr>
            <w:tcW w:w="2524" w:type="pct"/>
            <w:shd w:val="clear" w:color="auto" w:fill="FFFFFF"/>
            <w:tcMar>
              <w:top w:w="15" w:type="dxa"/>
              <w:left w:w="0" w:type="dxa"/>
              <w:bottom w:w="0" w:type="dxa"/>
              <w:right w:w="15" w:type="dxa"/>
            </w:tcMar>
            <w:vAlign w:val="center"/>
            <w:hideMark/>
          </w:tcPr>
          <w:p w14:paraId="2D9E989B" w14:textId="77777777" w:rsidR="00251D72" w:rsidRDefault="00251D72">
            <w:pPr>
              <w:pStyle w:val="a3"/>
              <w:spacing w:before="0" w:beforeAutospacing="0" w:after="0" w:afterAutospacing="0"/>
              <w:rPr>
                <w:sz w:val="15"/>
                <w:szCs w:val="15"/>
              </w:rPr>
            </w:pPr>
            <w:r>
              <w:rPr>
                <w:sz w:val="15"/>
                <w:szCs w:val="15"/>
              </w:rPr>
              <w:t> </w:t>
            </w:r>
          </w:p>
        </w:tc>
        <w:tc>
          <w:tcPr>
            <w:tcW w:w="85" w:type="pct"/>
            <w:shd w:val="clear" w:color="auto" w:fill="FFFFFF"/>
            <w:tcMar>
              <w:top w:w="15" w:type="dxa"/>
              <w:left w:w="0" w:type="dxa"/>
              <w:bottom w:w="0" w:type="dxa"/>
              <w:right w:w="15" w:type="dxa"/>
            </w:tcMar>
            <w:vAlign w:val="bottom"/>
            <w:hideMark/>
          </w:tcPr>
          <w:p w14:paraId="3851486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339" w:type="pct"/>
            <w:gridSpan w:val="10"/>
            <w:tcBorders>
              <w:bottom w:val="single" w:sz="6" w:space="0" w:color="000000"/>
            </w:tcBorders>
            <w:shd w:val="clear" w:color="auto" w:fill="FFFFFF"/>
            <w:tcMar>
              <w:top w:w="15" w:type="dxa"/>
              <w:left w:w="0" w:type="dxa"/>
              <w:bottom w:w="0" w:type="dxa"/>
              <w:right w:w="15" w:type="dxa"/>
            </w:tcMar>
            <w:vAlign w:val="bottom"/>
            <w:hideMark/>
          </w:tcPr>
          <w:p w14:paraId="215365F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177AB62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57D4D59" w14:textId="77777777">
        <w:trPr>
          <w:divId w:val="847327853"/>
          <w:jc w:val="center"/>
        </w:trPr>
        <w:tc>
          <w:tcPr>
            <w:tcW w:w="2524" w:type="pct"/>
            <w:shd w:val="clear" w:color="auto" w:fill="FFFFFF"/>
            <w:tcMar>
              <w:top w:w="15" w:type="dxa"/>
              <w:left w:w="0" w:type="dxa"/>
              <w:bottom w:w="0" w:type="dxa"/>
              <w:right w:w="15" w:type="dxa"/>
            </w:tcMar>
            <w:vAlign w:val="center"/>
            <w:hideMark/>
          </w:tcPr>
          <w:p w14:paraId="2CACB34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78664AD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0752D03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0F0B607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427FB64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left w:w="0" w:type="dxa"/>
              <w:bottom w:w="0" w:type="dxa"/>
              <w:right w:w="15" w:type="dxa"/>
            </w:tcMar>
            <w:vAlign w:val="center"/>
            <w:hideMark/>
          </w:tcPr>
          <w:p w14:paraId="38818D5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18865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left w:w="0" w:type="dxa"/>
              <w:bottom w:w="0" w:type="dxa"/>
              <w:right w:w="15" w:type="dxa"/>
            </w:tcMar>
            <w:vAlign w:val="center"/>
            <w:hideMark/>
          </w:tcPr>
          <w:p w14:paraId="10E5BC5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587783E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7C0B885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617A222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93BE568" w14:textId="77777777">
        <w:trPr>
          <w:divId w:val="847327853"/>
          <w:jc w:val="center"/>
        </w:trPr>
        <w:tc>
          <w:tcPr>
            <w:tcW w:w="2524" w:type="pct"/>
            <w:tcBorders>
              <w:bottom w:val="single" w:sz="6" w:space="0" w:color="000000"/>
            </w:tcBorders>
            <w:shd w:val="clear" w:color="auto" w:fill="FFFFFF"/>
            <w:tcMar>
              <w:top w:w="15" w:type="dxa"/>
              <w:left w:w="0" w:type="dxa"/>
              <w:bottom w:w="0" w:type="dxa"/>
              <w:right w:w="15" w:type="dxa"/>
            </w:tcMar>
            <w:vAlign w:val="bottom"/>
            <w:hideMark/>
          </w:tcPr>
          <w:p w14:paraId="530D09A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left w:w="0" w:type="dxa"/>
              <w:bottom w:w="0" w:type="dxa"/>
              <w:right w:w="15" w:type="dxa"/>
            </w:tcMar>
            <w:vAlign w:val="bottom"/>
            <w:hideMark/>
          </w:tcPr>
          <w:p w14:paraId="3637251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7C97387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05D841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2EA17159"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863B0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72923667"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3E119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left w:w="0" w:type="dxa"/>
              <w:bottom w:w="0" w:type="dxa"/>
              <w:right w:w="15" w:type="dxa"/>
            </w:tcMar>
            <w:vAlign w:val="bottom"/>
            <w:hideMark/>
          </w:tcPr>
          <w:p w14:paraId="5E35CEA8"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5145E62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19B98A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259D8DC" w14:textId="77777777">
        <w:trPr>
          <w:divId w:val="847327853"/>
          <w:jc w:val="center"/>
        </w:trPr>
        <w:tc>
          <w:tcPr>
            <w:tcW w:w="2524" w:type="pct"/>
            <w:tcBorders>
              <w:top w:val="single" w:sz="6" w:space="0" w:color="000000"/>
            </w:tcBorders>
            <w:shd w:val="clear" w:color="auto" w:fill="CFF0FC"/>
            <w:tcMar>
              <w:top w:w="15" w:type="dxa"/>
              <w:left w:w="0" w:type="dxa"/>
              <w:bottom w:w="0" w:type="dxa"/>
              <w:right w:w="15" w:type="dxa"/>
            </w:tcMar>
            <w:hideMark/>
          </w:tcPr>
          <w:p w14:paraId="19DC9D1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Research and development</w:t>
            </w:r>
            <w:r>
              <w:rPr>
                <w:rFonts w:ascii="Calibri" w:hAnsi="Calibri" w:cs="Calibri"/>
                <w:color w:val="000000"/>
                <w:sz w:val="17"/>
                <w:szCs w:val="17"/>
                <w:vertAlign w:val="superscript"/>
              </w:rPr>
              <w:t>(1)</w:t>
            </w:r>
          </w:p>
        </w:tc>
        <w:tc>
          <w:tcPr>
            <w:tcW w:w="85" w:type="pct"/>
            <w:shd w:val="clear" w:color="auto" w:fill="CFF0FC"/>
            <w:tcMar>
              <w:top w:w="15" w:type="dxa"/>
              <w:left w:w="0" w:type="dxa"/>
              <w:bottom w:w="0" w:type="dxa"/>
              <w:right w:w="15" w:type="dxa"/>
            </w:tcMar>
            <w:vAlign w:val="bottom"/>
            <w:hideMark/>
          </w:tcPr>
          <w:p w14:paraId="3F83B6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0F681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5918267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5,063</w:t>
            </w:r>
          </w:p>
        </w:tc>
        <w:tc>
          <w:tcPr>
            <w:tcW w:w="50" w:type="pct"/>
            <w:shd w:val="clear" w:color="auto" w:fill="CFF0FC"/>
            <w:noWrap/>
            <w:tcMar>
              <w:top w:w="15" w:type="dxa"/>
              <w:left w:w="0" w:type="dxa"/>
              <w:bottom w:w="0" w:type="dxa"/>
              <w:right w:w="15" w:type="dxa"/>
            </w:tcMar>
            <w:vAlign w:val="bottom"/>
            <w:hideMark/>
          </w:tcPr>
          <w:p w14:paraId="0E87CE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0AFDDB1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47C99D3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CFF0FC"/>
            <w:tcMar>
              <w:top w:w="15" w:type="dxa"/>
              <w:left w:w="0" w:type="dxa"/>
              <w:bottom w:w="0" w:type="dxa"/>
              <w:right w:w="15" w:type="dxa"/>
            </w:tcMar>
            <w:vAlign w:val="bottom"/>
            <w:hideMark/>
          </w:tcPr>
          <w:p w14:paraId="1CA083B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54E9192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85" w:type="pct"/>
            <w:shd w:val="clear" w:color="auto" w:fill="CFF0FC"/>
            <w:tcMar>
              <w:top w:w="15" w:type="dxa"/>
              <w:left w:w="0" w:type="dxa"/>
              <w:bottom w:w="0" w:type="dxa"/>
              <w:right w:w="15" w:type="dxa"/>
            </w:tcMar>
            <w:vAlign w:val="bottom"/>
            <w:hideMark/>
          </w:tcPr>
          <w:p w14:paraId="0D76F70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7EFF68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3BD06B5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5,163</w:t>
            </w:r>
          </w:p>
        </w:tc>
        <w:tc>
          <w:tcPr>
            <w:tcW w:w="50" w:type="pct"/>
            <w:shd w:val="clear" w:color="auto" w:fill="CFF0FC"/>
            <w:noWrap/>
            <w:tcMar>
              <w:top w:w="15" w:type="dxa"/>
              <w:left w:w="0" w:type="dxa"/>
              <w:bottom w:w="0" w:type="dxa"/>
              <w:right w:w="15" w:type="dxa"/>
            </w:tcMar>
            <w:vAlign w:val="bottom"/>
            <w:hideMark/>
          </w:tcPr>
          <w:p w14:paraId="45B3809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AACE7BB" w14:textId="77777777">
        <w:trPr>
          <w:divId w:val="847327853"/>
          <w:jc w:val="center"/>
        </w:trPr>
        <w:tc>
          <w:tcPr>
            <w:tcW w:w="2524" w:type="pct"/>
            <w:shd w:val="clear" w:color="auto" w:fill="FFFFFF"/>
            <w:tcMar>
              <w:top w:w="15" w:type="dxa"/>
              <w:left w:w="0" w:type="dxa"/>
              <w:bottom w:w="0" w:type="dxa"/>
              <w:right w:w="15" w:type="dxa"/>
            </w:tcMar>
            <w:hideMark/>
          </w:tcPr>
          <w:p w14:paraId="1BE130E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85" w:type="pct"/>
            <w:shd w:val="clear" w:color="auto" w:fill="FFFFFF"/>
            <w:tcMar>
              <w:top w:w="15" w:type="dxa"/>
              <w:left w:w="0" w:type="dxa"/>
              <w:bottom w:w="0" w:type="dxa"/>
              <w:right w:w="15" w:type="dxa"/>
            </w:tcMar>
            <w:vAlign w:val="bottom"/>
            <w:hideMark/>
          </w:tcPr>
          <w:p w14:paraId="291D3A7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1581A4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0BF5011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963</w:t>
            </w:r>
          </w:p>
        </w:tc>
        <w:tc>
          <w:tcPr>
            <w:tcW w:w="50" w:type="pct"/>
            <w:shd w:val="clear" w:color="auto" w:fill="FFFFFF"/>
            <w:noWrap/>
            <w:tcMar>
              <w:top w:w="15" w:type="dxa"/>
              <w:left w:w="0" w:type="dxa"/>
              <w:bottom w:w="0" w:type="dxa"/>
              <w:right w:w="15" w:type="dxa"/>
            </w:tcMar>
            <w:vAlign w:val="bottom"/>
            <w:hideMark/>
          </w:tcPr>
          <w:p w14:paraId="5137AD6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6003AD9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0827790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85" w:type="pct"/>
            <w:shd w:val="clear" w:color="auto" w:fill="FFFFFF"/>
            <w:tcMar>
              <w:top w:w="15" w:type="dxa"/>
              <w:left w:w="0" w:type="dxa"/>
              <w:bottom w:w="0" w:type="dxa"/>
              <w:right w:w="15" w:type="dxa"/>
            </w:tcMar>
            <w:vAlign w:val="bottom"/>
            <w:hideMark/>
          </w:tcPr>
          <w:p w14:paraId="6D5A24E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3647AB2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85" w:type="pct"/>
            <w:shd w:val="clear" w:color="auto" w:fill="FFFFFF"/>
            <w:tcMar>
              <w:top w:w="15" w:type="dxa"/>
              <w:left w:w="0" w:type="dxa"/>
              <w:bottom w:w="0" w:type="dxa"/>
              <w:right w:w="15" w:type="dxa"/>
            </w:tcMar>
            <w:vAlign w:val="bottom"/>
            <w:hideMark/>
          </w:tcPr>
          <w:p w14:paraId="767EF32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F4216A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256BBA3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921</w:t>
            </w:r>
          </w:p>
        </w:tc>
        <w:tc>
          <w:tcPr>
            <w:tcW w:w="50" w:type="pct"/>
            <w:shd w:val="clear" w:color="auto" w:fill="FFFFFF"/>
            <w:noWrap/>
            <w:tcMar>
              <w:top w:w="15" w:type="dxa"/>
              <w:left w:w="0" w:type="dxa"/>
              <w:bottom w:w="0" w:type="dxa"/>
              <w:right w:w="15" w:type="dxa"/>
            </w:tcMar>
            <w:vAlign w:val="bottom"/>
            <w:hideMark/>
          </w:tcPr>
          <w:p w14:paraId="30D4B19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7AF4217" w14:textId="77777777">
        <w:trPr>
          <w:divId w:val="847327853"/>
          <w:jc w:val="center"/>
        </w:trPr>
        <w:tc>
          <w:tcPr>
            <w:tcW w:w="2524" w:type="pct"/>
            <w:shd w:val="clear" w:color="auto" w:fill="CFF0FC"/>
            <w:tcMar>
              <w:top w:w="15" w:type="dxa"/>
              <w:left w:w="0" w:type="dxa"/>
              <w:bottom w:w="0" w:type="dxa"/>
              <w:right w:w="15" w:type="dxa"/>
            </w:tcMar>
            <w:hideMark/>
          </w:tcPr>
          <w:p w14:paraId="0642EBE5"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85" w:type="pct"/>
            <w:shd w:val="clear" w:color="auto" w:fill="CFF0FC"/>
            <w:tcMar>
              <w:top w:w="15" w:type="dxa"/>
              <w:left w:w="0" w:type="dxa"/>
              <w:bottom w:w="0" w:type="dxa"/>
              <w:right w:w="15" w:type="dxa"/>
            </w:tcMar>
            <w:vAlign w:val="bottom"/>
            <w:hideMark/>
          </w:tcPr>
          <w:p w14:paraId="5060667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D46C40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DA5B1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6,026</w:t>
            </w:r>
          </w:p>
        </w:tc>
        <w:tc>
          <w:tcPr>
            <w:tcW w:w="50" w:type="pct"/>
            <w:shd w:val="clear" w:color="auto" w:fill="CFF0FC"/>
            <w:noWrap/>
            <w:tcMar>
              <w:top w:w="15" w:type="dxa"/>
              <w:left w:w="0" w:type="dxa"/>
              <w:bottom w:w="0" w:type="dxa"/>
              <w:right w:w="15" w:type="dxa"/>
            </w:tcMar>
            <w:vAlign w:val="bottom"/>
            <w:hideMark/>
          </w:tcPr>
          <w:p w14:paraId="59E55D7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4F3E9AF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2FCB79D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CFF0FC"/>
            <w:tcMar>
              <w:top w:w="15" w:type="dxa"/>
              <w:left w:w="0" w:type="dxa"/>
              <w:bottom w:w="0" w:type="dxa"/>
              <w:right w:w="15" w:type="dxa"/>
            </w:tcMar>
            <w:vAlign w:val="bottom"/>
            <w:hideMark/>
          </w:tcPr>
          <w:p w14:paraId="2C0E79A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425E1D9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85" w:type="pct"/>
            <w:shd w:val="clear" w:color="auto" w:fill="CFF0FC"/>
            <w:tcMar>
              <w:top w:w="15" w:type="dxa"/>
              <w:left w:w="0" w:type="dxa"/>
              <w:bottom w:w="0" w:type="dxa"/>
              <w:right w:w="15" w:type="dxa"/>
            </w:tcMar>
            <w:vAlign w:val="bottom"/>
            <w:hideMark/>
          </w:tcPr>
          <w:p w14:paraId="2FA1F1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BA14C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7BB5A3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6,084</w:t>
            </w:r>
          </w:p>
        </w:tc>
        <w:tc>
          <w:tcPr>
            <w:tcW w:w="50" w:type="pct"/>
            <w:shd w:val="clear" w:color="auto" w:fill="CFF0FC"/>
            <w:noWrap/>
            <w:tcMar>
              <w:top w:w="15" w:type="dxa"/>
              <w:left w:w="0" w:type="dxa"/>
              <w:bottom w:w="0" w:type="dxa"/>
              <w:right w:w="15" w:type="dxa"/>
            </w:tcMar>
            <w:vAlign w:val="bottom"/>
            <w:hideMark/>
          </w:tcPr>
          <w:p w14:paraId="19803CF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229EF2B" w14:textId="77777777">
        <w:trPr>
          <w:divId w:val="847327853"/>
          <w:jc w:val="center"/>
        </w:trPr>
        <w:tc>
          <w:tcPr>
            <w:tcW w:w="2524" w:type="pct"/>
            <w:shd w:val="clear" w:color="auto" w:fill="FFFFFF"/>
            <w:tcMar>
              <w:top w:w="15" w:type="dxa"/>
              <w:left w:w="0" w:type="dxa"/>
              <w:bottom w:w="0" w:type="dxa"/>
              <w:right w:w="15" w:type="dxa"/>
            </w:tcMar>
            <w:hideMark/>
          </w:tcPr>
          <w:p w14:paraId="49876A4F"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85" w:type="pct"/>
            <w:shd w:val="clear" w:color="auto" w:fill="FFFFFF"/>
            <w:tcMar>
              <w:top w:w="15" w:type="dxa"/>
              <w:left w:w="0" w:type="dxa"/>
              <w:bottom w:w="0" w:type="dxa"/>
              <w:right w:w="15" w:type="dxa"/>
            </w:tcMar>
            <w:vAlign w:val="bottom"/>
            <w:hideMark/>
          </w:tcPr>
          <w:p w14:paraId="6B063F80"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483" w:type="pct"/>
            <w:gridSpan w:val="2"/>
            <w:tcBorders>
              <w:top w:val="double" w:sz="6" w:space="0" w:color="000000"/>
            </w:tcBorders>
            <w:shd w:val="clear" w:color="auto" w:fill="FFFFFF"/>
            <w:tcMar>
              <w:top w:w="15" w:type="dxa"/>
              <w:left w:w="0" w:type="dxa"/>
              <w:bottom w:w="0" w:type="dxa"/>
              <w:right w:w="15" w:type="dxa"/>
            </w:tcMar>
            <w:vAlign w:val="bottom"/>
            <w:hideMark/>
          </w:tcPr>
          <w:p w14:paraId="69BEF36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5D8DAC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1F1B1B3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6DF10C1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53699DC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15D6C9D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6C09075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left w:w="0" w:type="dxa"/>
              <w:bottom w:w="0" w:type="dxa"/>
              <w:right w:w="15" w:type="dxa"/>
            </w:tcMar>
            <w:vAlign w:val="bottom"/>
            <w:hideMark/>
          </w:tcPr>
          <w:p w14:paraId="316B086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722DCD4D"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DC9298C"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764D21A7" w14:textId="77777777">
        <w:tc>
          <w:tcPr>
            <w:tcW w:w="192" w:type="pct"/>
            <w:noWrap/>
            <w:hideMark/>
          </w:tcPr>
          <w:p w14:paraId="294BD367"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5CF9CD7D"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Excluding stock-based compensation</w:t>
            </w:r>
          </w:p>
        </w:tc>
      </w:tr>
    </w:tbl>
    <w:p w14:paraId="0810FD6E"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50</w:t>
      </w:r>
    </w:p>
    <w:p w14:paraId="0ED71EE2" w14:textId="77777777" w:rsidR="00251D72" w:rsidRDefault="00251D72">
      <w:pPr>
        <w:rPr>
          <w:rFonts w:ascii="Times New Roman" w:eastAsia="Times New Roman" w:hAnsi="Times New Roman" w:cs="Times New Roman"/>
          <w:sz w:val="24"/>
          <w:szCs w:val="24"/>
        </w:rPr>
      </w:pPr>
      <w:r>
        <w:rPr>
          <w:rFonts w:eastAsia="Times New Roman"/>
        </w:rPr>
        <w:pict w14:anchorId="7869E764">
          <v:rect id="_x0000_i1076" style="width:415.3pt;height:1.5pt" o:hralign="center" o:hrstd="t" o:hr="t" fillcolor="#a0a0a0" stroked="f"/>
        </w:pict>
      </w:r>
    </w:p>
    <w:p w14:paraId="6DC8873C"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0F8FF69"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B6B274D" w14:textId="77777777" w:rsidR="00251D72" w:rsidRDefault="00251D72">
      <w:pPr>
        <w:pStyle w:val="a3"/>
        <w:spacing w:before="120" w:beforeAutospacing="0" w:after="0" w:afterAutospacing="0"/>
        <w:rPr>
          <w:sz w:val="20"/>
          <w:szCs w:val="20"/>
        </w:rPr>
      </w:pPr>
      <w:r>
        <w:rPr>
          <w:sz w:val="20"/>
          <w:szCs w:val="20"/>
        </w:rPr>
        <w:t> </w:t>
      </w:r>
    </w:p>
    <w:p w14:paraId="48CF8BBD" w14:textId="77777777" w:rsidR="00251D72" w:rsidRDefault="00251D72">
      <w:pPr>
        <w:pStyle w:val="a3"/>
        <w:spacing w:before="120" w:beforeAutospacing="0" w:after="0" w:afterAutospacing="0"/>
        <w:jc w:val="both"/>
        <w:rPr>
          <w:rFonts w:ascii="Calibri" w:hAnsi="Calibri" w:cs="Calibri"/>
          <w:sz w:val="20"/>
          <w:szCs w:val="20"/>
        </w:rPr>
      </w:pPr>
      <w:bookmarkStart w:id="66" w:name="_AEIOULastRenderedPageBreakAEIOU53"/>
      <w:bookmarkEnd w:id="66"/>
      <w:r>
        <w:rPr>
          <w:rFonts w:ascii="Calibri" w:hAnsi="Calibri" w:cs="Calibri"/>
          <w:sz w:val="20"/>
          <w:szCs w:val="20"/>
        </w:rPr>
        <w:t>On a constant currency basis, total research and development expenses were flat in fiscal 2019, as lower employee related expenses including lower variable compensation were offset by an increase in stock-based compensation expenses.</w:t>
      </w:r>
    </w:p>
    <w:p w14:paraId="5D30B889"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General and Administrative Expenses:</w:t>
      </w:r>
      <w:r>
        <w:rPr>
          <w:rFonts w:ascii="Calibri" w:hAnsi="Calibri" w:cs="Calibri"/>
          <w:sz w:val="20"/>
          <w:szCs w:val="20"/>
        </w:rPr>
        <w:t xml:space="preserve"> General and administrative expenses primarily consist of personnel related expenditures for IT, finance, legal and human resources support functions; and professional services fees.</w:t>
      </w:r>
    </w:p>
    <w:p w14:paraId="312448AC"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89"/>
        <w:gridCol w:w="135"/>
        <w:gridCol w:w="117"/>
        <w:gridCol w:w="713"/>
        <w:gridCol w:w="77"/>
        <w:gridCol w:w="135"/>
        <w:gridCol w:w="879"/>
        <w:gridCol w:w="135"/>
        <w:gridCol w:w="881"/>
        <w:gridCol w:w="135"/>
        <w:gridCol w:w="117"/>
        <w:gridCol w:w="715"/>
        <w:gridCol w:w="78"/>
      </w:tblGrid>
      <w:tr w:rsidR="00251D72" w14:paraId="128662A0" w14:textId="77777777">
        <w:trPr>
          <w:divId w:val="1838886060"/>
          <w:jc w:val="center"/>
        </w:trPr>
        <w:tc>
          <w:tcPr>
            <w:tcW w:w="2524" w:type="pct"/>
            <w:shd w:val="clear" w:color="auto" w:fill="FFFFFF"/>
            <w:tcMar>
              <w:top w:w="15" w:type="dxa"/>
              <w:left w:w="0" w:type="dxa"/>
              <w:bottom w:w="0" w:type="dxa"/>
              <w:right w:w="15" w:type="dxa"/>
            </w:tcMar>
            <w:vAlign w:val="center"/>
            <w:hideMark/>
          </w:tcPr>
          <w:p w14:paraId="5804AD59" w14:textId="77777777" w:rsidR="00251D72" w:rsidRDefault="00251D72">
            <w:pPr>
              <w:pStyle w:val="a3"/>
              <w:spacing w:before="0" w:beforeAutospacing="0" w:after="0" w:afterAutospacing="0"/>
              <w:rPr>
                <w:sz w:val="15"/>
                <w:szCs w:val="15"/>
              </w:rPr>
            </w:pPr>
            <w:r>
              <w:rPr>
                <w:sz w:val="15"/>
                <w:szCs w:val="15"/>
              </w:rPr>
              <w:t> </w:t>
            </w:r>
          </w:p>
        </w:tc>
        <w:tc>
          <w:tcPr>
            <w:tcW w:w="85" w:type="pct"/>
            <w:shd w:val="clear" w:color="auto" w:fill="FFFFFF"/>
            <w:tcMar>
              <w:top w:w="15" w:type="dxa"/>
              <w:left w:w="0" w:type="dxa"/>
              <w:bottom w:w="0" w:type="dxa"/>
              <w:right w:w="15" w:type="dxa"/>
            </w:tcMar>
            <w:vAlign w:val="bottom"/>
            <w:hideMark/>
          </w:tcPr>
          <w:p w14:paraId="467B186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339" w:type="pct"/>
            <w:gridSpan w:val="10"/>
            <w:tcBorders>
              <w:bottom w:val="single" w:sz="6" w:space="0" w:color="000000"/>
            </w:tcBorders>
            <w:shd w:val="clear" w:color="auto" w:fill="FFFFFF"/>
            <w:tcMar>
              <w:top w:w="15" w:type="dxa"/>
              <w:left w:w="0" w:type="dxa"/>
              <w:bottom w:w="0" w:type="dxa"/>
              <w:right w:w="15" w:type="dxa"/>
            </w:tcMar>
            <w:vAlign w:val="bottom"/>
            <w:hideMark/>
          </w:tcPr>
          <w:p w14:paraId="7B63346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27DE343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471D5F5" w14:textId="77777777">
        <w:trPr>
          <w:divId w:val="1838886060"/>
          <w:jc w:val="center"/>
        </w:trPr>
        <w:tc>
          <w:tcPr>
            <w:tcW w:w="2524" w:type="pct"/>
            <w:shd w:val="clear" w:color="auto" w:fill="FFFFFF"/>
            <w:tcMar>
              <w:top w:w="15" w:type="dxa"/>
              <w:left w:w="0" w:type="dxa"/>
              <w:bottom w:w="0" w:type="dxa"/>
              <w:right w:w="15" w:type="dxa"/>
            </w:tcMar>
            <w:vAlign w:val="center"/>
            <w:hideMark/>
          </w:tcPr>
          <w:p w14:paraId="4882478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48FED0B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729B0CE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414AA16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671EE22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left w:w="0" w:type="dxa"/>
              <w:bottom w:w="0" w:type="dxa"/>
              <w:right w:w="15" w:type="dxa"/>
            </w:tcMar>
            <w:vAlign w:val="center"/>
            <w:hideMark/>
          </w:tcPr>
          <w:p w14:paraId="26D5F38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ECD00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left w:w="0" w:type="dxa"/>
              <w:bottom w:w="0" w:type="dxa"/>
              <w:right w:w="15" w:type="dxa"/>
            </w:tcMar>
            <w:vAlign w:val="center"/>
            <w:hideMark/>
          </w:tcPr>
          <w:p w14:paraId="2FF5365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6D31ADD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25E7314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315B3E4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A960541" w14:textId="77777777">
        <w:trPr>
          <w:divId w:val="1838886060"/>
          <w:jc w:val="center"/>
        </w:trPr>
        <w:tc>
          <w:tcPr>
            <w:tcW w:w="2524" w:type="pct"/>
            <w:tcBorders>
              <w:bottom w:val="single" w:sz="6" w:space="0" w:color="000000"/>
            </w:tcBorders>
            <w:shd w:val="clear" w:color="auto" w:fill="FFFFFF"/>
            <w:tcMar>
              <w:top w:w="15" w:type="dxa"/>
              <w:left w:w="0" w:type="dxa"/>
              <w:bottom w:w="0" w:type="dxa"/>
              <w:right w:w="15" w:type="dxa"/>
            </w:tcMar>
            <w:vAlign w:val="bottom"/>
            <w:hideMark/>
          </w:tcPr>
          <w:p w14:paraId="6E29E48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left w:w="0" w:type="dxa"/>
              <w:bottom w:w="0" w:type="dxa"/>
              <w:right w:w="15" w:type="dxa"/>
            </w:tcMar>
            <w:vAlign w:val="bottom"/>
            <w:hideMark/>
          </w:tcPr>
          <w:p w14:paraId="5830142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478246E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BE7F0B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3C0AE85C"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980F4B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33386AB8"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62D9B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left w:w="0" w:type="dxa"/>
              <w:bottom w:w="0" w:type="dxa"/>
              <w:right w:w="15" w:type="dxa"/>
            </w:tcMar>
            <w:vAlign w:val="bottom"/>
            <w:hideMark/>
          </w:tcPr>
          <w:p w14:paraId="6946A57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564655E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6359E43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7BC86324" w14:textId="77777777">
        <w:trPr>
          <w:divId w:val="1838886060"/>
          <w:jc w:val="center"/>
        </w:trPr>
        <w:tc>
          <w:tcPr>
            <w:tcW w:w="2524" w:type="pct"/>
            <w:tcBorders>
              <w:top w:val="single" w:sz="6" w:space="0" w:color="000000"/>
            </w:tcBorders>
            <w:shd w:val="clear" w:color="auto" w:fill="CFF0FC"/>
            <w:tcMar>
              <w:top w:w="15" w:type="dxa"/>
              <w:left w:w="0" w:type="dxa"/>
              <w:bottom w:w="0" w:type="dxa"/>
              <w:right w:w="15" w:type="dxa"/>
            </w:tcMar>
            <w:hideMark/>
          </w:tcPr>
          <w:p w14:paraId="385443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vertAlign w:val="superscript"/>
              </w:rPr>
              <w:t>(1)</w:t>
            </w:r>
          </w:p>
        </w:tc>
        <w:tc>
          <w:tcPr>
            <w:tcW w:w="85" w:type="pct"/>
            <w:shd w:val="clear" w:color="auto" w:fill="CFF0FC"/>
            <w:tcMar>
              <w:top w:w="15" w:type="dxa"/>
              <w:left w:w="0" w:type="dxa"/>
              <w:bottom w:w="0" w:type="dxa"/>
              <w:right w:w="15" w:type="dxa"/>
            </w:tcMar>
            <w:vAlign w:val="bottom"/>
            <w:hideMark/>
          </w:tcPr>
          <w:p w14:paraId="13A35C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10A0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01E2311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1,093</w:t>
            </w:r>
          </w:p>
        </w:tc>
        <w:tc>
          <w:tcPr>
            <w:tcW w:w="50" w:type="pct"/>
            <w:shd w:val="clear" w:color="auto" w:fill="CFF0FC"/>
            <w:noWrap/>
            <w:tcMar>
              <w:top w:w="15" w:type="dxa"/>
              <w:left w:w="0" w:type="dxa"/>
              <w:bottom w:w="0" w:type="dxa"/>
              <w:right w:w="15" w:type="dxa"/>
            </w:tcMar>
            <w:vAlign w:val="bottom"/>
            <w:hideMark/>
          </w:tcPr>
          <w:p w14:paraId="5D82231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6488D3C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7030EFB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CFF0FC"/>
            <w:tcMar>
              <w:top w:w="15" w:type="dxa"/>
              <w:left w:w="0" w:type="dxa"/>
              <w:bottom w:w="0" w:type="dxa"/>
              <w:right w:w="15" w:type="dxa"/>
            </w:tcMar>
            <w:vAlign w:val="bottom"/>
            <w:hideMark/>
          </w:tcPr>
          <w:p w14:paraId="20689CA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684E07B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CFF0FC"/>
            <w:tcMar>
              <w:top w:w="15" w:type="dxa"/>
              <w:left w:w="0" w:type="dxa"/>
              <w:bottom w:w="0" w:type="dxa"/>
              <w:right w:w="15" w:type="dxa"/>
            </w:tcMar>
            <w:vAlign w:val="bottom"/>
            <w:hideMark/>
          </w:tcPr>
          <w:p w14:paraId="148B8E1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8D5E2B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506662D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1,102</w:t>
            </w:r>
          </w:p>
        </w:tc>
        <w:tc>
          <w:tcPr>
            <w:tcW w:w="50" w:type="pct"/>
            <w:shd w:val="clear" w:color="auto" w:fill="CFF0FC"/>
            <w:noWrap/>
            <w:tcMar>
              <w:top w:w="15" w:type="dxa"/>
              <w:left w:w="0" w:type="dxa"/>
              <w:bottom w:w="0" w:type="dxa"/>
              <w:right w:w="15" w:type="dxa"/>
            </w:tcMar>
            <w:vAlign w:val="bottom"/>
            <w:hideMark/>
          </w:tcPr>
          <w:p w14:paraId="02EA90F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B4EA3D7" w14:textId="77777777">
        <w:trPr>
          <w:divId w:val="1838886060"/>
          <w:jc w:val="center"/>
        </w:trPr>
        <w:tc>
          <w:tcPr>
            <w:tcW w:w="2524" w:type="pct"/>
            <w:shd w:val="clear" w:color="auto" w:fill="FFFFFF"/>
            <w:tcMar>
              <w:top w:w="15" w:type="dxa"/>
              <w:left w:w="0" w:type="dxa"/>
              <w:bottom w:w="0" w:type="dxa"/>
              <w:right w:w="15" w:type="dxa"/>
            </w:tcMar>
            <w:hideMark/>
          </w:tcPr>
          <w:p w14:paraId="51904F3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85" w:type="pct"/>
            <w:shd w:val="clear" w:color="auto" w:fill="FFFFFF"/>
            <w:tcMar>
              <w:top w:w="15" w:type="dxa"/>
              <w:left w:w="0" w:type="dxa"/>
              <w:bottom w:w="0" w:type="dxa"/>
              <w:right w:w="15" w:type="dxa"/>
            </w:tcMar>
            <w:vAlign w:val="bottom"/>
            <w:hideMark/>
          </w:tcPr>
          <w:p w14:paraId="283CF55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59CA8B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2601C22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172</w:t>
            </w:r>
          </w:p>
        </w:tc>
        <w:tc>
          <w:tcPr>
            <w:tcW w:w="50" w:type="pct"/>
            <w:shd w:val="clear" w:color="auto" w:fill="FFFFFF"/>
            <w:noWrap/>
            <w:tcMar>
              <w:top w:w="15" w:type="dxa"/>
              <w:left w:w="0" w:type="dxa"/>
              <w:bottom w:w="0" w:type="dxa"/>
              <w:right w:w="15" w:type="dxa"/>
            </w:tcMar>
            <w:vAlign w:val="bottom"/>
            <w:hideMark/>
          </w:tcPr>
          <w:p w14:paraId="2C82698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2217103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69D62CA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85" w:type="pct"/>
            <w:shd w:val="clear" w:color="auto" w:fill="FFFFFF"/>
            <w:tcMar>
              <w:top w:w="15" w:type="dxa"/>
              <w:left w:w="0" w:type="dxa"/>
              <w:bottom w:w="0" w:type="dxa"/>
              <w:right w:w="15" w:type="dxa"/>
            </w:tcMar>
            <w:vAlign w:val="bottom"/>
            <w:hideMark/>
          </w:tcPr>
          <w:p w14:paraId="587CDE1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4961BC4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85" w:type="pct"/>
            <w:shd w:val="clear" w:color="auto" w:fill="FFFFFF"/>
            <w:tcMar>
              <w:top w:w="15" w:type="dxa"/>
              <w:left w:w="0" w:type="dxa"/>
              <w:bottom w:w="0" w:type="dxa"/>
              <w:right w:w="15" w:type="dxa"/>
            </w:tcMar>
            <w:vAlign w:val="bottom"/>
            <w:hideMark/>
          </w:tcPr>
          <w:p w14:paraId="4580BD0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6E1333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3877F97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180</w:t>
            </w:r>
          </w:p>
        </w:tc>
        <w:tc>
          <w:tcPr>
            <w:tcW w:w="50" w:type="pct"/>
            <w:shd w:val="clear" w:color="auto" w:fill="FFFFFF"/>
            <w:noWrap/>
            <w:tcMar>
              <w:top w:w="15" w:type="dxa"/>
              <w:left w:w="0" w:type="dxa"/>
              <w:bottom w:w="0" w:type="dxa"/>
              <w:right w:w="15" w:type="dxa"/>
            </w:tcMar>
            <w:vAlign w:val="bottom"/>
            <w:hideMark/>
          </w:tcPr>
          <w:p w14:paraId="6DA919C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F6BA99C" w14:textId="77777777">
        <w:trPr>
          <w:divId w:val="1838886060"/>
          <w:jc w:val="center"/>
        </w:trPr>
        <w:tc>
          <w:tcPr>
            <w:tcW w:w="2524" w:type="pct"/>
            <w:shd w:val="clear" w:color="auto" w:fill="CFF0FC"/>
            <w:tcMar>
              <w:top w:w="15" w:type="dxa"/>
              <w:left w:w="0" w:type="dxa"/>
              <w:bottom w:w="0" w:type="dxa"/>
              <w:right w:w="15" w:type="dxa"/>
            </w:tcMar>
            <w:hideMark/>
          </w:tcPr>
          <w:p w14:paraId="62F01997"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85" w:type="pct"/>
            <w:shd w:val="clear" w:color="auto" w:fill="CFF0FC"/>
            <w:tcMar>
              <w:top w:w="15" w:type="dxa"/>
              <w:left w:w="0" w:type="dxa"/>
              <w:bottom w:w="0" w:type="dxa"/>
              <w:right w:w="15" w:type="dxa"/>
            </w:tcMar>
            <w:vAlign w:val="bottom"/>
            <w:hideMark/>
          </w:tcPr>
          <w:p w14:paraId="30128F5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31111F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0EBB82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1,265</w:t>
            </w:r>
          </w:p>
        </w:tc>
        <w:tc>
          <w:tcPr>
            <w:tcW w:w="50" w:type="pct"/>
            <w:shd w:val="clear" w:color="auto" w:fill="CFF0FC"/>
            <w:noWrap/>
            <w:tcMar>
              <w:top w:w="15" w:type="dxa"/>
              <w:left w:w="0" w:type="dxa"/>
              <w:bottom w:w="0" w:type="dxa"/>
              <w:right w:w="15" w:type="dxa"/>
            </w:tcMar>
            <w:vAlign w:val="bottom"/>
            <w:hideMark/>
          </w:tcPr>
          <w:p w14:paraId="7E05890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3568082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730E666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CFF0FC"/>
            <w:tcMar>
              <w:top w:w="15" w:type="dxa"/>
              <w:left w:w="0" w:type="dxa"/>
              <w:bottom w:w="0" w:type="dxa"/>
              <w:right w:w="15" w:type="dxa"/>
            </w:tcMar>
            <w:vAlign w:val="bottom"/>
            <w:hideMark/>
          </w:tcPr>
          <w:p w14:paraId="0A7BAF9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460C585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CFF0FC"/>
            <w:tcMar>
              <w:top w:w="15" w:type="dxa"/>
              <w:left w:w="0" w:type="dxa"/>
              <w:bottom w:w="0" w:type="dxa"/>
              <w:right w:w="15" w:type="dxa"/>
            </w:tcMar>
            <w:vAlign w:val="bottom"/>
            <w:hideMark/>
          </w:tcPr>
          <w:p w14:paraId="62A5368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29B2B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BA9A0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1,282</w:t>
            </w:r>
          </w:p>
        </w:tc>
        <w:tc>
          <w:tcPr>
            <w:tcW w:w="50" w:type="pct"/>
            <w:shd w:val="clear" w:color="auto" w:fill="CFF0FC"/>
            <w:noWrap/>
            <w:tcMar>
              <w:top w:w="15" w:type="dxa"/>
              <w:left w:w="0" w:type="dxa"/>
              <w:bottom w:w="0" w:type="dxa"/>
              <w:right w:w="15" w:type="dxa"/>
            </w:tcMar>
            <w:vAlign w:val="bottom"/>
            <w:hideMark/>
          </w:tcPr>
          <w:p w14:paraId="32B4068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61D3CB6" w14:textId="77777777">
        <w:trPr>
          <w:divId w:val="1838886060"/>
          <w:jc w:val="center"/>
        </w:trPr>
        <w:tc>
          <w:tcPr>
            <w:tcW w:w="2524" w:type="pct"/>
            <w:shd w:val="clear" w:color="auto" w:fill="FFFFFF"/>
            <w:tcMar>
              <w:top w:w="15" w:type="dxa"/>
              <w:left w:w="0" w:type="dxa"/>
              <w:bottom w:w="0" w:type="dxa"/>
              <w:right w:w="15" w:type="dxa"/>
            </w:tcMar>
            <w:hideMark/>
          </w:tcPr>
          <w:p w14:paraId="20569878"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85" w:type="pct"/>
            <w:shd w:val="clear" w:color="auto" w:fill="FFFFFF"/>
            <w:tcMar>
              <w:top w:w="15" w:type="dxa"/>
              <w:left w:w="0" w:type="dxa"/>
              <w:bottom w:w="0" w:type="dxa"/>
              <w:right w:w="15" w:type="dxa"/>
            </w:tcMar>
            <w:vAlign w:val="bottom"/>
            <w:hideMark/>
          </w:tcPr>
          <w:p w14:paraId="3524026B" w14:textId="77777777" w:rsidR="00251D72" w:rsidRDefault="00251D72">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483" w:type="pct"/>
            <w:gridSpan w:val="2"/>
            <w:tcBorders>
              <w:top w:val="double" w:sz="6" w:space="0" w:color="000000"/>
            </w:tcBorders>
            <w:shd w:val="clear" w:color="auto" w:fill="FFFFFF"/>
            <w:tcMar>
              <w:top w:w="15" w:type="dxa"/>
              <w:left w:w="0" w:type="dxa"/>
              <w:bottom w:w="0" w:type="dxa"/>
              <w:right w:w="15" w:type="dxa"/>
            </w:tcMar>
            <w:vAlign w:val="bottom"/>
            <w:hideMark/>
          </w:tcPr>
          <w:p w14:paraId="417DA00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0B703E1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6C0B28F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032F441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47537D8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6903316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3A8A53D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left w:w="0" w:type="dxa"/>
              <w:bottom w:w="0" w:type="dxa"/>
              <w:right w:w="15" w:type="dxa"/>
            </w:tcMar>
            <w:vAlign w:val="bottom"/>
            <w:hideMark/>
          </w:tcPr>
          <w:p w14:paraId="67BE633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0DF25E6D"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4AAEE609"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66517F5D" w14:textId="77777777">
        <w:tc>
          <w:tcPr>
            <w:tcW w:w="192" w:type="pct"/>
            <w:noWrap/>
            <w:hideMark/>
          </w:tcPr>
          <w:p w14:paraId="32BBD1E5"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6A7003DF"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5F900E9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Excluding the effects of currency rate fluctuations, total general and administrative expenses increased in fiscal 2019 compared to fiscal 2018 primarily due to increased professional services fees.</w:t>
      </w:r>
    </w:p>
    <w:p w14:paraId="348BAD37"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Amortization of Intangible Assets:</w:t>
      </w:r>
      <w:r>
        <w:rPr>
          <w:rFonts w:ascii="Calibri" w:hAnsi="Calibri" w:cs="Calibri"/>
          <w:sz w:val="20"/>
          <w:szCs w:val="20"/>
        </w:rPr>
        <w:t>    Substantially all of our intangible assets were acquired through our business combinations. We amortize our intangible assets over, and monitor the appropriateness of, the estimated useful lives of these assets. We also periodically review these intangible assets for potential impairment based upon relevant facts and circumstances. Note 6 of Notes to Consolidated Financial Statements included elsewhere in this Annual Report has additional information regarding our intangible assets and related amortization.</w:t>
      </w:r>
    </w:p>
    <w:p w14:paraId="6D80D6F7"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92"/>
        <w:gridCol w:w="138"/>
        <w:gridCol w:w="97"/>
        <w:gridCol w:w="716"/>
        <w:gridCol w:w="81"/>
        <w:gridCol w:w="139"/>
        <w:gridCol w:w="883"/>
        <w:gridCol w:w="139"/>
        <w:gridCol w:w="885"/>
        <w:gridCol w:w="139"/>
        <w:gridCol w:w="97"/>
        <w:gridCol w:w="719"/>
        <w:gridCol w:w="81"/>
      </w:tblGrid>
      <w:tr w:rsidR="00251D72" w14:paraId="643FBD32" w14:textId="77777777">
        <w:trPr>
          <w:divId w:val="1592733654"/>
          <w:jc w:val="center"/>
        </w:trPr>
        <w:tc>
          <w:tcPr>
            <w:tcW w:w="2524" w:type="pct"/>
            <w:shd w:val="clear" w:color="auto" w:fill="FFFFFF"/>
            <w:tcMar>
              <w:top w:w="15" w:type="dxa"/>
              <w:left w:w="0" w:type="dxa"/>
              <w:bottom w:w="0" w:type="dxa"/>
              <w:right w:w="15" w:type="dxa"/>
            </w:tcMar>
            <w:vAlign w:val="bottom"/>
            <w:hideMark/>
          </w:tcPr>
          <w:p w14:paraId="02C3C695" w14:textId="77777777" w:rsidR="00251D72" w:rsidRDefault="00251D72">
            <w:pPr>
              <w:pStyle w:val="a3"/>
              <w:spacing w:before="0" w:beforeAutospacing="0" w:after="0" w:afterAutospacing="0"/>
              <w:rPr>
                <w:sz w:val="20"/>
                <w:szCs w:val="20"/>
              </w:rPr>
            </w:pPr>
            <w:r>
              <w:rPr>
                <w:sz w:val="20"/>
                <w:szCs w:val="20"/>
              </w:rPr>
              <w:t> </w:t>
            </w:r>
          </w:p>
        </w:tc>
        <w:tc>
          <w:tcPr>
            <w:tcW w:w="85" w:type="pct"/>
            <w:shd w:val="clear" w:color="auto" w:fill="FFFFFF"/>
            <w:tcMar>
              <w:top w:w="15" w:type="dxa"/>
              <w:left w:w="0" w:type="dxa"/>
              <w:bottom w:w="0" w:type="dxa"/>
              <w:right w:w="15" w:type="dxa"/>
            </w:tcMar>
            <w:vAlign w:val="bottom"/>
            <w:hideMark/>
          </w:tcPr>
          <w:p w14:paraId="2BA5F78E" w14:textId="77777777" w:rsidR="00251D72" w:rsidRDefault="00251D72">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2339" w:type="pct"/>
            <w:gridSpan w:val="10"/>
            <w:tcBorders>
              <w:bottom w:val="single" w:sz="6" w:space="0" w:color="000000"/>
            </w:tcBorders>
            <w:shd w:val="clear" w:color="auto" w:fill="FFFFFF"/>
            <w:tcMar>
              <w:top w:w="15" w:type="dxa"/>
              <w:left w:w="0" w:type="dxa"/>
              <w:bottom w:w="0" w:type="dxa"/>
              <w:right w:w="15" w:type="dxa"/>
            </w:tcMar>
            <w:vAlign w:val="bottom"/>
            <w:hideMark/>
          </w:tcPr>
          <w:p w14:paraId="1916C99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1A41AAB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67E3797" w14:textId="77777777">
        <w:trPr>
          <w:divId w:val="1592733654"/>
          <w:jc w:val="center"/>
        </w:trPr>
        <w:tc>
          <w:tcPr>
            <w:tcW w:w="2524" w:type="pct"/>
            <w:shd w:val="clear" w:color="auto" w:fill="FFFFFF"/>
            <w:tcMar>
              <w:top w:w="15" w:type="dxa"/>
              <w:left w:w="0" w:type="dxa"/>
              <w:bottom w:w="0" w:type="dxa"/>
              <w:right w:w="15" w:type="dxa"/>
            </w:tcMar>
            <w:vAlign w:val="bottom"/>
            <w:hideMark/>
          </w:tcPr>
          <w:p w14:paraId="7C4A0B4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3F9F2351" w14:textId="77777777" w:rsidR="00251D72" w:rsidRDefault="00251D72">
            <w:pPr>
              <w:pStyle w:val="a3"/>
              <w:spacing w:before="0" w:beforeAutospacing="0" w:after="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71ABEC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bottom"/>
            <w:hideMark/>
          </w:tcPr>
          <w:p w14:paraId="3814D44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122032F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784FBD5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61E9DE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7F9B5EE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695D86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bottom"/>
            <w:hideMark/>
          </w:tcPr>
          <w:p w14:paraId="3D9AEE4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7BB33ED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79889D9" w14:textId="77777777">
        <w:trPr>
          <w:divId w:val="1592733654"/>
          <w:jc w:val="center"/>
        </w:trPr>
        <w:tc>
          <w:tcPr>
            <w:tcW w:w="2524" w:type="pct"/>
            <w:tcBorders>
              <w:bottom w:val="single" w:sz="6" w:space="0" w:color="000000"/>
            </w:tcBorders>
            <w:shd w:val="clear" w:color="auto" w:fill="FFFFFF"/>
            <w:tcMar>
              <w:top w:w="15" w:type="dxa"/>
              <w:left w:w="0" w:type="dxa"/>
              <w:bottom w:w="0" w:type="dxa"/>
              <w:right w:w="15" w:type="dxa"/>
            </w:tcMar>
            <w:vAlign w:val="bottom"/>
            <w:hideMark/>
          </w:tcPr>
          <w:p w14:paraId="532756F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left w:w="0" w:type="dxa"/>
              <w:bottom w:w="0" w:type="dxa"/>
              <w:right w:w="15" w:type="dxa"/>
            </w:tcMar>
            <w:vAlign w:val="bottom"/>
            <w:hideMark/>
          </w:tcPr>
          <w:p w14:paraId="2740745D" w14:textId="77777777" w:rsidR="00251D72" w:rsidRDefault="00251D72">
            <w:pPr>
              <w:pStyle w:val="a3"/>
              <w:spacing w:before="0" w:beforeAutospacing="0" w:after="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6EBCC87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B6324F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058D15E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08D3AE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15193B1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FC70F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left w:w="0" w:type="dxa"/>
              <w:bottom w:w="0" w:type="dxa"/>
              <w:right w:w="15" w:type="dxa"/>
            </w:tcMar>
            <w:vAlign w:val="bottom"/>
            <w:hideMark/>
          </w:tcPr>
          <w:p w14:paraId="06859F00" w14:textId="77777777" w:rsidR="00251D72" w:rsidRDefault="00251D72">
            <w:pPr>
              <w:pStyle w:val="a3"/>
              <w:spacing w:before="0" w:beforeAutospacing="0" w:after="0" w:afterAutospacing="0"/>
              <w:jc w:val="center"/>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4F31877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3A277AA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7754853" w14:textId="77777777">
        <w:trPr>
          <w:divId w:val="1592733654"/>
          <w:jc w:val="center"/>
        </w:trPr>
        <w:tc>
          <w:tcPr>
            <w:tcW w:w="2524" w:type="pct"/>
            <w:tcBorders>
              <w:top w:val="single" w:sz="6" w:space="0" w:color="000000"/>
            </w:tcBorders>
            <w:shd w:val="clear" w:color="auto" w:fill="CFF0FC"/>
            <w:tcMar>
              <w:top w:w="15" w:type="dxa"/>
              <w:left w:w="0" w:type="dxa"/>
              <w:bottom w:w="0" w:type="dxa"/>
              <w:right w:w="15" w:type="dxa"/>
            </w:tcMar>
            <w:hideMark/>
          </w:tcPr>
          <w:p w14:paraId="51ECFA0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Developed technology</w:t>
            </w:r>
          </w:p>
        </w:tc>
        <w:tc>
          <w:tcPr>
            <w:tcW w:w="85" w:type="pct"/>
            <w:shd w:val="clear" w:color="auto" w:fill="CFF0FC"/>
            <w:tcMar>
              <w:top w:w="15" w:type="dxa"/>
              <w:left w:w="0" w:type="dxa"/>
              <w:bottom w:w="0" w:type="dxa"/>
              <w:right w:w="15" w:type="dxa"/>
            </w:tcMar>
            <w:vAlign w:val="bottom"/>
            <w:hideMark/>
          </w:tcPr>
          <w:p w14:paraId="0B40171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C18FB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00B31D3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857</w:t>
            </w:r>
          </w:p>
        </w:tc>
        <w:tc>
          <w:tcPr>
            <w:tcW w:w="50" w:type="pct"/>
            <w:shd w:val="clear" w:color="auto" w:fill="CFF0FC"/>
            <w:noWrap/>
            <w:tcMar>
              <w:top w:w="15" w:type="dxa"/>
              <w:left w:w="0" w:type="dxa"/>
              <w:bottom w:w="0" w:type="dxa"/>
              <w:right w:w="15" w:type="dxa"/>
            </w:tcMar>
            <w:vAlign w:val="bottom"/>
            <w:hideMark/>
          </w:tcPr>
          <w:p w14:paraId="7274E0F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5" w:type="pct"/>
            <w:shd w:val="clear" w:color="auto" w:fill="CFF0FC"/>
            <w:tcMar>
              <w:top w:w="15" w:type="dxa"/>
              <w:left w:w="0" w:type="dxa"/>
              <w:bottom w:w="0" w:type="dxa"/>
              <w:right w:w="15" w:type="dxa"/>
            </w:tcMar>
            <w:vAlign w:val="bottom"/>
            <w:hideMark/>
          </w:tcPr>
          <w:p w14:paraId="08E6FB4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2041F9B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13%</w:t>
            </w:r>
          </w:p>
        </w:tc>
        <w:tc>
          <w:tcPr>
            <w:tcW w:w="85" w:type="pct"/>
            <w:shd w:val="clear" w:color="auto" w:fill="CFF0FC"/>
            <w:tcMar>
              <w:top w:w="15" w:type="dxa"/>
              <w:left w:w="0" w:type="dxa"/>
              <w:bottom w:w="0" w:type="dxa"/>
              <w:right w:w="15" w:type="dxa"/>
            </w:tcMar>
            <w:vAlign w:val="bottom"/>
            <w:hideMark/>
          </w:tcPr>
          <w:p w14:paraId="1E15495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31ABEF2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14%</w:t>
            </w:r>
          </w:p>
        </w:tc>
        <w:tc>
          <w:tcPr>
            <w:tcW w:w="85" w:type="pct"/>
            <w:shd w:val="clear" w:color="auto" w:fill="CFF0FC"/>
            <w:tcMar>
              <w:top w:w="15" w:type="dxa"/>
              <w:left w:w="0" w:type="dxa"/>
              <w:bottom w:w="0" w:type="dxa"/>
              <w:right w:w="15" w:type="dxa"/>
            </w:tcMar>
            <w:vAlign w:val="bottom"/>
            <w:hideMark/>
          </w:tcPr>
          <w:p w14:paraId="2C03068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1F6FC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5010A26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758</w:t>
            </w:r>
          </w:p>
        </w:tc>
        <w:tc>
          <w:tcPr>
            <w:tcW w:w="50" w:type="pct"/>
            <w:shd w:val="clear" w:color="auto" w:fill="CFF0FC"/>
            <w:noWrap/>
            <w:tcMar>
              <w:top w:w="15" w:type="dxa"/>
              <w:left w:w="0" w:type="dxa"/>
              <w:bottom w:w="0" w:type="dxa"/>
              <w:right w:w="15" w:type="dxa"/>
            </w:tcMar>
            <w:vAlign w:val="bottom"/>
            <w:hideMark/>
          </w:tcPr>
          <w:p w14:paraId="2933133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32AB1EBF" w14:textId="77777777">
        <w:trPr>
          <w:divId w:val="1592733654"/>
          <w:jc w:val="center"/>
        </w:trPr>
        <w:tc>
          <w:tcPr>
            <w:tcW w:w="2524" w:type="pct"/>
            <w:shd w:val="clear" w:color="auto" w:fill="FFFFFF"/>
            <w:tcMar>
              <w:top w:w="15" w:type="dxa"/>
              <w:left w:w="0" w:type="dxa"/>
              <w:bottom w:w="0" w:type="dxa"/>
              <w:right w:w="15" w:type="dxa"/>
            </w:tcMar>
            <w:hideMark/>
          </w:tcPr>
          <w:p w14:paraId="5964711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Cloud services and license support agreements and related relationships</w:t>
            </w:r>
          </w:p>
        </w:tc>
        <w:tc>
          <w:tcPr>
            <w:tcW w:w="85" w:type="pct"/>
            <w:shd w:val="clear" w:color="auto" w:fill="FFFFFF"/>
            <w:tcMar>
              <w:top w:w="15" w:type="dxa"/>
              <w:left w:w="0" w:type="dxa"/>
              <w:bottom w:w="0" w:type="dxa"/>
              <w:right w:w="15" w:type="dxa"/>
            </w:tcMar>
            <w:vAlign w:val="bottom"/>
            <w:hideMark/>
          </w:tcPr>
          <w:p w14:paraId="7D53707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50F9C9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3" w:type="pct"/>
            <w:shd w:val="clear" w:color="auto" w:fill="FFFFFF"/>
            <w:noWrap/>
            <w:tcMar>
              <w:top w:w="15" w:type="dxa"/>
              <w:left w:w="0" w:type="dxa"/>
              <w:bottom w:w="0" w:type="dxa"/>
              <w:right w:w="15" w:type="dxa"/>
            </w:tcMar>
            <w:vAlign w:val="bottom"/>
            <w:hideMark/>
          </w:tcPr>
          <w:p w14:paraId="42F8233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712</w:t>
            </w:r>
          </w:p>
        </w:tc>
        <w:tc>
          <w:tcPr>
            <w:tcW w:w="50" w:type="pct"/>
            <w:shd w:val="clear" w:color="auto" w:fill="FFFFFF"/>
            <w:noWrap/>
            <w:tcMar>
              <w:top w:w="15" w:type="dxa"/>
              <w:left w:w="0" w:type="dxa"/>
              <w:bottom w:w="0" w:type="dxa"/>
              <w:right w:w="15" w:type="dxa"/>
            </w:tcMar>
            <w:vAlign w:val="bottom"/>
            <w:hideMark/>
          </w:tcPr>
          <w:p w14:paraId="446B588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5" w:type="pct"/>
            <w:shd w:val="clear" w:color="auto" w:fill="FFFFFF"/>
            <w:tcMar>
              <w:top w:w="15" w:type="dxa"/>
              <w:left w:w="0" w:type="dxa"/>
              <w:bottom w:w="0" w:type="dxa"/>
              <w:right w:w="15" w:type="dxa"/>
            </w:tcMar>
            <w:vAlign w:val="bottom"/>
            <w:hideMark/>
          </w:tcPr>
          <w:p w14:paraId="652F4C2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FFFFFF"/>
            <w:tcMar>
              <w:top w:w="15" w:type="dxa"/>
              <w:left w:w="0" w:type="dxa"/>
              <w:bottom w:w="0" w:type="dxa"/>
              <w:right w:w="15" w:type="dxa"/>
            </w:tcMar>
            <w:vAlign w:val="bottom"/>
            <w:hideMark/>
          </w:tcPr>
          <w:p w14:paraId="6289D86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w:t>
            </w:r>
          </w:p>
        </w:tc>
        <w:tc>
          <w:tcPr>
            <w:tcW w:w="85" w:type="pct"/>
            <w:shd w:val="clear" w:color="auto" w:fill="FFFFFF"/>
            <w:tcMar>
              <w:top w:w="15" w:type="dxa"/>
              <w:left w:w="0" w:type="dxa"/>
              <w:bottom w:w="0" w:type="dxa"/>
              <w:right w:w="15" w:type="dxa"/>
            </w:tcMar>
            <w:vAlign w:val="bottom"/>
            <w:hideMark/>
          </w:tcPr>
          <w:p w14:paraId="5D3FA58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FFFFFF"/>
            <w:tcMar>
              <w:top w:w="15" w:type="dxa"/>
              <w:left w:w="0" w:type="dxa"/>
              <w:bottom w:w="0" w:type="dxa"/>
              <w:right w:w="15" w:type="dxa"/>
            </w:tcMar>
            <w:vAlign w:val="bottom"/>
            <w:hideMark/>
          </w:tcPr>
          <w:p w14:paraId="6DBE427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w:t>
            </w:r>
          </w:p>
        </w:tc>
        <w:tc>
          <w:tcPr>
            <w:tcW w:w="85" w:type="pct"/>
            <w:shd w:val="clear" w:color="auto" w:fill="FFFFFF"/>
            <w:tcMar>
              <w:top w:w="15" w:type="dxa"/>
              <w:left w:w="0" w:type="dxa"/>
              <w:bottom w:w="0" w:type="dxa"/>
              <w:right w:w="15" w:type="dxa"/>
            </w:tcMar>
            <w:vAlign w:val="bottom"/>
            <w:hideMark/>
          </w:tcPr>
          <w:p w14:paraId="3709F82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481A6F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3" w:type="pct"/>
            <w:shd w:val="clear" w:color="auto" w:fill="FFFFFF"/>
            <w:noWrap/>
            <w:tcMar>
              <w:top w:w="15" w:type="dxa"/>
              <w:left w:w="0" w:type="dxa"/>
              <w:bottom w:w="0" w:type="dxa"/>
              <w:right w:w="15" w:type="dxa"/>
            </w:tcMar>
            <w:vAlign w:val="bottom"/>
            <w:hideMark/>
          </w:tcPr>
          <w:p w14:paraId="4CEE3CE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731</w:t>
            </w:r>
          </w:p>
        </w:tc>
        <w:tc>
          <w:tcPr>
            <w:tcW w:w="50" w:type="pct"/>
            <w:shd w:val="clear" w:color="auto" w:fill="FFFFFF"/>
            <w:noWrap/>
            <w:tcMar>
              <w:top w:w="15" w:type="dxa"/>
              <w:left w:w="0" w:type="dxa"/>
              <w:bottom w:w="0" w:type="dxa"/>
              <w:right w:w="15" w:type="dxa"/>
            </w:tcMar>
            <w:vAlign w:val="bottom"/>
            <w:hideMark/>
          </w:tcPr>
          <w:p w14:paraId="6AA40D9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10B1C273" w14:textId="77777777">
        <w:trPr>
          <w:divId w:val="1592733654"/>
          <w:jc w:val="center"/>
        </w:trPr>
        <w:tc>
          <w:tcPr>
            <w:tcW w:w="2524" w:type="pct"/>
            <w:shd w:val="clear" w:color="auto" w:fill="CFF0FC"/>
            <w:tcMar>
              <w:top w:w="15" w:type="dxa"/>
              <w:left w:w="0" w:type="dxa"/>
              <w:bottom w:w="0" w:type="dxa"/>
              <w:right w:w="15" w:type="dxa"/>
            </w:tcMar>
            <w:hideMark/>
          </w:tcPr>
          <w:p w14:paraId="69C74FA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Other</w:t>
            </w:r>
          </w:p>
        </w:tc>
        <w:tc>
          <w:tcPr>
            <w:tcW w:w="85" w:type="pct"/>
            <w:shd w:val="clear" w:color="auto" w:fill="CFF0FC"/>
            <w:tcMar>
              <w:top w:w="15" w:type="dxa"/>
              <w:left w:w="0" w:type="dxa"/>
              <w:bottom w:w="0" w:type="dxa"/>
              <w:right w:w="15" w:type="dxa"/>
            </w:tcMar>
            <w:vAlign w:val="bottom"/>
            <w:hideMark/>
          </w:tcPr>
          <w:p w14:paraId="1E4720A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BC1A2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3" w:type="pct"/>
            <w:tcBorders>
              <w:bottom w:val="single" w:sz="6" w:space="0" w:color="000000"/>
            </w:tcBorders>
            <w:shd w:val="clear" w:color="auto" w:fill="CFF0FC"/>
            <w:noWrap/>
            <w:tcMar>
              <w:top w:w="15" w:type="dxa"/>
              <w:left w:w="0" w:type="dxa"/>
              <w:bottom w:w="0" w:type="dxa"/>
              <w:right w:w="15" w:type="dxa"/>
            </w:tcMar>
            <w:vAlign w:val="bottom"/>
            <w:hideMark/>
          </w:tcPr>
          <w:p w14:paraId="30443D8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120</w:t>
            </w:r>
          </w:p>
        </w:tc>
        <w:tc>
          <w:tcPr>
            <w:tcW w:w="50" w:type="pct"/>
            <w:shd w:val="clear" w:color="auto" w:fill="CFF0FC"/>
            <w:noWrap/>
            <w:tcMar>
              <w:top w:w="15" w:type="dxa"/>
              <w:left w:w="0" w:type="dxa"/>
              <w:bottom w:w="0" w:type="dxa"/>
              <w:right w:w="15" w:type="dxa"/>
            </w:tcMar>
            <w:vAlign w:val="bottom"/>
            <w:hideMark/>
          </w:tcPr>
          <w:p w14:paraId="44FA664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5" w:type="pct"/>
            <w:shd w:val="clear" w:color="auto" w:fill="CFF0FC"/>
            <w:tcMar>
              <w:top w:w="15" w:type="dxa"/>
              <w:left w:w="0" w:type="dxa"/>
              <w:bottom w:w="0" w:type="dxa"/>
              <w:right w:w="15" w:type="dxa"/>
            </w:tcMar>
            <w:vAlign w:val="bottom"/>
            <w:hideMark/>
          </w:tcPr>
          <w:p w14:paraId="5533592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CFF0FC"/>
            <w:tcMar>
              <w:top w:w="15" w:type="dxa"/>
              <w:left w:w="0" w:type="dxa"/>
              <w:bottom w:w="0" w:type="dxa"/>
              <w:right w:w="15" w:type="dxa"/>
            </w:tcMar>
            <w:vAlign w:val="bottom"/>
            <w:hideMark/>
          </w:tcPr>
          <w:p w14:paraId="2DF054C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-9%</w:t>
            </w:r>
          </w:p>
        </w:tc>
        <w:tc>
          <w:tcPr>
            <w:tcW w:w="85" w:type="pct"/>
            <w:shd w:val="clear" w:color="auto" w:fill="CFF0FC"/>
            <w:tcMar>
              <w:top w:w="15" w:type="dxa"/>
              <w:left w:w="0" w:type="dxa"/>
              <w:bottom w:w="0" w:type="dxa"/>
              <w:right w:w="15" w:type="dxa"/>
            </w:tcMar>
            <w:vAlign w:val="bottom"/>
            <w:hideMark/>
          </w:tcPr>
          <w:p w14:paraId="77F1632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CFF0FC"/>
            <w:tcMar>
              <w:top w:w="15" w:type="dxa"/>
              <w:left w:w="0" w:type="dxa"/>
              <w:bottom w:w="0" w:type="dxa"/>
              <w:right w:w="15" w:type="dxa"/>
            </w:tcMar>
            <w:vAlign w:val="bottom"/>
            <w:hideMark/>
          </w:tcPr>
          <w:p w14:paraId="0275E1F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-9%</w:t>
            </w:r>
          </w:p>
        </w:tc>
        <w:tc>
          <w:tcPr>
            <w:tcW w:w="85" w:type="pct"/>
            <w:shd w:val="clear" w:color="auto" w:fill="CFF0FC"/>
            <w:tcMar>
              <w:top w:w="15" w:type="dxa"/>
              <w:left w:w="0" w:type="dxa"/>
              <w:bottom w:w="0" w:type="dxa"/>
              <w:right w:w="15" w:type="dxa"/>
            </w:tcMar>
            <w:vAlign w:val="bottom"/>
            <w:hideMark/>
          </w:tcPr>
          <w:p w14:paraId="7F6A212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587F63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3" w:type="pct"/>
            <w:tcBorders>
              <w:bottom w:val="single" w:sz="6" w:space="0" w:color="000000"/>
            </w:tcBorders>
            <w:shd w:val="clear" w:color="auto" w:fill="CFF0FC"/>
            <w:noWrap/>
            <w:tcMar>
              <w:top w:w="15" w:type="dxa"/>
              <w:left w:w="0" w:type="dxa"/>
              <w:bottom w:w="0" w:type="dxa"/>
              <w:right w:w="15" w:type="dxa"/>
            </w:tcMar>
            <w:vAlign w:val="bottom"/>
            <w:hideMark/>
          </w:tcPr>
          <w:p w14:paraId="6BFDB3B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131</w:t>
            </w:r>
          </w:p>
        </w:tc>
        <w:tc>
          <w:tcPr>
            <w:tcW w:w="50" w:type="pct"/>
            <w:shd w:val="clear" w:color="auto" w:fill="CFF0FC"/>
            <w:noWrap/>
            <w:tcMar>
              <w:top w:w="15" w:type="dxa"/>
              <w:left w:w="0" w:type="dxa"/>
              <w:bottom w:w="0" w:type="dxa"/>
              <w:right w:w="15" w:type="dxa"/>
            </w:tcMar>
            <w:vAlign w:val="bottom"/>
            <w:hideMark/>
          </w:tcPr>
          <w:p w14:paraId="7EE4202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1348C5B1" w14:textId="77777777">
        <w:trPr>
          <w:divId w:val="1592733654"/>
          <w:jc w:val="center"/>
        </w:trPr>
        <w:tc>
          <w:tcPr>
            <w:tcW w:w="2524" w:type="pct"/>
            <w:shd w:val="clear" w:color="auto" w:fill="FFFFFF"/>
            <w:tcMar>
              <w:top w:w="15" w:type="dxa"/>
              <w:left w:w="0" w:type="dxa"/>
              <w:bottom w:w="0" w:type="dxa"/>
              <w:right w:w="15" w:type="dxa"/>
            </w:tcMar>
            <w:hideMark/>
          </w:tcPr>
          <w:p w14:paraId="0E7D6044"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Total amortization of intangible assets</w:t>
            </w:r>
          </w:p>
        </w:tc>
        <w:tc>
          <w:tcPr>
            <w:tcW w:w="85" w:type="pct"/>
            <w:shd w:val="clear" w:color="auto" w:fill="FFFFFF"/>
            <w:tcMar>
              <w:top w:w="15" w:type="dxa"/>
              <w:left w:w="0" w:type="dxa"/>
              <w:bottom w:w="0" w:type="dxa"/>
              <w:right w:w="15" w:type="dxa"/>
            </w:tcMar>
            <w:vAlign w:val="bottom"/>
            <w:hideMark/>
          </w:tcPr>
          <w:p w14:paraId="7AE2C3C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7E8B0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3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A8799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1,689</w:t>
            </w:r>
          </w:p>
        </w:tc>
        <w:tc>
          <w:tcPr>
            <w:tcW w:w="50" w:type="pct"/>
            <w:shd w:val="clear" w:color="auto" w:fill="FFFFFF"/>
            <w:noWrap/>
            <w:tcMar>
              <w:top w:w="15" w:type="dxa"/>
              <w:left w:w="0" w:type="dxa"/>
              <w:bottom w:w="0" w:type="dxa"/>
              <w:right w:w="15" w:type="dxa"/>
            </w:tcMar>
            <w:vAlign w:val="bottom"/>
            <w:hideMark/>
          </w:tcPr>
          <w:p w14:paraId="2F4E4F5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5" w:type="pct"/>
            <w:shd w:val="clear" w:color="auto" w:fill="FFFFFF"/>
            <w:tcMar>
              <w:top w:w="15" w:type="dxa"/>
              <w:left w:w="0" w:type="dxa"/>
              <w:bottom w:w="0" w:type="dxa"/>
              <w:right w:w="15" w:type="dxa"/>
            </w:tcMar>
            <w:vAlign w:val="bottom"/>
            <w:hideMark/>
          </w:tcPr>
          <w:p w14:paraId="6A472F4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FFFFFF"/>
            <w:tcMar>
              <w:top w:w="15" w:type="dxa"/>
              <w:left w:w="0" w:type="dxa"/>
              <w:bottom w:w="0" w:type="dxa"/>
              <w:right w:w="15" w:type="dxa"/>
            </w:tcMar>
            <w:vAlign w:val="bottom"/>
            <w:hideMark/>
          </w:tcPr>
          <w:p w14:paraId="47EE5D4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w:t>
            </w:r>
          </w:p>
        </w:tc>
        <w:tc>
          <w:tcPr>
            <w:tcW w:w="85" w:type="pct"/>
            <w:shd w:val="clear" w:color="auto" w:fill="FFFFFF"/>
            <w:tcMar>
              <w:top w:w="15" w:type="dxa"/>
              <w:left w:w="0" w:type="dxa"/>
              <w:bottom w:w="0" w:type="dxa"/>
              <w:right w:w="15" w:type="dxa"/>
            </w:tcMar>
            <w:vAlign w:val="bottom"/>
            <w:hideMark/>
          </w:tcPr>
          <w:p w14:paraId="1E7CA75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FFFFFF"/>
            <w:tcMar>
              <w:top w:w="15" w:type="dxa"/>
              <w:left w:w="0" w:type="dxa"/>
              <w:bottom w:w="0" w:type="dxa"/>
              <w:right w:w="15" w:type="dxa"/>
            </w:tcMar>
            <w:vAlign w:val="bottom"/>
            <w:hideMark/>
          </w:tcPr>
          <w:p w14:paraId="2F2C597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w:t>
            </w:r>
          </w:p>
        </w:tc>
        <w:tc>
          <w:tcPr>
            <w:tcW w:w="85" w:type="pct"/>
            <w:shd w:val="clear" w:color="auto" w:fill="FFFFFF"/>
            <w:tcMar>
              <w:top w:w="15" w:type="dxa"/>
              <w:left w:w="0" w:type="dxa"/>
              <w:bottom w:w="0" w:type="dxa"/>
              <w:right w:w="15" w:type="dxa"/>
            </w:tcMar>
            <w:vAlign w:val="bottom"/>
            <w:hideMark/>
          </w:tcPr>
          <w:p w14:paraId="5371388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921DA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3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589947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1,620</w:t>
            </w:r>
          </w:p>
        </w:tc>
        <w:tc>
          <w:tcPr>
            <w:tcW w:w="50" w:type="pct"/>
            <w:shd w:val="clear" w:color="auto" w:fill="FFFFFF"/>
            <w:noWrap/>
            <w:tcMar>
              <w:top w:w="15" w:type="dxa"/>
              <w:left w:w="0" w:type="dxa"/>
              <w:bottom w:w="0" w:type="dxa"/>
              <w:right w:w="15" w:type="dxa"/>
            </w:tcMar>
            <w:vAlign w:val="bottom"/>
            <w:hideMark/>
          </w:tcPr>
          <w:p w14:paraId="7A11ADE3"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9D4E44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Amortization of intangible assets increased in fiscal 2019 compared to fiscal 2018 primarily due to additional amortization from intangible assets, which primarily included developed technology that we acquired in connection with our recent acquisitions, partially offset by a reduction in expenses associated with certain of our intangible assets that became fully amortized. </w:t>
      </w:r>
    </w:p>
    <w:p w14:paraId="274559FF"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Acquisition Related and Other Expenses:</w:t>
      </w:r>
      <w:r>
        <w:rPr>
          <w:rFonts w:ascii="Calibri" w:hAnsi="Calibri" w:cs="Calibri"/>
          <w:sz w:val="20"/>
          <w:szCs w:val="20"/>
        </w:rPr>
        <w:t> Acquisition related and other expenses consist of personnel related costs and stock-based compensation for transitional and certain other employees, integration related professional services, and certain business combination adjustments including certain adjustments after the measurement period has ended and certain other operating items, net. Stock-based compensation expenses included in acquisition related and other expenses resulted from unvested restricted stock-based awards and stock options assumed from acquisitions whereby vesting was accelerated generally upon termination of the employees pursuant to the original terms of those restricted stock-based awards and stock options.</w:t>
      </w:r>
    </w:p>
    <w:p w14:paraId="2A9A50F2"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222"/>
        <w:gridCol w:w="134"/>
        <w:gridCol w:w="117"/>
        <w:gridCol w:w="705"/>
        <w:gridCol w:w="77"/>
        <w:gridCol w:w="134"/>
        <w:gridCol w:w="871"/>
        <w:gridCol w:w="134"/>
        <w:gridCol w:w="874"/>
        <w:gridCol w:w="134"/>
        <w:gridCol w:w="117"/>
        <w:gridCol w:w="710"/>
        <w:gridCol w:w="77"/>
      </w:tblGrid>
      <w:tr w:rsidR="00251D72" w14:paraId="14904C7B" w14:textId="77777777">
        <w:trPr>
          <w:divId w:val="2088454007"/>
          <w:jc w:val="center"/>
        </w:trPr>
        <w:tc>
          <w:tcPr>
            <w:tcW w:w="2545" w:type="pct"/>
            <w:shd w:val="clear" w:color="auto" w:fill="FFFFFF"/>
            <w:tcMar>
              <w:top w:w="15" w:type="dxa"/>
              <w:left w:w="0" w:type="dxa"/>
              <w:bottom w:w="0" w:type="dxa"/>
              <w:right w:w="15" w:type="dxa"/>
            </w:tcMar>
            <w:vAlign w:val="center"/>
            <w:hideMark/>
          </w:tcPr>
          <w:p w14:paraId="7D202E6D" w14:textId="77777777" w:rsidR="00251D72" w:rsidRDefault="00251D72">
            <w:pPr>
              <w:pStyle w:val="a3"/>
              <w:spacing w:before="0" w:beforeAutospacing="0" w:after="0" w:afterAutospacing="0"/>
              <w:rPr>
                <w:sz w:val="15"/>
                <w:szCs w:val="15"/>
              </w:rPr>
            </w:pPr>
            <w:r>
              <w:rPr>
                <w:sz w:val="15"/>
                <w:szCs w:val="15"/>
              </w:rPr>
              <w:t> </w:t>
            </w:r>
          </w:p>
        </w:tc>
        <w:tc>
          <w:tcPr>
            <w:tcW w:w="84" w:type="pct"/>
            <w:shd w:val="clear" w:color="auto" w:fill="FFFFFF"/>
            <w:tcMar>
              <w:top w:w="15" w:type="dxa"/>
              <w:left w:w="0" w:type="dxa"/>
              <w:bottom w:w="0" w:type="dxa"/>
              <w:right w:w="15" w:type="dxa"/>
            </w:tcMar>
            <w:vAlign w:val="bottom"/>
            <w:hideMark/>
          </w:tcPr>
          <w:p w14:paraId="56A1F59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319" w:type="pct"/>
            <w:gridSpan w:val="10"/>
            <w:tcBorders>
              <w:bottom w:val="single" w:sz="6" w:space="0" w:color="000000"/>
            </w:tcBorders>
            <w:shd w:val="clear" w:color="auto" w:fill="FFFFFF"/>
            <w:tcMar>
              <w:top w:w="15" w:type="dxa"/>
              <w:left w:w="0" w:type="dxa"/>
              <w:bottom w:w="0" w:type="dxa"/>
              <w:right w:w="15" w:type="dxa"/>
            </w:tcMar>
            <w:vAlign w:val="bottom"/>
            <w:hideMark/>
          </w:tcPr>
          <w:p w14:paraId="1E58AF8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4B519A1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0AC8F69" w14:textId="77777777">
        <w:trPr>
          <w:divId w:val="2088454007"/>
          <w:jc w:val="center"/>
        </w:trPr>
        <w:tc>
          <w:tcPr>
            <w:tcW w:w="2545" w:type="pct"/>
            <w:shd w:val="clear" w:color="auto" w:fill="FFFFFF"/>
            <w:tcMar>
              <w:top w:w="15" w:type="dxa"/>
              <w:left w:w="0" w:type="dxa"/>
              <w:bottom w:w="0" w:type="dxa"/>
              <w:right w:w="15" w:type="dxa"/>
            </w:tcMar>
            <w:vAlign w:val="center"/>
            <w:hideMark/>
          </w:tcPr>
          <w:p w14:paraId="7ED2B70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4" w:type="pct"/>
            <w:shd w:val="clear" w:color="auto" w:fill="FFFFFF"/>
            <w:tcMar>
              <w:top w:w="15" w:type="dxa"/>
              <w:left w:w="0" w:type="dxa"/>
              <w:bottom w:w="0" w:type="dxa"/>
              <w:right w:w="15" w:type="dxa"/>
            </w:tcMar>
            <w:vAlign w:val="bottom"/>
            <w:hideMark/>
          </w:tcPr>
          <w:p w14:paraId="74C4E8D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4125D48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8" w:type="pct"/>
            <w:tcBorders>
              <w:top w:val="single" w:sz="6" w:space="0" w:color="000000"/>
            </w:tcBorders>
            <w:shd w:val="clear" w:color="auto" w:fill="FFFFFF"/>
            <w:noWrap/>
            <w:tcMar>
              <w:top w:w="15" w:type="dxa"/>
              <w:left w:w="0" w:type="dxa"/>
              <w:bottom w:w="0" w:type="dxa"/>
              <w:right w:w="15" w:type="dxa"/>
            </w:tcMar>
            <w:vAlign w:val="center"/>
            <w:hideMark/>
          </w:tcPr>
          <w:p w14:paraId="6357171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1F1D6AE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4" w:type="pct"/>
            <w:tcBorders>
              <w:top w:val="single" w:sz="6" w:space="0" w:color="000000"/>
            </w:tcBorders>
            <w:shd w:val="clear" w:color="auto" w:fill="FFFFFF"/>
            <w:tcMar>
              <w:top w:w="15" w:type="dxa"/>
              <w:left w:w="0" w:type="dxa"/>
              <w:bottom w:w="0" w:type="dxa"/>
              <w:right w:w="15" w:type="dxa"/>
            </w:tcMar>
            <w:vAlign w:val="bottom"/>
            <w:hideMark/>
          </w:tcPr>
          <w:p w14:paraId="469A02F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142"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6FC32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4" w:type="pct"/>
            <w:tcBorders>
              <w:top w:val="single" w:sz="6" w:space="0" w:color="000000"/>
            </w:tcBorders>
            <w:shd w:val="clear" w:color="auto" w:fill="FFFFFF"/>
            <w:tcMar>
              <w:top w:w="15" w:type="dxa"/>
              <w:left w:w="0" w:type="dxa"/>
              <w:bottom w:w="0" w:type="dxa"/>
              <w:right w:w="15" w:type="dxa"/>
            </w:tcMar>
            <w:vAlign w:val="bottom"/>
            <w:hideMark/>
          </w:tcPr>
          <w:p w14:paraId="639E5C5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4D49B07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8" w:type="pct"/>
            <w:tcBorders>
              <w:top w:val="single" w:sz="6" w:space="0" w:color="000000"/>
            </w:tcBorders>
            <w:shd w:val="clear" w:color="auto" w:fill="FFFFFF"/>
            <w:noWrap/>
            <w:tcMar>
              <w:top w:w="15" w:type="dxa"/>
              <w:left w:w="0" w:type="dxa"/>
              <w:bottom w:w="0" w:type="dxa"/>
              <w:right w:w="15" w:type="dxa"/>
            </w:tcMar>
            <w:vAlign w:val="center"/>
            <w:hideMark/>
          </w:tcPr>
          <w:p w14:paraId="1F04129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7A4ABFC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63DAE2B" w14:textId="77777777">
        <w:trPr>
          <w:divId w:val="2088454007"/>
          <w:jc w:val="center"/>
        </w:trPr>
        <w:tc>
          <w:tcPr>
            <w:tcW w:w="2545" w:type="pct"/>
            <w:tcBorders>
              <w:bottom w:val="single" w:sz="6" w:space="0" w:color="000000"/>
            </w:tcBorders>
            <w:shd w:val="clear" w:color="auto" w:fill="FFFFFF"/>
            <w:tcMar>
              <w:top w:w="15" w:type="dxa"/>
              <w:left w:w="0" w:type="dxa"/>
              <w:bottom w:w="0" w:type="dxa"/>
              <w:right w:w="15" w:type="dxa"/>
            </w:tcMar>
            <w:vAlign w:val="bottom"/>
            <w:hideMark/>
          </w:tcPr>
          <w:p w14:paraId="17067FB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4" w:type="pct"/>
            <w:shd w:val="clear" w:color="auto" w:fill="FFFFFF"/>
            <w:tcMar>
              <w:top w:w="15" w:type="dxa"/>
              <w:left w:w="0" w:type="dxa"/>
              <w:bottom w:w="0" w:type="dxa"/>
              <w:right w:w="15" w:type="dxa"/>
            </w:tcMar>
            <w:vAlign w:val="bottom"/>
            <w:hideMark/>
          </w:tcPr>
          <w:p w14:paraId="6F5D8D4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78" w:type="pct"/>
            <w:gridSpan w:val="2"/>
            <w:tcBorders>
              <w:bottom w:val="single" w:sz="6" w:space="0" w:color="000000"/>
            </w:tcBorders>
            <w:shd w:val="clear" w:color="auto" w:fill="FFFFFF"/>
            <w:tcMar>
              <w:top w:w="15" w:type="dxa"/>
              <w:left w:w="0" w:type="dxa"/>
              <w:bottom w:w="0" w:type="dxa"/>
              <w:right w:w="15" w:type="dxa"/>
            </w:tcMar>
            <w:vAlign w:val="bottom"/>
            <w:hideMark/>
          </w:tcPr>
          <w:p w14:paraId="7300DC4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030FEF7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4" w:type="pct"/>
            <w:shd w:val="clear" w:color="auto" w:fill="FFFFFF"/>
            <w:tcMar>
              <w:top w:w="15" w:type="dxa"/>
              <w:left w:w="0" w:type="dxa"/>
              <w:bottom w:w="0" w:type="dxa"/>
              <w:right w:w="15" w:type="dxa"/>
            </w:tcMar>
            <w:vAlign w:val="bottom"/>
            <w:hideMark/>
          </w:tcPr>
          <w:p w14:paraId="156216A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28"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F0AB7A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4" w:type="pct"/>
            <w:tcBorders>
              <w:top w:val="single" w:sz="6" w:space="0" w:color="000000"/>
            </w:tcBorders>
            <w:shd w:val="clear" w:color="auto" w:fill="FFFFFF"/>
            <w:tcMar>
              <w:top w:w="15" w:type="dxa"/>
              <w:left w:w="0" w:type="dxa"/>
              <w:bottom w:w="0" w:type="dxa"/>
              <w:right w:w="15" w:type="dxa"/>
            </w:tcMar>
            <w:vAlign w:val="bottom"/>
            <w:hideMark/>
          </w:tcPr>
          <w:p w14:paraId="0934E6CD"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28"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D870BA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4" w:type="pct"/>
            <w:shd w:val="clear" w:color="auto" w:fill="FFFFFF"/>
            <w:tcMar>
              <w:top w:w="15" w:type="dxa"/>
              <w:left w:w="0" w:type="dxa"/>
              <w:bottom w:w="0" w:type="dxa"/>
              <w:right w:w="15" w:type="dxa"/>
            </w:tcMar>
            <w:vAlign w:val="bottom"/>
            <w:hideMark/>
          </w:tcPr>
          <w:p w14:paraId="50D6126D"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78" w:type="pct"/>
            <w:gridSpan w:val="2"/>
            <w:tcBorders>
              <w:bottom w:val="single" w:sz="6" w:space="0" w:color="000000"/>
            </w:tcBorders>
            <w:shd w:val="clear" w:color="auto" w:fill="FFFFFF"/>
            <w:tcMar>
              <w:top w:w="15" w:type="dxa"/>
              <w:left w:w="0" w:type="dxa"/>
              <w:bottom w:w="0" w:type="dxa"/>
              <w:right w:w="15" w:type="dxa"/>
            </w:tcMar>
            <w:vAlign w:val="bottom"/>
            <w:hideMark/>
          </w:tcPr>
          <w:p w14:paraId="3F8DD1D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3EB8E53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AB4A6CB" w14:textId="77777777">
        <w:trPr>
          <w:divId w:val="2088454007"/>
          <w:jc w:val="center"/>
        </w:trPr>
        <w:tc>
          <w:tcPr>
            <w:tcW w:w="2545" w:type="pct"/>
            <w:tcBorders>
              <w:top w:val="single" w:sz="6" w:space="0" w:color="000000"/>
            </w:tcBorders>
            <w:shd w:val="clear" w:color="auto" w:fill="CFF0FC"/>
            <w:tcMar>
              <w:top w:w="15" w:type="dxa"/>
              <w:left w:w="0" w:type="dxa"/>
              <w:bottom w:w="0" w:type="dxa"/>
              <w:right w:w="15" w:type="dxa"/>
            </w:tcMar>
            <w:hideMark/>
          </w:tcPr>
          <w:p w14:paraId="174F7CE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84" w:type="pct"/>
            <w:shd w:val="clear" w:color="auto" w:fill="CFF0FC"/>
            <w:tcMar>
              <w:top w:w="15" w:type="dxa"/>
              <w:left w:w="0" w:type="dxa"/>
              <w:bottom w:w="0" w:type="dxa"/>
              <w:right w:w="15" w:type="dxa"/>
            </w:tcMar>
            <w:vAlign w:val="bottom"/>
            <w:hideMark/>
          </w:tcPr>
          <w:p w14:paraId="5F77056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418153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8" w:type="pct"/>
            <w:tcBorders>
              <w:top w:val="single" w:sz="6" w:space="0" w:color="000000"/>
            </w:tcBorders>
            <w:shd w:val="clear" w:color="auto" w:fill="CFF0FC"/>
            <w:noWrap/>
            <w:tcMar>
              <w:top w:w="15" w:type="dxa"/>
              <w:left w:w="0" w:type="dxa"/>
              <w:bottom w:w="0" w:type="dxa"/>
              <w:right w:w="15" w:type="dxa"/>
            </w:tcMar>
            <w:vAlign w:val="bottom"/>
            <w:hideMark/>
          </w:tcPr>
          <w:p w14:paraId="5AF1D68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left w:w="0" w:type="dxa"/>
              <w:bottom w:w="0" w:type="dxa"/>
              <w:right w:w="15" w:type="dxa"/>
            </w:tcMar>
            <w:vAlign w:val="bottom"/>
            <w:hideMark/>
          </w:tcPr>
          <w:p w14:paraId="0AC0289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4" w:type="pct"/>
            <w:shd w:val="clear" w:color="auto" w:fill="CFF0FC"/>
            <w:tcMar>
              <w:top w:w="15" w:type="dxa"/>
              <w:left w:w="0" w:type="dxa"/>
              <w:bottom w:w="0" w:type="dxa"/>
              <w:right w:w="15" w:type="dxa"/>
            </w:tcMar>
            <w:vAlign w:val="bottom"/>
            <w:hideMark/>
          </w:tcPr>
          <w:p w14:paraId="08E265D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8" w:type="pct"/>
            <w:tcBorders>
              <w:top w:val="single" w:sz="6" w:space="0" w:color="000000"/>
            </w:tcBorders>
            <w:shd w:val="clear" w:color="auto" w:fill="CFF0FC"/>
            <w:tcMar>
              <w:top w:w="15" w:type="dxa"/>
              <w:left w:w="0" w:type="dxa"/>
              <w:bottom w:w="0" w:type="dxa"/>
              <w:right w:w="15" w:type="dxa"/>
            </w:tcMar>
            <w:vAlign w:val="bottom"/>
            <w:hideMark/>
          </w:tcPr>
          <w:p w14:paraId="70692D3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84" w:type="pct"/>
            <w:shd w:val="clear" w:color="auto" w:fill="CFF0FC"/>
            <w:tcMar>
              <w:top w:w="15" w:type="dxa"/>
              <w:left w:w="0" w:type="dxa"/>
              <w:bottom w:w="0" w:type="dxa"/>
              <w:right w:w="15" w:type="dxa"/>
            </w:tcMar>
            <w:vAlign w:val="bottom"/>
            <w:hideMark/>
          </w:tcPr>
          <w:p w14:paraId="0DF951F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8" w:type="pct"/>
            <w:tcBorders>
              <w:top w:val="single" w:sz="6" w:space="0" w:color="000000"/>
            </w:tcBorders>
            <w:shd w:val="clear" w:color="auto" w:fill="CFF0FC"/>
            <w:tcMar>
              <w:top w:w="15" w:type="dxa"/>
              <w:left w:w="0" w:type="dxa"/>
              <w:bottom w:w="0" w:type="dxa"/>
              <w:right w:w="15" w:type="dxa"/>
            </w:tcMar>
            <w:vAlign w:val="bottom"/>
            <w:hideMark/>
          </w:tcPr>
          <w:p w14:paraId="30CAD55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84" w:type="pct"/>
            <w:shd w:val="clear" w:color="auto" w:fill="CFF0FC"/>
            <w:tcMar>
              <w:top w:w="15" w:type="dxa"/>
              <w:left w:w="0" w:type="dxa"/>
              <w:bottom w:w="0" w:type="dxa"/>
              <w:right w:w="15" w:type="dxa"/>
            </w:tcMar>
            <w:vAlign w:val="bottom"/>
            <w:hideMark/>
          </w:tcPr>
          <w:p w14:paraId="7067253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0AF10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8" w:type="pct"/>
            <w:tcBorders>
              <w:top w:val="single" w:sz="6" w:space="0" w:color="000000"/>
            </w:tcBorders>
            <w:shd w:val="clear" w:color="auto" w:fill="CFF0FC"/>
            <w:noWrap/>
            <w:tcMar>
              <w:top w:w="15" w:type="dxa"/>
              <w:left w:w="0" w:type="dxa"/>
              <w:bottom w:w="0" w:type="dxa"/>
              <w:right w:w="15" w:type="dxa"/>
            </w:tcMar>
            <w:vAlign w:val="bottom"/>
            <w:hideMark/>
          </w:tcPr>
          <w:p w14:paraId="7ECCF80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CFF0FC"/>
            <w:noWrap/>
            <w:tcMar>
              <w:top w:w="15" w:type="dxa"/>
              <w:left w:w="0" w:type="dxa"/>
              <w:bottom w:w="0" w:type="dxa"/>
              <w:right w:w="15" w:type="dxa"/>
            </w:tcMar>
            <w:vAlign w:val="bottom"/>
            <w:hideMark/>
          </w:tcPr>
          <w:p w14:paraId="1854DD2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8122826" w14:textId="77777777">
        <w:trPr>
          <w:divId w:val="2088454007"/>
          <w:jc w:val="center"/>
        </w:trPr>
        <w:tc>
          <w:tcPr>
            <w:tcW w:w="2545" w:type="pct"/>
            <w:shd w:val="clear" w:color="auto" w:fill="FFFFFF"/>
            <w:tcMar>
              <w:top w:w="15" w:type="dxa"/>
              <w:left w:w="0" w:type="dxa"/>
              <w:bottom w:w="0" w:type="dxa"/>
              <w:right w:w="15" w:type="dxa"/>
            </w:tcMar>
            <w:hideMark/>
          </w:tcPr>
          <w:p w14:paraId="4F6F5EC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84" w:type="pct"/>
            <w:shd w:val="clear" w:color="auto" w:fill="FFFFFF"/>
            <w:tcMar>
              <w:top w:w="15" w:type="dxa"/>
              <w:left w:w="0" w:type="dxa"/>
              <w:bottom w:w="0" w:type="dxa"/>
              <w:right w:w="15" w:type="dxa"/>
            </w:tcMar>
            <w:vAlign w:val="bottom"/>
            <w:hideMark/>
          </w:tcPr>
          <w:p w14:paraId="7E932E5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658EB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28" w:type="pct"/>
            <w:shd w:val="clear" w:color="auto" w:fill="FFFFFF"/>
            <w:noWrap/>
            <w:tcMar>
              <w:top w:w="15" w:type="dxa"/>
              <w:left w:w="0" w:type="dxa"/>
              <w:bottom w:w="0" w:type="dxa"/>
              <w:right w:w="15" w:type="dxa"/>
            </w:tcMar>
            <w:vAlign w:val="bottom"/>
            <w:hideMark/>
          </w:tcPr>
          <w:p w14:paraId="26216E9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B9C0B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4" w:type="pct"/>
            <w:shd w:val="clear" w:color="auto" w:fill="FFFFFF"/>
            <w:tcMar>
              <w:top w:w="15" w:type="dxa"/>
              <w:left w:w="0" w:type="dxa"/>
              <w:bottom w:w="0" w:type="dxa"/>
              <w:right w:w="15" w:type="dxa"/>
            </w:tcMar>
            <w:vAlign w:val="bottom"/>
            <w:hideMark/>
          </w:tcPr>
          <w:p w14:paraId="5C625DB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FFFFFF"/>
            <w:tcMar>
              <w:top w:w="15" w:type="dxa"/>
              <w:left w:w="0" w:type="dxa"/>
              <w:bottom w:w="0" w:type="dxa"/>
              <w:right w:w="15" w:type="dxa"/>
            </w:tcMar>
            <w:vAlign w:val="bottom"/>
            <w:hideMark/>
          </w:tcPr>
          <w:p w14:paraId="44B18F0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-100%</w:t>
            </w:r>
          </w:p>
        </w:tc>
        <w:tc>
          <w:tcPr>
            <w:tcW w:w="84" w:type="pct"/>
            <w:shd w:val="clear" w:color="auto" w:fill="FFFFFF"/>
            <w:tcMar>
              <w:top w:w="15" w:type="dxa"/>
              <w:left w:w="0" w:type="dxa"/>
              <w:bottom w:w="0" w:type="dxa"/>
              <w:right w:w="15" w:type="dxa"/>
            </w:tcMar>
            <w:vAlign w:val="bottom"/>
            <w:hideMark/>
          </w:tcPr>
          <w:p w14:paraId="6AC96B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FFFFFF"/>
            <w:tcMar>
              <w:top w:w="15" w:type="dxa"/>
              <w:left w:w="0" w:type="dxa"/>
              <w:bottom w:w="0" w:type="dxa"/>
              <w:right w:w="15" w:type="dxa"/>
            </w:tcMar>
            <w:vAlign w:val="bottom"/>
            <w:hideMark/>
          </w:tcPr>
          <w:p w14:paraId="4C3BF97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-100%</w:t>
            </w:r>
          </w:p>
        </w:tc>
        <w:tc>
          <w:tcPr>
            <w:tcW w:w="84" w:type="pct"/>
            <w:shd w:val="clear" w:color="auto" w:fill="FFFFFF"/>
            <w:tcMar>
              <w:top w:w="15" w:type="dxa"/>
              <w:left w:w="0" w:type="dxa"/>
              <w:bottom w:w="0" w:type="dxa"/>
              <w:right w:w="15" w:type="dxa"/>
            </w:tcMar>
            <w:vAlign w:val="bottom"/>
            <w:hideMark/>
          </w:tcPr>
          <w:p w14:paraId="33DD3D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7F66C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28" w:type="pct"/>
            <w:shd w:val="clear" w:color="auto" w:fill="FFFFFF"/>
            <w:noWrap/>
            <w:tcMar>
              <w:top w:w="15" w:type="dxa"/>
              <w:left w:w="0" w:type="dxa"/>
              <w:bottom w:w="0" w:type="dxa"/>
              <w:right w:w="15" w:type="dxa"/>
            </w:tcMar>
            <w:vAlign w:val="bottom"/>
            <w:hideMark/>
          </w:tcPr>
          <w:p w14:paraId="379755F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43CA6F0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1A7EBF2" w14:textId="77777777">
        <w:trPr>
          <w:divId w:val="2088454007"/>
          <w:jc w:val="center"/>
        </w:trPr>
        <w:tc>
          <w:tcPr>
            <w:tcW w:w="2545" w:type="pct"/>
            <w:shd w:val="clear" w:color="auto" w:fill="CFF0FC"/>
            <w:tcMar>
              <w:top w:w="15" w:type="dxa"/>
              <w:left w:w="0" w:type="dxa"/>
              <w:bottom w:w="0" w:type="dxa"/>
              <w:right w:w="15" w:type="dxa"/>
            </w:tcMar>
            <w:hideMark/>
          </w:tcPr>
          <w:p w14:paraId="7B9B140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Professional fees and other, net</w:t>
            </w:r>
          </w:p>
        </w:tc>
        <w:tc>
          <w:tcPr>
            <w:tcW w:w="84" w:type="pct"/>
            <w:shd w:val="clear" w:color="auto" w:fill="CFF0FC"/>
            <w:tcMar>
              <w:top w:w="15" w:type="dxa"/>
              <w:left w:w="0" w:type="dxa"/>
              <w:bottom w:w="0" w:type="dxa"/>
              <w:right w:w="15" w:type="dxa"/>
            </w:tcMar>
            <w:vAlign w:val="bottom"/>
            <w:hideMark/>
          </w:tcPr>
          <w:p w14:paraId="075BD1F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92DB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28" w:type="pct"/>
            <w:shd w:val="clear" w:color="auto" w:fill="CFF0FC"/>
            <w:noWrap/>
            <w:tcMar>
              <w:top w:w="15" w:type="dxa"/>
              <w:left w:w="0" w:type="dxa"/>
              <w:bottom w:w="0" w:type="dxa"/>
              <w:right w:w="15" w:type="dxa"/>
            </w:tcMar>
            <w:vAlign w:val="bottom"/>
            <w:hideMark/>
          </w:tcPr>
          <w:p w14:paraId="650CF6B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CFF0FC"/>
            <w:noWrap/>
            <w:tcMar>
              <w:top w:w="15" w:type="dxa"/>
              <w:left w:w="0" w:type="dxa"/>
              <w:bottom w:w="0" w:type="dxa"/>
              <w:right w:w="15" w:type="dxa"/>
            </w:tcMar>
            <w:vAlign w:val="bottom"/>
            <w:hideMark/>
          </w:tcPr>
          <w:p w14:paraId="3D615A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4" w:type="pct"/>
            <w:shd w:val="clear" w:color="auto" w:fill="CFF0FC"/>
            <w:tcMar>
              <w:top w:w="15" w:type="dxa"/>
              <w:left w:w="0" w:type="dxa"/>
              <w:bottom w:w="0" w:type="dxa"/>
              <w:right w:w="15" w:type="dxa"/>
            </w:tcMar>
            <w:vAlign w:val="bottom"/>
            <w:hideMark/>
          </w:tcPr>
          <w:p w14:paraId="5ACBEF7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CFF0FC"/>
            <w:tcMar>
              <w:top w:w="15" w:type="dxa"/>
              <w:left w:w="0" w:type="dxa"/>
              <w:bottom w:w="0" w:type="dxa"/>
              <w:right w:w="15" w:type="dxa"/>
            </w:tcMar>
            <w:vAlign w:val="bottom"/>
            <w:hideMark/>
          </w:tcPr>
          <w:p w14:paraId="5CAF9B8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373%</w:t>
            </w:r>
          </w:p>
        </w:tc>
        <w:tc>
          <w:tcPr>
            <w:tcW w:w="84" w:type="pct"/>
            <w:shd w:val="clear" w:color="auto" w:fill="CFF0FC"/>
            <w:tcMar>
              <w:top w:w="15" w:type="dxa"/>
              <w:left w:w="0" w:type="dxa"/>
              <w:bottom w:w="0" w:type="dxa"/>
              <w:right w:w="15" w:type="dxa"/>
            </w:tcMar>
            <w:vAlign w:val="bottom"/>
            <w:hideMark/>
          </w:tcPr>
          <w:p w14:paraId="57ED587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CFF0FC"/>
            <w:tcMar>
              <w:top w:w="15" w:type="dxa"/>
              <w:left w:w="0" w:type="dxa"/>
              <w:bottom w:w="0" w:type="dxa"/>
              <w:right w:w="15" w:type="dxa"/>
            </w:tcMar>
            <w:vAlign w:val="bottom"/>
            <w:hideMark/>
          </w:tcPr>
          <w:p w14:paraId="4767945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426%</w:t>
            </w:r>
          </w:p>
        </w:tc>
        <w:tc>
          <w:tcPr>
            <w:tcW w:w="84" w:type="pct"/>
            <w:shd w:val="clear" w:color="auto" w:fill="CFF0FC"/>
            <w:tcMar>
              <w:top w:w="15" w:type="dxa"/>
              <w:left w:w="0" w:type="dxa"/>
              <w:bottom w:w="0" w:type="dxa"/>
              <w:right w:w="15" w:type="dxa"/>
            </w:tcMar>
            <w:vAlign w:val="bottom"/>
            <w:hideMark/>
          </w:tcPr>
          <w:p w14:paraId="6BB28F8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399B5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28" w:type="pct"/>
            <w:shd w:val="clear" w:color="auto" w:fill="CFF0FC"/>
            <w:noWrap/>
            <w:tcMar>
              <w:top w:w="15" w:type="dxa"/>
              <w:left w:w="0" w:type="dxa"/>
              <w:bottom w:w="0" w:type="dxa"/>
              <w:right w:w="15" w:type="dxa"/>
            </w:tcMar>
            <w:vAlign w:val="bottom"/>
            <w:hideMark/>
          </w:tcPr>
          <w:p w14:paraId="09093C5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left w:w="0" w:type="dxa"/>
              <w:bottom w:w="0" w:type="dxa"/>
              <w:right w:w="15" w:type="dxa"/>
            </w:tcMar>
            <w:vAlign w:val="bottom"/>
            <w:hideMark/>
          </w:tcPr>
          <w:p w14:paraId="425C800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C8CC15B" w14:textId="77777777">
        <w:trPr>
          <w:divId w:val="2088454007"/>
          <w:jc w:val="center"/>
        </w:trPr>
        <w:tc>
          <w:tcPr>
            <w:tcW w:w="2545" w:type="pct"/>
            <w:shd w:val="clear" w:color="auto" w:fill="FFFFFF"/>
            <w:tcMar>
              <w:top w:w="15" w:type="dxa"/>
              <w:left w:w="0" w:type="dxa"/>
              <w:bottom w:w="0" w:type="dxa"/>
              <w:right w:w="15" w:type="dxa"/>
            </w:tcMar>
            <w:hideMark/>
          </w:tcPr>
          <w:p w14:paraId="5213A29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84" w:type="pct"/>
            <w:shd w:val="clear" w:color="auto" w:fill="FFFFFF"/>
            <w:tcMar>
              <w:top w:w="15" w:type="dxa"/>
              <w:left w:w="0" w:type="dxa"/>
              <w:bottom w:w="0" w:type="dxa"/>
              <w:right w:w="15" w:type="dxa"/>
            </w:tcMar>
            <w:vAlign w:val="bottom"/>
            <w:hideMark/>
          </w:tcPr>
          <w:p w14:paraId="5651687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C21E03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28" w:type="pct"/>
            <w:tcBorders>
              <w:bottom w:val="single" w:sz="6" w:space="0" w:color="000000"/>
            </w:tcBorders>
            <w:shd w:val="clear" w:color="auto" w:fill="FFFFFF"/>
            <w:noWrap/>
            <w:tcMar>
              <w:top w:w="15" w:type="dxa"/>
              <w:left w:w="0" w:type="dxa"/>
              <w:bottom w:w="0" w:type="dxa"/>
              <w:right w:w="15" w:type="dxa"/>
            </w:tcMar>
            <w:vAlign w:val="bottom"/>
            <w:hideMark/>
          </w:tcPr>
          <w:p w14:paraId="0AA2A9C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left w:w="0" w:type="dxa"/>
              <w:bottom w:w="0" w:type="dxa"/>
              <w:right w:w="15" w:type="dxa"/>
            </w:tcMar>
            <w:vAlign w:val="bottom"/>
            <w:hideMark/>
          </w:tcPr>
          <w:p w14:paraId="1D57A89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4" w:type="pct"/>
            <w:shd w:val="clear" w:color="auto" w:fill="FFFFFF"/>
            <w:tcMar>
              <w:top w:w="15" w:type="dxa"/>
              <w:left w:w="0" w:type="dxa"/>
              <w:bottom w:w="0" w:type="dxa"/>
              <w:right w:w="15" w:type="dxa"/>
            </w:tcMar>
            <w:vAlign w:val="bottom"/>
            <w:hideMark/>
          </w:tcPr>
          <w:p w14:paraId="46EC2B6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FFFFFF"/>
            <w:tcMar>
              <w:top w:w="15" w:type="dxa"/>
              <w:left w:w="0" w:type="dxa"/>
              <w:bottom w:w="0" w:type="dxa"/>
              <w:right w:w="15" w:type="dxa"/>
            </w:tcMar>
            <w:vAlign w:val="bottom"/>
            <w:hideMark/>
          </w:tcPr>
          <w:p w14:paraId="6D4B151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84" w:type="pct"/>
            <w:shd w:val="clear" w:color="auto" w:fill="FFFFFF"/>
            <w:tcMar>
              <w:top w:w="15" w:type="dxa"/>
              <w:left w:w="0" w:type="dxa"/>
              <w:bottom w:w="0" w:type="dxa"/>
              <w:right w:w="15" w:type="dxa"/>
            </w:tcMar>
            <w:vAlign w:val="bottom"/>
            <w:hideMark/>
          </w:tcPr>
          <w:p w14:paraId="7475166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FFFFFF"/>
            <w:tcMar>
              <w:top w:w="15" w:type="dxa"/>
              <w:left w:w="0" w:type="dxa"/>
              <w:bottom w:w="0" w:type="dxa"/>
              <w:right w:w="15" w:type="dxa"/>
            </w:tcMar>
            <w:vAlign w:val="bottom"/>
            <w:hideMark/>
          </w:tcPr>
          <w:p w14:paraId="4AE961C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84" w:type="pct"/>
            <w:shd w:val="clear" w:color="auto" w:fill="FFFFFF"/>
            <w:tcMar>
              <w:top w:w="15" w:type="dxa"/>
              <w:left w:w="0" w:type="dxa"/>
              <w:bottom w:w="0" w:type="dxa"/>
              <w:right w:w="15" w:type="dxa"/>
            </w:tcMar>
            <w:vAlign w:val="bottom"/>
            <w:hideMark/>
          </w:tcPr>
          <w:p w14:paraId="765912F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23886D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28" w:type="pct"/>
            <w:tcBorders>
              <w:bottom w:val="single" w:sz="6" w:space="0" w:color="000000"/>
            </w:tcBorders>
            <w:shd w:val="clear" w:color="auto" w:fill="FFFFFF"/>
            <w:noWrap/>
            <w:tcMar>
              <w:top w:w="15" w:type="dxa"/>
              <w:left w:w="0" w:type="dxa"/>
              <w:bottom w:w="0" w:type="dxa"/>
              <w:right w:w="15" w:type="dxa"/>
            </w:tcMar>
            <w:vAlign w:val="bottom"/>
            <w:hideMark/>
          </w:tcPr>
          <w:p w14:paraId="5D9A818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B692A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BD1E5B4" w14:textId="77777777">
        <w:trPr>
          <w:divId w:val="2088454007"/>
          <w:jc w:val="center"/>
        </w:trPr>
        <w:tc>
          <w:tcPr>
            <w:tcW w:w="2545" w:type="pct"/>
            <w:shd w:val="clear" w:color="auto" w:fill="CFF0FC"/>
            <w:tcMar>
              <w:top w:w="15" w:type="dxa"/>
              <w:left w:w="0" w:type="dxa"/>
              <w:bottom w:w="0" w:type="dxa"/>
              <w:right w:w="15" w:type="dxa"/>
            </w:tcMar>
            <w:hideMark/>
          </w:tcPr>
          <w:p w14:paraId="1EE29747"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84" w:type="pct"/>
            <w:shd w:val="clear" w:color="auto" w:fill="CFF0FC"/>
            <w:tcMar>
              <w:top w:w="15" w:type="dxa"/>
              <w:left w:w="0" w:type="dxa"/>
              <w:bottom w:w="0" w:type="dxa"/>
              <w:right w:w="15" w:type="dxa"/>
            </w:tcMar>
            <w:vAlign w:val="bottom"/>
            <w:hideMark/>
          </w:tcPr>
          <w:p w14:paraId="75D242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57B6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F8F62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CFF0FC"/>
            <w:noWrap/>
            <w:tcMar>
              <w:top w:w="15" w:type="dxa"/>
              <w:left w:w="0" w:type="dxa"/>
              <w:bottom w:w="0" w:type="dxa"/>
              <w:right w:w="15" w:type="dxa"/>
            </w:tcMar>
            <w:vAlign w:val="bottom"/>
            <w:hideMark/>
          </w:tcPr>
          <w:p w14:paraId="5B07CB4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4" w:type="pct"/>
            <w:shd w:val="clear" w:color="auto" w:fill="CFF0FC"/>
            <w:tcMar>
              <w:top w:w="15" w:type="dxa"/>
              <w:left w:w="0" w:type="dxa"/>
              <w:bottom w:w="0" w:type="dxa"/>
              <w:right w:w="15" w:type="dxa"/>
            </w:tcMar>
            <w:vAlign w:val="bottom"/>
            <w:hideMark/>
          </w:tcPr>
          <w:p w14:paraId="550F04F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CFF0FC"/>
            <w:tcMar>
              <w:top w:w="15" w:type="dxa"/>
              <w:left w:w="0" w:type="dxa"/>
              <w:bottom w:w="0" w:type="dxa"/>
              <w:right w:w="15" w:type="dxa"/>
            </w:tcMar>
            <w:vAlign w:val="bottom"/>
            <w:hideMark/>
          </w:tcPr>
          <w:p w14:paraId="3C3F4AB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84" w:type="pct"/>
            <w:shd w:val="clear" w:color="auto" w:fill="CFF0FC"/>
            <w:tcMar>
              <w:top w:w="15" w:type="dxa"/>
              <w:left w:w="0" w:type="dxa"/>
              <w:bottom w:w="0" w:type="dxa"/>
              <w:right w:w="15" w:type="dxa"/>
            </w:tcMar>
            <w:vAlign w:val="bottom"/>
            <w:hideMark/>
          </w:tcPr>
          <w:p w14:paraId="6321D1B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8" w:type="pct"/>
            <w:shd w:val="clear" w:color="auto" w:fill="CFF0FC"/>
            <w:tcMar>
              <w:top w:w="15" w:type="dxa"/>
              <w:left w:w="0" w:type="dxa"/>
              <w:bottom w:w="0" w:type="dxa"/>
              <w:right w:w="15" w:type="dxa"/>
            </w:tcMar>
            <w:vAlign w:val="bottom"/>
            <w:hideMark/>
          </w:tcPr>
          <w:p w14:paraId="2376B8F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w:t>
            </w:r>
          </w:p>
        </w:tc>
        <w:tc>
          <w:tcPr>
            <w:tcW w:w="84" w:type="pct"/>
            <w:shd w:val="clear" w:color="auto" w:fill="CFF0FC"/>
            <w:tcMar>
              <w:top w:w="15" w:type="dxa"/>
              <w:left w:w="0" w:type="dxa"/>
              <w:bottom w:w="0" w:type="dxa"/>
              <w:right w:w="15" w:type="dxa"/>
            </w:tcMar>
            <w:vAlign w:val="bottom"/>
            <w:hideMark/>
          </w:tcPr>
          <w:p w14:paraId="1CA295A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453EAC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63B11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w:t>
            </w:r>
          </w:p>
        </w:tc>
        <w:tc>
          <w:tcPr>
            <w:tcW w:w="50" w:type="pct"/>
            <w:shd w:val="clear" w:color="auto" w:fill="CFF0FC"/>
            <w:noWrap/>
            <w:tcMar>
              <w:top w:w="15" w:type="dxa"/>
              <w:left w:w="0" w:type="dxa"/>
              <w:bottom w:w="0" w:type="dxa"/>
              <w:right w:w="15" w:type="dxa"/>
            </w:tcMar>
            <w:vAlign w:val="bottom"/>
            <w:hideMark/>
          </w:tcPr>
          <w:p w14:paraId="058D6114"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5E65EF06" w14:textId="77777777" w:rsidR="00251D72" w:rsidRDefault="00251D72">
      <w:pPr>
        <w:pStyle w:val="a3"/>
        <w:pBdr>
          <w:bottom w:val="single" w:sz="6" w:space="1" w:color="auto"/>
        </w:pBdr>
        <w:spacing w:before="0" w:beforeAutospacing="0" w:after="0" w:afterAutospacing="0"/>
        <w:ind w:right="10953"/>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7CBDBF5E" w14:textId="77777777">
        <w:tc>
          <w:tcPr>
            <w:tcW w:w="192" w:type="pct"/>
            <w:noWrap/>
            <w:hideMark/>
          </w:tcPr>
          <w:p w14:paraId="078FA1B5"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w:t>
            </w:r>
          </w:p>
        </w:tc>
        <w:tc>
          <w:tcPr>
            <w:tcW w:w="0" w:type="auto"/>
            <w:hideMark/>
          </w:tcPr>
          <w:p w14:paraId="2C3B5F24"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Not meaningful</w:t>
            </w:r>
          </w:p>
        </w:tc>
      </w:tr>
    </w:tbl>
    <w:p w14:paraId="16636A71" w14:textId="77777777" w:rsidR="00251D72" w:rsidRDefault="00251D72">
      <w:pPr>
        <w:pStyle w:val="a3"/>
        <w:spacing w:before="0" w:beforeAutospacing="0" w:after="0" w:afterAutospacing="0"/>
        <w:rPr>
          <w:sz w:val="12"/>
          <w:szCs w:val="12"/>
        </w:rPr>
      </w:pPr>
      <w:r>
        <w:rPr>
          <w:sz w:val="12"/>
          <w:szCs w:val="12"/>
        </w:rPr>
        <w:t> </w:t>
      </w:r>
    </w:p>
    <w:p w14:paraId="7EF73D1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51</w:t>
      </w:r>
    </w:p>
    <w:p w14:paraId="6DEFF64B" w14:textId="77777777" w:rsidR="00251D72" w:rsidRDefault="00251D72">
      <w:pPr>
        <w:rPr>
          <w:rFonts w:ascii="Times New Roman" w:eastAsia="Times New Roman" w:hAnsi="Times New Roman" w:cs="Times New Roman"/>
          <w:sz w:val="24"/>
          <w:szCs w:val="24"/>
        </w:rPr>
      </w:pPr>
      <w:r>
        <w:rPr>
          <w:rFonts w:eastAsia="Times New Roman"/>
        </w:rPr>
        <w:pict w14:anchorId="11DEF086">
          <v:rect id="_x0000_i1077" style="width:415.3pt;height:1.5pt" o:hralign="center" o:hrstd="t" o:hr="t" fillcolor="#a0a0a0" stroked="f"/>
        </w:pict>
      </w:r>
    </w:p>
    <w:p w14:paraId="29C89229"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E9BEC90"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ECF1699" w14:textId="77777777" w:rsidR="00251D72" w:rsidRDefault="00251D72">
      <w:pPr>
        <w:pStyle w:val="a3"/>
        <w:spacing w:before="120" w:beforeAutospacing="0" w:after="0" w:afterAutospacing="0"/>
        <w:rPr>
          <w:sz w:val="20"/>
          <w:szCs w:val="20"/>
        </w:rPr>
      </w:pPr>
      <w:r>
        <w:rPr>
          <w:sz w:val="20"/>
          <w:szCs w:val="20"/>
        </w:rPr>
        <w:t> </w:t>
      </w:r>
    </w:p>
    <w:p w14:paraId="39A2AD98" w14:textId="77777777" w:rsidR="00251D72" w:rsidRDefault="00251D72">
      <w:pPr>
        <w:pStyle w:val="a3"/>
        <w:spacing w:before="0" w:beforeAutospacing="0" w:after="0" w:afterAutospacing="0"/>
        <w:jc w:val="both"/>
        <w:rPr>
          <w:rFonts w:ascii="Calibri" w:hAnsi="Calibri" w:cs="Calibri"/>
          <w:sz w:val="20"/>
          <w:szCs w:val="20"/>
        </w:rPr>
      </w:pPr>
      <w:bookmarkStart w:id="67" w:name="_AEIOULastRenderedPageBreakAEIOU54"/>
      <w:bookmarkEnd w:id="67"/>
      <w:r>
        <w:rPr>
          <w:rFonts w:ascii="Calibri" w:hAnsi="Calibri" w:cs="Calibri"/>
          <w:sz w:val="20"/>
          <w:szCs w:val="20"/>
        </w:rPr>
        <w:t>On a constant currency basis, acquisition related and other expenses decreased in fiscal 2019 compared to fiscal 2018 primarily due to certain favorable business combination related adjustments that were recorded in fiscal 2019.</w:t>
      </w:r>
    </w:p>
    <w:p w14:paraId="30EA7B08"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Restructuring Expenses:</w:t>
      </w:r>
      <w:r>
        <w:rPr>
          <w:rFonts w:ascii="Calibri" w:hAnsi="Calibri" w:cs="Calibri"/>
          <w:sz w:val="20"/>
          <w:szCs w:val="20"/>
        </w:rPr>
        <w:t xml:space="preserve"> Restructuring expenses resulted from the execution of management approved restructuring plans that were generally developed to improve our cost structure and/or operations, often in conjunction with our acquisition integration strategies. Restructuring expenses consist of employee severance costs and may also include charges for duplicate facilities and other contract termination costs to improve our cost structure prospectively. For additional information regarding our restructuring plans, see Note 8 of Notes to Consolidated Financial Statements included elsewhere in this Annual Report.</w:t>
      </w:r>
    </w:p>
    <w:p w14:paraId="2E7EC171"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89"/>
        <w:gridCol w:w="135"/>
        <w:gridCol w:w="117"/>
        <w:gridCol w:w="713"/>
        <w:gridCol w:w="77"/>
        <w:gridCol w:w="135"/>
        <w:gridCol w:w="879"/>
        <w:gridCol w:w="135"/>
        <w:gridCol w:w="881"/>
        <w:gridCol w:w="135"/>
        <w:gridCol w:w="117"/>
        <w:gridCol w:w="715"/>
        <w:gridCol w:w="78"/>
      </w:tblGrid>
      <w:tr w:rsidR="00251D72" w14:paraId="13BDE5CC" w14:textId="77777777">
        <w:trPr>
          <w:divId w:val="1273704237"/>
          <w:jc w:val="center"/>
        </w:trPr>
        <w:tc>
          <w:tcPr>
            <w:tcW w:w="2524" w:type="pct"/>
            <w:shd w:val="clear" w:color="auto" w:fill="FFFFFF"/>
            <w:tcMar>
              <w:top w:w="15" w:type="dxa"/>
              <w:left w:w="0" w:type="dxa"/>
              <w:bottom w:w="0" w:type="dxa"/>
              <w:right w:w="15" w:type="dxa"/>
            </w:tcMar>
            <w:vAlign w:val="bottom"/>
            <w:hideMark/>
          </w:tcPr>
          <w:p w14:paraId="4FCFD63B" w14:textId="77777777" w:rsidR="00251D72" w:rsidRDefault="00251D72">
            <w:pPr>
              <w:pStyle w:val="a3"/>
              <w:spacing w:before="0" w:beforeAutospacing="0" w:after="0" w:afterAutospacing="0"/>
              <w:rPr>
                <w:sz w:val="15"/>
                <w:szCs w:val="15"/>
              </w:rPr>
            </w:pPr>
            <w:r>
              <w:rPr>
                <w:sz w:val="15"/>
                <w:szCs w:val="15"/>
              </w:rPr>
              <w:t> </w:t>
            </w:r>
          </w:p>
        </w:tc>
        <w:tc>
          <w:tcPr>
            <w:tcW w:w="85" w:type="pct"/>
            <w:shd w:val="clear" w:color="auto" w:fill="FFFFFF"/>
            <w:tcMar>
              <w:top w:w="15" w:type="dxa"/>
              <w:left w:w="0" w:type="dxa"/>
              <w:bottom w:w="0" w:type="dxa"/>
              <w:right w:w="15" w:type="dxa"/>
            </w:tcMar>
            <w:vAlign w:val="bottom"/>
            <w:hideMark/>
          </w:tcPr>
          <w:p w14:paraId="735A688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339" w:type="pct"/>
            <w:gridSpan w:val="10"/>
            <w:tcBorders>
              <w:bottom w:val="single" w:sz="6" w:space="0" w:color="000000"/>
            </w:tcBorders>
            <w:shd w:val="clear" w:color="auto" w:fill="FFFFFF"/>
            <w:tcMar>
              <w:top w:w="15" w:type="dxa"/>
              <w:left w:w="0" w:type="dxa"/>
              <w:bottom w:w="0" w:type="dxa"/>
              <w:right w:w="15" w:type="dxa"/>
            </w:tcMar>
            <w:vAlign w:val="bottom"/>
            <w:hideMark/>
          </w:tcPr>
          <w:p w14:paraId="6E68EDB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4A755EA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28E8EAD" w14:textId="77777777">
        <w:trPr>
          <w:divId w:val="1273704237"/>
          <w:jc w:val="center"/>
        </w:trPr>
        <w:tc>
          <w:tcPr>
            <w:tcW w:w="2524" w:type="pct"/>
            <w:shd w:val="clear" w:color="auto" w:fill="FFFFFF"/>
            <w:tcMar>
              <w:top w:w="15" w:type="dxa"/>
              <w:left w:w="0" w:type="dxa"/>
              <w:bottom w:w="0" w:type="dxa"/>
              <w:right w:w="15" w:type="dxa"/>
            </w:tcMar>
            <w:vAlign w:val="bottom"/>
            <w:hideMark/>
          </w:tcPr>
          <w:p w14:paraId="7725798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73B3451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F6F887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bottom"/>
            <w:hideMark/>
          </w:tcPr>
          <w:p w14:paraId="34D2D46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172A925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573BD15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D9EA7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3F05A3F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670EDE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bottom"/>
            <w:hideMark/>
          </w:tcPr>
          <w:p w14:paraId="4564DF8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49E0725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01BA77E" w14:textId="77777777">
        <w:trPr>
          <w:divId w:val="1273704237"/>
          <w:jc w:val="center"/>
        </w:trPr>
        <w:tc>
          <w:tcPr>
            <w:tcW w:w="2524" w:type="pct"/>
            <w:tcBorders>
              <w:bottom w:val="single" w:sz="6" w:space="0" w:color="000000"/>
            </w:tcBorders>
            <w:shd w:val="clear" w:color="auto" w:fill="FFFFFF"/>
            <w:tcMar>
              <w:top w:w="15" w:type="dxa"/>
              <w:left w:w="0" w:type="dxa"/>
              <w:bottom w:w="0" w:type="dxa"/>
              <w:right w:w="15" w:type="dxa"/>
            </w:tcMar>
            <w:vAlign w:val="bottom"/>
            <w:hideMark/>
          </w:tcPr>
          <w:p w14:paraId="7204695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left w:w="0" w:type="dxa"/>
              <w:bottom w:w="0" w:type="dxa"/>
              <w:right w:w="15" w:type="dxa"/>
            </w:tcMar>
            <w:vAlign w:val="bottom"/>
            <w:hideMark/>
          </w:tcPr>
          <w:p w14:paraId="2E4A67C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777B2AA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B205D2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33A361C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EB3F1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64DF9AA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3E232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left w:w="0" w:type="dxa"/>
              <w:bottom w:w="0" w:type="dxa"/>
              <w:right w:w="15" w:type="dxa"/>
            </w:tcMar>
            <w:vAlign w:val="bottom"/>
            <w:hideMark/>
          </w:tcPr>
          <w:p w14:paraId="77D7B1D6" w14:textId="77777777" w:rsidR="00251D72" w:rsidRDefault="00251D72">
            <w:pPr>
              <w:pStyle w:val="a3"/>
              <w:spacing w:before="0" w:beforeAutospacing="0" w:after="0" w:afterAutospacing="0"/>
              <w:jc w:val="center"/>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28CE45C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C57671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7F37AE07" w14:textId="77777777">
        <w:trPr>
          <w:divId w:val="1273704237"/>
          <w:jc w:val="center"/>
        </w:trPr>
        <w:tc>
          <w:tcPr>
            <w:tcW w:w="2524" w:type="pct"/>
            <w:tcBorders>
              <w:top w:val="single" w:sz="6" w:space="0" w:color="000000"/>
            </w:tcBorders>
            <w:shd w:val="clear" w:color="auto" w:fill="CFF0FC"/>
            <w:tcMar>
              <w:top w:w="15" w:type="dxa"/>
              <w:left w:w="0" w:type="dxa"/>
              <w:bottom w:w="0" w:type="dxa"/>
              <w:right w:w="15" w:type="dxa"/>
            </w:tcMar>
            <w:hideMark/>
          </w:tcPr>
          <w:p w14:paraId="0FF54C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85" w:type="pct"/>
            <w:shd w:val="clear" w:color="auto" w:fill="CFF0FC"/>
            <w:tcMar>
              <w:top w:w="15" w:type="dxa"/>
              <w:left w:w="0" w:type="dxa"/>
              <w:bottom w:w="0" w:type="dxa"/>
              <w:right w:w="15" w:type="dxa"/>
            </w:tcMar>
            <w:vAlign w:val="bottom"/>
            <w:hideMark/>
          </w:tcPr>
          <w:p w14:paraId="5074D4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0899D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02FCE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443</w:t>
            </w:r>
          </w:p>
        </w:tc>
        <w:tc>
          <w:tcPr>
            <w:tcW w:w="50" w:type="pct"/>
            <w:shd w:val="clear" w:color="auto" w:fill="CFF0FC"/>
            <w:noWrap/>
            <w:tcMar>
              <w:top w:w="15" w:type="dxa"/>
              <w:left w:w="0" w:type="dxa"/>
              <w:bottom w:w="0" w:type="dxa"/>
              <w:right w:w="15" w:type="dxa"/>
            </w:tcMar>
            <w:vAlign w:val="bottom"/>
            <w:hideMark/>
          </w:tcPr>
          <w:p w14:paraId="13AC6F4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5934BB7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5708E6E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w:t>
            </w:r>
          </w:p>
        </w:tc>
        <w:tc>
          <w:tcPr>
            <w:tcW w:w="85" w:type="pct"/>
            <w:shd w:val="clear" w:color="auto" w:fill="CFF0FC"/>
            <w:tcMar>
              <w:top w:w="15" w:type="dxa"/>
              <w:left w:w="0" w:type="dxa"/>
              <w:bottom w:w="0" w:type="dxa"/>
              <w:right w:w="15" w:type="dxa"/>
            </w:tcMar>
            <w:vAlign w:val="bottom"/>
            <w:hideMark/>
          </w:tcPr>
          <w:p w14:paraId="0B8EEC8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051400B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w:t>
            </w:r>
          </w:p>
        </w:tc>
        <w:tc>
          <w:tcPr>
            <w:tcW w:w="85" w:type="pct"/>
            <w:shd w:val="clear" w:color="auto" w:fill="CFF0FC"/>
            <w:tcMar>
              <w:top w:w="15" w:type="dxa"/>
              <w:left w:w="0" w:type="dxa"/>
              <w:bottom w:w="0" w:type="dxa"/>
              <w:right w:w="15" w:type="dxa"/>
            </w:tcMar>
            <w:vAlign w:val="bottom"/>
            <w:hideMark/>
          </w:tcPr>
          <w:p w14:paraId="6B6CE70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BE8540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ED8CC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588</w:t>
            </w:r>
          </w:p>
        </w:tc>
        <w:tc>
          <w:tcPr>
            <w:tcW w:w="50" w:type="pct"/>
            <w:shd w:val="clear" w:color="auto" w:fill="CFF0FC"/>
            <w:noWrap/>
            <w:tcMar>
              <w:top w:w="15" w:type="dxa"/>
              <w:left w:w="0" w:type="dxa"/>
              <w:bottom w:w="0" w:type="dxa"/>
              <w:right w:w="15" w:type="dxa"/>
            </w:tcMar>
            <w:vAlign w:val="bottom"/>
            <w:hideMark/>
          </w:tcPr>
          <w:p w14:paraId="763F8E01"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61C318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Restructuring expenses in fiscal 2019 primarily related to our 2019 Restructuring Plan. Restructuring expenses in fiscal 2018 primarily related to our 2017 Restructuring Plan, which is substantially complete. Our management approved, committed to and initiated these plans in order to restructure and further improve efficiencies in our operations. In the fourth quarter of fiscal 2019, our management supplemented the 2019 Restructuring Plan to reflect additional actions that we expect to take. The total estimated restructuring costs associated with the 2019 Restructuring Plan are up to $584 million, of which approximately $108 million remained as of May 31, 2019, and will be recorded to the restructuring expense line item within our consolidated statements of operations as the costs are incurred through an expected end date during fiscal 2020. Our estimated costs are subject to change in future periods. We may incur additional restructuring expenses in future periods due to the initiation of new restructuring plans or from changes in estimated costs associated with existing restructuring plans</w:t>
      </w:r>
      <w:r>
        <w:rPr>
          <w:rFonts w:ascii="Calibri" w:hAnsi="Calibri" w:cs="Calibri"/>
          <w:color w:val="000000"/>
          <w:sz w:val="20"/>
          <w:szCs w:val="20"/>
        </w:rPr>
        <w:t>.</w:t>
      </w:r>
    </w:p>
    <w:p w14:paraId="52A448E1"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Interest Expense:</w:t>
      </w:r>
    </w:p>
    <w:p w14:paraId="038CB4DC" w14:textId="77777777" w:rsidR="00251D72" w:rsidRDefault="00251D72">
      <w:pPr>
        <w:pStyle w:val="a3"/>
        <w:spacing w:before="0" w:beforeAutospacing="0" w:after="0" w:afterAutospacing="0"/>
        <w:rPr>
          <w:rFonts w:ascii="Calibri" w:hAnsi="Calibri" w:cs="Calibri"/>
          <w:sz w:val="12"/>
          <w:szCs w:val="12"/>
        </w:rPr>
      </w:pPr>
      <w:r>
        <w:rPr>
          <w:rFonts w:ascii="Calibri" w:hAnsi="Calibri" w:cs="Calibri"/>
          <w:sz w:val="12"/>
          <w:szCs w:val="12"/>
        </w:rPr>
        <w:t> </w:t>
      </w:r>
    </w:p>
    <w:tbl>
      <w:tblPr>
        <w:tblW w:w="5000" w:type="pct"/>
        <w:jc w:val="center"/>
        <w:tblCellMar>
          <w:left w:w="0" w:type="dxa"/>
          <w:right w:w="0" w:type="dxa"/>
        </w:tblCellMar>
        <w:tblLook w:val="04A0" w:firstRow="1" w:lastRow="0" w:firstColumn="1" w:lastColumn="0" w:noHBand="0" w:noVBand="1"/>
      </w:tblPr>
      <w:tblGrid>
        <w:gridCol w:w="4189"/>
        <w:gridCol w:w="135"/>
        <w:gridCol w:w="117"/>
        <w:gridCol w:w="713"/>
        <w:gridCol w:w="77"/>
        <w:gridCol w:w="135"/>
        <w:gridCol w:w="879"/>
        <w:gridCol w:w="135"/>
        <w:gridCol w:w="881"/>
        <w:gridCol w:w="135"/>
        <w:gridCol w:w="117"/>
        <w:gridCol w:w="715"/>
        <w:gridCol w:w="78"/>
      </w:tblGrid>
      <w:tr w:rsidR="00251D72" w14:paraId="6459FBEA" w14:textId="77777777">
        <w:trPr>
          <w:divId w:val="1198616723"/>
          <w:jc w:val="center"/>
        </w:trPr>
        <w:tc>
          <w:tcPr>
            <w:tcW w:w="2524" w:type="pct"/>
            <w:shd w:val="clear" w:color="auto" w:fill="FFFFFF"/>
            <w:tcMar>
              <w:top w:w="15" w:type="dxa"/>
              <w:left w:w="0" w:type="dxa"/>
              <w:bottom w:w="0" w:type="dxa"/>
              <w:right w:w="15" w:type="dxa"/>
            </w:tcMar>
            <w:vAlign w:val="center"/>
            <w:hideMark/>
          </w:tcPr>
          <w:p w14:paraId="48031C96" w14:textId="77777777" w:rsidR="00251D72" w:rsidRDefault="00251D72">
            <w:pPr>
              <w:pStyle w:val="a3"/>
              <w:spacing w:before="0" w:beforeAutospacing="0" w:after="0" w:afterAutospacing="0"/>
              <w:rPr>
                <w:sz w:val="15"/>
                <w:szCs w:val="15"/>
              </w:rPr>
            </w:pPr>
            <w:r>
              <w:rPr>
                <w:sz w:val="15"/>
                <w:szCs w:val="15"/>
              </w:rPr>
              <w:t> </w:t>
            </w:r>
          </w:p>
        </w:tc>
        <w:tc>
          <w:tcPr>
            <w:tcW w:w="85" w:type="pct"/>
            <w:shd w:val="clear" w:color="auto" w:fill="FFFFFF"/>
            <w:tcMar>
              <w:top w:w="15" w:type="dxa"/>
              <w:left w:w="0" w:type="dxa"/>
              <w:bottom w:w="0" w:type="dxa"/>
              <w:right w:w="15" w:type="dxa"/>
            </w:tcMar>
            <w:vAlign w:val="bottom"/>
            <w:hideMark/>
          </w:tcPr>
          <w:p w14:paraId="3A6C76F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339" w:type="pct"/>
            <w:gridSpan w:val="10"/>
            <w:tcBorders>
              <w:bottom w:val="single" w:sz="6" w:space="0" w:color="000000"/>
            </w:tcBorders>
            <w:shd w:val="clear" w:color="auto" w:fill="FFFFFF"/>
            <w:tcMar>
              <w:top w:w="15" w:type="dxa"/>
              <w:left w:w="0" w:type="dxa"/>
              <w:bottom w:w="0" w:type="dxa"/>
              <w:right w:w="15" w:type="dxa"/>
            </w:tcMar>
            <w:vAlign w:val="bottom"/>
            <w:hideMark/>
          </w:tcPr>
          <w:p w14:paraId="6E1CBEB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5FCD5C4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80E1FA3" w14:textId="77777777">
        <w:trPr>
          <w:divId w:val="1198616723"/>
          <w:jc w:val="center"/>
        </w:trPr>
        <w:tc>
          <w:tcPr>
            <w:tcW w:w="2524" w:type="pct"/>
            <w:shd w:val="clear" w:color="auto" w:fill="FFFFFF"/>
            <w:tcMar>
              <w:top w:w="15" w:type="dxa"/>
              <w:left w:w="0" w:type="dxa"/>
              <w:bottom w:w="0" w:type="dxa"/>
              <w:right w:w="15" w:type="dxa"/>
            </w:tcMar>
            <w:vAlign w:val="center"/>
            <w:hideMark/>
          </w:tcPr>
          <w:p w14:paraId="6B221DF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16E4846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57B7CD5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414C5FD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2A06670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52ABEEF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8FAFE4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3FFAACE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0EC73CE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0C7966B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2865E4F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34C8C03" w14:textId="77777777">
        <w:trPr>
          <w:divId w:val="1198616723"/>
          <w:jc w:val="center"/>
        </w:trPr>
        <w:tc>
          <w:tcPr>
            <w:tcW w:w="2524" w:type="pct"/>
            <w:tcBorders>
              <w:bottom w:val="single" w:sz="6" w:space="0" w:color="000000"/>
            </w:tcBorders>
            <w:shd w:val="clear" w:color="auto" w:fill="FFFFFF"/>
            <w:tcMar>
              <w:top w:w="15" w:type="dxa"/>
              <w:left w:w="0" w:type="dxa"/>
              <w:bottom w:w="0" w:type="dxa"/>
              <w:right w:w="15" w:type="dxa"/>
            </w:tcMar>
            <w:vAlign w:val="bottom"/>
            <w:hideMark/>
          </w:tcPr>
          <w:p w14:paraId="00E0A1B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left w:w="0" w:type="dxa"/>
              <w:bottom w:w="0" w:type="dxa"/>
              <w:right w:w="15" w:type="dxa"/>
            </w:tcMar>
            <w:vAlign w:val="bottom"/>
            <w:hideMark/>
          </w:tcPr>
          <w:p w14:paraId="44A963E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3169FD5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A27E96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78324AF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71EBA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796B0384"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72DD9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left w:w="0" w:type="dxa"/>
              <w:bottom w:w="0" w:type="dxa"/>
              <w:right w:w="15" w:type="dxa"/>
            </w:tcMar>
            <w:vAlign w:val="bottom"/>
            <w:hideMark/>
          </w:tcPr>
          <w:p w14:paraId="66AB7611"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5ADD5B5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90516E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221A7E1" w14:textId="77777777">
        <w:trPr>
          <w:divId w:val="1198616723"/>
          <w:jc w:val="center"/>
        </w:trPr>
        <w:tc>
          <w:tcPr>
            <w:tcW w:w="2524" w:type="pct"/>
            <w:tcBorders>
              <w:top w:val="single" w:sz="6" w:space="0" w:color="000000"/>
            </w:tcBorders>
            <w:shd w:val="clear" w:color="auto" w:fill="CFF0FC"/>
            <w:tcMar>
              <w:top w:w="15" w:type="dxa"/>
              <w:left w:w="0" w:type="dxa"/>
              <w:bottom w:w="0" w:type="dxa"/>
              <w:right w:w="15" w:type="dxa"/>
            </w:tcMar>
            <w:hideMark/>
          </w:tcPr>
          <w:p w14:paraId="3AA41EB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Interest expense</w:t>
            </w:r>
          </w:p>
        </w:tc>
        <w:tc>
          <w:tcPr>
            <w:tcW w:w="85" w:type="pct"/>
            <w:shd w:val="clear" w:color="auto" w:fill="CFF0FC"/>
            <w:tcMar>
              <w:top w:w="15" w:type="dxa"/>
              <w:left w:w="0" w:type="dxa"/>
              <w:bottom w:w="0" w:type="dxa"/>
              <w:right w:w="15" w:type="dxa"/>
            </w:tcMar>
            <w:vAlign w:val="bottom"/>
            <w:hideMark/>
          </w:tcPr>
          <w:p w14:paraId="453C15B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1A249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FB5CA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2,082</w:t>
            </w:r>
          </w:p>
        </w:tc>
        <w:tc>
          <w:tcPr>
            <w:tcW w:w="50" w:type="pct"/>
            <w:shd w:val="clear" w:color="auto" w:fill="CFF0FC"/>
            <w:noWrap/>
            <w:tcMar>
              <w:top w:w="15" w:type="dxa"/>
              <w:left w:w="0" w:type="dxa"/>
              <w:bottom w:w="0" w:type="dxa"/>
              <w:right w:w="15" w:type="dxa"/>
            </w:tcMar>
            <w:vAlign w:val="bottom"/>
            <w:hideMark/>
          </w:tcPr>
          <w:p w14:paraId="6C1F10D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7ED5161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4FBC52A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85" w:type="pct"/>
            <w:shd w:val="clear" w:color="auto" w:fill="CFF0FC"/>
            <w:tcMar>
              <w:top w:w="15" w:type="dxa"/>
              <w:left w:w="0" w:type="dxa"/>
              <w:bottom w:w="0" w:type="dxa"/>
              <w:right w:w="15" w:type="dxa"/>
            </w:tcMar>
            <w:vAlign w:val="bottom"/>
            <w:hideMark/>
          </w:tcPr>
          <w:p w14:paraId="06BADD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49C4F14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85" w:type="pct"/>
            <w:shd w:val="clear" w:color="auto" w:fill="CFF0FC"/>
            <w:tcMar>
              <w:top w:w="15" w:type="dxa"/>
              <w:left w:w="0" w:type="dxa"/>
              <w:bottom w:w="0" w:type="dxa"/>
              <w:right w:w="15" w:type="dxa"/>
            </w:tcMar>
            <w:vAlign w:val="bottom"/>
            <w:hideMark/>
          </w:tcPr>
          <w:p w14:paraId="23680A8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968B4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E3B1C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2,025</w:t>
            </w:r>
          </w:p>
        </w:tc>
        <w:tc>
          <w:tcPr>
            <w:tcW w:w="50" w:type="pct"/>
            <w:shd w:val="clear" w:color="auto" w:fill="CFF0FC"/>
            <w:noWrap/>
            <w:tcMar>
              <w:top w:w="15" w:type="dxa"/>
              <w:left w:w="0" w:type="dxa"/>
              <w:bottom w:w="0" w:type="dxa"/>
              <w:right w:w="15" w:type="dxa"/>
            </w:tcMar>
            <w:vAlign w:val="bottom"/>
            <w:hideMark/>
          </w:tcPr>
          <w:p w14:paraId="6A282BB5"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032368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Interest expense increased in fiscal 2019 compared to fiscal 2018 primarily due to higher average borrowings resulting from our issuance of $10.0 billion of senior notes in November 2017, which was partially offset by a reduction in interest expense resulting primarily from the maturities and repayments of $2.0 billion of senior notes during fiscal 2019 and $6.0 billion of senior notes during fiscal 2018.</w:t>
      </w:r>
    </w:p>
    <w:p w14:paraId="2161F5EA"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Non-Operating Income, net:</w:t>
      </w:r>
      <w:r>
        <w:rPr>
          <w:rFonts w:ascii="Calibri" w:hAnsi="Calibri" w:cs="Calibri"/>
          <w:sz w:val="20"/>
          <w:szCs w:val="20"/>
        </w:rPr>
        <w:t xml:space="preserve"> Non-operating income, net consists primarily of interest income, net foreign currency exchange losses, the noncontrolling interests in the net profits of our majority-owned subsidiaries (primarily Oracle Financial Services Software Limited and Oracle Corporation Japan) and net other income, including net recognized gains and losses related to all of our investments, net unrealized gains and losses related to the small portion of our investment portfolio related to our deferred compensation plan, net unrealized gains and losses related to certain equity securities and non-service net periodic pension income (losses).</w:t>
      </w:r>
    </w:p>
    <w:p w14:paraId="4623DFEF"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89"/>
        <w:gridCol w:w="135"/>
        <w:gridCol w:w="117"/>
        <w:gridCol w:w="713"/>
        <w:gridCol w:w="77"/>
        <w:gridCol w:w="135"/>
        <w:gridCol w:w="879"/>
        <w:gridCol w:w="135"/>
        <w:gridCol w:w="881"/>
        <w:gridCol w:w="135"/>
        <w:gridCol w:w="117"/>
        <w:gridCol w:w="715"/>
        <w:gridCol w:w="78"/>
      </w:tblGrid>
      <w:tr w:rsidR="00251D72" w14:paraId="156CA1A0" w14:textId="77777777">
        <w:trPr>
          <w:divId w:val="922684098"/>
          <w:jc w:val="center"/>
        </w:trPr>
        <w:tc>
          <w:tcPr>
            <w:tcW w:w="2524" w:type="pct"/>
            <w:shd w:val="clear" w:color="auto" w:fill="FFFFFF"/>
            <w:tcMar>
              <w:top w:w="15" w:type="dxa"/>
              <w:left w:w="0" w:type="dxa"/>
              <w:bottom w:w="0" w:type="dxa"/>
              <w:right w:w="15" w:type="dxa"/>
            </w:tcMar>
            <w:vAlign w:val="center"/>
            <w:hideMark/>
          </w:tcPr>
          <w:p w14:paraId="6952B873" w14:textId="77777777" w:rsidR="00251D72" w:rsidRDefault="00251D72">
            <w:pPr>
              <w:pStyle w:val="a3"/>
              <w:spacing w:before="0" w:beforeAutospacing="0" w:after="0" w:afterAutospacing="0"/>
              <w:rPr>
                <w:sz w:val="15"/>
                <w:szCs w:val="15"/>
              </w:rPr>
            </w:pPr>
            <w:r>
              <w:rPr>
                <w:sz w:val="15"/>
                <w:szCs w:val="15"/>
              </w:rPr>
              <w:t> </w:t>
            </w:r>
          </w:p>
        </w:tc>
        <w:tc>
          <w:tcPr>
            <w:tcW w:w="85" w:type="pct"/>
            <w:shd w:val="clear" w:color="auto" w:fill="FFFFFF"/>
            <w:tcMar>
              <w:top w:w="15" w:type="dxa"/>
              <w:left w:w="0" w:type="dxa"/>
              <w:bottom w:w="0" w:type="dxa"/>
              <w:right w:w="15" w:type="dxa"/>
            </w:tcMar>
            <w:vAlign w:val="bottom"/>
            <w:hideMark/>
          </w:tcPr>
          <w:p w14:paraId="257B11C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339" w:type="pct"/>
            <w:gridSpan w:val="10"/>
            <w:tcBorders>
              <w:bottom w:val="single" w:sz="6" w:space="0" w:color="000000"/>
            </w:tcBorders>
            <w:shd w:val="clear" w:color="auto" w:fill="FFFFFF"/>
            <w:tcMar>
              <w:top w:w="15" w:type="dxa"/>
              <w:left w:w="0" w:type="dxa"/>
              <w:bottom w:w="0" w:type="dxa"/>
              <w:right w:w="15" w:type="dxa"/>
            </w:tcMar>
            <w:vAlign w:val="bottom"/>
            <w:hideMark/>
          </w:tcPr>
          <w:p w14:paraId="7D66F99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72828D1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898C60C" w14:textId="77777777">
        <w:trPr>
          <w:divId w:val="922684098"/>
          <w:jc w:val="center"/>
        </w:trPr>
        <w:tc>
          <w:tcPr>
            <w:tcW w:w="2524" w:type="pct"/>
            <w:shd w:val="clear" w:color="auto" w:fill="FFFFFF"/>
            <w:tcMar>
              <w:top w:w="15" w:type="dxa"/>
              <w:left w:w="0" w:type="dxa"/>
              <w:bottom w:w="0" w:type="dxa"/>
              <w:right w:w="15" w:type="dxa"/>
            </w:tcMar>
            <w:vAlign w:val="center"/>
            <w:hideMark/>
          </w:tcPr>
          <w:p w14:paraId="038135F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0F0113F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3767912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1B38FF6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74ABEC8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029D375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46168E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08029E1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6777DB5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center"/>
            <w:hideMark/>
          </w:tcPr>
          <w:p w14:paraId="7C2612D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5BAD761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85F269B" w14:textId="77777777">
        <w:trPr>
          <w:divId w:val="922684098"/>
          <w:jc w:val="center"/>
        </w:trPr>
        <w:tc>
          <w:tcPr>
            <w:tcW w:w="2524" w:type="pct"/>
            <w:tcBorders>
              <w:bottom w:val="single" w:sz="6" w:space="0" w:color="000000"/>
            </w:tcBorders>
            <w:shd w:val="clear" w:color="auto" w:fill="FFFFFF"/>
            <w:tcMar>
              <w:top w:w="15" w:type="dxa"/>
              <w:left w:w="0" w:type="dxa"/>
              <w:bottom w:w="0" w:type="dxa"/>
              <w:right w:w="15" w:type="dxa"/>
            </w:tcMar>
            <w:vAlign w:val="bottom"/>
            <w:hideMark/>
          </w:tcPr>
          <w:p w14:paraId="07F284D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left w:w="0" w:type="dxa"/>
              <w:bottom w:w="0" w:type="dxa"/>
              <w:right w:w="15" w:type="dxa"/>
            </w:tcMar>
            <w:vAlign w:val="bottom"/>
            <w:hideMark/>
          </w:tcPr>
          <w:p w14:paraId="7DDEF4B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6D5EC45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79EBF0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50135AC4"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18DE84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0C147B7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D0E98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left w:w="0" w:type="dxa"/>
              <w:bottom w:w="0" w:type="dxa"/>
              <w:right w:w="15" w:type="dxa"/>
            </w:tcMar>
            <w:vAlign w:val="bottom"/>
            <w:hideMark/>
          </w:tcPr>
          <w:p w14:paraId="519CD350"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08637F0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6C0CF6A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D30CC0A" w14:textId="77777777">
        <w:trPr>
          <w:divId w:val="922684098"/>
          <w:jc w:val="center"/>
        </w:trPr>
        <w:tc>
          <w:tcPr>
            <w:tcW w:w="2524" w:type="pct"/>
            <w:tcBorders>
              <w:top w:val="single" w:sz="6" w:space="0" w:color="000000"/>
            </w:tcBorders>
            <w:shd w:val="clear" w:color="auto" w:fill="CFF0FC"/>
            <w:tcMar>
              <w:top w:w="15" w:type="dxa"/>
              <w:left w:w="0" w:type="dxa"/>
              <w:bottom w:w="0" w:type="dxa"/>
              <w:right w:w="15" w:type="dxa"/>
            </w:tcMar>
            <w:hideMark/>
          </w:tcPr>
          <w:p w14:paraId="0558DC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Interest income</w:t>
            </w:r>
          </w:p>
        </w:tc>
        <w:tc>
          <w:tcPr>
            <w:tcW w:w="85" w:type="pct"/>
            <w:shd w:val="clear" w:color="auto" w:fill="CFF0FC"/>
            <w:tcMar>
              <w:top w:w="15" w:type="dxa"/>
              <w:left w:w="0" w:type="dxa"/>
              <w:bottom w:w="0" w:type="dxa"/>
              <w:right w:w="15" w:type="dxa"/>
            </w:tcMar>
            <w:vAlign w:val="bottom"/>
            <w:hideMark/>
          </w:tcPr>
          <w:p w14:paraId="3D02A7D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ED13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0710462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1,092</w:t>
            </w:r>
          </w:p>
        </w:tc>
        <w:tc>
          <w:tcPr>
            <w:tcW w:w="50" w:type="pct"/>
            <w:shd w:val="clear" w:color="auto" w:fill="CFF0FC"/>
            <w:noWrap/>
            <w:tcMar>
              <w:top w:w="15" w:type="dxa"/>
              <w:left w:w="0" w:type="dxa"/>
              <w:bottom w:w="0" w:type="dxa"/>
              <w:right w:w="15" w:type="dxa"/>
            </w:tcMar>
            <w:vAlign w:val="bottom"/>
            <w:hideMark/>
          </w:tcPr>
          <w:p w14:paraId="165EEC3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529851A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3881F19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85" w:type="pct"/>
            <w:shd w:val="clear" w:color="auto" w:fill="CFF0FC"/>
            <w:tcMar>
              <w:top w:w="15" w:type="dxa"/>
              <w:left w:w="0" w:type="dxa"/>
              <w:bottom w:w="0" w:type="dxa"/>
              <w:right w:w="15" w:type="dxa"/>
            </w:tcMar>
            <w:vAlign w:val="bottom"/>
            <w:hideMark/>
          </w:tcPr>
          <w:p w14:paraId="6C1E6AA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65EF3E7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85" w:type="pct"/>
            <w:shd w:val="clear" w:color="auto" w:fill="CFF0FC"/>
            <w:tcMar>
              <w:top w:w="15" w:type="dxa"/>
              <w:left w:w="0" w:type="dxa"/>
              <w:bottom w:w="0" w:type="dxa"/>
              <w:right w:w="15" w:type="dxa"/>
            </w:tcMar>
            <w:vAlign w:val="bottom"/>
            <w:hideMark/>
          </w:tcPr>
          <w:p w14:paraId="263D6B4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D492DC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left w:w="0" w:type="dxa"/>
              <w:bottom w:w="0" w:type="dxa"/>
              <w:right w:w="15" w:type="dxa"/>
            </w:tcMar>
            <w:vAlign w:val="bottom"/>
            <w:hideMark/>
          </w:tcPr>
          <w:p w14:paraId="1B6EF55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1,203</w:t>
            </w:r>
          </w:p>
        </w:tc>
        <w:tc>
          <w:tcPr>
            <w:tcW w:w="50" w:type="pct"/>
            <w:shd w:val="clear" w:color="auto" w:fill="CFF0FC"/>
            <w:noWrap/>
            <w:tcMar>
              <w:top w:w="15" w:type="dxa"/>
              <w:left w:w="0" w:type="dxa"/>
              <w:bottom w:w="0" w:type="dxa"/>
              <w:right w:w="15" w:type="dxa"/>
            </w:tcMar>
            <w:vAlign w:val="bottom"/>
            <w:hideMark/>
          </w:tcPr>
          <w:p w14:paraId="0AC75C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3658823" w14:textId="77777777">
        <w:trPr>
          <w:divId w:val="922684098"/>
          <w:jc w:val="center"/>
        </w:trPr>
        <w:tc>
          <w:tcPr>
            <w:tcW w:w="2524" w:type="pct"/>
            <w:shd w:val="clear" w:color="auto" w:fill="FFFFFF"/>
            <w:tcMar>
              <w:top w:w="15" w:type="dxa"/>
              <w:left w:w="0" w:type="dxa"/>
              <w:bottom w:w="0" w:type="dxa"/>
              <w:right w:w="15" w:type="dxa"/>
            </w:tcMar>
            <w:hideMark/>
          </w:tcPr>
          <w:p w14:paraId="74104F5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85" w:type="pct"/>
            <w:shd w:val="clear" w:color="auto" w:fill="FFFFFF"/>
            <w:tcMar>
              <w:top w:w="15" w:type="dxa"/>
              <w:left w:w="0" w:type="dxa"/>
              <w:bottom w:w="0" w:type="dxa"/>
              <w:right w:w="15" w:type="dxa"/>
            </w:tcMar>
            <w:vAlign w:val="bottom"/>
            <w:hideMark/>
          </w:tcPr>
          <w:p w14:paraId="30C056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C1939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left w:w="0" w:type="dxa"/>
              <w:bottom w:w="0" w:type="dxa"/>
              <w:right w:w="15" w:type="dxa"/>
            </w:tcMar>
            <w:vAlign w:val="bottom"/>
            <w:hideMark/>
          </w:tcPr>
          <w:p w14:paraId="664877A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(111</w:t>
            </w:r>
          </w:p>
        </w:tc>
        <w:tc>
          <w:tcPr>
            <w:tcW w:w="50" w:type="pct"/>
            <w:shd w:val="clear" w:color="auto" w:fill="FFFFFF"/>
            <w:noWrap/>
            <w:tcMar>
              <w:top w:w="15" w:type="dxa"/>
              <w:left w:w="0" w:type="dxa"/>
              <w:bottom w:w="0" w:type="dxa"/>
              <w:right w:w="15" w:type="dxa"/>
            </w:tcMar>
            <w:vAlign w:val="bottom"/>
            <w:hideMark/>
          </w:tcPr>
          <w:p w14:paraId="052218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left w:w="0" w:type="dxa"/>
              <w:bottom w:w="0" w:type="dxa"/>
              <w:right w:w="15" w:type="dxa"/>
            </w:tcMar>
            <w:vAlign w:val="bottom"/>
            <w:hideMark/>
          </w:tcPr>
          <w:p w14:paraId="0814DAD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231C99D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w:t>
            </w:r>
          </w:p>
        </w:tc>
        <w:tc>
          <w:tcPr>
            <w:tcW w:w="85" w:type="pct"/>
            <w:shd w:val="clear" w:color="auto" w:fill="FFFFFF"/>
            <w:tcMar>
              <w:top w:w="15" w:type="dxa"/>
              <w:left w:w="0" w:type="dxa"/>
              <w:bottom w:w="0" w:type="dxa"/>
              <w:right w:w="15" w:type="dxa"/>
            </w:tcMar>
            <w:vAlign w:val="bottom"/>
            <w:hideMark/>
          </w:tcPr>
          <w:p w14:paraId="1B4598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57F3969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62%</w:t>
            </w:r>
          </w:p>
        </w:tc>
        <w:tc>
          <w:tcPr>
            <w:tcW w:w="85" w:type="pct"/>
            <w:shd w:val="clear" w:color="auto" w:fill="FFFFFF"/>
            <w:tcMar>
              <w:top w:w="15" w:type="dxa"/>
              <w:left w:w="0" w:type="dxa"/>
              <w:bottom w:w="0" w:type="dxa"/>
              <w:right w:w="15" w:type="dxa"/>
            </w:tcMar>
            <w:vAlign w:val="bottom"/>
            <w:hideMark/>
          </w:tcPr>
          <w:p w14:paraId="36E4A7B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02422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left w:w="0" w:type="dxa"/>
              <w:bottom w:w="0" w:type="dxa"/>
              <w:right w:w="15" w:type="dxa"/>
            </w:tcMar>
            <w:vAlign w:val="bottom"/>
            <w:hideMark/>
          </w:tcPr>
          <w:p w14:paraId="5AB016D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(74</w:t>
            </w:r>
          </w:p>
        </w:tc>
        <w:tc>
          <w:tcPr>
            <w:tcW w:w="50" w:type="pct"/>
            <w:shd w:val="clear" w:color="auto" w:fill="FFFFFF"/>
            <w:noWrap/>
            <w:tcMar>
              <w:top w:w="15" w:type="dxa"/>
              <w:left w:w="0" w:type="dxa"/>
              <w:bottom w:w="0" w:type="dxa"/>
              <w:right w:w="15" w:type="dxa"/>
            </w:tcMar>
            <w:vAlign w:val="bottom"/>
            <w:hideMark/>
          </w:tcPr>
          <w:p w14:paraId="30687BE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6A4DA232" w14:textId="77777777">
        <w:trPr>
          <w:divId w:val="922684098"/>
          <w:jc w:val="center"/>
        </w:trPr>
        <w:tc>
          <w:tcPr>
            <w:tcW w:w="2524" w:type="pct"/>
            <w:shd w:val="clear" w:color="auto" w:fill="CFF0FC"/>
            <w:tcMar>
              <w:top w:w="15" w:type="dxa"/>
              <w:left w:w="0" w:type="dxa"/>
              <w:bottom w:w="0" w:type="dxa"/>
              <w:right w:w="15" w:type="dxa"/>
            </w:tcMar>
            <w:hideMark/>
          </w:tcPr>
          <w:p w14:paraId="592463E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85" w:type="pct"/>
            <w:shd w:val="clear" w:color="auto" w:fill="CFF0FC"/>
            <w:tcMar>
              <w:top w:w="15" w:type="dxa"/>
              <w:left w:w="0" w:type="dxa"/>
              <w:bottom w:w="0" w:type="dxa"/>
              <w:right w:w="15" w:type="dxa"/>
            </w:tcMar>
            <w:vAlign w:val="bottom"/>
            <w:hideMark/>
          </w:tcPr>
          <w:p w14:paraId="641A8AA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4650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left w:w="0" w:type="dxa"/>
              <w:bottom w:w="0" w:type="dxa"/>
              <w:right w:w="15" w:type="dxa"/>
            </w:tcMar>
            <w:vAlign w:val="bottom"/>
            <w:hideMark/>
          </w:tcPr>
          <w:p w14:paraId="497D00E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(152</w:t>
            </w:r>
          </w:p>
        </w:tc>
        <w:tc>
          <w:tcPr>
            <w:tcW w:w="50" w:type="pct"/>
            <w:shd w:val="clear" w:color="auto" w:fill="CFF0FC"/>
            <w:noWrap/>
            <w:tcMar>
              <w:top w:w="15" w:type="dxa"/>
              <w:left w:w="0" w:type="dxa"/>
              <w:bottom w:w="0" w:type="dxa"/>
              <w:right w:w="15" w:type="dxa"/>
            </w:tcMar>
            <w:vAlign w:val="bottom"/>
            <w:hideMark/>
          </w:tcPr>
          <w:p w14:paraId="5B9905A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left w:w="0" w:type="dxa"/>
              <w:bottom w:w="0" w:type="dxa"/>
              <w:right w:w="15" w:type="dxa"/>
            </w:tcMar>
            <w:vAlign w:val="bottom"/>
            <w:hideMark/>
          </w:tcPr>
          <w:p w14:paraId="187B6A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51A63B1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w:t>
            </w:r>
          </w:p>
        </w:tc>
        <w:tc>
          <w:tcPr>
            <w:tcW w:w="85" w:type="pct"/>
            <w:shd w:val="clear" w:color="auto" w:fill="CFF0FC"/>
            <w:tcMar>
              <w:top w:w="15" w:type="dxa"/>
              <w:left w:w="0" w:type="dxa"/>
              <w:bottom w:w="0" w:type="dxa"/>
              <w:right w:w="15" w:type="dxa"/>
            </w:tcMar>
            <w:vAlign w:val="bottom"/>
            <w:hideMark/>
          </w:tcPr>
          <w:p w14:paraId="7136826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533686F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w:t>
            </w:r>
          </w:p>
        </w:tc>
        <w:tc>
          <w:tcPr>
            <w:tcW w:w="85" w:type="pct"/>
            <w:shd w:val="clear" w:color="auto" w:fill="CFF0FC"/>
            <w:tcMar>
              <w:top w:w="15" w:type="dxa"/>
              <w:left w:w="0" w:type="dxa"/>
              <w:bottom w:w="0" w:type="dxa"/>
              <w:right w:w="15" w:type="dxa"/>
            </w:tcMar>
            <w:vAlign w:val="bottom"/>
            <w:hideMark/>
          </w:tcPr>
          <w:p w14:paraId="6DE44C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56DE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left w:w="0" w:type="dxa"/>
              <w:bottom w:w="0" w:type="dxa"/>
              <w:right w:w="15" w:type="dxa"/>
            </w:tcMar>
            <w:vAlign w:val="bottom"/>
            <w:hideMark/>
          </w:tcPr>
          <w:p w14:paraId="21A6A49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(135</w:t>
            </w:r>
          </w:p>
        </w:tc>
        <w:tc>
          <w:tcPr>
            <w:tcW w:w="50" w:type="pct"/>
            <w:shd w:val="clear" w:color="auto" w:fill="CFF0FC"/>
            <w:noWrap/>
            <w:tcMar>
              <w:top w:w="15" w:type="dxa"/>
              <w:left w:w="0" w:type="dxa"/>
              <w:bottom w:w="0" w:type="dxa"/>
              <w:right w:w="15" w:type="dxa"/>
            </w:tcMar>
            <w:vAlign w:val="bottom"/>
            <w:hideMark/>
          </w:tcPr>
          <w:p w14:paraId="11043AB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5869C3F3" w14:textId="77777777">
        <w:trPr>
          <w:divId w:val="922684098"/>
          <w:jc w:val="center"/>
        </w:trPr>
        <w:tc>
          <w:tcPr>
            <w:tcW w:w="2524" w:type="pct"/>
            <w:shd w:val="clear" w:color="auto" w:fill="FFFFFF"/>
            <w:tcMar>
              <w:top w:w="15" w:type="dxa"/>
              <w:left w:w="0" w:type="dxa"/>
              <w:bottom w:w="0" w:type="dxa"/>
              <w:right w:w="15" w:type="dxa"/>
            </w:tcMar>
            <w:hideMark/>
          </w:tcPr>
          <w:p w14:paraId="3F5453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Other income, net</w:t>
            </w:r>
          </w:p>
        </w:tc>
        <w:tc>
          <w:tcPr>
            <w:tcW w:w="85" w:type="pct"/>
            <w:shd w:val="clear" w:color="auto" w:fill="FFFFFF"/>
            <w:tcMar>
              <w:top w:w="15" w:type="dxa"/>
              <w:left w:w="0" w:type="dxa"/>
              <w:bottom w:w="0" w:type="dxa"/>
              <w:right w:w="15" w:type="dxa"/>
            </w:tcMar>
            <w:vAlign w:val="bottom"/>
            <w:hideMark/>
          </w:tcPr>
          <w:p w14:paraId="2125477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32ED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72BFE97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476CA2A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left w:w="0" w:type="dxa"/>
              <w:bottom w:w="0" w:type="dxa"/>
              <w:right w:w="15" w:type="dxa"/>
            </w:tcMar>
            <w:vAlign w:val="bottom"/>
            <w:hideMark/>
          </w:tcPr>
          <w:p w14:paraId="2DA9608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55E9C05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-107%</w:t>
            </w:r>
          </w:p>
        </w:tc>
        <w:tc>
          <w:tcPr>
            <w:tcW w:w="85" w:type="pct"/>
            <w:shd w:val="clear" w:color="auto" w:fill="FFFFFF"/>
            <w:tcMar>
              <w:top w:w="15" w:type="dxa"/>
              <w:left w:w="0" w:type="dxa"/>
              <w:bottom w:w="0" w:type="dxa"/>
              <w:right w:w="15" w:type="dxa"/>
            </w:tcMar>
            <w:vAlign w:val="bottom"/>
            <w:hideMark/>
          </w:tcPr>
          <w:p w14:paraId="038394A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69EAB17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w:t>
            </w:r>
          </w:p>
        </w:tc>
        <w:tc>
          <w:tcPr>
            <w:tcW w:w="85" w:type="pct"/>
            <w:shd w:val="clear" w:color="auto" w:fill="FFFFFF"/>
            <w:tcMar>
              <w:top w:w="15" w:type="dxa"/>
              <w:left w:w="0" w:type="dxa"/>
              <w:bottom w:w="0" w:type="dxa"/>
              <w:right w:w="15" w:type="dxa"/>
            </w:tcMar>
            <w:vAlign w:val="bottom"/>
            <w:hideMark/>
          </w:tcPr>
          <w:p w14:paraId="6BA72A8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717400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left w:w="0" w:type="dxa"/>
              <w:bottom w:w="0" w:type="dxa"/>
              <w:right w:w="15" w:type="dxa"/>
            </w:tcMar>
            <w:vAlign w:val="bottom"/>
            <w:hideMark/>
          </w:tcPr>
          <w:p w14:paraId="2200355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191</w:t>
            </w:r>
          </w:p>
        </w:tc>
        <w:tc>
          <w:tcPr>
            <w:tcW w:w="50" w:type="pct"/>
            <w:shd w:val="clear" w:color="auto" w:fill="FFFFFF"/>
            <w:noWrap/>
            <w:tcMar>
              <w:top w:w="15" w:type="dxa"/>
              <w:left w:w="0" w:type="dxa"/>
              <w:bottom w:w="0" w:type="dxa"/>
              <w:right w:w="15" w:type="dxa"/>
            </w:tcMar>
            <w:vAlign w:val="bottom"/>
            <w:hideMark/>
          </w:tcPr>
          <w:p w14:paraId="7D0C356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9BD1C98" w14:textId="77777777">
        <w:trPr>
          <w:divId w:val="922684098"/>
          <w:jc w:val="center"/>
        </w:trPr>
        <w:tc>
          <w:tcPr>
            <w:tcW w:w="2524" w:type="pct"/>
            <w:shd w:val="clear" w:color="auto" w:fill="CFF0FC"/>
            <w:tcMar>
              <w:top w:w="15" w:type="dxa"/>
              <w:left w:w="0" w:type="dxa"/>
              <w:bottom w:w="0" w:type="dxa"/>
              <w:right w:w="15" w:type="dxa"/>
            </w:tcMar>
            <w:hideMark/>
          </w:tcPr>
          <w:p w14:paraId="6C8F3424"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non-operating income, net</w:t>
            </w:r>
          </w:p>
        </w:tc>
        <w:tc>
          <w:tcPr>
            <w:tcW w:w="85" w:type="pct"/>
            <w:shd w:val="clear" w:color="auto" w:fill="CFF0FC"/>
            <w:tcMar>
              <w:top w:w="15" w:type="dxa"/>
              <w:left w:w="0" w:type="dxa"/>
              <w:bottom w:w="0" w:type="dxa"/>
              <w:right w:w="15" w:type="dxa"/>
            </w:tcMar>
            <w:vAlign w:val="bottom"/>
            <w:hideMark/>
          </w:tcPr>
          <w:p w14:paraId="4CD0346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7624E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172D6E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815</w:t>
            </w:r>
          </w:p>
        </w:tc>
        <w:tc>
          <w:tcPr>
            <w:tcW w:w="50" w:type="pct"/>
            <w:shd w:val="clear" w:color="auto" w:fill="CFF0FC"/>
            <w:noWrap/>
            <w:tcMar>
              <w:top w:w="15" w:type="dxa"/>
              <w:left w:w="0" w:type="dxa"/>
              <w:bottom w:w="0" w:type="dxa"/>
              <w:right w:w="15" w:type="dxa"/>
            </w:tcMar>
            <w:vAlign w:val="bottom"/>
            <w:hideMark/>
          </w:tcPr>
          <w:p w14:paraId="3DAB816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7791628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1F7DC1C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w:t>
            </w:r>
          </w:p>
        </w:tc>
        <w:tc>
          <w:tcPr>
            <w:tcW w:w="85" w:type="pct"/>
            <w:shd w:val="clear" w:color="auto" w:fill="CFF0FC"/>
            <w:tcMar>
              <w:top w:w="15" w:type="dxa"/>
              <w:left w:w="0" w:type="dxa"/>
              <w:bottom w:w="0" w:type="dxa"/>
              <w:right w:w="15" w:type="dxa"/>
            </w:tcMar>
            <w:vAlign w:val="bottom"/>
            <w:hideMark/>
          </w:tcPr>
          <w:p w14:paraId="367F454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left w:w="0" w:type="dxa"/>
              <w:bottom w:w="0" w:type="dxa"/>
              <w:right w:w="15" w:type="dxa"/>
            </w:tcMar>
            <w:vAlign w:val="bottom"/>
            <w:hideMark/>
          </w:tcPr>
          <w:p w14:paraId="4B90D2A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w:t>
            </w:r>
          </w:p>
        </w:tc>
        <w:tc>
          <w:tcPr>
            <w:tcW w:w="85" w:type="pct"/>
            <w:shd w:val="clear" w:color="auto" w:fill="CFF0FC"/>
            <w:tcMar>
              <w:top w:w="15" w:type="dxa"/>
              <w:left w:w="0" w:type="dxa"/>
              <w:bottom w:w="0" w:type="dxa"/>
              <w:right w:w="15" w:type="dxa"/>
            </w:tcMar>
            <w:vAlign w:val="bottom"/>
            <w:hideMark/>
          </w:tcPr>
          <w:p w14:paraId="0DED930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E2D54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0B880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1,185</w:t>
            </w:r>
          </w:p>
        </w:tc>
        <w:tc>
          <w:tcPr>
            <w:tcW w:w="50" w:type="pct"/>
            <w:shd w:val="clear" w:color="auto" w:fill="CFF0FC"/>
            <w:noWrap/>
            <w:tcMar>
              <w:top w:w="15" w:type="dxa"/>
              <w:left w:w="0" w:type="dxa"/>
              <w:bottom w:w="0" w:type="dxa"/>
              <w:right w:w="15" w:type="dxa"/>
            </w:tcMar>
            <w:vAlign w:val="bottom"/>
            <w:hideMark/>
          </w:tcPr>
          <w:p w14:paraId="416E2638"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26FEBC6D" w14:textId="77777777" w:rsidR="00251D72" w:rsidRDefault="00251D72">
      <w:pPr>
        <w:pStyle w:val="a3"/>
        <w:spacing w:before="0" w:beforeAutospacing="0" w:after="0" w:afterAutospacing="0"/>
        <w:rPr>
          <w:sz w:val="12"/>
          <w:szCs w:val="12"/>
        </w:rPr>
      </w:pPr>
      <w:r>
        <w:rPr>
          <w:sz w:val="12"/>
          <w:szCs w:val="12"/>
        </w:rPr>
        <w:t> </w:t>
      </w:r>
    </w:p>
    <w:p w14:paraId="158F66D6"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52</w:t>
      </w:r>
    </w:p>
    <w:p w14:paraId="3968CCED" w14:textId="77777777" w:rsidR="00251D72" w:rsidRDefault="00251D72">
      <w:pPr>
        <w:rPr>
          <w:rFonts w:ascii="Times New Roman" w:eastAsia="Times New Roman" w:hAnsi="Times New Roman" w:cs="Times New Roman"/>
          <w:sz w:val="24"/>
          <w:szCs w:val="24"/>
        </w:rPr>
      </w:pPr>
      <w:r>
        <w:rPr>
          <w:rFonts w:eastAsia="Times New Roman"/>
        </w:rPr>
        <w:pict w14:anchorId="30BE0EA3">
          <v:rect id="_x0000_i1078" style="width:415.3pt;height:1.5pt" o:hralign="center" o:hrstd="t" o:hr="t" fillcolor="#a0a0a0" stroked="f"/>
        </w:pict>
      </w:r>
    </w:p>
    <w:p w14:paraId="048A67E2"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CBFFD07"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C5ACAA8" w14:textId="77777777" w:rsidR="00251D72" w:rsidRDefault="00251D72">
      <w:pPr>
        <w:pStyle w:val="a3"/>
        <w:spacing w:before="120" w:beforeAutospacing="0" w:after="0" w:afterAutospacing="0"/>
        <w:rPr>
          <w:sz w:val="20"/>
          <w:szCs w:val="20"/>
        </w:rPr>
      </w:pPr>
      <w:r>
        <w:rPr>
          <w:sz w:val="20"/>
          <w:szCs w:val="20"/>
        </w:rPr>
        <w:t> </w:t>
      </w:r>
    </w:p>
    <w:p w14:paraId="421D9C6C" w14:textId="77777777" w:rsidR="00251D72" w:rsidRDefault="00251D72">
      <w:pPr>
        <w:pStyle w:val="a3"/>
        <w:spacing w:before="0" w:beforeAutospacing="0" w:after="0" w:afterAutospacing="0"/>
        <w:jc w:val="both"/>
        <w:rPr>
          <w:rFonts w:ascii="Calibri" w:hAnsi="Calibri" w:cs="Calibri"/>
          <w:sz w:val="20"/>
          <w:szCs w:val="20"/>
        </w:rPr>
      </w:pPr>
      <w:bookmarkStart w:id="68" w:name="_AEIOULastRenderedPageBreakAEIOU55"/>
      <w:bookmarkEnd w:id="68"/>
      <w:r>
        <w:rPr>
          <w:rFonts w:ascii="Calibri" w:hAnsi="Calibri" w:cs="Calibri"/>
          <w:sz w:val="20"/>
          <w:szCs w:val="20"/>
        </w:rPr>
        <w:t>On a constant currency basis, our non-operating income, net decreased in fiscal 2019 compared to fiscal 2018 primarily due to decreases in other income, net in fiscal 2019, which was primarily attributable to realized gains on the sale of certain marketable securities during fiscal 2018, and lower interest income in fiscal 2019 primarily due to lower average cash, cash equivalent and marketable securities balances during fiscal 2019.</w:t>
      </w:r>
    </w:p>
    <w:p w14:paraId="0506ABC9" w14:textId="77777777" w:rsidR="00251D72" w:rsidRDefault="00251D72">
      <w:pPr>
        <w:pStyle w:val="a3"/>
        <w:spacing w:before="120" w:beforeAutospacing="0" w:after="120" w:afterAutospacing="0"/>
        <w:jc w:val="both"/>
        <w:rPr>
          <w:rFonts w:ascii="Calibri" w:hAnsi="Calibri" w:cs="Calibri"/>
          <w:b/>
          <w:bCs/>
          <w:i/>
          <w:iCs/>
          <w:sz w:val="20"/>
          <w:szCs w:val="20"/>
        </w:rPr>
      </w:pPr>
      <w:r>
        <w:rPr>
          <w:rFonts w:ascii="Calibri" w:hAnsi="Calibri" w:cs="Calibri"/>
          <w:b/>
          <w:bCs/>
          <w:i/>
          <w:iCs/>
          <w:sz w:val="20"/>
          <w:szCs w:val="20"/>
        </w:rPr>
        <w:t>Provision for Income Taxes:</w:t>
      </w:r>
      <w:r>
        <w:rPr>
          <w:rFonts w:ascii="Calibri" w:hAnsi="Calibri" w:cs="Calibri"/>
          <w:sz w:val="20"/>
          <w:szCs w:val="20"/>
        </w:rPr>
        <w:t xml:space="preserve"> Our effective income tax rates for each of the periods presented were the result of the mix of income earned in various tax jurisdictions that apply a broad range of income tax rates. In fiscal 2018, the Tax Act was signed into law. The more significant provisions of the Tax Act as applicable to us are described above under “Impacts of the U.S. Tax Cuts and Jobs Act of 2017”. Refer to Note 14 of Notes to Consolidated Financial Statements included elsewhere in this Annual Report for a discussion regarding the differences between the effective income tax rates as presented for the periods below and the U.S. federal statutory income tax rates that were in effect during these periods. Future effective income tax rates could be adversely affected by an unfavorable shift of earnings weighted to jurisdictions with higher tax rates, by unfavorable changes in tax laws and regulations, by adverse rulings in tax related litigation, or by shortfalls in stock-based compensation realized by employees relative to stock-based compensation that was recorded for book purposes, among others. </w:t>
      </w:r>
    </w:p>
    <w:tbl>
      <w:tblPr>
        <w:tblW w:w="5000" w:type="pct"/>
        <w:jc w:val="center"/>
        <w:tblCellMar>
          <w:left w:w="0" w:type="dxa"/>
          <w:right w:w="0" w:type="dxa"/>
        </w:tblCellMar>
        <w:tblLook w:val="04A0" w:firstRow="1" w:lastRow="0" w:firstColumn="1" w:lastColumn="0" w:noHBand="0" w:noVBand="1"/>
      </w:tblPr>
      <w:tblGrid>
        <w:gridCol w:w="4202"/>
        <w:gridCol w:w="132"/>
        <w:gridCol w:w="117"/>
        <w:gridCol w:w="713"/>
        <w:gridCol w:w="77"/>
        <w:gridCol w:w="132"/>
        <w:gridCol w:w="879"/>
        <w:gridCol w:w="132"/>
        <w:gridCol w:w="881"/>
        <w:gridCol w:w="132"/>
        <w:gridCol w:w="117"/>
        <w:gridCol w:w="715"/>
        <w:gridCol w:w="77"/>
      </w:tblGrid>
      <w:tr w:rsidR="00251D72" w14:paraId="34338D16" w14:textId="77777777">
        <w:trPr>
          <w:divId w:val="1414430423"/>
          <w:jc w:val="center"/>
        </w:trPr>
        <w:tc>
          <w:tcPr>
            <w:tcW w:w="2533" w:type="pct"/>
            <w:shd w:val="clear" w:color="auto" w:fill="FFFFFF"/>
            <w:tcMar>
              <w:top w:w="15" w:type="dxa"/>
              <w:left w:w="0" w:type="dxa"/>
              <w:bottom w:w="0" w:type="dxa"/>
              <w:right w:w="15" w:type="dxa"/>
            </w:tcMar>
            <w:vAlign w:val="bottom"/>
            <w:hideMark/>
          </w:tcPr>
          <w:p w14:paraId="6BF8FB9C" w14:textId="77777777" w:rsidR="00251D72" w:rsidRDefault="00251D72">
            <w:pPr>
              <w:pStyle w:val="a3"/>
              <w:spacing w:before="0" w:beforeAutospacing="0" w:after="0" w:afterAutospacing="0"/>
              <w:rPr>
                <w:sz w:val="15"/>
                <w:szCs w:val="15"/>
              </w:rPr>
            </w:pPr>
            <w:r>
              <w:rPr>
                <w:sz w:val="15"/>
                <w:szCs w:val="15"/>
              </w:rPr>
              <w:t> </w:t>
            </w:r>
          </w:p>
        </w:tc>
        <w:tc>
          <w:tcPr>
            <w:tcW w:w="83" w:type="pct"/>
            <w:shd w:val="clear" w:color="auto" w:fill="FFFFFF"/>
            <w:tcMar>
              <w:top w:w="15" w:type="dxa"/>
              <w:left w:w="0" w:type="dxa"/>
              <w:bottom w:w="0" w:type="dxa"/>
              <w:right w:w="15" w:type="dxa"/>
            </w:tcMar>
            <w:vAlign w:val="bottom"/>
            <w:hideMark/>
          </w:tcPr>
          <w:p w14:paraId="49D9755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333" w:type="pct"/>
            <w:gridSpan w:val="10"/>
            <w:tcBorders>
              <w:bottom w:val="single" w:sz="6" w:space="0" w:color="000000"/>
            </w:tcBorders>
            <w:shd w:val="clear" w:color="auto" w:fill="FFFFFF"/>
            <w:tcMar>
              <w:top w:w="15" w:type="dxa"/>
              <w:left w:w="0" w:type="dxa"/>
              <w:bottom w:w="0" w:type="dxa"/>
              <w:right w:w="15" w:type="dxa"/>
            </w:tcMar>
            <w:vAlign w:val="bottom"/>
            <w:hideMark/>
          </w:tcPr>
          <w:p w14:paraId="3677C3E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2BA3565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5DA0196" w14:textId="77777777">
        <w:trPr>
          <w:divId w:val="1414430423"/>
          <w:jc w:val="center"/>
        </w:trPr>
        <w:tc>
          <w:tcPr>
            <w:tcW w:w="2533" w:type="pct"/>
            <w:shd w:val="clear" w:color="auto" w:fill="FFFFFF"/>
            <w:tcMar>
              <w:top w:w="15" w:type="dxa"/>
              <w:left w:w="0" w:type="dxa"/>
              <w:bottom w:w="0" w:type="dxa"/>
              <w:right w:w="15" w:type="dxa"/>
            </w:tcMar>
            <w:vAlign w:val="bottom"/>
            <w:hideMark/>
          </w:tcPr>
          <w:p w14:paraId="38B8642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shd w:val="clear" w:color="auto" w:fill="FFFFFF"/>
            <w:tcMar>
              <w:top w:w="15" w:type="dxa"/>
              <w:left w:w="0" w:type="dxa"/>
              <w:bottom w:w="0" w:type="dxa"/>
              <w:right w:w="15" w:type="dxa"/>
            </w:tcMar>
            <w:vAlign w:val="bottom"/>
            <w:hideMark/>
          </w:tcPr>
          <w:p w14:paraId="14E6F9D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C0CA15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bottom"/>
            <w:hideMark/>
          </w:tcPr>
          <w:p w14:paraId="0B96BC2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30BD28D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63D59A6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15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4920FE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4278F59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573B36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left w:w="0" w:type="dxa"/>
              <w:bottom w:w="0" w:type="dxa"/>
              <w:right w:w="15" w:type="dxa"/>
            </w:tcMar>
            <w:vAlign w:val="bottom"/>
            <w:hideMark/>
          </w:tcPr>
          <w:p w14:paraId="32B6135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0E10CEC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737105F" w14:textId="77777777">
        <w:trPr>
          <w:divId w:val="1414430423"/>
          <w:jc w:val="center"/>
        </w:trPr>
        <w:tc>
          <w:tcPr>
            <w:tcW w:w="2533" w:type="pct"/>
            <w:tcBorders>
              <w:bottom w:val="single" w:sz="6" w:space="0" w:color="000000"/>
            </w:tcBorders>
            <w:shd w:val="clear" w:color="auto" w:fill="FFFFFF"/>
            <w:tcMar>
              <w:top w:w="15" w:type="dxa"/>
              <w:left w:w="0" w:type="dxa"/>
              <w:bottom w:w="0" w:type="dxa"/>
              <w:right w:w="15" w:type="dxa"/>
            </w:tcMar>
            <w:vAlign w:val="bottom"/>
            <w:hideMark/>
          </w:tcPr>
          <w:p w14:paraId="077BA80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3" w:type="pct"/>
            <w:shd w:val="clear" w:color="auto" w:fill="FFFFFF"/>
            <w:tcMar>
              <w:top w:w="15" w:type="dxa"/>
              <w:left w:w="0" w:type="dxa"/>
              <w:bottom w:w="0" w:type="dxa"/>
              <w:right w:w="15" w:type="dxa"/>
            </w:tcMar>
            <w:vAlign w:val="bottom"/>
            <w:hideMark/>
          </w:tcPr>
          <w:p w14:paraId="2DEA6B9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152E3F2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A3A411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shd w:val="clear" w:color="auto" w:fill="FFFFFF"/>
            <w:tcMar>
              <w:top w:w="15" w:type="dxa"/>
              <w:left w:w="0" w:type="dxa"/>
              <w:bottom w:w="0" w:type="dxa"/>
              <w:right w:w="15" w:type="dxa"/>
            </w:tcMar>
            <w:vAlign w:val="bottom"/>
            <w:hideMark/>
          </w:tcPr>
          <w:p w14:paraId="17E0F65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57244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2618566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EB731E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3" w:type="pct"/>
            <w:shd w:val="clear" w:color="auto" w:fill="FFFFFF"/>
            <w:tcMar>
              <w:top w:w="15" w:type="dxa"/>
              <w:left w:w="0" w:type="dxa"/>
              <w:bottom w:w="0" w:type="dxa"/>
              <w:right w:w="15" w:type="dxa"/>
            </w:tcMar>
            <w:vAlign w:val="bottom"/>
            <w:hideMark/>
          </w:tcPr>
          <w:p w14:paraId="2502B3F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left w:w="0" w:type="dxa"/>
              <w:bottom w:w="0" w:type="dxa"/>
              <w:right w:w="15" w:type="dxa"/>
            </w:tcMar>
            <w:vAlign w:val="bottom"/>
            <w:hideMark/>
          </w:tcPr>
          <w:p w14:paraId="73BE583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684B98F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1BD28E7" w14:textId="77777777">
        <w:trPr>
          <w:divId w:val="1414430423"/>
          <w:jc w:val="center"/>
        </w:trPr>
        <w:tc>
          <w:tcPr>
            <w:tcW w:w="2533" w:type="pct"/>
            <w:tcBorders>
              <w:top w:val="single" w:sz="6" w:space="0" w:color="000000"/>
            </w:tcBorders>
            <w:shd w:val="clear" w:color="auto" w:fill="CFF0FC"/>
            <w:tcMar>
              <w:top w:w="15" w:type="dxa"/>
              <w:left w:w="0" w:type="dxa"/>
              <w:bottom w:w="0" w:type="dxa"/>
              <w:right w:w="15" w:type="dxa"/>
            </w:tcMar>
            <w:hideMark/>
          </w:tcPr>
          <w:p w14:paraId="567BD68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Provision for income taxes</w:t>
            </w:r>
          </w:p>
        </w:tc>
        <w:tc>
          <w:tcPr>
            <w:tcW w:w="83" w:type="pct"/>
            <w:shd w:val="clear" w:color="auto" w:fill="CFF0FC"/>
            <w:tcMar>
              <w:top w:w="15" w:type="dxa"/>
              <w:left w:w="0" w:type="dxa"/>
              <w:bottom w:w="0" w:type="dxa"/>
              <w:right w:w="15" w:type="dxa"/>
            </w:tcMar>
            <w:vAlign w:val="bottom"/>
            <w:hideMark/>
          </w:tcPr>
          <w:p w14:paraId="67E257A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49949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ED6F09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1,185</w:t>
            </w:r>
          </w:p>
        </w:tc>
        <w:tc>
          <w:tcPr>
            <w:tcW w:w="50" w:type="pct"/>
            <w:shd w:val="clear" w:color="auto" w:fill="CFF0FC"/>
            <w:noWrap/>
            <w:tcMar>
              <w:top w:w="15" w:type="dxa"/>
              <w:left w:w="0" w:type="dxa"/>
              <w:bottom w:w="0" w:type="dxa"/>
              <w:right w:w="15" w:type="dxa"/>
            </w:tcMar>
            <w:vAlign w:val="bottom"/>
            <w:hideMark/>
          </w:tcPr>
          <w:p w14:paraId="06D811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2A2008F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2A03B05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-87%</w:t>
            </w:r>
          </w:p>
        </w:tc>
        <w:tc>
          <w:tcPr>
            <w:tcW w:w="83" w:type="pct"/>
            <w:shd w:val="clear" w:color="auto" w:fill="CFF0FC"/>
            <w:tcMar>
              <w:top w:w="15" w:type="dxa"/>
              <w:left w:w="0" w:type="dxa"/>
              <w:bottom w:w="0" w:type="dxa"/>
              <w:right w:w="15" w:type="dxa"/>
            </w:tcMar>
            <w:vAlign w:val="bottom"/>
            <w:hideMark/>
          </w:tcPr>
          <w:p w14:paraId="6A90A2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left w:w="0" w:type="dxa"/>
              <w:bottom w:w="0" w:type="dxa"/>
              <w:right w:w="15" w:type="dxa"/>
            </w:tcMar>
            <w:vAlign w:val="bottom"/>
            <w:hideMark/>
          </w:tcPr>
          <w:p w14:paraId="49AC030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-86%</w:t>
            </w:r>
          </w:p>
        </w:tc>
        <w:tc>
          <w:tcPr>
            <w:tcW w:w="83" w:type="pct"/>
            <w:shd w:val="clear" w:color="auto" w:fill="CFF0FC"/>
            <w:tcMar>
              <w:top w:w="15" w:type="dxa"/>
              <w:left w:w="0" w:type="dxa"/>
              <w:bottom w:w="0" w:type="dxa"/>
              <w:right w:w="15" w:type="dxa"/>
            </w:tcMar>
            <w:vAlign w:val="bottom"/>
            <w:hideMark/>
          </w:tcPr>
          <w:p w14:paraId="66FDF9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4E979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1B135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8,837</w:t>
            </w:r>
          </w:p>
        </w:tc>
        <w:tc>
          <w:tcPr>
            <w:tcW w:w="50" w:type="pct"/>
            <w:shd w:val="clear" w:color="auto" w:fill="CFF0FC"/>
            <w:noWrap/>
            <w:tcMar>
              <w:top w:w="15" w:type="dxa"/>
              <w:left w:w="0" w:type="dxa"/>
              <w:bottom w:w="0" w:type="dxa"/>
              <w:right w:w="15" w:type="dxa"/>
            </w:tcMar>
            <w:vAlign w:val="bottom"/>
            <w:hideMark/>
          </w:tcPr>
          <w:p w14:paraId="3BC1B80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927AB02" w14:textId="77777777">
        <w:trPr>
          <w:divId w:val="1414430423"/>
          <w:jc w:val="center"/>
        </w:trPr>
        <w:tc>
          <w:tcPr>
            <w:tcW w:w="2533" w:type="pct"/>
            <w:shd w:val="clear" w:color="auto" w:fill="FFFFFF"/>
            <w:tcMar>
              <w:top w:w="15" w:type="dxa"/>
              <w:left w:w="0" w:type="dxa"/>
              <w:bottom w:w="0" w:type="dxa"/>
              <w:right w:w="15" w:type="dxa"/>
            </w:tcMar>
            <w:hideMark/>
          </w:tcPr>
          <w:p w14:paraId="20D6E948" w14:textId="77777777" w:rsidR="00251D72" w:rsidRDefault="00251D72">
            <w:pPr>
              <w:pStyle w:val="a3"/>
              <w:spacing w:before="0" w:beforeAutospacing="0" w:after="0" w:afterAutospacing="0"/>
              <w:ind w:left="410"/>
              <w:rPr>
                <w:rFonts w:ascii="Calibri" w:hAnsi="Calibri" w:cs="Calibri"/>
                <w:b/>
                <w:bCs/>
                <w:i/>
                <w:iCs/>
                <w:color w:val="000000"/>
                <w:sz w:val="20"/>
                <w:szCs w:val="20"/>
              </w:rPr>
            </w:pPr>
            <w:r>
              <w:rPr>
                <w:rFonts w:ascii="Calibri" w:hAnsi="Calibri" w:cs="Calibri"/>
                <w:b/>
                <w:bCs/>
                <w:i/>
                <w:iCs/>
                <w:color w:val="000000"/>
                <w:sz w:val="20"/>
                <w:szCs w:val="20"/>
              </w:rPr>
              <w:t>Effective tax rate</w:t>
            </w:r>
          </w:p>
        </w:tc>
        <w:tc>
          <w:tcPr>
            <w:tcW w:w="83" w:type="pct"/>
            <w:shd w:val="clear" w:color="auto" w:fill="FFFFFF"/>
            <w:tcMar>
              <w:top w:w="15" w:type="dxa"/>
              <w:left w:w="0" w:type="dxa"/>
              <w:bottom w:w="0" w:type="dxa"/>
              <w:right w:w="15" w:type="dxa"/>
            </w:tcMar>
            <w:vAlign w:val="bottom"/>
            <w:hideMark/>
          </w:tcPr>
          <w:p w14:paraId="6FC02D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left w:w="0" w:type="dxa"/>
              <w:bottom w:w="0" w:type="dxa"/>
              <w:right w:w="15" w:type="dxa"/>
            </w:tcMar>
            <w:vAlign w:val="bottom"/>
            <w:hideMark/>
          </w:tcPr>
          <w:p w14:paraId="3AAF7EF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9.7%</w:t>
            </w:r>
          </w:p>
        </w:tc>
        <w:tc>
          <w:tcPr>
            <w:tcW w:w="50" w:type="pct"/>
            <w:shd w:val="clear" w:color="auto" w:fill="FFFFFF"/>
            <w:noWrap/>
            <w:tcMar>
              <w:top w:w="15" w:type="dxa"/>
              <w:left w:w="0" w:type="dxa"/>
              <w:bottom w:w="0" w:type="dxa"/>
              <w:right w:w="15" w:type="dxa"/>
            </w:tcMar>
            <w:vAlign w:val="bottom"/>
            <w:hideMark/>
          </w:tcPr>
          <w:p w14:paraId="79A7CDA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3588A74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5685359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4F64C40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left w:w="0" w:type="dxa"/>
              <w:bottom w:w="0" w:type="dxa"/>
              <w:right w:w="15" w:type="dxa"/>
            </w:tcMar>
            <w:vAlign w:val="bottom"/>
            <w:hideMark/>
          </w:tcPr>
          <w:p w14:paraId="67C238C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210844F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left w:w="0" w:type="dxa"/>
              <w:bottom w:w="0" w:type="dxa"/>
              <w:right w:w="15" w:type="dxa"/>
            </w:tcMar>
            <w:vAlign w:val="bottom"/>
            <w:hideMark/>
          </w:tcPr>
          <w:p w14:paraId="554B87E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71.1%</w:t>
            </w:r>
          </w:p>
        </w:tc>
        <w:tc>
          <w:tcPr>
            <w:tcW w:w="50" w:type="pct"/>
            <w:shd w:val="clear" w:color="auto" w:fill="FFFFFF"/>
            <w:noWrap/>
            <w:tcMar>
              <w:top w:w="15" w:type="dxa"/>
              <w:left w:w="0" w:type="dxa"/>
              <w:bottom w:w="0" w:type="dxa"/>
              <w:right w:w="15" w:type="dxa"/>
            </w:tcMar>
            <w:vAlign w:val="bottom"/>
            <w:hideMark/>
          </w:tcPr>
          <w:p w14:paraId="4DAAB67D"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1D83E2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Provision for income taxes decreased in fiscal 2019 relative to fiscal 2018 primarily due to the absence of the initial accounting charges related to the Tax Act that were recorded in fiscal 2018. To a lesser extent, provision for income taxes also decreased in fiscal 2019 due to the net favorable impacts of our final accounting for the Tax Act in fiscal 2019; the net favorable impacts of the Tax Act on our tax profile during fiscal 2019; the favorable impact of a tax benefit arising from an increase in a deferred tax asset associated with a partial realignment of our legal structure in fiscal 2019; and lower income before provision for income taxes in fiscal 2019. These decreases to our provision for income taxes in fiscal 2019 relative to fiscal 2018 were partially offset both by lower excess tax benefits related to stock-based compensation expense in fiscal 2019, and by less favorable changes in net unrecognized tax benefits due to settlements with tax authorities and other events in fiscal 2019 relative to fiscal 2018.</w:t>
      </w:r>
    </w:p>
    <w:p w14:paraId="0FD50A27"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Liquidity and Capital Resources</w:t>
      </w:r>
    </w:p>
    <w:p w14:paraId="7AF3459E"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328"/>
        <w:gridCol w:w="117"/>
        <w:gridCol w:w="775"/>
        <w:gridCol w:w="74"/>
        <w:gridCol w:w="129"/>
        <w:gridCol w:w="861"/>
        <w:gridCol w:w="130"/>
        <w:gridCol w:w="117"/>
        <w:gridCol w:w="700"/>
        <w:gridCol w:w="75"/>
      </w:tblGrid>
      <w:tr w:rsidR="00251D72" w14:paraId="7CF3FF43" w14:textId="77777777">
        <w:trPr>
          <w:divId w:val="1410884540"/>
          <w:jc w:val="center"/>
        </w:trPr>
        <w:tc>
          <w:tcPr>
            <w:tcW w:w="3212" w:type="pct"/>
            <w:shd w:val="clear" w:color="auto" w:fill="FFFFFF"/>
            <w:tcMar>
              <w:top w:w="15" w:type="dxa"/>
              <w:left w:w="0" w:type="dxa"/>
              <w:bottom w:w="0" w:type="dxa"/>
              <w:right w:w="15" w:type="dxa"/>
            </w:tcMar>
            <w:vAlign w:val="bottom"/>
            <w:hideMark/>
          </w:tcPr>
          <w:p w14:paraId="61C2BB3A" w14:textId="77777777" w:rsidR="00251D72" w:rsidRDefault="00251D72">
            <w:pPr>
              <w:pStyle w:val="a3"/>
              <w:spacing w:before="0" w:beforeAutospacing="0" w:after="0" w:afterAutospacing="0"/>
              <w:rPr>
                <w:sz w:val="15"/>
                <w:szCs w:val="15"/>
              </w:rPr>
            </w:pPr>
            <w:r>
              <w:rPr>
                <w:sz w:val="15"/>
                <w:szCs w:val="15"/>
              </w:rPr>
              <w:t> </w:t>
            </w:r>
          </w:p>
        </w:tc>
        <w:tc>
          <w:tcPr>
            <w:tcW w:w="1737" w:type="pct"/>
            <w:gridSpan w:val="8"/>
            <w:tcBorders>
              <w:bottom w:val="single" w:sz="6" w:space="0" w:color="000000"/>
            </w:tcBorders>
            <w:shd w:val="clear" w:color="auto" w:fill="FFFFFF"/>
            <w:tcMar>
              <w:top w:w="15" w:type="dxa"/>
              <w:left w:w="0" w:type="dxa"/>
              <w:bottom w:w="0" w:type="dxa"/>
              <w:right w:w="15" w:type="dxa"/>
            </w:tcMar>
            <w:vAlign w:val="bottom"/>
            <w:hideMark/>
          </w:tcPr>
          <w:p w14:paraId="0695919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of May 31,</w:t>
            </w:r>
          </w:p>
        </w:tc>
        <w:tc>
          <w:tcPr>
            <w:tcW w:w="50" w:type="pct"/>
            <w:shd w:val="clear" w:color="auto" w:fill="FFFFFF"/>
            <w:noWrap/>
            <w:tcMar>
              <w:top w:w="15" w:type="dxa"/>
              <w:left w:w="0" w:type="dxa"/>
              <w:bottom w:w="0" w:type="dxa"/>
              <w:right w:w="15" w:type="dxa"/>
            </w:tcMar>
            <w:vAlign w:val="bottom"/>
            <w:hideMark/>
          </w:tcPr>
          <w:p w14:paraId="32FF087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D4AF753" w14:textId="77777777">
        <w:trPr>
          <w:divId w:val="1410884540"/>
          <w:jc w:val="center"/>
        </w:trPr>
        <w:tc>
          <w:tcPr>
            <w:tcW w:w="3212" w:type="pct"/>
            <w:tcBorders>
              <w:bottom w:val="single" w:sz="6" w:space="0" w:color="000000"/>
            </w:tcBorders>
            <w:shd w:val="clear" w:color="auto" w:fill="FFFFFF"/>
            <w:tcMar>
              <w:top w:w="15" w:type="dxa"/>
              <w:left w:w="0" w:type="dxa"/>
              <w:bottom w:w="0" w:type="dxa"/>
              <w:right w:w="15" w:type="dxa"/>
            </w:tcMar>
            <w:vAlign w:val="bottom"/>
            <w:hideMark/>
          </w:tcPr>
          <w:p w14:paraId="3794A53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2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C936D8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1EDD842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332370CF" w14:textId="77777777" w:rsidR="00251D72" w:rsidRDefault="00251D72">
            <w:pPr>
              <w:pStyle w:val="a3"/>
              <w:spacing w:before="0" w:beforeAutospacing="0" w:after="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52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AB883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5C95B012" w14:textId="77777777" w:rsidR="00251D72" w:rsidRDefault="00251D72">
            <w:pPr>
              <w:pStyle w:val="a3"/>
              <w:spacing w:before="0" w:beforeAutospacing="0" w:after="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47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9099B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767343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D27257A" w14:textId="77777777">
        <w:trPr>
          <w:divId w:val="1410884540"/>
          <w:jc w:val="center"/>
        </w:trPr>
        <w:tc>
          <w:tcPr>
            <w:tcW w:w="3212" w:type="pct"/>
            <w:tcBorders>
              <w:top w:val="single" w:sz="6" w:space="0" w:color="000000"/>
            </w:tcBorders>
            <w:shd w:val="clear" w:color="auto" w:fill="CFF0FC"/>
            <w:tcMar>
              <w:top w:w="15" w:type="dxa"/>
              <w:left w:w="0" w:type="dxa"/>
              <w:bottom w:w="0" w:type="dxa"/>
              <w:right w:w="15" w:type="dxa"/>
            </w:tcMar>
            <w:hideMark/>
          </w:tcPr>
          <w:p w14:paraId="1FFF00B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Working capital</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4CB7D5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72" w:type="pct"/>
            <w:tcBorders>
              <w:top w:val="single" w:sz="6" w:space="0" w:color="000000"/>
            </w:tcBorders>
            <w:shd w:val="clear" w:color="auto" w:fill="CFF0FC"/>
            <w:noWrap/>
            <w:tcMar>
              <w:top w:w="15" w:type="dxa"/>
              <w:left w:w="0" w:type="dxa"/>
              <w:bottom w:w="0" w:type="dxa"/>
              <w:right w:w="15" w:type="dxa"/>
            </w:tcMar>
            <w:vAlign w:val="bottom"/>
            <w:hideMark/>
          </w:tcPr>
          <w:p w14:paraId="5D936A8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27,756</w:t>
            </w:r>
          </w:p>
        </w:tc>
        <w:tc>
          <w:tcPr>
            <w:tcW w:w="50" w:type="pct"/>
            <w:shd w:val="clear" w:color="auto" w:fill="CFF0FC"/>
            <w:noWrap/>
            <w:tcMar>
              <w:top w:w="15" w:type="dxa"/>
              <w:left w:w="0" w:type="dxa"/>
              <w:bottom w:w="0" w:type="dxa"/>
              <w:right w:w="15" w:type="dxa"/>
            </w:tcMar>
            <w:vAlign w:val="bottom"/>
            <w:hideMark/>
          </w:tcPr>
          <w:p w14:paraId="7B6AE90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4F79A00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23" w:type="pct"/>
            <w:tcBorders>
              <w:top w:val="single" w:sz="6" w:space="0" w:color="000000"/>
            </w:tcBorders>
            <w:shd w:val="clear" w:color="auto" w:fill="CFF0FC"/>
            <w:tcMar>
              <w:top w:w="15" w:type="dxa"/>
              <w:left w:w="0" w:type="dxa"/>
              <w:bottom w:w="0" w:type="dxa"/>
              <w:right w:w="15" w:type="dxa"/>
            </w:tcMar>
            <w:vAlign w:val="bottom"/>
            <w:hideMark/>
          </w:tcPr>
          <w:p w14:paraId="07FD36A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w:t>
            </w:r>
          </w:p>
        </w:tc>
        <w:tc>
          <w:tcPr>
            <w:tcW w:w="83" w:type="pct"/>
            <w:shd w:val="clear" w:color="auto" w:fill="CFF0FC"/>
            <w:tcMar>
              <w:top w:w="15" w:type="dxa"/>
              <w:left w:w="0" w:type="dxa"/>
              <w:bottom w:w="0" w:type="dxa"/>
              <w:right w:w="15" w:type="dxa"/>
            </w:tcMar>
            <w:vAlign w:val="bottom"/>
            <w:hideMark/>
          </w:tcPr>
          <w:p w14:paraId="1825DBF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754B6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3" w:type="pct"/>
            <w:tcBorders>
              <w:top w:val="single" w:sz="6" w:space="0" w:color="000000"/>
            </w:tcBorders>
            <w:shd w:val="clear" w:color="auto" w:fill="CFF0FC"/>
            <w:noWrap/>
            <w:tcMar>
              <w:top w:w="15" w:type="dxa"/>
              <w:left w:w="0" w:type="dxa"/>
              <w:bottom w:w="0" w:type="dxa"/>
              <w:right w:w="15" w:type="dxa"/>
            </w:tcMar>
            <w:vAlign w:val="bottom"/>
            <w:hideMark/>
          </w:tcPr>
          <w:p w14:paraId="51DAAE1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57,035</w:t>
            </w:r>
          </w:p>
        </w:tc>
        <w:tc>
          <w:tcPr>
            <w:tcW w:w="50" w:type="pct"/>
            <w:shd w:val="clear" w:color="auto" w:fill="CFF0FC"/>
            <w:noWrap/>
            <w:tcMar>
              <w:top w:w="15" w:type="dxa"/>
              <w:left w:w="0" w:type="dxa"/>
              <w:bottom w:w="0" w:type="dxa"/>
              <w:right w:w="15" w:type="dxa"/>
            </w:tcMar>
            <w:vAlign w:val="bottom"/>
            <w:hideMark/>
          </w:tcPr>
          <w:p w14:paraId="4D55BC5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9B6521C" w14:textId="77777777">
        <w:trPr>
          <w:divId w:val="1410884540"/>
          <w:jc w:val="center"/>
        </w:trPr>
        <w:tc>
          <w:tcPr>
            <w:tcW w:w="3212" w:type="pct"/>
            <w:shd w:val="clear" w:color="auto" w:fill="FFFFFF"/>
            <w:tcMar>
              <w:top w:w="15" w:type="dxa"/>
              <w:left w:w="0" w:type="dxa"/>
              <w:bottom w:w="0" w:type="dxa"/>
              <w:right w:w="15" w:type="dxa"/>
            </w:tcMar>
            <w:hideMark/>
          </w:tcPr>
          <w:p w14:paraId="11D5AB4A"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Cash, cash equivalents and marketable securities</w:t>
            </w:r>
          </w:p>
        </w:tc>
        <w:tc>
          <w:tcPr>
            <w:tcW w:w="50" w:type="pct"/>
            <w:shd w:val="clear" w:color="auto" w:fill="FFFFFF"/>
            <w:noWrap/>
            <w:tcMar>
              <w:top w:w="15" w:type="dxa"/>
              <w:left w:w="0" w:type="dxa"/>
              <w:bottom w:w="0" w:type="dxa"/>
              <w:right w:w="15" w:type="dxa"/>
            </w:tcMar>
            <w:vAlign w:val="bottom"/>
            <w:hideMark/>
          </w:tcPr>
          <w:p w14:paraId="4D18F3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72" w:type="pct"/>
            <w:shd w:val="clear" w:color="auto" w:fill="FFFFFF"/>
            <w:noWrap/>
            <w:tcMar>
              <w:top w:w="15" w:type="dxa"/>
              <w:left w:w="0" w:type="dxa"/>
              <w:bottom w:w="0" w:type="dxa"/>
              <w:right w:w="15" w:type="dxa"/>
            </w:tcMar>
            <w:vAlign w:val="bottom"/>
            <w:hideMark/>
          </w:tcPr>
          <w:p w14:paraId="51556DB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37,827</w:t>
            </w:r>
          </w:p>
        </w:tc>
        <w:tc>
          <w:tcPr>
            <w:tcW w:w="50" w:type="pct"/>
            <w:shd w:val="clear" w:color="auto" w:fill="FFFFFF"/>
            <w:noWrap/>
            <w:tcMar>
              <w:top w:w="15" w:type="dxa"/>
              <w:left w:w="0" w:type="dxa"/>
              <w:bottom w:w="0" w:type="dxa"/>
              <w:right w:w="15" w:type="dxa"/>
            </w:tcMar>
            <w:vAlign w:val="bottom"/>
            <w:hideMark/>
          </w:tcPr>
          <w:p w14:paraId="555F6E9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4922273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23" w:type="pct"/>
            <w:shd w:val="clear" w:color="auto" w:fill="FFFFFF"/>
            <w:tcMar>
              <w:top w:w="15" w:type="dxa"/>
              <w:left w:w="0" w:type="dxa"/>
              <w:bottom w:w="0" w:type="dxa"/>
              <w:right w:w="15" w:type="dxa"/>
            </w:tcMar>
            <w:vAlign w:val="bottom"/>
            <w:hideMark/>
          </w:tcPr>
          <w:p w14:paraId="3E464D3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w:t>
            </w:r>
          </w:p>
        </w:tc>
        <w:tc>
          <w:tcPr>
            <w:tcW w:w="83" w:type="pct"/>
            <w:shd w:val="clear" w:color="auto" w:fill="FFFFFF"/>
            <w:tcMar>
              <w:top w:w="15" w:type="dxa"/>
              <w:left w:w="0" w:type="dxa"/>
              <w:bottom w:w="0" w:type="dxa"/>
              <w:right w:w="15" w:type="dxa"/>
            </w:tcMar>
            <w:vAlign w:val="bottom"/>
            <w:hideMark/>
          </w:tcPr>
          <w:p w14:paraId="2A0CABE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2B282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3" w:type="pct"/>
            <w:shd w:val="clear" w:color="auto" w:fill="FFFFFF"/>
            <w:noWrap/>
            <w:tcMar>
              <w:top w:w="15" w:type="dxa"/>
              <w:left w:w="0" w:type="dxa"/>
              <w:bottom w:w="0" w:type="dxa"/>
              <w:right w:w="15" w:type="dxa"/>
            </w:tcMar>
            <w:vAlign w:val="bottom"/>
            <w:hideMark/>
          </w:tcPr>
          <w:p w14:paraId="69B0A10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67,261</w:t>
            </w:r>
          </w:p>
        </w:tc>
        <w:tc>
          <w:tcPr>
            <w:tcW w:w="50" w:type="pct"/>
            <w:shd w:val="clear" w:color="auto" w:fill="FFFFFF"/>
            <w:noWrap/>
            <w:tcMar>
              <w:top w:w="15" w:type="dxa"/>
              <w:left w:w="0" w:type="dxa"/>
              <w:bottom w:w="0" w:type="dxa"/>
              <w:right w:w="15" w:type="dxa"/>
            </w:tcMar>
            <w:vAlign w:val="bottom"/>
            <w:hideMark/>
          </w:tcPr>
          <w:p w14:paraId="381E9E93"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278B472"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sz w:val="20"/>
          <w:szCs w:val="20"/>
        </w:rPr>
        <w:t xml:space="preserve"> The decrease in working capital as of May 31, 2019 in comparison to May 31, 2018 was primarily due to $36.1 billion of cash used for repurchases of our common stock, the reclassification of $4.5 billion of long-term senior notes as a current liability and cash used to pay dividends to our stockholders during fiscal 2019. These unfavorable impacts were partially offset by the favorable effects to our net current assets resulting from our net income during fiscal 2019 and, to a lesser extent, proceeds from stock option exercises.</w:t>
      </w:r>
    </w:p>
    <w:p w14:paraId="5BAF3CB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working capital may be impacted by some or all of the aforementioned factors in future periods, the amounts and timing of which are variable. </w:t>
      </w:r>
    </w:p>
    <w:p w14:paraId="6CB87D36" w14:textId="77777777" w:rsidR="00251D72" w:rsidRDefault="00251D72">
      <w:pPr>
        <w:pStyle w:val="a3"/>
        <w:spacing w:before="120" w:beforeAutospacing="0" w:after="0" w:afterAutospacing="0"/>
        <w:jc w:val="both"/>
        <w:rPr>
          <w:rFonts w:ascii="Calibri" w:hAnsi="Calibri" w:cs="Calibri"/>
          <w:b/>
          <w:bCs/>
          <w:i/>
          <w:iCs/>
          <w:sz w:val="20"/>
          <w:szCs w:val="20"/>
        </w:rPr>
      </w:pPr>
      <w:bookmarkStart w:id="69" w:name="_AEIOULastRenderedPageBreakAEIOU56"/>
      <w:bookmarkEnd w:id="69"/>
      <w:r>
        <w:rPr>
          <w:rFonts w:ascii="Calibri" w:hAnsi="Calibri" w:cs="Calibri"/>
          <w:b/>
          <w:bCs/>
          <w:i/>
          <w:iCs/>
          <w:sz w:val="20"/>
          <w:szCs w:val="20"/>
        </w:rPr>
        <w:t>Cash, cash equivalents and marketable securities:</w:t>
      </w:r>
      <w:r>
        <w:rPr>
          <w:rFonts w:ascii="Calibri" w:hAnsi="Calibri" w:cs="Calibri"/>
          <w:sz w:val="20"/>
          <w:szCs w:val="20"/>
        </w:rPr>
        <w:t xml:space="preserve"> Cash and cash equivalents primarily consist of deposits held at major banks, Tier-1 commercial paper and other securities with original maturities of 90 days or less. Marketable securities consist of Tier-1 commercial paper debt securities, corporate debt securities and certain other securities. The decrease in cash, cash equivalents and marketable securities at May 31, 2019 in comparison to May 31, 2018 was primarily due to $36.1 billion used for repurchases of our common stock, the repayment of $4.5 billion of borrowings, payments of cash dividends to our stockholders and cash used for capital expenditures. These cash </w:t>
      </w:r>
    </w:p>
    <w:p w14:paraId="7CA866D1"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53</w:t>
      </w:r>
    </w:p>
    <w:p w14:paraId="637D56D6" w14:textId="77777777" w:rsidR="00251D72" w:rsidRDefault="00251D72">
      <w:pPr>
        <w:rPr>
          <w:rFonts w:ascii="Times New Roman" w:eastAsia="Times New Roman" w:hAnsi="Times New Roman" w:cs="Times New Roman"/>
          <w:sz w:val="24"/>
          <w:szCs w:val="24"/>
        </w:rPr>
      </w:pPr>
      <w:r>
        <w:rPr>
          <w:rFonts w:eastAsia="Times New Roman"/>
        </w:rPr>
        <w:pict w14:anchorId="06444169">
          <v:rect id="_x0000_i1079" style="width:415.3pt;height:1.5pt" o:hralign="center" o:hrstd="t" o:hr="t" fillcolor="#a0a0a0" stroked="f"/>
        </w:pict>
      </w:r>
    </w:p>
    <w:p w14:paraId="5A7933C5"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6C3F936"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73C74FE" w14:textId="77777777" w:rsidR="00251D72" w:rsidRDefault="00251D72">
      <w:pPr>
        <w:pStyle w:val="a3"/>
        <w:spacing w:before="120" w:beforeAutospacing="0" w:after="0" w:afterAutospacing="0"/>
        <w:rPr>
          <w:sz w:val="20"/>
          <w:szCs w:val="20"/>
        </w:rPr>
      </w:pPr>
      <w:r>
        <w:rPr>
          <w:sz w:val="20"/>
          <w:szCs w:val="20"/>
        </w:rPr>
        <w:t> </w:t>
      </w:r>
    </w:p>
    <w:p w14:paraId="45610F29"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sz w:val="20"/>
          <w:szCs w:val="20"/>
        </w:rPr>
        <w:t>outflows were partially offset by certain fiscal 2019 cash inflows, primarily cash inflows generated by our operations and cash inflows from stock option exercises during fiscal 2019.</w:t>
      </w:r>
    </w:p>
    <w:p w14:paraId="378F7E66" w14:textId="77777777" w:rsidR="00251D72" w:rsidRDefault="00251D72">
      <w:pPr>
        <w:pStyle w:val="a3"/>
        <w:spacing w:before="120" w:beforeAutospacing="0" w:after="120" w:afterAutospacing="0"/>
        <w:jc w:val="both"/>
        <w:rPr>
          <w:rFonts w:ascii="Calibri" w:hAnsi="Calibri" w:cs="Calibri"/>
          <w:sz w:val="20"/>
          <w:szCs w:val="20"/>
        </w:rPr>
      </w:pPr>
      <w:r>
        <w:rPr>
          <w:rFonts w:ascii="Calibri" w:hAnsi="Calibri" w:cs="Calibri"/>
          <w:sz w:val="20"/>
          <w:szCs w:val="20"/>
        </w:rPr>
        <w:t xml:space="preserve">The amount of cash, cash equivalents and marketable securities that we report in U.S. Dollars for a significant portion of the cash, cash equivalents and marketable securities balances held by our foreign subsidiaries is subject to translation adjustments caused by changes in foreign currency exchange rates as of the end of each respective reporting period (the offset to which is substantially recorded to accumulated other comprehensive loss (AOCL) in our consolidated balance sheets and is also presented as a line item in our consolidated statements of comprehensive income included elsewhere in this Annual Report). As the U.S. Dollar generally strengthened against certain major international currencies during fiscal 2019, the amount of cash, cash equivalents and marketable securities that we reported in U.S. Dollars for these subsidiaries decreased on a net basis as of May 31, 2019 relative to what we would have reported using constant currency rates from the May 31, 2018 balance sheet date. </w:t>
      </w:r>
    </w:p>
    <w:tbl>
      <w:tblPr>
        <w:tblW w:w="5000" w:type="pct"/>
        <w:jc w:val="center"/>
        <w:tblCellMar>
          <w:left w:w="0" w:type="dxa"/>
          <w:right w:w="0" w:type="dxa"/>
        </w:tblCellMar>
        <w:tblLook w:val="04A0" w:firstRow="1" w:lastRow="0" w:firstColumn="1" w:lastColumn="0" w:noHBand="0" w:noVBand="1"/>
      </w:tblPr>
      <w:tblGrid>
        <w:gridCol w:w="5293"/>
        <w:gridCol w:w="130"/>
        <w:gridCol w:w="117"/>
        <w:gridCol w:w="690"/>
        <w:gridCol w:w="76"/>
        <w:gridCol w:w="129"/>
        <w:gridCol w:w="856"/>
        <w:gridCol w:w="131"/>
        <w:gridCol w:w="117"/>
        <w:gridCol w:w="691"/>
        <w:gridCol w:w="76"/>
      </w:tblGrid>
      <w:tr w:rsidR="00251D72" w14:paraId="79F87B3D" w14:textId="77777777">
        <w:trPr>
          <w:divId w:val="447969988"/>
          <w:jc w:val="center"/>
        </w:trPr>
        <w:tc>
          <w:tcPr>
            <w:tcW w:w="3190" w:type="pct"/>
            <w:shd w:val="clear" w:color="auto" w:fill="FFFFFF"/>
            <w:tcMar>
              <w:top w:w="15" w:type="dxa"/>
              <w:left w:w="0" w:type="dxa"/>
              <w:bottom w:w="0" w:type="dxa"/>
              <w:right w:w="15" w:type="dxa"/>
            </w:tcMar>
            <w:vAlign w:val="bottom"/>
            <w:hideMark/>
          </w:tcPr>
          <w:p w14:paraId="16F0D51E" w14:textId="77777777" w:rsidR="00251D72" w:rsidRDefault="00251D72">
            <w:pPr>
              <w:pStyle w:val="a3"/>
              <w:spacing w:before="0" w:beforeAutospacing="0" w:after="0" w:afterAutospacing="0"/>
              <w:rPr>
                <w:sz w:val="20"/>
                <w:szCs w:val="20"/>
              </w:rPr>
            </w:pPr>
            <w:r>
              <w:rPr>
                <w:sz w:val="20"/>
                <w:szCs w:val="20"/>
              </w:rPr>
              <w:t> </w:t>
            </w:r>
          </w:p>
        </w:tc>
        <w:tc>
          <w:tcPr>
            <w:tcW w:w="83" w:type="pct"/>
            <w:shd w:val="clear" w:color="auto" w:fill="FFFFFF"/>
            <w:tcMar>
              <w:top w:w="15" w:type="dxa"/>
              <w:left w:w="0" w:type="dxa"/>
              <w:bottom w:w="0" w:type="dxa"/>
              <w:right w:w="15" w:type="dxa"/>
            </w:tcMar>
            <w:vAlign w:val="bottom"/>
            <w:hideMark/>
          </w:tcPr>
          <w:p w14:paraId="302C8D0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676" w:type="pct"/>
            <w:gridSpan w:val="8"/>
            <w:tcBorders>
              <w:bottom w:val="single" w:sz="6" w:space="0" w:color="000000"/>
            </w:tcBorders>
            <w:shd w:val="clear" w:color="auto" w:fill="FFFFFF"/>
            <w:tcMar>
              <w:top w:w="15" w:type="dxa"/>
              <w:left w:w="0" w:type="dxa"/>
              <w:bottom w:w="0" w:type="dxa"/>
              <w:right w:w="15" w:type="dxa"/>
            </w:tcMar>
            <w:vAlign w:val="bottom"/>
            <w:hideMark/>
          </w:tcPr>
          <w:p w14:paraId="382A468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48E0FA8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987B74A" w14:textId="77777777">
        <w:trPr>
          <w:divId w:val="447969988"/>
          <w:jc w:val="center"/>
        </w:trPr>
        <w:tc>
          <w:tcPr>
            <w:tcW w:w="3190" w:type="pct"/>
            <w:tcBorders>
              <w:bottom w:val="single" w:sz="6" w:space="0" w:color="000000"/>
            </w:tcBorders>
            <w:shd w:val="clear" w:color="auto" w:fill="FFFFFF"/>
            <w:tcMar>
              <w:top w:w="15" w:type="dxa"/>
              <w:left w:w="0" w:type="dxa"/>
              <w:bottom w:w="0" w:type="dxa"/>
              <w:right w:w="15" w:type="dxa"/>
            </w:tcMar>
            <w:vAlign w:val="bottom"/>
            <w:hideMark/>
          </w:tcPr>
          <w:p w14:paraId="4C9CBDB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3" w:type="pct"/>
            <w:shd w:val="clear" w:color="auto" w:fill="FFFFFF"/>
            <w:tcMar>
              <w:top w:w="15" w:type="dxa"/>
              <w:left w:w="0" w:type="dxa"/>
              <w:bottom w:w="0" w:type="dxa"/>
              <w:right w:w="15" w:type="dxa"/>
            </w:tcMar>
            <w:vAlign w:val="bottom"/>
            <w:hideMark/>
          </w:tcPr>
          <w:p w14:paraId="3426ADF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AED5F3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0F6B4D9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228CC76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20"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CA14E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1C8FD58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4FE809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297183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39E5A23" w14:textId="77777777">
        <w:trPr>
          <w:divId w:val="447969988"/>
          <w:jc w:val="center"/>
        </w:trPr>
        <w:tc>
          <w:tcPr>
            <w:tcW w:w="3190" w:type="pct"/>
            <w:tcBorders>
              <w:top w:val="single" w:sz="6" w:space="0" w:color="000000"/>
            </w:tcBorders>
            <w:shd w:val="clear" w:color="auto" w:fill="CFF0FC"/>
            <w:tcMar>
              <w:top w:w="15" w:type="dxa"/>
              <w:left w:w="0" w:type="dxa"/>
              <w:bottom w:w="0" w:type="dxa"/>
              <w:right w:w="15" w:type="dxa"/>
            </w:tcMar>
            <w:hideMark/>
          </w:tcPr>
          <w:p w14:paraId="268F612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83" w:type="pct"/>
            <w:shd w:val="clear" w:color="auto" w:fill="CFF0FC"/>
            <w:tcMar>
              <w:top w:w="15" w:type="dxa"/>
              <w:left w:w="0" w:type="dxa"/>
              <w:bottom w:w="0" w:type="dxa"/>
              <w:right w:w="15" w:type="dxa"/>
            </w:tcMar>
            <w:vAlign w:val="bottom"/>
            <w:hideMark/>
          </w:tcPr>
          <w:p w14:paraId="658F1C1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36638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tcBorders>
            <w:shd w:val="clear" w:color="auto" w:fill="CFF0FC"/>
            <w:noWrap/>
            <w:tcMar>
              <w:top w:w="15" w:type="dxa"/>
              <w:left w:w="0" w:type="dxa"/>
              <w:bottom w:w="0" w:type="dxa"/>
              <w:right w:w="15" w:type="dxa"/>
            </w:tcMar>
            <w:vAlign w:val="bottom"/>
            <w:hideMark/>
          </w:tcPr>
          <w:p w14:paraId="4795B1A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14,551</w:t>
            </w:r>
          </w:p>
        </w:tc>
        <w:tc>
          <w:tcPr>
            <w:tcW w:w="50" w:type="pct"/>
            <w:shd w:val="clear" w:color="auto" w:fill="CFF0FC"/>
            <w:noWrap/>
            <w:tcMar>
              <w:top w:w="15" w:type="dxa"/>
              <w:left w:w="0" w:type="dxa"/>
              <w:bottom w:w="0" w:type="dxa"/>
              <w:right w:w="15" w:type="dxa"/>
            </w:tcMar>
            <w:vAlign w:val="bottom"/>
            <w:hideMark/>
          </w:tcPr>
          <w:p w14:paraId="54CC10B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33A9B17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0" w:type="pct"/>
            <w:tcBorders>
              <w:top w:val="single" w:sz="6" w:space="0" w:color="000000"/>
            </w:tcBorders>
            <w:shd w:val="clear" w:color="auto" w:fill="CFF0FC"/>
            <w:tcMar>
              <w:top w:w="15" w:type="dxa"/>
              <w:left w:w="0" w:type="dxa"/>
              <w:bottom w:w="0" w:type="dxa"/>
              <w:right w:w="15" w:type="dxa"/>
            </w:tcMar>
            <w:vAlign w:val="bottom"/>
            <w:hideMark/>
          </w:tcPr>
          <w:p w14:paraId="100A078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83" w:type="pct"/>
            <w:shd w:val="clear" w:color="auto" w:fill="CFF0FC"/>
            <w:tcMar>
              <w:top w:w="15" w:type="dxa"/>
              <w:left w:w="0" w:type="dxa"/>
              <w:bottom w:w="0" w:type="dxa"/>
              <w:right w:w="15" w:type="dxa"/>
            </w:tcMar>
            <w:vAlign w:val="bottom"/>
            <w:hideMark/>
          </w:tcPr>
          <w:p w14:paraId="6BCFDC6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480A4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tcBorders>
            <w:shd w:val="clear" w:color="auto" w:fill="CFF0FC"/>
            <w:noWrap/>
            <w:tcMar>
              <w:top w:w="15" w:type="dxa"/>
              <w:left w:w="0" w:type="dxa"/>
              <w:bottom w:w="0" w:type="dxa"/>
              <w:right w:w="15" w:type="dxa"/>
            </w:tcMar>
            <w:vAlign w:val="bottom"/>
            <w:hideMark/>
          </w:tcPr>
          <w:p w14:paraId="06BF272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15,386</w:t>
            </w:r>
          </w:p>
        </w:tc>
        <w:tc>
          <w:tcPr>
            <w:tcW w:w="50" w:type="pct"/>
            <w:shd w:val="clear" w:color="auto" w:fill="CFF0FC"/>
            <w:noWrap/>
            <w:tcMar>
              <w:top w:w="15" w:type="dxa"/>
              <w:left w:w="0" w:type="dxa"/>
              <w:bottom w:w="0" w:type="dxa"/>
              <w:right w:w="15" w:type="dxa"/>
            </w:tcMar>
            <w:vAlign w:val="bottom"/>
            <w:hideMark/>
          </w:tcPr>
          <w:p w14:paraId="6E4CCE9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04B8935" w14:textId="77777777">
        <w:trPr>
          <w:divId w:val="447969988"/>
          <w:jc w:val="center"/>
        </w:trPr>
        <w:tc>
          <w:tcPr>
            <w:tcW w:w="3190" w:type="pct"/>
            <w:shd w:val="clear" w:color="auto" w:fill="FFFFFF"/>
            <w:tcMar>
              <w:top w:w="15" w:type="dxa"/>
              <w:left w:w="0" w:type="dxa"/>
              <w:bottom w:w="0" w:type="dxa"/>
              <w:right w:w="15" w:type="dxa"/>
            </w:tcMar>
            <w:hideMark/>
          </w:tcPr>
          <w:p w14:paraId="3CF4BE1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cash provided by (used for) investing activities</w:t>
            </w:r>
          </w:p>
        </w:tc>
        <w:tc>
          <w:tcPr>
            <w:tcW w:w="83" w:type="pct"/>
            <w:shd w:val="clear" w:color="auto" w:fill="FFFFFF"/>
            <w:tcMar>
              <w:top w:w="15" w:type="dxa"/>
              <w:left w:w="0" w:type="dxa"/>
              <w:bottom w:w="0" w:type="dxa"/>
              <w:right w:w="15" w:type="dxa"/>
            </w:tcMar>
            <w:vAlign w:val="bottom"/>
            <w:hideMark/>
          </w:tcPr>
          <w:p w14:paraId="142E50B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DBC28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shd w:val="clear" w:color="auto" w:fill="FFFFFF"/>
            <w:noWrap/>
            <w:tcMar>
              <w:top w:w="15" w:type="dxa"/>
              <w:left w:w="0" w:type="dxa"/>
              <w:bottom w:w="0" w:type="dxa"/>
              <w:right w:w="15" w:type="dxa"/>
            </w:tcMar>
            <w:vAlign w:val="bottom"/>
            <w:hideMark/>
          </w:tcPr>
          <w:p w14:paraId="3CC21EB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26,557</w:t>
            </w:r>
          </w:p>
        </w:tc>
        <w:tc>
          <w:tcPr>
            <w:tcW w:w="50" w:type="pct"/>
            <w:shd w:val="clear" w:color="auto" w:fill="FFFFFF"/>
            <w:noWrap/>
            <w:tcMar>
              <w:top w:w="15" w:type="dxa"/>
              <w:left w:w="0" w:type="dxa"/>
              <w:bottom w:w="0" w:type="dxa"/>
              <w:right w:w="15" w:type="dxa"/>
            </w:tcMar>
            <w:vAlign w:val="bottom"/>
            <w:hideMark/>
          </w:tcPr>
          <w:p w14:paraId="7E21275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58F05F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FFFFFF"/>
            <w:tcMar>
              <w:top w:w="15" w:type="dxa"/>
              <w:left w:w="0" w:type="dxa"/>
              <w:bottom w:w="0" w:type="dxa"/>
              <w:right w:w="15" w:type="dxa"/>
            </w:tcMar>
            <w:vAlign w:val="bottom"/>
            <w:hideMark/>
          </w:tcPr>
          <w:p w14:paraId="189F967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572%</w:t>
            </w:r>
          </w:p>
        </w:tc>
        <w:tc>
          <w:tcPr>
            <w:tcW w:w="83" w:type="pct"/>
            <w:shd w:val="clear" w:color="auto" w:fill="FFFFFF"/>
            <w:tcMar>
              <w:top w:w="15" w:type="dxa"/>
              <w:left w:w="0" w:type="dxa"/>
              <w:bottom w:w="0" w:type="dxa"/>
              <w:right w:w="15" w:type="dxa"/>
            </w:tcMar>
            <w:vAlign w:val="bottom"/>
            <w:hideMark/>
          </w:tcPr>
          <w:p w14:paraId="3D5C7BD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06F54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shd w:val="clear" w:color="auto" w:fill="FFFFFF"/>
            <w:noWrap/>
            <w:tcMar>
              <w:top w:w="15" w:type="dxa"/>
              <w:left w:w="0" w:type="dxa"/>
              <w:bottom w:w="0" w:type="dxa"/>
              <w:right w:w="15" w:type="dxa"/>
            </w:tcMar>
            <w:vAlign w:val="bottom"/>
            <w:hideMark/>
          </w:tcPr>
          <w:p w14:paraId="45FCF51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(5,625</w:t>
            </w:r>
          </w:p>
        </w:tc>
        <w:tc>
          <w:tcPr>
            <w:tcW w:w="50" w:type="pct"/>
            <w:shd w:val="clear" w:color="auto" w:fill="FFFFFF"/>
            <w:noWrap/>
            <w:tcMar>
              <w:top w:w="15" w:type="dxa"/>
              <w:left w:w="0" w:type="dxa"/>
              <w:bottom w:w="0" w:type="dxa"/>
              <w:right w:w="15" w:type="dxa"/>
            </w:tcMar>
            <w:vAlign w:val="bottom"/>
            <w:hideMark/>
          </w:tcPr>
          <w:p w14:paraId="1453721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532CAB1A" w14:textId="77777777">
        <w:trPr>
          <w:divId w:val="447969988"/>
          <w:jc w:val="center"/>
        </w:trPr>
        <w:tc>
          <w:tcPr>
            <w:tcW w:w="3190" w:type="pct"/>
            <w:shd w:val="clear" w:color="auto" w:fill="CFF0FC"/>
            <w:tcMar>
              <w:top w:w="15" w:type="dxa"/>
              <w:left w:w="0" w:type="dxa"/>
              <w:bottom w:w="0" w:type="dxa"/>
              <w:right w:w="15" w:type="dxa"/>
            </w:tcMar>
            <w:hideMark/>
          </w:tcPr>
          <w:p w14:paraId="4CDB955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cash used for financing activities</w:t>
            </w:r>
          </w:p>
        </w:tc>
        <w:tc>
          <w:tcPr>
            <w:tcW w:w="83" w:type="pct"/>
            <w:shd w:val="clear" w:color="auto" w:fill="CFF0FC"/>
            <w:tcMar>
              <w:top w:w="15" w:type="dxa"/>
              <w:left w:w="0" w:type="dxa"/>
              <w:bottom w:w="0" w:type="dxa"/>
              <w:right w:w="15" w:type="dxa"/>
            </w:tcMar>
            <w:vAlign w:val="bottom"/>
            <w:hideMark/>
          </w:tcPr>
          <w:p w14:paraId="1EFCF15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C35C1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shd w:val="clear" w:color="auto" w:fill="CFF0FC"/>
            <w:noWrap/>
            <w:tcMar>
              <w:top w:w="15" w:type="dxa"/>
              <w:left w:w="0" w:type="dxa"/>
              <w:bottom w:w="0" w:type="dxa"/>
              <w:right w:w="15" w:type="dxa"/>
            </w:tcMar>
            <w:vAlign w:val="bottom"/>
            <w:hideMark/>
          </w:tcPr>
          <w:p w14:paraId="29AFBA4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(42,056</w:t>
            </w:r>
          </w:p>
        </w:tc>
        <w:tc>
          <w:tcPr>
            <w:tcW w:w="50" w:type="pct"/>
            <w:shd w:val="clear" w:color="auto" w:fill="CFF0FC"/>
            <w:noWrap/>
            <w:tcMar>
              <w:top w:w="15" w:type="dxa"/>
              <w:left w:w="0" w:type="dxa"/>
              <w:bottom w:w="0" w:type="dxa"/>
              <w:right w:w="15" w:type="dxa"/>
            </w:tcMar>
            <w:vAlign w:val="bottom"/>
            <w:hideMark/>
          </w:tcPr>
          <w:p w14:paraId="55897E1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CFF0FC"/>
            <w:tcMar>
              <w:top w:w="15" w:type="dxa"/>
              <w:left w:w="0" w:type="dxa"/>
              <w:bottom w:w="0" w:type="dxa"/>
              <w:right w:w="15" w:type="dxa"/>
            </w:tcMar>
            <w:vAlign w:val="bottom"/>
            <w:hideMark/>
          </w:tcPr>
          <w:p w14:paraId="16B846A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CFF0FC"/>
            <w:tcMar>
              <w:top w:w="15" w:type="dxa"/>
              <w:left w:w="0" w:type="dxa"/>
              <w:bottom w:w="0" w:type="dxa"/>
              <w:right w:w="15" w:type="dxa"/>
            </w:tcMar>
            <w:vAlign w:val="bottom"/>
            <w:hideMark/>
          </w:tcPr>
          <w:p w14:paraId="367C256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321%</w:t>
            </w:r>
          </w:p>
        </w:tc>
        <w:tc>
          <w:tcPr>
            <w:tcW w:w="83" w:type="pct"/>
            <w:shd w:val="clear" w:color="auto" w:fill="CFF0FC"/>
            <w:tcMar>
              <w:top w:w="15" w:type="dxa"/>
              <w:left w:w="0" w:type="dxa"/>
              <w:bottom w:w="0" w:type="dxa"/>
              <w:right w:w="15" w:type="dxa"/>
            </w:tcMar>
            <w:vAlign w:val="bottom"/>
            <w:hideMark/>
          </w:tcPr>
          <w:p w14:paraId="53B3AFF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73795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shd w:val="clear" w:color="auto" w:fill="CFF0FC"/>
            <w:noWrap/>
            <w:tcMar>
              <w:top w:w="15" w:type="dxa"/>
              <w:left w:w="0" w:type="dxa"/>
              <w:bottom w:w="0" w:type="dxa"/>
              <w:right w:w="15" w:type="dxa"/>
            </w:tcMar>
            <w:vAlign w:val="bottom"/>
            <w:hideMark/>
          </w:tcPr>
          <w:p w14:paraId="7C03D9A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(9,982</w:t>
            </w:r>
          </w:p>
        </w:tc>
        <w:tc>
          <w:tcPr>
            <w:tcW w:w="50" w:type="pct"/>
            <w:shd w:val="clear" w:color="auto" w:fill="CFF0FC"/>
            <w:noWrap/>
            <w:tcMar>
              <w:top w:w="15" w:type="dxa"/>
              <w:left w:w="0" w:type="dxa"/>
              <w:bottom w:w="0" w:type="dxa"/>
              <w:right w:w="15" w:type="dxa"/>
            </w:tcMar>
            <w:vAlign w:val="bottom"/>
            <w:hideMark/>
          </w:tcPr>
          <w:p w14:paraId="3AC2831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bl>
    <w:p w14:paraId="73ACEDCB"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Cash flows from operating activities:</w:t>
      </w:r>
      <w:r>
        <w:rPr>
          <w:rFonts w:ascii="Calibri" w:hAnsi="Calibri" w:cs="Calibri"/>
          <w:sz w:val="20"/>
          <w:szCs w:val="20"/>
        </w:rPr>
        <w:t xml:space="preserve"> Our largest source of operating cash flows is cash collections from our customers following the purchase and renewal of their license support agreements. Payments from customers for these support agreements are generally received near the beginning of the contracts’ terms, which are generally one year in length. Over the course of a fiscal year, we also have historically generated cash from the sales of new licenses, cloud services, hardware offerings and services. Our primary uses of cash from operating activities are for employee related expenditures, material and manufacturing costs related to the production of our hardware products, taxes, interest payments and leased facilities.</w:t>
      </w:r>
    </w:p>
    <w:p w14:paraId="4C2B6D6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Net cash provided by operating activities decreased during fiscal 2019 compared to fiscal 2018 primarily due to certain unfavorable cash changes in working capital balances, primarily unfavorable changes associated with income taxes including the first installment payment made pursuant to the transition tax provisions of the Tax Act during fiscal 2019 (see additional discussion of future installment payments pursuant to the Tax Act’s transition tax under “Contractual Obligations” below).</w:t>
      </w:r>
    </w:p>
    <w:p w14:paraId="391198A2"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Cash flows from investing activities:</w:t>
      </w:r>
      <w:r>
        <w:rPr>
          <w:rFonts w:ascii="Calibri" w:hAnsi="Calibri" w:cs="Calibri"/>
          <w:sz w:val="20"/>
          <w:szCs w:val="20"/>
        </w:rPr>
        <w:t xml:space="preserve"> The changes in cash flows from investing activities primarily relate to our acquisitions, the timing of our purchases, maturities and sales of our investments in marketable debt securities and investments in capital and other assets, including certain intangible assets, to support our growth.</w:t>
      </w:r>
    </w:p>
    <w:p w14:paraId="731954D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Net cash provided by investing activities was $26.6 billion during fiscal 2019 compared to $5.6 billion of net cash used for investing during fiscal 2018. The increase in net cash provided by investing activities during fiscal 2019 was primarily due to an increase in sales and maturities of, and a decrease in purchases of, marketable securities and other investments.</w:t>
      </w:r>
    </w:p>
    <w:p w14:paraId="2DD9B692"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Cash flows from financing activities:</w:t>
      </w:r>
      <w:r>
        <w:rPr>
          <w:rFonts w:ascii="Calibri" w:hAnsi="Calibri" w:cs="Calibri"/>
          <w:sz w:val="20"/>
          <w:szCs w:val="20"/>
        </w:rPr>
        <w:t xml:space="preserve"> The changes in cash flows from financing activities primarily relate to borrowings and repayments related to our debt instruments as well as stock repurchases, dividend payments and net proceeds related to employee stock programs. </w:t>
      </w:r>
    </w:p>
    <w:p w14:paraId="143DC48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Net cash used for financing activities during fiscal 2019 increased compared to fiscal 2018 primarily due to increased stock repurchases as we used $36.1 billion of cash to repurchase common stock during fiscal 2019 compared to $11.3 billion during fiscal 2018.</w:t>
      </w:r>
    </w:p>
    <w:p w14:paraId="20A82497"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54</w:t>
      </w:r>
    </w:p>
    <w:p w14:paraId="6D907045" w14:textId="77777777" w:rsidR="00251D72" w:rsidRDefault="00251D72">
      <w:pPr>
        <w:rPr>
          <w:rFonts w:ascii="Times New Roman" w:eastAsia="Times New Roman" w:hAnsi="Times New Roman" w:cs="Times New Roman"/>
          <w:sz w:val="24"/>
          <w:szCs w:val="24"/>
        </w:rPr>
      </w:pPr>
      <w:r>
        <w:rPr>
          <w:rFonts w:eastAsia="Times New Roman"/>
        </w:rPr>
        <w:pict w14:anchorId="038E037C">
          <v:rect id="_x0000_i1080" style="width:415.3pt;height:1.5pt" o:hralign="center" o:hrstd="t" o:hr="t" fillcolor="#a0a0a0" stroked="f"/>
        </w:pict>
      </w:r>
    </w:p>
    <w:p w14:paraId="593008D7"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2D01106"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329E2C1" w14:textId="77777777" w:rsidR="00251D72" w:rsidRDefault="00251D72">
      <w:pPr>
        <w:pStyle w:val="a3"/>
        <w:spacing w:before="120" w:beforeAutospacing="0" w:after="0" w:afterAutospacing="0"/>
        <w:rPr>
          <w:sz w:val="20"/>
          <w:szCs w:val="20"/>
        </w:rPr>
      </w:pPr>
      <w:r>
        <w:rPr>
          <w:sz w:val="20"/>
          <w:szCs w:val="20"/>
        </w:rPr>
        <w:t> </w:t>
      </w:r>
    </w:p>
    <w:p w14:paraId="18ECDC35" w14:textId="77777777" w:rsidR="00251D72" w:rsidRDefault="00251D72">
      <w:pPr>
        <w:pStyle w:val="a3"/>
        <w:spacing w:before="120" w:beforeAutospacing="0" w:after="0" w:afterAutospacing="0"/>
        <w:jc w:val="both"/>
        <w:rPr>
          <w:rFonts w:ascii="Calibri" w:hAnsi="Calibri" w:cs="Calibri"/>
          <w:b/>
          <w:bCs/>
          <w:i/>
          <w:iCs/>
          <w:sz w:val="20"/>
          <w:szCs w:val="20"/>
        </w:rPr>
      </w:pPr>
      <w:bookmarkStart w:id="70" w:name="_AEIOULastRenderedPageBreakAEIOU57"/>
      <w:bookmarkEnd w:id="70"/>
      <w:r>
        <w:rPr>
          <w:rFonts w:ascii="Calibri" w:hAnsi="Calibri" w:cs="Calibri"/>
          <w:b/>
          <w:bCs/>
          <w:i/>
          <w:iCs/>
          <w:sz w:val="20"/>
          <w:szCs w:val="20"/>
        </w:rPr>
        <w:t>Free cash flow:</w:t>
      </w:r>
      <w:r>
        <w:rPr>
          <w:rFonts w:ascii="Calibri" w:hAnsi="Calibri" w:cs="Calibri"/>
          <w:sz w:val="20"/>
          <w:szCs w:val="20"/>
        </w:rPr>
        <w:t xml:space="preserve"> To supplement our statements of cash flows presented on a GAAP basis, we use non-GAAP measures of cash flows on a trailing 4-quarter basis to analyze cash flows generated from our operations. We believe that free cash flow is also useful as one of the bases for comparing our performance with our competitors. The presentation of non-GAAP free cash flow is not meant to be considered in isolation or as an alternative to net income as an indicator of our performance, or as an alternative to cash flows from operating activities as a measure of liquidity. We calculate free cash flow as follows:</w:t>
      </w:r>
    </w:p>
    <w:p w14:paraId="51C8ABC7"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293"/>
        <w:gridCol w:w="130"/>
        <w:gridCol w:w="117"/>
        <w:gridCol w:w="690"/>
        <w:gridCol w:w="76"/>
        <w:gridCol w:w="129"/>
        <w:gridCol w:w="856"/>
        <w:gridCol w:w="131"/>
        <w:gridCol w:w="117"/>
        <w:gridCol w:w="691"/>
        <w:gridCol w:w="76"/>
      </w:tblGrid>
      <w:tr w:rsidR="00251D72" w14:paraId="50A19F5A" w14:textId="77777777">
        <w:trPr>
          <w:divId w:val="709186456"/>
          <w:jc w:val="center"/>
        </w:trPr>
        <w:tc>
          <w:tcPr>
            <w:tcW w:w="3190" w:type="pct"/>
            <w:shd w:val="clear" w:color="auto" w:fill="FFFFFF"/>
            <w:tcMar>
              <w:top w:w="15" w:type="dxa"/>
              <w:left w:w="0" w:type="dxa"/>
              <w:bottom w:w="0" w:type="dxa"/>
              <w:right w:w="15" w:type="dxa"/>
            </w:tcMar>
            <w:hideMark/>
          </w:tcPr>
          <w:p w14:paraId="1A72D8EC" w14:textId="77777777" w:rsidR="00251D72" w:rsidRDefault="00251D72">
            <w:pPr>
              <w:pStyle w:val="a3"/>
              <w:spacing w:before="0" w:beforeAutospacing="0" w:after="0" w:afterAutospacing="0"/>
              <w:rPr>
                <w:sz w:val="15"/>
                <w:szCs w:val="15"/>
              </w:rPr>
            </w:pPr>
            <w:r>
              <w:rPr>
                <w:sz w:val="15"/>
                <w:szCs w:val="15"/>
              </w:rPr>
              <w:t> </w:t>
            </w:r>
          </w:p>
        </w:tc>
        <w:tc>
          <w:tcPr>
            <w:tcW w:w="83" w:type="pct"/>
            <w:shd w:val="clear" w:color="auto" w:fill="FFFFFF"/>
            <w:tcMar>
              <w:top w:w="15" w:type="dxa"/>
              <w:left w:w="0" w:type="dxa"/>
              <w:bottom w:w="0" w:type="dxa"/>
              <w:right w:w="15" w:type="dxa"/>
            </w:tcMar>
            <w:vAlign w:val="bottom"/>
            <w:hideMark/>
          </w:tcPr>
          <w:p w14:paraId="42F8913A"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1676" w:type="pct"/>
            <w:gridSpan w:val="8"/>
            <w:tcBorders>
              <w:bottom w:val="single" w:sz="6" w:space="0" w:color="000000"/>
            </w:tcBorders>
            <w:shd w:val="clear" w:color="auto" w:fill="FFFFFF"/>
            <w:tcMar>
              <w:top w:w="15" w:type="dxa"/>
              <w:left w:w="0" w:type="dxa"/>
              <w:bottom w:w="0" w:type="dxa"/>
              <w:right w:w="15" w:type="dxa"/>
            </w:tcMar>
            <w:vAlign w:val="bottom"/>
            <w:hideMark/>
          </w:tcPr>
          <w:p w14:paraId="54E8407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6CFD689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EC976EF" w14:textId="77777777">
        <w:trPr>
          <w:divId w:val="709186456"/>
          <w:jc w:val="center"/>
        </w:trPr>
        <w:tc>
          <w:tcPr>
            <w:tcW w:w="3190" w:type="pct"/>
            <w:tcBorders>
              <w:bottom w:val="single" w:sz="6" w:space="0" w:color="000000"/>
            </w:tcBorders>
            <w:shd w:val="clear" w:color="auto" w:fill="FFFFFF"/>
            <w:tcMar>
              <w:top w:w="15" w:type="dxa"/>
              <w:left w:w="0" w:type="dxa"/>
              <w:bottom w:w="0" w:type="dxa"/>
              <w:right w:w="15" w:type="dxa"/>
            </w:tcMar>
            <w:hideMark/>
          </w:tcPr>
          <w:p w14:paraId="636B1257" w14:textId="77777777" w:rsidR="00251D72" w:rsidRDefault="00251D72">
            <w:pPr>
              <w:pStyle w:val="a3"/>
              <w:spacing w:before="0" w:beforeAutospacing="0" w:after="0" w:afterAutospacing="0"/>
              <w:rPr>
                <w:rFonts w:ascii="Calibri" w:hAnsi="Calibri" w:cs="Calibri"/>
                <w:b/>
                <w:bCs/>
                <w:color w:val="000000"/>
                <w:sz w:val="15"/>
                <w:szCs w:val="15"/>
              </w:rPr>
            </w:pPr>
            <w:bookmarkStart w:id="71" w:name="_Hlk11343275"/>
            <w:bookmarkEnd w:id="71"/>
            <w:r>
              <w:rPr>
                <w:rFonts w:ascii="Calibri" w:hAnsi="Calibri" w:cs="Calibri"/>
                <w:b/>
                <w:bCs/>
                <w:color w:val="000000"/>
                <w:sz w:val="15"/>
                <w:szCs w:val="15"/>
              </w:rPr>
              <w:t>(Dollars in millions)</w:t>
            </w:r>
          </w:p>
        </w:tc>
        <w:tc>
          <w:tcPr>
            <w:tcW w:w="83" w:type="pct"/>
            <w:shd w:val="clear" w:color="auto" w:fill="FFFFFF"/>
            <w:tcMar>
              <w:top w:w="15" w:type="dxa"/>
              <w:left w:w="0" w:type="dxa"/>
              <w:bottom w:w="0" w:type="dxa"/>
              <w:right w:w="15" w:type="dxa"/>
            </w:tcMar>
            <w:vAlign w:val="bottom"/>
            <w:hideMark/>
          </w:tcPr>
          <w:p w14:paraId="1DAB7AD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9508E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E84AFD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3359831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20"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C081DD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2E6CC7C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E39B40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26BC3EF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CCAB50D" w14:textId="77777777">
        <w:trPr>
          <w:divId w:val="709186456"/>
          <w:jc w:val="center"/>
        </w:trPr>
        <w:tc>
          <w:tcPr>
            <w:tcW w:w="3190" w:type="pct"/>
            <w:tcBorders>
              <w:top w:val="single" w:sz="6" w:space="0" w:color="000000"/>
            </w:tcBorders>
            <w:shd w:val="clear" w:color="auto" w:fill="CFF0FC"/>
            <w:tcMar>
              <w:top w:w="15" w:type="dxa"/>
              <w:left w:w="0" w:type="dxa"/>
              <w:bottom w:w="0" w:type="dxa"/>
              <w:right w:w="15" w:type="dxa"/>
            </w:tcMar>
            <w:hideMark/>
          </w:tcPr>
          <w:p w14:paraId="31E46E7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83" w:type="pct"/>
            <w:shd w:val="clear" w:color="auto" w:fill="CFF0FC"/>
            <w:tcMar>
              <w:top w:w="15" w:type="dxa"/>
              <w:left w:w="0" w:type="dxa"/>
              <w:bottom w:w="0" w:type="dxa"/>
              <w:right w:w="15" w:type="dxa"/>
            </w:tcMar>
            <w:vAlign w:val="bottom"/>
            <w:hideMark/>
          </w:tcPr>
          <w:p w14:paraId="236DA0B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FBA96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tcBorders>
            <w:shd w:val="clear" w:color="auto" w:fill="CFF0FC"/>
            <w:noWrap/>
            <w:tcMar>
              <w:top w:w="15" w:type="dxa"/>
              <w:left w:w="0" w:type="dxa"/>
              <w:bottom w:w="0" w:type="dxa"/>
              <w:right w:w="15" w:type="dxa"/>
            </w:tcMar>
            <w:vAlign w:val="bottom"/>
            <w:hideMark/>
          </w:tcPr>
          <w:p w14:paraId="74310FF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14,551</w:t>
            </w:r>
          </w:p>
        </w:tc>
        <w:tc>
          <w:tcPr>
            <w:tcW w:w="50" w:type="pct"/>
            <w:shd w:val="clear" w:color="auto" w:fill="CFF0FC"/>
            <w:noWrap/>
            <w:tcMar>
              <w:top w:w="15" w:type="dxa"/>
              <w:left w:w="0" w:type="dxa"/>
              <w:bottom w:w="0" w:type="dxa"/>
              <w:right w:w="15" w:type="dxa"/>
            </w:tcMar>
            <w:vAlign w:val="bottom"/>
            <w:hideMark/>
          </w:tcPr>
          <w:p w14:paraId="193DD45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7407D9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0" w:type="pct"/>
            <w:tcBorders>
              <w:top w:val="single" w:sz="6" w:space="0" w:color="000000"/>
            </w:tcBorders>
            <w:shd w:val="clear" w:color="auto" w:fill="CFF0FC"/>
            <w:tcMar>
              <w:top w:w="15" w:type="dxa"/>
              <w:left w:w="0" w:type="dxa"/>
              <w:bottom w:w="0" w:type="dxa"/>
              <w:right w:w="15" w:type="dxa"/>
            </w:tcMar>
            <w:vAlign w:val="bottom"/>
            <w:hideMark/>
          </w:tcPr>
          <w:p w14:paraId="6C24AAA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83" w:type="pct"/>
            <w:shd w:val="clear" w:color="auto" w:fill="CFF0FC"/>
            <w:tcMar>
              <w:top w:w="15" w:type="dxa"/>
              <w:left w:w="0" w:type="dxa"/>
              <w:bottom w:w="0" w:type="dxa"/>
              <w:right w:w="15" w:type="dxa"/>
            </w:tcMar>
            <w:vAlign w:val="bottom"/>
            <w:hideMark/>
          </w:tcPr>
          <w:p w14:paraId="55B3D8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F784A6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tcBorders>
            <w:shd w:val="clear" w:color="auto" w:fill="CFF0FC"/>
            <w:noWrap/>
            <w:tcMar>
              <w:top w:w="15" w:type="dxa"/>
              <w:left w:w="0" w:type="dxa"/>
              <w:bottom w:w="0" w:type="dxa"/>
              <w:right w:w="15" w:type="dxa"/>
            </w:tcMar>
            <w:vAlign w:val="bottom"/>
            <w:hideMark/>
          </w:tcPr>
          <w:p w14:paraId="74CA288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15,386</w:t>
            </w:r>
          </w:p>
        </w:tc>
        <w:tc>
          <w:tcPr>
            <w:tcW w:w="50" w:type="pct"/>
            <w:shd w:val="clear" w:color="auto" w:fill="CFF0FC"/>
            <w:noWrap/>
            <w:tcMar>
              <w:top w:w="15" w:type="dxa"/>
              <w:left w:w="0" w:type="dxa"/>
              <w:bottom w:w="0" w:type="dxa"/>
              <w:right w:w="15" w:type="dxa"/>
            </w:tcMar>
            <w:vAlign w:val="bottom"/>
            <w:hideMark/>
          </w:tcPr>
          <w:p w14:paraId="0A81B35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E473562" w14:textId="77777777">
        <w:trPr>
          <w:divId w:val="709186456"/>
          <w:jc w:val="center"/>
        </w:trPr>
        <w:tc>
          <w:tcPr>
            <w:tcW w:w="3190" w:type="pct"/>
            <w:shd w:val="clear" w:color="auto" w:fill="FFFFFF"/>
            <w:tcMar>
              <w:top w:w="15" w:type="dxa"/>
              <w:left w:w="0" w:type="dxa"/>
              <w:bottom w:w="0" w:type="dxa"/>
              <w:right w:w="15" w:type="dxa"/>
            </w:tcMar>
            <w:hideMark/>
          </w:tcPr>
          <w:p w14:paraId="77908B6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Capital expenditures</w:t>
            </w:r>
          </w:p>
        </w:tc>
        <w:tc>
          <w:tcPr>
            <w:tcW w:w="83" w:type="pct"/>
            <w:shd w:val="clear" w:color="auto" w:fill="FFFFFF"/>
            <w:tcMar>
              <w:top w:w="15" w:type="dxa"/>
              <w:left w:w="0" w:type="dxa"/>
              <w:bottom w:w="0" w:type="dxa"/>
              <w:right w:w="15" w:type="dxa"/>
            </w:tcMar>
            <w:vAlign w:val="bottom"/>
            <w:hideMark/>
          </w:tcPr>
          <w:p w14:paraId="7F4042B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F4D042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20" w:type="pct"/>
            <w:tcBorders>
              <w:bottom w:val="single" w:sz="6" w:space="0" w:color="000000"/>
            </w:tcBorders>
            <w:shd w:val="clear" w:color="auto" w:fill="FFFFFF"/>
            <w:noWrap/>
            <w:tcMar>
              <w:top w:w="15" w:type="dxa"/>
              <w:left w:w="0" w:type="dxa"/>
              <w:bottom w:w="0" w:type="dxa"/>
              <w:right w:w="15" w:type="dxa"/>
            </w:tcMar>
            <w:vAlign w:val="bottom"/>
            <w:hideMark/>
          </w:tcPr>
          <w:p w14:paraId="28A6497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(1,660</w:t>
            </w:r>
          </w:p>
        </w:tc>
        <w:tc>
          <w:tcPr>
            <w:tcW w:w="50" w:type="pct"/>
            <w:shd w:val="clear" w:color="auto" w:fill="FFFFFF"/>
            <w:noWrap/>
            <w:tcMar>
              <w:top w:w="15" w:type="dxa"/>
              <w:left w:w="0" w:type="dxa"/>
              <w:bottom w:w="0" w:type="dxa"/>
              <w:right w:w="15" w:type="dxa"/>
            </w:tcMar>
            <w:vAlign w:val="bottom"/>
            <w:hideMark/>
          </w:tcPr>
          <w:p w14:paraId="0E5DB55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FFFFFF"/>
            <w:tcMar>
              <w:top w:w="15" w:type="dxa"/>
              <w:left w:w="0" w:type="dxa"/>
              <w:bottom w:w="0" w:type="dxa"/>
              <w:right w:w="15" w:type="dxa"/>
            </w:tcMar>
            <w:vAlign w:val="bottom"/>
            <w:hideMark/>
          </w:tcPr>
          <w:p w14:paraId="3C01E92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FFFFFF"/>
            <w:tcMar>
              <w:top w:w="15" w:type="dxa"/>
              <w:left w:w="0" w:type="dxa"/>
              <w:bottom w:w="0" w:type="dxa"/>
              <w:right w:w="15" w:type="dxa"/>
            </w:tcMar>
            <w:vAlign w:val="bottom"/>
            <w:hideMark/>
          </w:tcPr>
          <w:p w14:paraId="30593E6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83" w:type="pct"/>
            <w:shd w:val="clear" w:color="auto" w:fill="FFFFFF"/>
            <w:tcMar>
              <w:top w:w="15" w:type="dxa"/>
              <w:left w:w="0" w:type="dxa"/>
              <w:bottom w:w="0" w:type="dxa"/>
              <w:right w:w="15" w:type="dxa"/>
            </w:tcMar>
            <w:vAlign w:val="bottom"/>
            <w:hideMark/>
          </w:tcPr>
          <w:p w14:paraId="6ABBBDB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F6A46E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20" w:type="pct"/>
            <w:tcBorders>
              <w:bottom w:val="single" w:sz="6" w:space="0" w:color="000000"/>
            </w:tcBorders>
            <w:shd w:val="clear" w:color="auto" w:fill="FFFFFF"/>
            <w:noWrap/>
            <w:tcMar>
              <w:top w:w="15" w:type="dxa"/>
              <w:left w:w="0" w:type="dxa"/>
              <w:bottom w:w="0" w:type="dxa"/>
              <w:right w:w="15" w:type="dxa"/>
            </w:tcMar>
            <w:vAlign w:val="bottom"/>
            <w:hideMark/>
          </w:tcPr>
          <w:p w14:paraId="6B2F374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(1,736</w:t>
            </w:r>
          </w:p>
        </w:tc>
        <w:tc>
          <w:tcPr>
            <w:tcW w:w="50" w:type="pct"/>
            <w:shd w:val="clear" w:color="auto" w:fill="FFFFFF"/>
            <w:noWrap/>
            <w:tcMar>
              <w:top w:w="15" w:type="dxa"/>
              <w:left w:w="0" w:type="dxa"/>
              <w:bottom w:w="0" w:type="dxa"/>
              <w:right w:w="15" w:type="dxa"/>
            </w:tcMar>
            <w:vAlign w:val="bottom"/>
            <w:hideMark/>
          </w:tcPr>
          <w:p w14:paraId="0D68887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4CCD590E" w14:textId="77777777">
        <w:trPr>
          <w:divId w:val="709186456"/>
          <w:jc w:val="center"/>
        </w:trPr>
        <w:tc>
          <w:tcPr>
            <w:tcW w:w="3190" w:type="pct"/>
            <w:shd w:val="clear" w:color="auto" w:fill="CFF0FC"/>
            <w:tcMar>
              <w:top w:w="15" w:type="dxa"/>
              <w:left w:w="0" w:type="dxa"/>
              <w:bottom w:w="0" w:type="dxa"/>
              <w:right w:w="15" w:type="dxa"/>
            </w:tcMar>
            <w:hideMark/>
          </w:tcPr>
          <w:p w14:paraId="0CD7E4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Free cash flow</w:t>
            </w:r>
          </w:p>
        </w:tc>
        <w:tc>
          <w:tcPr>
            <w:tcW w:w="83" w:type="pct"/>
            <w:shd w:val="clear" w:color="auto" w:fill="CFF0FC"/>
            <w:tcMar>
              <w:top w:w="15" w:type="dxa"/>
              <w:left w:w="0" w:type="dxa"/>
              <w:bottom w:w="0" w:type="dxa"/>
              <w:right w:w="15" w:type="dxa"/>
            </w:tcMar>
            <w:vAlign w:val="bottom"/>
            <w:hideMark/>
          </w:tcPr>
          <w:p w14:paraId="516F15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97DBF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DE42C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12,891</w:t>
            </w:r>
          </w:p>
        </w:tc>
        <w:tc>
          <w:tcPr>
            <w:tcW w:w="50" w:type="pct"/>
            <w:shd w:val="clear" w:color="auto" w:fill="CFF0FC"/>
            <w:noWrap/>
            <w:tcMar>
              <w:top w:w="15" w:type="dxa"/>
              <w:left w:w="0" w:type="dxa"/>
              <w:bottom w:w="0" w:type="dxa"/>
              <w:right w:w="15" w:type="dxa"/>
            </w:tcMar>
            <w:vAlign w:val="bottom"/>
            <w:hideMark/>
          </w:tcPr>
          <w:p w14:paraId="2AB3F6E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5512C68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CFF0FC"/>
            <w:tcMar>
              <w:top w:w="15" w:type="dxa"/>
              <w:left w:w="0" w:type="dxa"/>
              <w:bottom w:w="0" w:type="dxa"/>
              <w:right w:w="15" w:type="dxa"/>
            </w:tcMar>
            <w:vAlign w:val="bottom"/>
            <w:hideMark/>
          </w:tcPr>
          <w:p w14:paraId="4C56994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83" w:type="pct"/>
            <w:shd w:val="clear" w:color="auto" w:fill="CFF0FC"/>
            <w:tcMar>
              <w:top w:w="15" w:type="dxa"/>
              <w:left w:w="0" w:type="dxa"/>
              <w:bottom w:w="0" w:type="dxa"/>
              <w:right w:w="15" w:type="dxa"/>
            </w:tcMar>
            <w:vAlign w:val="bottom"/>
            <w:hideMark/>
          </w:tcPr>
          <w:p w14:paraId="31443F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57DA6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F616C5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13,650</w:t>
            </w:r>
          </w:p>
        </w:tc>
        <w:tc>
          <w:tcPr>
            <w:tcW w:w="50" w:type="pct"/>
            <w:shd w:val="clear" w:color="auto" w:fill="CFF0FC"/>
            <w:noWrap/>
            <w:tcMar>
              <w:top w:w="15" w:type="dxa"/>
              <w:left w:w="0" w:type="dxa"/>
              <w:bottom w:w="0" w:type="dxa"/>
              <w:right w:w="15" w:type="dxa"/>
            </w:tcMar>
            <w:vAlign w:val="bottom"/>
            <w:hideMark/>
          </w:tcPr>
          <w:p w14:paraId="778538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2F84A3A" w14:textId="77777777">
        <w:trPr>
          <w:divId w:val="709186456"/>
          <w:jc w:val="center"/>
        </w:trPr>
        <w:tc>
          <w:tcPr>
            <w:tcW w:w="3190" w:type="pct"/>
            <w:shd w:val="clear" w:color="auto" w:fill="FFFFFF"/>
            <w:tcMar>
              <w:top w:w="15" w:type="dxa"/>
              <w:left w:w="0" w:type="dxa"/>
              <w:bottom w:w="0" w:type="dxa"/>
              <w:right w:w="15" w:type="dxa"/>
            </w:tcMar>
            <w:hideMark/>
          </w:tcPr>
          <w:p w14:paraId="7CDE56C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income</w:t>
            </w:r>
          </w:p>
        </w:tc>
        <w:tc>
          <w:tcPr>
            <w:tcW w:w="83" w:type="pct"/>
            <w:shd w:val="clear" w:color="auto" w:fill="FFFFFF"/>
            <w:tcMar>
              <w:top w:w="15" w:type="dxa"/>
              <w:left w:w="0" w:type="dxa"/>
              <w:bottom w:w="0" w:type="dxa"/>
              <w:right w:w="15" w:type="dxa"/>
            </w:tcMar>
            <w:vAlign w:val="bottom"/>
            <w:hideMark/>
          </w:tcPr>
          <w:p w14:paraId="78B3472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0BDE54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012D37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11,083</w:t>
            </w:r>
          </w:p>
        </w:tc>
        <w:tc>
          <w:tcPr>
            <w:tcW w:w="50" w:type="pct"/>
            <w:shd w:val="clear" w:color="auto" w:fill="FFFFFF"/>
            <w:noWrap/>
            <w:tcMar>
              <w:top w:w="15" w:type="dxa"/>
              <w:left w:w="0" w:type="dxa"/>
              <w:bottom w:w="0" w:type="dxa"/>
              <w:right w:w="15" w:type="dxa"/>
            </w:tcMar>
            <w:vAlign w:val="bottom"/>
            <w:hideMark/>
          </w:tcPr>
          <w:p w14:paraId="4D46D51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316AC0C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FFFFFF"/>
            <w:tcMar>
              <w:top w:w="15" w:type="dxa"/>
              <w:left w:w="0" w:type="dxa"/>
              <w:bottom w:w="0" w:type="dxa"/>
              <w:right w:w="15" w:type="dxa"/>
            </w:tcMar>
            <w:vAlign w:val="bottom"/>
            <w:hideMark/>
          </w:tcPr>
          <w:p w14:paraId="67728D2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309ECCF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72AF75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66011B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3,587</w:t>
            </w:r>
          </w:p>
        </w:tc>
        <w:tc>
          <w:tcPr>
            <w:tcW w:w="50" w:type="pct"/>
            <w:shd w:val="clear" w:color="auto" w:fill="FFFFFF"/>
            <w:noWrap/>
            <w:tcMar>
              <w:top w:w="15" w:type="dxa"/>
              <w:left w:w="0" w:type="dxa"/>
              <w:bottom w:w="0" w:type="dxa"/>
              <w:right w:w="15" w:type="dxa"/>
            </w:tcMar>
            <w:vAlign w:val="bottom"/>
            <w:hideMark/>
          </w:tcPr>
          <w:p w14:paraId="4E9346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0347820" w14:textId="77777777">
        <w:trPr>
          <w:divId w:val="709186456"/>
          <w:jc w:val="center"/>
        </w:trPr>
        <w:tc>
          <w:tcPr>
            <w:tcW w:w="3190" w:type="pct"/>
            <w:shd w:val="clear" w:color="auto" w:fill="CFF0FC"/>
            <w:tcMar>
              <w:top w:w="15" w:type="dxa"/>
              <w:left w:w="0" w:type="dxa"/>
              <w:bottom w:w="0" w:type="dxa"/>
              <w:right w:w="15" w:type="dxa"/>
            </w:tcMar>
            <w:hideMark/>
          </w:tcPr>
          <w:p w14:paraId="0A443BA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Free cash flow as a percent of net income</w:t>
            </w:r>
          </w:p>
        </w:tc>
        <w:tc>
          <w:tcPr>
            <w:tcW w:w="83" w:type="pct"/>
            <w:shd w:val="clear" w:color="auto" w:fill="CFF0FC"/>
            <w:tcMar>
              <w:top w:w="15" w:type="dxa"/>
              <w:left w:w="0" w:type="dxa"/>
              <w:bottom w:w="0" w:type="dxa"/>
              <w:right w:w="15" w:type="dxa"/>
            </w:tcMar>
            <w:vAlign w:val="bottom"/>
            <w:hideMark/>
          </w:tcPr>
          <w:p w14:paraId="76B26D4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70" w:type="pct"/>
            <w:gridSpan w:val="2"/>
            <w:tcBorders>
              <w:top w:val="double" w:sz="6" w:space="0" w:color="000000"/>
            </w:tcBorders>
            <w:shd w:val="clear" w:color="auto" w:fill="CFF0FC"/>
            <w:tcMar>
              <w:top w:w="15" w:type="dxa"/>
              <w:left w:w="0" w:type="dxa"/>
              <w:bottom w:w="0" w:type="dxa"/>
              <w:right w:w="15" w:type="dxa"/>
            </w:tcMar>
            <w:vAlign w:val="bottom"/>
            <w:hideMark/>
          </w:tcPr>
          <w:p w14:paraId="361769A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116%</w:t>
            </w:r>
          </w:p>
        </w:tc>
        <w:tc>
          <w:tcPr>
            <w:tcW w:w="50" w:type="pct"/>
            <w:shd w:val="clear" w:color="auto" w:fill="CFF0FC"/>
            <w:noWrap/>
            <w:tcMar>
              <w:top w:w="15" w:type="dxa"/>
              <w:left w:w="0" w:type="dxa"/>
              <w:bottom w:w="0" w:type="dxa"/>
              <w:right w:w="15" w:type="dxa"/>
            </w:tcMar>
            <w:vAlign w:val="bottom"/>
            <w:hideMark/>
          </w:tcPr>
          <w:p w14:paraId="3B3CAB4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2184399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CFF0FC"/>
            <w:tcMar>
              <w:top w:w="15" w:type="dxa"/>
              <w:left w:w="0" w:type="dxa"/>
              <w:bottom w:w="0" w:type="dxa"/>
              <w:right w:w="15" w:type="dxa"/>
            </w:tcMar>
            <w:vAlign w:val="bottom"/>
            <w:hideMark/>
          </w:tcPr>
          <w:p w14:paraId="68A2D59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49E8B30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70" w:type="pct"/>
            <w:gridSpan w:val="2"/>
            <w:tcBorders>
              <w:top w:val="double" w:sz="6" w:space="0" w:color="000000"/>
            </w:tcBorders>
            <w:shd w:val="clear" w:color="auto" w:fill="CFF0FC"/>
            <w:tcMar>
              <w:top w:w="15" w:type="dxa"/>
              <w:left w:w="0" w:type="dxa"/>
              <w:bottom w:w="0" w:type="dxa"/>
              <w:right w:w="15" w:type="dxa"/>
            </w:tcMar>
            <w:vAlign w:val="bottom"/>
            <w:hideMark/>
          </w:tcPr>
          <w:p w14:paraId="7F28338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381%</w:t>
            </w:r>
          </w:p>
        </w:tc>
        <w:tc>
          <w:tcPr>
            <w:tcW w:w="50" w:type="pct"/>
            <w:shd w:val="clear" w:color="auto" w:fill="CFF0FC"/>
            <w:noWrap/>
            <w:tcMar>
              <w:top w:w="15" w:type="dxa"/>
              <w:left w:w="0" w:type="dxa"/>
              <w:bottom w:w="0" w:type="dxa"/>
              <w:right w:w="15" w:type="dxa"/>
            </w:tcMar>
            <w:vAlign w:val="bottom"/>
            <w:hideMark/>
          </w:tcPr>
          <w:p w14:paraId="444EDB00"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7F13766"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Long-Term Customer Financing: </w:t>
      </w:r>
      <w:r>
        <w:rPr>
          <w:rFonts w:ascii="Calibri" w:hAnsi="Calibri" w:cs="Calibri"/>
          <w:sz w:val="20"/>
          <w:szCs w:val="20"/>
        </w:rPr>
        <w:t xml:space="preserve">We offer certain of our customers the option to acquire licenses, cloud services, hardware and services offerings through separate long-term payment contracts. We generally sell these contracts that we have financed for our customers on a non-recourse basis to financial institutions within 90 days of the contracts’ dates of execution. We generally record the transfers of amounts due from customers to financial institutions as sales of financing receivables because we are considered to have surrendered control of these financing receivables. We financed $1.0 billion in fiscal 2019, $1.5 billion in 2018 and $912 million in fiscal 2017, respectively, or approximately 17%, 25% and 14%, respectively, of our cloud license and on-premise license revenues in fiscal 2019, 2018 and 2017, respectively. </w:t>
      </w:r>
    </w:p>
    <w:p w14:paraId="1BE6FA61"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Recent Financing Activities:</w:t>
      </w:r>
    </w:p>
    <w:p w14:paraId="0720292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u w:val="single"/>
        </w:rPr>
        <w:t>Cash Dividends</w:t>
      </w:r>
      <w:r>
        <w:rPr>
          <w:rFonts w:ascii="Calibri" w:hAnsi="Calibri" w:cs="Calibri"/>
          <w:sz w:val="20"/>
          <w:szCs w:val="20"/>
        </w:rPr>
        <w:t xml:space="preserve">: In fiscal 2019, we declared and paid cash dividends of $0.81 per share that totaled $2.9 billion. In June 2019, our Board of Directors declared a quarterly cash dividend of $0.24 per share of our outstanding common stock payable on July 31, 2019 to stockholders of record as of the close of business on July 17, 2019. Future declarations of dividends and the establishment of future record and payment dates are subject to the final determination of our Board of Directors. </w:t>
      </w:r>
    </w:p>
    <w:p w14:paraId="77D8067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u w:val="single"/>
        </w:rPr>
        <w:t>Common Stock Repurchase Program:</w:t>
      </w:r>
      <w:r>
        <w:rPr>
          <w:rFonts w:ascii="Calibri" w:hAnsi="Calibri" w:cs="Calibri"/>
          <w:sz w:val="20"/>
          <w:szCs w:val="20"/>
        </w:rPr>
        <w:t xml:space="preserve"> Our Board of Directors has approved a program for us to repurchase shares of our common stock. On September 17, 2018 and February 15, 2019, we announced that our Board of Directors approved expansions of our stock repurchase program collectively totaling $24.0 billion. As of May 31, 2019, approximately $5.8 billion remained available for stock repurchases pursuant to our stock repurchase program. We repurchased 733.8 million shares for $36.0 billion, 238.0 million shares for $11.5 billion, and 85.6 million shares for $3.5 billion in fiscal 2019, 2018 and 2017, respectively. Our stock repurchase authorization does not have an expiration date and the pace of our repurchase activity will depend on factors such as our working capital needs, our cash requirements for acquisitions and dividend payments, our debt repayment obligations or repurchases of our debt, our stock price, and economic and market conditions. Our stock repurchases may be effected from time to time through open market purchases and pursuant to a Rule 10b5-1 plan. Our stock repurchase program may be accelerated, suspended, delayed or discontinued at any time.</w:t>
      </w:r>
    </w:p>
    <w:p w14:paraId="357E38F6"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55</w:t>
      </w:r>
    </w:p>
    <w:p w14:paraId="465C14E7" w14:textId="77777777" w:rsidR="00251D72" w:rsidRDefault="00251D72">
      <w:pPr>
        <w:rPr>
          <w:rFonts w:ascii="Times New Roman" w:eastAsia="Times New Roman" w:hAnsi="Times New Roman" w:cs="Times New Roman"/>
          <w:sz w:val="24"/>
          <w:szCs w:val="24"/>
        </w:rPr>
      </w:pPr>
      <w:r>
        <w:rPr>
          <w:rFonts w:eastAsia="Times New Roman"/>
        </w:rPr>
        <w:pict w14:anchorId="7A285135">
          <v:rect id="_x0000_i1081" style="width:415.3pt;height:1.5pt" o:hralign="center" o:hrstd="t" o:hr="t" fillcolor="#a0a0a0" stroked="f"/>
        </w:pict>
      </w:r>
    </w:p>
    <w:p w14:paraId="559AAC19"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9C90E2E"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131BF0C" w14:textId="77777777" w:rsidR="00251D72" w:rsidRDefault="00251D72">
      <w:pPr>
        <w:pStyle w:val="a3"/>
        <w:spacing w:before="120" w:beforeAutospacing="0" w:after="0" w:afterAutospacing="0"/>
        <w:rPr>
          <w:sz w:val="20"/>
          <w:szCs w:val="20"/>
        </w:rPr>
      </w:pPr>
      <w:r>
        <w:rPr>
          <w:sz w:val="20"/>
          <w:szCs w:val="20"/>
        </w:rPr>
        <w:t> </w:t>
      </w:r>
    </w:p>
    <w:p w14:paraId="0C7AFC04" w14:textId="77777777" w:rsidR="00251D72" w:rsidRDefault="00251D72">
      <w:pPr>
        <w:pStyle w:val="a3"/>
        <w:spacing w:before="120" w:beforeAutospacing="0" w:after="0" w:afterAutospacing="0"/>
        <w:jc w:val="both"/>
        <w:rPr>
          <w:rFonts w:ascii="Calibri" w:hAnsi="Calibri" w:cs="Calibri"/>
          <w:b/>
          <w:bCs/>
          <w:i/>
          <w:iCs/>
          <w:sz w:val="20"/>
          <w:szCs w:val="20"/>
        </w:rPr>
      </w:pPr>
      <w:bookmarkStart w:id="72" w:name="_AEIOULastRenderedPageBreakAEIOU58"/>
      <w:bookmarkEnd w:id="72"/>
      <w:r>
        <w:rPr>
          <w:rFonts w:ascii="Calibri" w:hAnsi="Calibri" w:cs="Calibri"/>
          <w:b/>
          <w:bCs/>
          <w:i/>
          <w:iCs/>
          <w:sz w:val="20"/>
          <w:szCs w:val="20"/>
        </w:rPr>
        <w:t xml:space="preserve">Contractual Obligations: </w:t>
      </w:r>
      <w:r>
        <w:rPr>
          <w:rFonts w:ascii="Calibri" w:hAnsi="Calibri" w:cs="Calibri"/>
          <w:sz w:val="20"/>
          <w:szCs w:val="20"/>
        </w:rPr>
        <w:t>The contractual obligations presented in the table below represent our estimates of future payments under our fixed contractual obligations and commitments. Changes in our business needs, cancellation provisions, changing interest rates and other factors may result in actual payments differing from these estimates. We cannot provide certainty regarding the timing and amounts of payments. We have presented below a summary of the most significant assumptions used in preparing this information within the context of our consolidated financial position, results of operations and cash flows. The following is a summary of our material contractual obligations as of May 31, 2019:</w:t>
      </w:r>
    </w:p>
    <w:p w14:paraId="6522D1F5"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2786"/>
        <w:gridCol w:w="95"/>
        <w:gridCol w:w="107"/>
        <w:gridCol w:w="517"/>
        <w:gridCol w:w="70"/>
        <w:gridCol w:w="95"/>
        <w:gridCol w:w="107"/>
        <w:gridCol w:w="502"/>
        <w:gridCol w:w="70"/>
        <w:gridCol w:w="95"/>
        <w:gridCol w:w="107"/>
        <w:gridCol w:w="502"/>
        <w:gridCol w:w="70"/>
        <w:gridCol w:w="95"/>
        <w:gridCol w:w="107"/>
        <w:gridCol w:w="517"/>
        <w:gridCol w:w="70"/>
        <w:gridCol w:w="95"/>
        <w:gridCol w:w="107"/>
        <w:gridCol w:w="492"/>
        <w:gridCol w:w="70"/>
        <w:gridCol w:w="95"/>
        <w:gridCol w:w="107"/>
        <w:gridCol w:w="501"/>
        <w:gridCol w:w="71"/>
        <w:gridCol w:w="96"/>
        <w:gridCol w:w="108"/>
        <w:gridCol w:w="581"/>
        <w:gridCol w:w="71"/>
      </w:tblGrid>
      <w:tr w:rsidR="00251D72" w14:paraId="559CF17D" w14:textId="77777777">
        <w:trPr>
          <w:divId w:val="765687779"/>
          <w:jc w:val="center"/>
        </w:trPr>
        <w:tc>
          <w:tcPr>
            <w:tcW w:w="1684" w:type="pct"/>
            <w:shd w:val="clear" w:color="auto" w:fill="FFFFFF"/>
            <w:tcMar>
              <w:top w:w="15" w:type="dxa"/>
              <w:left w:w="0" w:type="dxa"/>
              <w:bottom w:w="0" w:type="dxa"/>
              <w:right w:w="15" w:type="dxa"/>
            </w:tcMar>
            <w:vAlign w:val="bottom"/>
            <w:hideMark/>
          </w:tcPr>
          <w:p w14:paraId="03DDA02A" w14:textId="77777777" w:rsidR="00251D72" w:rsidRDefault="00251D72">
            <w:pPr>
              <w:pStyle w:val="a3"/>
              <w:spacing w:before="0" w:beforeAutospacing="0" w:after="0" w:afterAutospacing="0"/>
              <w:jc w:val="center"/>
              <w:rPr>
                <w:sz w:val="15"/>
                <w:szCs w:val="15"/>
              </w:rPr>
            </w:pPr>
            <w:r>
              <w:rPr>
                <w:sz w:val="15"/>
                <w:szCs w:val="15"/>
              </w:rPr>
              <w:t> </w:t>
            </w:r>
          </w:p>
        </w:tc>
        <w:tc>
          <w:tcPr>
            <w:tcW w:w="65" w:type="pct"/>
            <w:shd w:val="clear" w:color="auto" w:fill="FFFFFF"/>
            <w:tcMar>
              <w:top w:w="15" w:type="dxa"/>
              <w:left w:w="0" w:type="dxa"/>
              <w:bottom w:w="0" w:type="dxa"/>
              <w:right w:w="15" w:type="dxa"/>
            </w:tcMar>
            <w:vAlign w:val="bottom"/>
            <w:hideMark/>
          </w:tcPr>
          <w:p w14:paraId="68561DE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4AC6456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10" w:type="pct"/>
            <w:shd w:val="clear" w:color="auto" w:fill="FFFFFF"/>
            <w:noWrap/>
            <w:tcMar>
              <w:top w:w="15" w:type="dxa"/>
              <w:left w:w="0" w:type="dxa"/>
              <w:bottom w:w="0" w:type="dxa"/>
              <w:right w:w="15" w:type="dxa"/>
            </w:tcMar>
            <w:vAlign w:val="bottom"/>
            <w:hideMark/>
          </w:tcPr>
          <w:p w14:paraId="3360EDB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88B430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left w:w="0" w:type="dxa"/>
              <w:bottom w:w="0" w:type="dxa"/>
              <w:right w:w="15" w:type="dxa"/>
            </w:tcMar>
            <w:vAlign w:val="bottom"/>
            <w:hideMark/>
          </w:tcPr>
          <w:p w14:paraId="0197C92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253" w:type="pct"/>
            <w:gridSpan w:val="18"/>
            <w:tcBorders>
              <w:bottom w:val="single" w:sz="6" w:space="0" w:color="000000"/>
            </w:tcBorders>
            <w:shd w:val="clear" w:color="auto" w:fill="FFFFFF"/>
            <w:tcMar>
              <w:top w:w="15" w:type="dxa"/>
              <w:left w:w="0" w:type="dxa"/>
              <w:bottom w:w="0" w:type="dxa"/>
              <w:right w:w="15" w:type="dxa"/>
            </w:tcMar>
            <w:vAlign w:val="bottom"/>
            <w:hideMark/>
          </w:tcPr>
          <w:p w14:paraId="370B991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Ending May 31,</w:t>
            </w:r>
          </w:p>
        </w:tc>
        <w:tc>
          <w:tcPr>
            <w:tcW w:w="50" w:type="pct"/>
            <w:shd w:val="clear" w:color="auto" w:fill="FFFFFF"/>
            <w:noWrap/>
            <w:tcMar>
              <w:top w:w="15" w:type="dxa"/>
              <w:left w:w="0" w:type="dxa"/>
              <w:bottom w:w="0" w:type="dxa"/>
              <w:right w:w="15" w:type="dxa"/>
            </w:tcMar>
            <w:vAlign w:val="bottom"/>
            <w:hideMark/>
          </w:tcPr>
          <w:p w14:paraId="52FC86E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left w:w="0" w:type="dxa"/>
              <w:bottom w:w="0" w:type="dxa"/>
              <w:right w:w="15" w:type="dxa"/>
            </w:tcMar>
            <w:vAlign w:val="bottom"/>
            <w:hideMark/>
          </w:tcPr>
          <w:p w14:paraId="3CD0542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1F38A51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4" w:type="pct"/>
            <w:shd w:val="clear" w:color="auto" w:fill="FFFFFF"/>
            <w:noWrap/>
            <w:tcMar>
              <w:top w:w="15" w:type="dxa"/>
              <w:left w:w="0" w:type="dxa"/>
              <w:bottom w:w="0" w:type="dxa"/>
              <w:right w:w="15" w:type="dxa"/>
            </w:tcMar>
            <w:vAlign w:val="bottom"/>
            <w:hideMark/>
          </w:tcPr>
          <w:p w14:paraId="5B22768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542975E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12C58C9" w14:textId="77777777">
        <w:trPr>
          <w:divId w:val="765687779"/>
          <w:jc w:val="center"/>
        </w:trPr>
        <w:tc>
          <w:tcPr>
            <w:tcW w:w="1684" w:type="pct"/>
            <w:tcBorders>
              <w:bottom w:val="single" w:sz="6" w:space="0" w:color="000000"/>
            </w:tcBorders>
            <w:shd w:val="clear" w:color="auto" w:fill="FFFFFF"/>
            <w:tcMar>
              <w:top w:w="15" w:type="dxa"/>
              <w:left w:w="0" w:type="dxa"/>
              <w:bottom w:w="0" w:type="dxa"/>
              <w:right w:w="15" w:type="dxa"/>
            </w:tcMar>
            <w:vAlign w:val="bottom"/>
            <w:hideMark/>
          </w:tcPr>
          <w:p w14:paraId="00E928B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5" w:type="pct"/>
            <w:shd w:val="clear" w:color="auto" w:fill="FFFFFF"/>
            <w:tcMar>
              <w:top w:w="15" w:type="dxa"/>
              <w:left w:w="0" w:type="dxa"/>
              <w:bottom w:w="0" w:type="dxa"/>
              <w:right w:w="15" w:type="dxa"/>
            </w:tcMar>
            <w:vAlign w:val="bottom"/>
            <w:hideMark/>
          </w:tcPr>
          <w:p w14:paraId="0BCAF7C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60" w:type="pct"/>
            <w:gridSpan w:val="2"/>
            <w:tcBorders>
              <w:bottom w:val="single" w:sz="6" w:space="0" w:color="000000"/>
            </w:tcBorders>
            <w:shd w:val="clear" w:color="auto" w:fill="FFFFFF"/>
            <w:tcMar>
              <w:top w:w="15" w:type="dxa"/>
              <w:left w:w="0" w:type="dxa"/>
              <w:bottom w:w="0" w:type="dxa"/>
              <w:right w:w="15" w:type="dxa"/>
            </w:tcMar>
            <w:vAlign w:val="bottom"/>
            <w:hideMark/>
          </w:tcPr>
          <w:p w14:paraId="049143B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left w:w="0" w:type="dxa"/>
              <w:bottom w:w="0" w:type="dxa"/>
              <w:right w:w="15" w:type="dxa"/>
            </w:tcMar>
            <w:vAlign w:val="bottom"/>
            <w:hideMark/>
          </w:tcPr>
          <w:p w14:paraId="53DFE3C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left w:w="0" w:type="dxa"/>
              <w:bottom w:w="0" w:type="dxa"/>
              <w:right w:w="15" w:type="dxa"/>
            </w:tcMar>
            <w:vAlign w:val="bottom"/>
            <w:hideMark/>
          </w:tcPr>
          <w:p w14:paraId="4F329AD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6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6AA27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left w:w="0" w:type="dxa"/>
              <w:bottom w:w="0" w:type="dxa"/>
              <w:right w:w="15" w:type="dxa"/>
            </w:tcMar>
            <w:vAlign w:val="bottom"/>
            <w:hideMark/>
          </w:tcPr>
          <w:p w14:paraId="0CE774D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14:paraId="267A2C2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6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FBC78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left w:w="0" w:type="dxa"/>
              <w:bottom w:w="0" w:type="dxa"/>
              <w:right w:w="15" w:type="dxa"/>
            </w:tcMar>
            <w:vAlign w:val="bottom"/>
            <w:hideMark/>
          </w:tcPr>
          <w:p w14:paraId="5122623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14:paraId="2F1E4EC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6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C081E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left w:w="0" w:type="dxa"/>
              <w:bottom w:w="0" w:type="dxa"/>
              <w:right w:w="15" w:type="dxa"/>
            </w:tcMar>
            <w:vAlign w:val="bottom"/>
            <w:hideMark/>
          </w:tcPr>
          <w:p w14:paraId="4C45614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14:paraId="1CB298A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A96CB5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2023</w:t>
            </w:r>
          </w:p>
        </w:tc>
        <w:tc>
          <w:tcPr>
            <w:tcW w:w="50" w:type="pct"/>
            <w:shd w:val="clear" w:color="auto" w:fill="FFFFFF"/>
            <w:noWrap/>
            <w:tcMar>
              <w:top w:w="15" w:type="dxa"/>
              <w:left w:w="0" w:type="dxa"/>
              <w:bottom w:w="0" w:type="dxa"/>
              <w:right w:w="15" w:type="dxa"/>
            </w:tcMar>
            <w:vAlign w:val="bottom"/>
            <w:hideMark/>
          </w:tcPr>
          <w:p w14:paraId="56034A1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14:paraId="573EB98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C61954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2024</w:t>
            </w:r>
          </w:p>
        </w:tc>
        <w:tc>
          <w:tcPr>
            <w:tcW w:w="50" w:type="pct"/>
            <w:shd w:val="clear" w:color="auto" w:fill="FFFFFF"/>
            <w:noWrap/>
            <w:tcMar>
              <w:top w:w="15" w:type="dxa"/>
              <w:left w:w="0" w:type="dxa"/>
              <w:bottom w:w="0" w:type="dxa"/>
              <w:right w:w="15" w:type="dxa"/>
            </w:tcMar>
            <w:vAlign w:val="bottom"/>
            <w:hideMark/>
          </w:tcPr>
          <w:p w14:paraId="66A918C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left w:w="0" w:type="dxa"/>
              <w:bottom w:w="0" w:type="dxa"/>
              <w:right w:w="15" w:type="dxa"/>
            </w:tcMar>
            <w:vAlign w:val="bottom"/>
            <w:hideMark/>
          </w:tcPr>
          <w:p w14:paraId="0027EBB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4" w:type="pct"/>
            <w:gridSpan w:val="2"/>
            <w:tcBorders>
              <w:bottom w:val="single" w:sz="6" w:space="0" w:color="000000"/>
            </w:tcBorders>
            <w:shd w:val="clear" w:color="auto" w:fill="FFFFFF"/>
            <w:tcMar>
              <w:top w:w="15" w:type="dxa"/>
              <w:left w:w="0" w:type="dxa"/>
              <w:bottom w:w="0" w:type="dxa"/>
              <w:right w:w="15" w:type="dxa"/>
            </w:tcMar>
            <w:vAlign w:val="bottom"/>
            <w:hideMark/>
          </w:tcPr>
          <w:p w14:paraId="168AEDD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Thereafter</w:t>
            </w:r>
          </w:p>
        </w:tc>
        <w:tc>
          <w:tcPr>
            <w:tcW w:w="50" w:type="pct"/>
            <w:shd w:val="clear" w:color="auto" w:fill="FFFFFF"/>
            <w:noWrap/>
            <w:tcMar>
              <w:top w:w="15" w:type="dxa"/>
              <w:left w:w="0" w:type="dxa"/>
              <w:bottom w:w="0" w:type="dxa"/>
              <w:right w:w="15" w:type="dxa"/>
            </w:tcMar>
            <w:vAlign w:val="bottom"/>
            <w:hideMark/>
          </w:tcPr>
          <w:p w14:paraId="6AD38F4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B9C50DC" w14:textId="77777777">
        <w:trPr>
          <w:divId w:val="765687779"/>
          <w:jc w:val="center"/>
        </w:trPr>
        <w:tc>
          <w:tcPr>
            <w:tcW w:w="1684" w:type="pct"/>
            <w:tcBorders>
              <w:top w:val="single" w:sz="6" w:space="0" w:color="000000"/>
            </w:tcBorders>
            <w:shd w:val="clear" w:color="auto" w:fill="CFF0FC"/>
            <w:tcMar>
              <w:top w:w="15" w:type="dxa"/>
              <w:left w:w="0" w:type="dxa"/>
              <w:bottom w:w="0" w:type="dxa"/>
              <w:right w:w="15" w:type="dxa"/>
            </w:tcMar>
            <w:hideMark/>
          </w:tcPr>
          <w:p w14:paraId="2D56F9B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Principal payments on borrowings</w:t>
            </w:r>
            <w:r>
              <w:rPr>
                <w:rFonts w:ascii="Calibri" w:hAnsi="Calibri" w:cs="Calibri"/>
                <w:color w:val="000000"/>
                <w:sz w:val="15"/>
                <w:szCs w:val="15"/>
                <w:vertAlign w:val="superscript"/>
              </w:rPr>
              <w:t>(1)</w:t>
            </w:r>
          </w:p>
        </w:tc>
        <w:tc>
          <w:tcPr>
            <w:tcW w:w="65" w:type="pct"/>
            <w:shd w:val="clear" w:color="auto" w:fill="CFF0FC"/>
            <w:tcMar>
              <w:top w:w="15" w:type="dxa"/>
              <w:left w:w="0" w:type="dxa"/>
              <w:bottom w:w="0" w:type="dxa"/>
              <w:right w:w="15" w:type="dxa"/>
            </w:tcMar>
            <w:vAlign w:val="bottom"/>
            <w:hideMark/>
          </w:tcPr>
          <w:p w14:paraId="7CB62A5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82E4B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tcBorders>
            <w:shd w:val="clear" w:color="auto" w:fill="CFF0FC"/>
            <w:noWrap/>
            <w:tcMar>
              <w:top w:w="15" w:type="dxa"/>
              <w:left w:w="0" w:type="dxa"/>
              <w:bottom w:w="0" w:type="dxa"/>
              <w:right w:w="15" w:type="dxa"/>
            </w:tcMar>
            <w:vAlign w:val="bottom"/>
            <w:hideMark/>
          </w:tcPr>
          <w:p w14:paraId="7F8CC7E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56,615</w:t>
            </w:r>
          </w:p>
        </w:tc>
        <w:tc>
          <w:tcPr>
            <w:tcW w:w="50" w:type="pct"/>
            <w:shd w:val="clear" w:color="auto" w:fill="CFF0FC"/>
            <w:noWrap/>
            <w:tcMar>
              <w:top w:w="15" w:type="dxa"/>
              <w:left w:w="0" w:type="dxa"/>
              <w:bottom w:w="0" w:type="dxa"/>
              <w:right w:w="15" w:type="dxa"/>
            </w:tcMar>
            <w:vAlign w:val="bottom"/>
            <w:hideMark/>
          </w:tcPr>
          <w:p w14:paraId="56DD9BC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0EAEA17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7579E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tcBorders>
            <w:shd w:val="clear" w:color="auto" w:fill="CFF0FC"/>
            <w:noWrap/>
            <w:tcMar>
              <w:top w:w="15" w:type="dxa"/>
              <w:left w:w="0" w:type="dxa"/>
              <w:bottom w:w="0" w:type="dxa"/>
              <w:right w:w="15" w:type="dxa"/>
            </w:tcMar>
            <w:vAlign w:val="bottom"/>
            <w:hideMark/>
          </w:tcPr>
          <w:p w14:paraId="21D319D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4,500</w:t>
            </w:r>
          </w:p>
        </w:tc>
        <w:tc>
          <w:tcPr>
            <w:tcW w:w="50" w:type="pct"/>
            <w:shd w:val="clear" w:color="auto" w:fill="CFF0FC"/>
            <w:noWrap/>
            <w:tcMar>
              <w:top w:w="15" w:type="dxa"/>
              <w:left w:w="0" w:type="dxa"/>
              <w:bottom w:w="0" w:type="dxa"/>
              <w:right w:w="15" w:type="dxa"/>
            </w:tcMar>
            <w:vAlign w:val="bottom"/>
            <w:hideMark/>
          </w:tcPr>
          <w:p w14:paraId="3A93356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3C74AAA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C29F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tcBorders>
            <w:shd w:val="clear" w:color="auto" w:fill="CFF0FC"/>
            <w:noWrap/>
            <w:tcMar>
              <w:top w:w="15" w:type="dxa"/>
              <w:left w:w="0" w:type="dxa"/>
              <w:bottom w:w="0" w:type="dxa"/>
              <w:right w:w="15" w:type="dxa"/>
            </w:tcMar>
            <w:vAlign w:val="bottom"/>
            <w:hideMark/>
          </w:tcPr>
          <w:p w14:paraId="5F78857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2,631</w:t>
            </w:r>
          </w:p>
        </w:tc>
        <w:tc>
          <w:tcPr>
            <w:tcW w:w="50" w:type="pct"/>
            <w:shd w:val="clear" w:color="auto" w:fill="CFF0FC"/>
            <w:noWrap/>
            <w:tcMar>
              <w:top w:w="15" w:type="dxa"/>
              <w:left w:w="0" w:type="dxa"/>
              <w:bottom w:w="0" w:type="dxa"/>
              <w:right w:w="15" w:type="dxa"/>
            </w:tcMar>
            <w:vAlign w:val="bottom"/>
            <w:hideMark/>
          </w:tcPr>
          <w:p w14:paraId="2DA4D6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27C52BF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23553B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tcBorders>
            <w:shd w:val="clear" w:color="auto" w:fill="CFF0FC"/>
            <w:noWrap/>
            <w:tcMar>
              <w:top w:w="15" w:type="dxa"/>
              <w:left w:w="0" w:type="dxa"/>
              <w:bottom w:w="0" w:type="dxa"/>
              <w:right w:w="15" w:type="dxa"/>
            </w:tcMar>
            <w:vAlign w:val="bottom"/>
            <w:hideMark/>
          </w:tcPr>
          <w:p w14:paraId="62D86B6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8,250</w:t>
            </w:r>
          </w:p>
        </w:tc>
        <w:tc>
          <w:tcPr>
            <w:tcW w:w="50" w:type="pct"/>
            <w:shd w:val="clear" w:color="auto" w:fill="CFF0FC"/>
            <w:noWrap/>
            <w:tcMar>
              <w:top w:w="15" w:type="dxa"/>
              <w:left w:w="0" w:type="dxa"/>
              <w:bottom w:w="0" w:type="dxa"/>
              <w:right w:w="15" w:type="dxa"/>
            </w:tcMar>
            <w:vAlign w:val="bottom"/>
            <w:hideMark/>
          </w:tcPr>
          <w:p w14:paraId="239DB1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73B3309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5C144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04" w:type="pct"/>
            <w:tcBorders>
              <w:top w:val="single" w:sz="6" w:space="0" w:color="000000"/>
            </w:tcBorders>
            <w:shd w:val="clear" w:color="auto" w:fill="CFF0FC"/>
            <w:noWrap/>
            <w:tcMar>
              <w:top w:w="15" w:type="dxa"/>
              <w:left w:w="0" w:type="dxa"/>
              <w:bottom w:w="0" w:type="dxa"/>
              <w:right w:w="15" w:type="dxa"/>
            </w:tcMar>
            <w:vAlign w:val="bottom"/>
            <w:hideMark/>
          </w:tcPr>
          <w:p w14:paraId="3382D8B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3,750</w:t>
            </w:r>
          </w:p>
        </w:tc>
        <w:tc>
          <w:tcPr>
            <w:tcW w:w="50" w:type="pct"/>
            <w:shd w:val="clear" w:color="auto" w:fill="CFF0FC"/>
            <w:noWrap/>
            <w:tcMar>
              <w:top w:w="15" w:type="dxa"/>
              <w:left w:w="0" w:type="dxa"/>
              <w:bottom w:w="0" w:type="dxa"/>
              <w:right w:w="15" w:type="dxa"/>
            </w:tcMar>
            <w:vAlign w:val="bottom"/>
            <w:hideMark/>
          </w:tcPr>
          <w:p w14:paraId="3DC08DB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1F08956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758123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04" w:type="pct"/>
            <w:tcBorders>
              <w:top w:val="single" w:sz="6" w:space="0" w:color="000000"/>
            </w:tcBorders>
            <w:shd w:val="clear" w:color="auto" w:fill="CFF0FC"/>
            <w:noWrap/>
            <w:tcMar>
              <w:top w:w="15" w:type="dxa"/>
              <w:left w:w="0" w:type="dxa"/>
              <w:bottom w:w="0" w:type="dxa"/>
              <w:right w:w="15" w:type="dxa"/>
            </w:tcMar>
            <w:vAlign w:val="bottom"/>
            <w:hideMark/>
          </w:tcPr>
          <w:p w14:paraId="78BFAF9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3,500</w:t>
            </w:r>
          </w:p>
        </w:tc>
        <w:tc>
          <w:tcPr>
            <w:tcW w:w="50" w:type="pct"/>
            <w:shd w:val="clear" w:color="auto" w:fill="CFF0FC"/>
            <w:noWrap/>
            <w:tcMar>
              <w:top w:w="15" w:type="dxa"/>
              <w:left w:w="0" w:type="dxa"/>
              <w:bottom w:w="0" w:type="dxa"/>
              <w:right w:w="15" w:type="dxa"/>
            </w:tcMar>
            <w:vAlign w:val="bottom"/>
            <w:hideMark/>
          </w:tcPr>
          <w:p w14:paraId="6CC0AF2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370CC0C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4CD9D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04" w:type="pct"/>
            <w:tcBorders>
              <w:top w:val="single" w:sz="6" w:space="0" w:color="000000"/>
            </w:tcBorders>
            <w:shd w:val="clear" w:color="auto" w:fill="CFF0FC"/>
            <w:noWrap/>
            <w:tcMar>
              <w:top w:w="15" w:type="dxa"/>
              <w:left w:w="0" w:type="dxa"/>
              <w:bottom w:w="0" w:type="dxa"/>
              <w:right w:w="15" w:type="dxa"/>
            </w:tcMar>
            <w:vAlign w:val="bottom"/>
            <w:hideMark/>
          </w:tcPr>
          <w:p w14:paraId="424D68B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33,984</w:t>
            </w:r>
          </w:p>
        </w:tc>
        <w:tc>
          <w:tcPr>
            <w:tcW w:w="50" w:type="pct"/>
            <w:shd w:val="clear" w:color="auto" w:fill="CFF0FC"/>
            <w:noWrap/>
            <w:tcMar>
              <w:top w:w="15" w:type="dxa"/>
              <w:left w:w="0" w:type="dxa"/>
              <w:bottom w:w="0" w:type="dxa"/>
              <w:right w:w="15" w:type="dxa"/>
            </w:tcMar>
            <w:vAlign w:val="bottom"/>
            <w:hideMark/>
          </w:tcPr>
          <w:p w14:paraId="2EB61D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4E238D6" w14:textId="77777777">
        <w:trPr>
          <w:divId w:val="765687779"/>
          <w:jc w:val="center"/>
        </w:trPr>
        <w:tc>
          <w:tcPr>
            <w:tcW w:w="1684" w:type="pct"/>
            <w:shd w:val="clear" w:color="auto" w:fill="FFFFFF"/>
            <w:tcMar>
              <w:top w:w="15" w:type="dxa"/>
              <w:left w:w="0" w:type="dxa"/>
              <w:bottom w:w="0" w:type="dxa"/>
              <w:right w:w="15" w:type="dxa"/>
            </w:tcMar>
            <w:hideMark/>
          </w:tcPr>
          <w:p w14:paraId="56D6BC7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Interest payments on borrowings</w:t>
            </w:r>
            <w:r>
              <w:rPr>
                <w:rFonts w:ascii="Calibri" w:hAnsi="Calibri" w:cs="Calibri"/>
                <w:color w:val="000000"/>
                <w:sz w:val="15"/>
                <w:szCs w:val="15"/>
                <w:vertAlign w:val="superscript"/>
              </w:rPr>
              <w:t>(1)</w:t>
            </w:r>
          </w:p>
        </w:tc>
        <w:tc>
          <w:tcPr>
            <w:tcW w:w="65" w:type="pct"/>
            <w:shd w:val="clear" w:color="auto" w:fill="FFFFFF"/>
            <w:tcMar>
              <w:top w:w="15" w:type="dxa"/>
              <w:left w:w="0" w:type="dxa"/>
              <w:bottom w:w="0" w:type="dxa"/>
              <w:right w:w="15" w:type="dxa"/>
            </w:tcMar>
            <w:vAlign w:val="bottom"/>
            <w:hideMark/>
          </w:tcPr>
          <w:p w14:paraId="070847E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BBC86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left w:w="0" w:type="dxa"/>
              <w:bottom w:w="0" w:type="dxa"/>
              <w:right w:w="15" w:type="dxa"/>
            </w:tcMar>
            <w:vAlign w:val="bottom"/>
            <w:hideMark/>
          </w:tcPr>
          <w:p w14:paraId="3604F76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25,333</w:t>
            </w:r>
          </w:p>
        </w:tc>
        <w:tc>
          <w:tcPr>
            <w:tcW w:w="50" w:type="pct"/>
            <w:shd w:val="clear" w:color="auto" w:fill="FFFFFF"/>
            <w:noWrap/>
            <w:tcMar>
              <w:top w:w="15" w:type="dxa"/>
              <w:left w:w="0" w:type="dxa"/>
              <w:bottom w:w="0" w:type="dxa"/>
              <w:right w:w="15" w:type="dxa"/>
            </w:tcMar>
            <w:vAlign w:val="bottom"/>
            <w:hideMark/>
          </w:tcPr>
          <w:p w14:paraId="77951E2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2EB2032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2EB75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left w:w="0" w:type="dxa"/>
              <w:bottom w:w="0" w:type="dxa"/>
              <w:right w:w="15" w:type="dxa"/>
            </w:tcMar>
            <w:vAlign w:val="bottom"/>
            <w:hideMark/>
          </w:tcPr>
          <w:p w14:paraId="613D7BB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1,860</w:t>
            </w:r>
          </w:p>
        </w:tc>
        <w:tc>
          <w:tcPr>
            <w:tcW w:w="50" w:type="pct"/>
            <w:shd w:val="clear" w:color="auto" w:fill="FFFFFF"/>
            <w:noWrap/>
            <w:tcMar>
              <w:top w:w="15" w:type="dxa"/>
              <w:left w:w="0" w:type="dxa"/>
              <w:bottom w:w="0" w:type="dxa"/>
              <w:right w:w="15" w:type="dxa"/>
            </w:tcMar>
            <w:vAlign w:val="bottom"/>
            <w:hideMark/>
          </w:tcPr>
          <w:p w14:paraId="0EBF40E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5A2953E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83AB8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left w:w="0" w:type="dxa"/>
              <w:bottom w:w="0" w:type="dxa"/>
              <w:right w:w="15" w:type="dxa"/>
            </w:tcMar>
            <w:vAlign w:val="bottom"/>
            <w:hideMark/>
          </w:tcPr>
          <w:p w14:paraId="1C58ADF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1,771</w:t>
            </w:r>
          </w:p>
        </w:tc>
        <w:tc>
          <w:tcPr>
            <w:tcW w:w="50" w:type="pct"/>
            <w:shd w:val="clear" w:color="auto" w:fill="FFFFFF"/>
            <w:noWrap/>
            <w:tcMar>
              <w:top w:w="15" w:type="dxa"/>
              <w:left w:w="0" w:type="dxa"/>
              <w:bottom w:w="0" w:type="dxa"/>
              <w:right w:w="15" w:type="dxa"/>
            </w:tcMar>
            <w:vAlign w:val="bottom"/>
            <w:hideMark/>
          </w:tcPr>
          <w:p w14:paraId="1115C41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0B10F33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44F29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left w:w="0" w:type="dxa"/>
              <w:bottom w:w="0" w:type="dxa"/>
              <w:right w:w="15" w:type="dxa"/>
            </w:tcMar>
            <w:vAlign w:val="bottom"/>
            <w:hideMark/>
          </w:tcPr>
          <w:p w14:paraId="0BF10C4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1,644</w:t>
            </w:r>
          </w:p>
        </w:tc>
        <w:tc>
          <w:tcPr>
            <w:tcW w:w="50" w:type="pct"/>
            <w:shd w:val="clear" w:color="auto" w:fill="FFFFFF"/>
            <w:noWrap/>
            <w:tcMar>
              <w:top w:w="15" w:type="dxa"/>
              <w:left w:w="0" w:type="dxa"/>
              <w:bottom w:w="0" w:type="dxa"/>
              <w:right w:w="15" w:type="dxa"/>
            </w:tcMar>
            <w:vAlign w:val="bottom"/>
            <w:hideMark/>
          </w:tcPr>
          <w:p w14:paraId="3971B3D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5A0C74E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AEE88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shd w:val="clear" w:color="auto" w:fill="FFFFFF"/>
            <w:noWrap/>
            <w:tcMar>
              <w:top w:w="15" w:type="dxa"/>
              <w:left w:w="0" w:type="dxa"/>
              <w:bottom w:w="0" w:type="dxa"/>
              <w:right w:w="15" w:type="dxa"/>
            </w:tcMar>
            <w:vAlign w:val="bottom"/>
            <w:hideMark/>
          </w:tcPr>
          <w:p w14:paraId="1BFE5A3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1,507</w:t>
            </w:r>
          </w:p>
        </w:tc>
        <w:tc>
          <w:tcPr>
            <w:tcW w:w="50" w:type="pct"/>
            <w:shd w:val="clear" w:color="auto" w:fill="FFFFFF"/>
            <w:noWrap/>
            <w:tcMar>
              <w:top w:w="15" w:type="dxa"/>
              <w:left w:w="0" w:type="dxa"/>
              <w:bottom w:w="0" w:type="dxa"/>
              <w:right w:w="15" w:type="dxa"/>
            </w:tcMar>
            <w:vAlign w:val="bottom"/>
            <w:hideMark/>
          </w:tcPr>
          <w:p w14:paraId="07D7FC7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03FD778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DDFAA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shd w:val="clear" w:color="auto" w:fill="FFFFFF"/>
            <w:noWrap/>
            <w:tcMar>
              <w:top w:w="15" w:type="dxa"/>
              <w:left w:w="0" w:type="dxa"/>
              <w:bottom w:w="0" w:type="dxa"/>
              <w:right w:w="15" w:type="dxa"/>
            </w:tcMar>
            <w:vAlign w:val="bottom"/>
            <w:hideMark/>
          </w:tcPr>
          <w:p w14:paraId="78AA05C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1,395</w:t>
            </w:r>
          </w:p>
        </w:tc>
        <w:tc>
          <w:tcPr>
            <w:tcW w:w="50" w:type="pct"/>
            <w:shd w:val="clear" w:color="auto" w:fill="FFFFFF"/>
            <w:noWrap/>
            <w:tcMar>
              <w:top w:w="15" w:type="dxa"/>
              <w:left w:w="0" w:type="dxa"/>
              <w:bottom w:w="0" w:type="dxa"/>
              <w:right w:w="15" w:type="dxa"/>
            </w:tcMar>
            <w:vAlign w:val="bottom"/>
            <w:hideMark/>
          </w:tcPr>
          <w:p w14:paraId="2DAC469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451CB13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8C8A60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shd w:val="clear" w:color="auto" w:fill="FFFFFF"/>
            <w:noWrap/>
            <w:tcMar>
              <w:top w:w="15" w:type="dxa"/>
              <w:left w:w="0" w:type="dxa"/>
              <w:bottom w:w="0" w:type="dxa"/>
              <w:right w:w="15" w:type="dxa"/>
            </w:tcMar>
            <w:vAlign w:val="bottom"/>
            <w:hideMark/>
          </w:tcPr>
          <w:p w14:paraId="4496938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17,156</w:t>
            </w:r>
          </w:p>
        </w:tc>
        <w:tc>
          <w:tcPr>
            <w:tcW w:w="50" w:type="pct"/>
            <w:shd w:val="clear" w:color="auto" w:fill="FFFFFF"/>
            <w:noWrap/>
            <w:tcMar>
              <w:top w:w="15" w:type="dxa"/>
              <w:left w:w="0" w:type="dxa"/>
              <w:bottom w:w="0" w:type="dxa"/>
              <w:right w:w="15" w:type="dxa"/>
            </w:tcMar>
            <w:vAlign w:val="bottom"/>
            <w:hideMark/>
          </w:tcPr>
          <w:p w14:paraId="5FA701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36F5DA9" w14:textId="77777777">
        <w:trPr>
          <w:divId w:val="765687779"/>
          <w:jc w:val="center"/>
        </w:trPr>
        <w:tc>
          <w:tcPr>
            <w:tcW w:w="1684" w:type="pct"/>
            <w:shd w:val="clear" w:color="auto" w:fill="CFF0FC"/>
            <w:tcMar>
              <w:top w:w="15" w:type="dxa"/>
              <w:left w:w="0" w:type="dxa"/>
              <w:bottom w:w="0" w:type="dxa"/>
              <w:right w:w="15" w:type="dxa"/>
            </w:tcMar>
            <w:hideMark/>
          </w:tcPr>
          <w:p w14:paraId="15AB1CE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Operating leases</w:t>
            </w:r>
            <w:r>
              <w:rPr>
                <w:rFonts w:ascii="Calibri" w:hAnsi="Calibri" w:cs="Calibri"/>
                <w:color w:val="000000"/>
                <w:sz w:val="15"/>
                <w:szCs w:val="15"/>
                <w:vertAlign w:val="superscript"/>
              </w:rPr>
              <w:t>(2)</w:t>
            </w:r>
          </w:p>
        </w:tc>
        <w:tc>
          <w:tcPr>
            <w:tcW w:w="65" w:type="pct"/>
            <w:shd w:val="clear" w:color="auto" w:fill="CFF0FC"/>
            <w:tcMar>
              <w:top w:w="15" w:type="dxa"/>
              <w:left w:w="0" w:type="dxa"/>
              <w:bottom w:w="0" w:type="dxa"/>
              <w:right w:w="15" w:type="dxa"/>
            </w:tcMar>
            <w:vAlign w:val="bottom"/>
            <w:hideMark/>
          </w:tcPr>
          <w:p w14:paraId="60813F8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96F2E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CFF0FC"/>
            <w:noWrap/>
            <w:tcMar>
              <w:top w:w="15" w:type="dxa"/>
              <w:left w:w="0" w:type="dxa"/>
              <w:bottom w:w="0" w:type="dxa"/>
              <w:right w:w="15" w:type="dxa"/>
            </w:tcMar>
            <w:vAlign w:val="bottom"/>
            <w:hideMark/>
          </w:tcPr>
          <w:p w14:paraId="194F4CE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2,381</w:t>
            </w:r>
          </w:p>
        </w:tc>
        <w:tc>
          <w:tcPr>
            <w:tcW w:w="50" w:type="pct"/>
            <w:shd w:val="clear" w:color="auto" w:fill="CFF0FC"/>
            <w:noWrap/>
            <w:tcMar>
              <w:top w:w="15" w:type="dxa"/>
              <w:left w:w="0" w:type="dxa"/>
              <w:bottom w:w="0" w:type="dxa"/>
              <w:right w:w="15" w:type="dxa"/>
            </w:tcMar>
            <w:vAlign w:val="bottom"/>
            <w:hideMark/>
          </w:tcPr>
          <w:p w14:paraId="124553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08B2163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30B621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CFF0FC"/>
            <w:noWrap/>
            <w:tcMar>
              <w:top w:w="15" w:type="dxa"/>
              <w:left w:w="0" w:type="dxa"/>
              <w:bottom w:w="0" w:type="dxa"/>
              <w:right w:w="15" w:type="dxa"/>
            </w:tcMar>
            <w:vAlign w:val="bottom"/>
            <w:hideMark/>
          </w:tcPr>
          <w:p w14:paraId="56BF274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658</w:t>
            </w:r>
          </w:p>
        </w:tc>
        <w:tc>
          <w:tcPr>
            <w:tcW w:w="50" w:type="pct"/>
            <w:shd w:val="clear" w:color="auto" w:fill="CFF0FC"/>
            <w:noWrap/>
            <w:tcMar>
              <w:top w:w="15" w:type="dxa"/>
              <w:left w:w="0" w:type="dxa"/>
              <w:bottom w:w="0" w:type="dxa"/>
              <w:right w:w="15" w:type="dxa"/>
            </w:tcMar>
            <w:vAlign w:val="bottom"/>
            <w:hideMark/>
          </w:tcPr>
          <w:p w14:paraId="7E53CD7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6FFDA71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1010AE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CFF0FC"/>
            <w:noWrap/>
            <w:tcMar>
              <w:top w:w="15" w:type="dxa"/>
              <w:left w:w="0" w:type="dxa"/>
              <w:bottom w:w="0" w:type="dxa"/>
              <w:right w:w="15" w:type="dxa"/>
            </w:tcMar>
            <w:vAlign w:val="bottom"/>
            <w:hideMark/>
          </w:tcPr>
          <w:p w14:paraId="500D2EF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538</w:t>
            </w:r>
          </w:p>
        </w:tc>
        <w:tc>
          <w:tcPr>
            <w:tcW w:w="50" w:type="pct"/>
            <w:shd w:val="clear" w:color="auto" w:fill="CFF0FC"/>
            <w:noWrap/>
            <w:tcMar>
              <w:top w:w="15" w:type="dxa"/>
              <w:left w:w="0" w:type="dxa"/>
              <w:bottom w:w="0" w:type="dxa"/>
              <w:right w:w="15" w:type="dxa"/>
            </w:tcMar>
            <w:vAlign w:val="bottom"/>
            <w:hideMark/>
          </w:tcPr>
          <w:p w14:paraId="24D09A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71CC538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6ACE4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CFF0FC"/>
            <w:noWrap/>
            <w:tcMar>
              <w:top w:w="15" w:type="dxa"/>
              <w:left w:w="0" w:type="dxa"/>
              <w:bottom w:w="0" w:type="dxa"/>
              <w:right w:w="15" w:type="dxa"/>
            </w:tcMar>
            <w:vAlign w:val="bottom"/>
            <w:hideMark/>
          </w:tcPr>
          <w:p w14:paraId="71C775A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425</w:t>
            </w:r>
          </w:p>
        </w:tc>
        <w:tc>
          <w:tcPr>
            <w:tcW w:w="50" w:type="pct"/>
            <w:shd w:val="clear" w:color="auto" w:fill="CFF0FC"/>
            <w:noWrap/>
            <w:tcMar>
              <w:top w:w="15" w:type="dxa"/>
              <w:left w:w="0" w:type="dxa"/>
              <w:bottom w:w="0" w:type="dxa"/>
              <w:right w:w="15" w:type="dxa"/>
            </w:tcMar>
            <w:vAlign w:val="bottom"/>
            <w:hideMark/>
          </w:tcPr>
          <w:p w14:paraId="0BF8FE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6A4F147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6D1802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shd w:val="clear" w:color="auto" w:fill="CFF0FC"/>
            <w:noWrap/>
            <w:tcMar>
              <w:top w:w="15" w:type="dxa"/>
              <w:left w:w="0" w:type="dxa"/>
              <w:bottom w:w="0" w:type="dxa"/>
              <w:right w:w="15" w:type="dxa"/>
            </w:tcMar>
            <w:vAlign w:val="bottom"/>
            <w:hideMark/>
          </w:tcPr>
          <w:p w14:paraId="5E2E77B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262</w:t>
            </w:r>
          </w:p>
        </w:tc>
        <w:tc>
          <w:tcPr>
            <w:tcW w:w="50" w:type="pct"/>
            <w:shd w:val="clear" w:color="auto" w:fill="CFF0FC"/>
            <w:noWrap/>
            <w:tcMar>
              <w:top w:w="15" w:type="dxa"/>
              <w:left w:w="0" w:type="dxa"/>
              <w:bottom w:w="0" w:type="dxa"/>
              <w:right w:w="15" w:type="dxa"/>
            </w:tcMar>
            <w:vAlign w:val="bottom"/>
            <w:hideMark/>
          </w:tcPr>
          <w:p w14:paraId="37B290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5852D8A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D4D8C1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shd w:val="clear" w:color="auto" w:fill="CFF0FC"/>
            <w:noWrap/>
            <w:tcMar>
              <w:top w:w="15" w:type="dxa"/>
              <w:left w:w="0" w:type="dxa"/>
              <w:bottom w:w="0" w:type="dxa"/>
              <w:right w:w="15" w:type="dxa"/>
            </w:tcMar>
            <w:vAlign w:val="bottom"/>
            <w:hideMark/>
          </w:tcPr>
          <w:p w14:paraId="2304A5B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165</w:t>
            </w:r>
          </w:p>
        </w:tc>
        <w:tc>
          <w:tcPr>
            <w:tcW w:w="50" w:type="pct"/>
            <w:shd w:val="clear" w:color="auto" w:fill="CFF0FC"/>
            <w:noWrap/>
            <w:tcMar>
              <w:top w:w="15" w:type="dxa"/>
              <w:left w:w="0" w:type="dxa"/>
              <w:bottom w:w="0" w:type="dxa"/>
              <w:right w:w="15" w:type="dxa"/>
            </w:tcMar>
            <w:vAlign w:val="bottom"/>
            <w:hideMark/>
          </w:tcPr>
          <w:p w14:paraId="04559F5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63CF9CB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EBCAB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shd w:val="clear" w:color="auto" w:fill="CFF0FC"/>
            <w:noWrap/>
            <w:tcMar>
              <w:top w:w="15" w:type="dxa"/>
              <w:left w:w="0" w:type="dxa"/>
              <w:bottom w:w="0" w:type="dxa"/>
              <w:right w:w="15" w:type="dxa"/>
            </w:tcMar>
            <w:vAlign w:val="bottom"/>
            <w:hideMark/>
          </w:tcPr>
          <w:p w14:paraId="171F04F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333</w:t>
            </w:r>
          </w:p>
        </w:tc>
        <w:tc>
          <w:tcPr>
            <w:tcW w:w="50" w:type="pct"/>
            <w:shd w:val="clear" w:color="auto" w:fill="CFF0FC"/>
            <w:noWrap/>
            <w:tcMar>
              <w:top w:w="15" w:type="dxa"/>
              <w:left w:w="0" w:type="dxa"/>
              <w:bottom w:w="0" w:type="dxa"/>
              <w:right w:w="15" w:type="dxa"/>
            </w:tcMar>
            <w:vAlign w:val="bottom"/>
            <w:hideMark/>
          </w:tcPr>
          <w:p w14:paraId="1C0F56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206A8F1" w14:textId="77777777">
        <w:trPr>
          <w:divId w:val="765687779"/>
          <w:jc w:val="center"/>
        </w:trPr>
        <w:tc>
          <w:tcPr>
            <w:tcW w:w="1684" w:type="pct"/>
            <w:shd w:val="clear" w:color="auto" w:fill="FFFFFF"/>
            <w:tcMar>
              <w:top w:w="15" w:type="dxa"/>
              <w:left w:w="0" w:type="dxa"/>
              <w:bottom w:w="0" w:type="dxa"/>
              <w:right w:w="15" w:type="dxa"/>
            </w:tcMar>
            <w:hideMark/>
          </w:tcPr>
          <w:p w14:paraId="3268D60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Tax obligations</w:t>
            </w:r>
            <w:r>
              <w:rPr>
                <w:rFonts w:ascii="Calibri" w:hAnsi="Calibri" w:cs="Calibri"/>
                <w:color w:val="000000"/>
                <w:sz w:val="15"/>
                <w:szCs w:val="15"/>
                <w:vertAlign w:val="superscript"/>
              </w:rPr>
              <w:t>(3)</w:t>
            </w:r>
          </w:p>
        </w:tc>
        <w:tc>
          <w:tcPr>
            <w:tcW w:w="65" w:type="pct"/>
            <w:shd w:val="clear" w:color="auto" w:fill="FFFFFF"/>
            <w:tcMar>
              <w:top w:w="15" w:type="dxa"/>
              <w:left w:w="0" w:type="dxa"/>
              <w:bottom w:w="0" w:type="dxa"/>
              <w:right w:w="15" w:type="dxa"/>
            </w:tcMar>
            <w:vAlign w:val="bottom"/>
            <w:hideMark/>
          </w:tcPr>
          <w:p w14:paraId="7AE7251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08651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left w:w="0" w:type="dxa"/>
              <w:bottom w:w="0" w:type="dxa"/>
              <w:right w:w="15" w:type="dxa"/>
            </w:tcMar>
            <w:vAlign w:val="bottom"/>
            <w:hideMark/>
          </w:tcPr>
          <w:p w14:paraId="0BDE33A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6,462</w:t>
            </w:r>
          </w:p>
        </w:tc>
        <w:tc>
          <w:tcPr>
            <w:tcW w:w="50" w:type="pct"/>
            <w:shd w:val="clear" w:color="auto" w:fill="FFFFFF"/>
            <w:noWrap/>
            <w:tcMar>
              <w:top w:w="15" w:type="dxa"/>
              <w:left w:w="0" w:type="dxa"/>
              <w:bottom w:w="0" w:type="dxa"/>
              <w:right w:w="15" w:type="dxa"/>
            </w:tcMar>
            <w:vAlign w:val="bottom"/>
            <w:hideMark/>
          </w:tcPr>
          <w:p w14:paraId="667098E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08A602A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C161E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left w:w="0" w:type="dxa"/>
              <w:bottom w:w="0" w:type="dxa"/>
              <w:right w:w="15" w:type="dxa"/>
            </w:tcMar>
            <w:vAlign w:val="bottom"/>
            <w:hideMark/>
          </w:tcPr>
          <w:p w14:paraId="0CD546C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416</w:t>
            </w:r>
          </w:p>
        </w:tc>
        <w:tc>
          <w:tcPr>
            <w:tcW w:w="50" w:type="pct"/>
            <w:shd w:val="clear" w:color="auto" w:fill="FFFFFF"/>
            <w:noWrap/>
            <w:tcMar>
              <w:top w:w="15" w:type="dxa"/>
              <w:left w:w="0" w:type="dxa"/>
              <w:bottom w:w="0" w:type="dxa"/>
              <w:right w:w="15" w:type="dxa"/>
            </w:tcMar>
            <w:vAlign w:val="bottom"/>
            <w:hideMark/>
          </w:tcPr>
          <w:p w14:paraId="6D0885F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7B097BB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5DB69C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left w:w="0" w:type="dxa"/>
              <w:bottom w:w="0" w:type="dxa"/>
              <w:right w:w="15" w:type="dxa"/>
            </w:tcMar>
            <w:vAlign w:val="bottom"/>
            <w:hideMark/>
          </w:tcPr>
          <w:p w14:paraId="3D76CD5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576</w:t>
            </w:r>
          </w:p>
        </w:tc>
        <w:tc>
          <w:tcPr>
            <w:tcW w:w="50" w:type="pct"/>
            <w:shd w:val="clear" w:color="auto" w:fill="FFFFFF"/>
            <w:noWrap/>
            <w:tcMar>
              <w:top w:w="15" w:type="dxa"/>
              <w:left w:w="0" w:type="dxa"/>
              <w:bottom w:w="0" w:type="dxa"/>
              <w:right w:w="15" w:type="dxa"/>
            </w:tcMar>
            <w:vAlign w:val="bottom"/>
            <w:hideMark/>
          </w:tcPr>
          <w:p w14:paraId="11B063B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36EE268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9496B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left w:w="0" w:type="dxa"/>
              <w:bottom w:w="0" w:type="dxa"/>
              <w:right w:w="15" w:type="dxa"/>
            </w:tcMar>
            <w:vAlign w:val="bottom"/>
            <w:hideMark/>
          </w:tcPr>
          <w:p w14:paraId="40B87D7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576</w:t>
            </w:r>
          </w:p>
        </w:tc>
        <w:tc>
          <w:tcPr>
            <w:tcW w:w="50" w:type="pct"/>
            <w:shd w:val="clear" w:color="auto" w:fill="FFFFFF"/>
            <w:noWrap/>
            <w:tcMar>
              <w:top w:w="15" w:type="dxa"/>
              <w:left w:w="0" w:type="dxa"/>
              <w:bottom w:w="0" w:type="dxa"/>
              <w:right w:w="15" w:type="dxa"/>
            </w:tcMar>
            <w:vAlign w:val="bottom"/>
            <w:hideMark/>
          </w:tcPr>
          <w:p w14:paraId="00B3409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77C09C7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33F7E5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shd w:val="clear" w:color="auto" w:fill="FFFFFF"/>
            <w:noWrap/>
            <w:tcMar>
              <w:top w:w="15" w:type="dxa"/>
              <w:left w:w="0" w:type="dxa"/>
              <w:bottom w:w="0" w:type="dxa"/>
              <w:right w:w="15" w:type="dxa"/>
            </w:tcMar>
            <w:vAlign w:val="bottom"/>
            <w:hideMark/>
          </w:tcPr>
          <w:p w14:paraId="25DF81D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576</w:t>
            </w:r>
          </w:p>
        </w:tc>
        <w:tc>
          <w:tcPr>
            <w:tcW w:w="50" w:type="pct"/>
            <w:shd w:val="clear" w:color="auto" w:fill="FFFFFF"/>
            <w:noWrap/>
            <w:tcMar>
              <w:top w:w="15" w:type="dxa"/>
              <w:left w:w="0" w:type="dxa"/>
              <w:bottom w:w="0" w:type="dxa"/>
              <w:right w:w="15" w:type="dxa"/>
            </w:tcMar>
            <w:vAlign w:val="bottom"/>
            <w:hideMark/>
          </w:tcPr>
          <w:p w14:paraId="0A84D6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2529559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DC6646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shd w:val="clear" w:color="auto" w:fill="FFFFFF"/>
            <w:noWrap/>
            <w:tcMar>
              <w:top w:w="15" w:type="dxa"/>
              <w:left w:w="0" w:type="dxa"/>
              <w:bottom w:w="0" w:type="dxa"/>
              <w:right w:w="15" w:type="dxa"/>
            </w:tcMar>
            <w:vAlign w:val="bottom"/>
            <w:hideMark/>
          </w:tcPr>
          <w:p w14:paraId="7F07246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1,080</w:t>
            </w:r>
          </w:p>
        </w:tc>
        <w:tc>
          <w:tcPr>
            <w:tcW w:w="50" w:type="pct"/>
            <w:shd w:val="clear" w:color="auto" w:fill="FFFFFF"/>
            <w:noWrap/>
            <w:tcMar>
              <w:top w:w="15" w:type="dxa"/>
              <w:left w:w="0" w:type="dxa"/>
              <w:bottom w:w="0" w:type="dxa"/>
              <w:right w:w="15" w:type="dxa"/>
            </w:tcMar>
            <w:vAlign w:val="bottom"/>
            <w:hideMark/>
          </w:tcPr>
          <w:p w14:paraId="500D555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2A8FF29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F5ACB6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shd w:val="clear" w:color="auto" w:fill="FFFFFF"/>
            <w:noWrap/>
            <w:tcMar>
              <w:top w:w="15" w:type="dxa"/>
              <w:left w:w="0" w:type="dxa"/>
              <w:bottom w:w="0" w:type="dxa"/>
              <w:right w:w="15" w:type="dxa"/>
            </w:tcMar>
            <w:vAlign w:val="bottom"/>
            <w:hideMark/>
          </w:tcPr>
          <w:p w14:paraId="093AC10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3,238</w:t>
            </w:r>
          </w:p>
        </w:tc>
        <w:tc>
          <w:tcPr>
            <w:tcW w:w="50" w:type="pct"/>
            <w:shd w:val="clear" w:color="auto" w:fill="FFFFFF"/>
            <w:noWrap/>
            <w:tcMar>
              <w:top w:w="15" w:type="dxa"/>
              <w:left w:w="0" w:type="dxa"/>
              <w:bottom w:w="0" w:type="dxa"/>
              <w:right w:w="15" w:type="dxa"/>
            </w:tcMar>
            <w:vAlign w:val="bottom"/>
            <w:hideMark/>
          </w:tcPr>
          <w:p w14:paraId="2E0C1EC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7D57FD8" w14:textId="77777777">
        <w:trPr>
          <w:divId w:val="765687779"/>
          <w:jc w:val="center"/>
        </w:trPr>
        <w:tc>
          <w:tcPr>
            <w:tcW w:w="1684" w:type="pct"/>
            <w:shd w:val="clear" w:color="auto" w:fill="CFF0FC"/>
            <w:tcMar>
              <w:top w:w="15" w:type="dxa"/>
              <w:left w:w="0" w:type="dxa"/>
              <w:bottom w:w="0" w:type="dxa"/>
              <w:right w:w="15" w:type="dxa"/>
            </w:tcMar>
            <w:hideMark/>
          </w:tcPr>
          <w:p w14:paraId="748BF2C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Purchase obligations and other</w:t>
            </w:r>
            <w:r>
              <w:rPr>
                <w:rFonts w:ascii="Calibri" w:hAnsi="Calibri" w:cs="Calibri"/>
                <w:color w:val="000000"/>
                <w:sz w:val="15"/>
                <w:szCs w:val="15"/>
                <w:vertAlign w:val="superscript"/>
              </w:rPr>
              <w:t>(4)</w:t>
            </w:r>
          </w:p>
        </w:tc>
        <w:tc>
          <w:tcPr>
            <w:tcW w:w="65" w:type="pct"/>
            <w:shd w:val="clear" w:color="auto" w:fill="CFF0FC"/>
            <w:tcMar>
              <w:top w:w="15" w:type="dxa"/>
              <w:left w:w="0" w:type="dxa"/>
              <w:bottom w:w="0" w:type="dxa"/>
              <w:right w:w="15" w:type="dxa"/>
            </w:tcMar>
            <w:vAlign w:val="bottom"/>
            <w:hideMark/>
          </w:tcPr>
          <w:p w14:paraId="37EE86B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4B368E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tcBorders>
              <w:bottom w:val="single" w:sz="6" w:space="0" w:color="000000"/>
            </w:tcBorders>
            <w:shd w:val="clear" w:color="auto" w:fill="CFF0FC"/>
            <w:noWrap/>
            <w:tcMar>
              <w:top w:w="15" w:type="dxa"/>
              <w:left w:w="0" w:type="dxa"/>
              <w:bottom w:w="0" w:type="dxa"/>
              <w:right w:w="15" w:type="dxa"/>
            </w:tcMar>
            <w:vAlign w:val="bottom"/>
            <w:hideMark/>
          </w:tcPr>
          <w:p w14:paraId="01CC763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1,045</w:t>
            </w:r>
          </w:p>
        </w:tc>
        <w:tc>
          <w:tcPr>
            <w:tcW w:w="50" w:type="pct"/>
            <w:shd w:val="clear" w:color="auto" w:fill="CFF0FC"/>
            <w:noWrap/>
            <w:tcMar>
              <w:top w:w="15" w:type="dxa"/>
              <w:left w:w="0" w:type="dxa"/>
              <w:bottom w:w="0" w:type="dxa"/>
              <w:right w:w="15" w:type="dxa"/>
            </w:tcMar>
            <w:vAlign w:val="bottom"/>
            <w:hideMark/>
          </w:tcPr>
          <w:p w14:paraId="1BE0892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0FF98CB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397E4C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tcBorders>
              <w:bottom w:val="single" w:sz="6" w:space="0" w:color="000000"/>
            </w:tcBorders>
            <w:shd w:val="clear" w:color="auto" w:fill="CFF0FC"/>
            <w:noWrap/>
            <w:tcMar>
              <w:top w:w="15" w:type="dxa"/>
              <w:left w:w="0" w:type="dxa"/>
              <w:bottom w:w="0" w:type="dxa"/>
              <w:right w:w="15" w:type="dxa"/>
            </w:tcMar>
            <w:vAlign w:val="bottom"/>
            <w:hideMark/>
          </w:tcPr>
          <w:p w14:paraId="25317FA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661</w:t>
            </w:r>
          </w:p>
        </w:tc>
        <w:tc>
          <w:tcPr>
            <w:tcW w:w="50" w:type="pct"/>
            <w:shd w:val="clear" w:color="auto" w:fill="CFF0FC"/>
            <w:noWrap/>
            <w:tcMar>
              <w:top w:w="15" w:type="dxa"/>
              <w:left w:w="0" w:type="dxa"/>
              <w:bottom w:w="0" w:type="dxa"/>
              <w:right w:w="15" w:type="dxa"/>
            </w:tcMar>
            <w:vAlign w:val="bottom"/>
            <w:hideMark/>
          </w:tcPr>
          <w:p w14:paraId="76FA71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00D1A09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50B099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tcBorders>
              <w:bottom w:val="single" w:sz="6" w:space="0" w:color="000000"/>
            </w:tcBorders>
            <w:shd w:val="clear" w:color="auto" w:fill="CFF0FC"/>
            <w:noWrap/>
            <w:tcMar>
              <w:top w:w="15" w:type="dxa"/>
              <w:left w:w="0" w:type="dxa"/>
              <w:bottom w:w="0" w:type="dxa"/>
              <w:right w:w="15" w:type="dxa"/>
            </w:tcMar>
            <w:vAlign w:val="bottom"/>
            <w:hideMark/>
          </w:tcPr>
          <w:p w14:paraId="137BB0F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w:t>
            </w:r>
          </w:p>
        </w:tc>
        <w:tc>
          <w:tcPr>
            <w:tcW w:w="50" w:type="pct"/>
            <w:shd w:val="clear" w:color="auto" w:fill="CFF0FC"/>
            <w:noWrap/>
            <w:tcMar>
              <w:top w:w="15" w:type="dxa"/>
              <w:left w:w="0" w:type="dxa"/>
              <w:bottom w:w="0" w:type="dxa"/>
              <w:right w:w="15" w:type="dxa"/>
            </w:tcMar>
            <w:vAlign w:val="bottom"/>
            <w:hideMark/>
          </w:tcPr>
          <w:p w14:paraId="0B3FA6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23DC0B5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BAB97B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10" w:type="pct"/>
            <w:tcBorders>
              <w:bottom w:val="single" w:sz="6" w:space="0" w:color="000000"/>
            </w:tcBorders>
            <w:shd w:val="clear" w:color="auto" w:fill="CFF0FC"/>
            <w:noWrap/>
            <w:tcMar>
              <w:top w:w="15" w:type="dxa"/>
              <w:left w:w="0" w:type="dxa"/>
              <w:bottom w:w="0" w:type="dxa"/>
              <w:right w:w="15" w:type="dxa"/>
            </w:tcMar>
            <w:vAlign w:val="bottom"/>
            <w:hideMark/>
          </w:tcPr>
          <w:p w14:paraId="10E86A1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w:t>
            </w:r>
          </w:p>
        </w:tc>
        <w:tc>
          <w:tcPr>
            <w:tcW w:w="50" w:type="pct"/>
            <w:shd w:val="clear" w:color="auto" w:fill="CFF0FC"/>
            <w:noWrap/>
            <w:tcMar>
              <w:top w:w="15" w:type="dxa"/>
              <w:left w:w="0" w:type="dxa"/>
              <w:bottom w:w="0" w:type="dxa"/>
              <w:right w:w="15" w:type="dxa"/>
            </w:tcMar>
            <w:vAlign w:val="bottom"/>
            <w:hideMark/>
          </w:tcPr>
          <w:p w14:paraId="3F3A3A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37F1E41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5C827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tcBorders>
              <w:bottom w:val="single" w:sz="6" w:space="0" w:color="000000"/>
            </w:tcBorders>
            <w:shd w:val="clear" w:color="auto" w:fill="CFF0FC"/>
            <w:noWrap/>
            <w:tcMar>
              <w:top w:w="15" w:type="dxa"/>
              <w:left w:w="0" w:type="dxa"/>
              <w:bottom w:w="0" w:type="dxa"/>
              <w:right w:w="15" w:type="dxa"/>
            </w:tcMar>
            <w:vAlign w:val="bottom"/>
            <w:hideMark/>
          </w:tcPr>
          <w:p w14:paraId="7A9063E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w:t>
            </w:r>
          </w:p>
        </w:tc>
        <w:tc>
          <w:tcPr>
            <w:tcW w:w="50" w:type="pct"/>
            <w:shd w:val="clear" w:color="auto" w:fill="CFF0FC"/>
            <w:noWrap/>
            <w:tcMar>
              <w:top w:w="15" w:type="dxa"/>
              <w:left w:w="0" w:type="dxa"/>
              <w:bottom w:w="0" w:type="dxa"/>
              <w:right w:w="15" w:type="dxa"/>
            </w:tcMar>
            <w:vAlign w:val="bottom"/>
            <w:hideMark/>
          </w:tcPr>
          <w:p w14:paraId="1056CC1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6CDFBF4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EBAFB5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tcBorders>
              <w:bottom w:val="single" w:sz="6" w:space="0" w:color="000000"/>
            </w:tcBorders>
            <w:shd w:val="clear" w:color="auto" w:fill="CFF0FC"/>
            <w:noWrap/>
            <w:tcMar>
              <w:top w:w="15" w:type="dxa"/>
              <w:left w:w="0" w:type="dxa"/>
              <w:bottom w:w="0" w:type="dxa"/>
              <w:right w:w="15" w:type="dxa"/>
            </w:tcMar>
            <w:vAlign w:val="bottom"/>
            <w:hideMark/>
          </w:tcPr>
          <w:p w14:paraId="4648F09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w:t>
            </w:r>
          </w:p>
        </w:tc>
        <w:tc>
          <w:tcPr>
            <w:tcW w:w="50" w:type="pct"/>
            <w:shd w:val="clear" w:color="auto" w:fill="CFF0FC"/>
            <w:noWrap/>
            <w:tcMar>
              <w:top w:w="15" w:type="dxa"/>
              <w:left w:w="0" w:type="dxa"/>
              <w:bottom w:w="0" w:type="dxa"/>
              <w:right w:w="15" w:type="dxa"/>
            </w:tcMar>
            <w:vAlign w:val="bottom"/>
            <w:hideMark/>
          </w:tcPr>
          <w:p w14:paraId="77422B8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CFF0FC"/>
            <w:tcMar>
              <w:top w:w="15" w:type="dxa"/>
              <w:left w:w="0" w:type="dxa"/>
              <w:bottom w:w="0" w:type="dxa"/>
              <w:right w:w="15" w:type="dxa"/>
            </w:tcMar>
            <w:vAlign w:val="bottom"/>
            <w:hideMark/>
          </w:tcPr>
          <w:p w14:paraId="408D3BC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53C0C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04" w:type="pct"/>
            <w:tcBorders>
              <w:bottom w:val="single" w:sz="6" w:space="0" w:color="000000"/>
            </w:tcBorders>
            <w:shd w:val="clear" w:color="auto" w:fill="CFF0FC"/>
            <w:noWrap/>
            <w:tcMar>
              <w:top w:w="15" w:type="dxa"/>
              <w:left w:w="0" w:type="dxa"/>
              <w:bottom w:w="0" w:type="dxa"/>
              <w:right w:w="15" w:type="dxa"/>
            </w:tcMar>
            <w:vAlign w:val="bottom"/>
            <w:hideMark/>
          </w:tcPr>
          <w:p w14:paraId="6BAED8D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259</w:t>
            </w:r>
          </w:p>
        </w:tc>
        <w:tc>
          <w:tcPr>
            <w:tcW w:w="50" w:type="pct"/>
            <w:shd w:val="clear" w:color="auto" w:fill="CFF0FC"/>
            <w:noWrap/>
            <w:tcMar>
              <w:top w:w="15" w:type="dxa"/>
              <w:left w:w="0" w:type="dxa"/>
              <w:bottom w:w="0" w:type="dxa"/>
              <w:right w:w="15" w:type="dxa"/>
            </w:tcMar>
            <w:vAlign w:val="bottom"/>
            <w:hideMark/>
          </w:tcPr>
          <w:p w14:paraId="2DC208B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021A6C9" w14:textId="77777777">
        <w:trPr>
          <w:divId w:val="765687779"/>
          <w:jc w:val="center"/>
        </w:trPr>
        <w:tc>
          <w:tcPr>
            <w:tcW w:w="1684" w:type="pct"/>
            <w:shd w:val="clear" w:color="auto" w:fill="FFFFFF"/>
            <w:tcMar>
              <w:top w:w="15" w:type="dxa"/>
              <w:left w:w="0" w:type="dxa"/>
              <w:bottom w:w="0" w:type="dxa"/>
              <w:right w:w="15" w:type="dxa"/>
            </w:tcMar>
            <w:hideMark/>
          </w:tcPr>
          <w:p w14:paraId="249644C2"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Total contractual obligations</w:t>
            </w:r>
          </w:p>
        </w:tc>
        <w:tc>
          <w:tcPr>
            <w:tcW w:w="65" w:type="pct"/>
            <w:shd w:val="clear" w:color="auto" w:fill="FFFFFF"/>
            <w:tcMar>
              <w:top w:w="15" w:type="dxa"/>
              <w:left w:w="0" w:type="dxa"/>
              <w:bottom w:w="0" w:type="dxa"/>
              <w:right w:w="15" w:type="dxa"/>
            </w:tcMar>
            <w:vAlign w:val="bottom"/>
            <w:hideMark/>
          </w:tcPr>
          <w:p w14:paraId="33D87E4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720F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D56F1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91,836</w:t>
            </w:r>
          </w:p>
        </w:tc>
        <w:tc>
          <w:tcPr>
            <w:tcW w:w="50" w:type="pct"/>
            <w:shd w:val="clear" w:color="auto" w:fill="FFFFFF"/>
            <w:noWrap/>
            <w:tcMar>
              <w:top w:w="15" w:type="dxa"/>
              <w:left w:w="0" w:type="dxa"/>
              <w:bottom w:w="0" w:type="dxa"/>
              <w:right w:w="15" w:type="dxa"/>
            </w:tcMar>
            <w:vAlign w:val="bottom"/>
            <w:hideMark/>
          </w:tcPr>
          <w:p w14:paraId="2C14692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2611D64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57347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84BA0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8,095</w:t>
            </w:r>
          </w:p>
        </w:tc>
        <w:tc>
          <w:tcPr>
            <w:tcW w:w="50" w:type="pct"/>
            <w:shd w:val="clear" w:color="auto" w:fill="FFFFFF"/>
            <w:noWrap/>
            <w:tcMar>
              <w:top w:w="15" w:type="dxa"/>
              <w:left w:w="0" w:type="dxa"/>
              <w:bottom w:w="0" w:type="dxa"/>
              <w:right w:w="15" w:type="dxa"/>
            </w:tcMar>
            <w:vAlign w:val="bottom"/>
            <w:hideMark/>
          </w:tcPr>
          <w:p w14:paraId="77E1A7F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26F5672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F8314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B4F62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5,573</w:t>
            </w:r>
          </w:p>
        </w:tc>
        <w:tc>
          <w:tcPr>
            <w:tcW w:w="50" w:type="pct"/>
            <w:shd w:val="clear" w:color="auto" w:fill="FFFFFF"/>
            <w:noWrap/>
            <w:tcMar>
              <w:top w:w="15" w:type="dxa"/>
              <w:left w:w="0" w:type="dxa"/>
              <w:bottom w:w="0" w:type="dxa"/>
              <w:right w:w="15" w:type="dxa"/>
            </w:tcMar>
            <w:vAlign w:val="bottom"/>
            <w:hideMark/>
          </w:tcPr>
          <w:p w14:paraId="0353A5E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3B10A58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8AAE34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DD938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10,917</w:t>
            </w:r>
          </w:p>
        </w:tc>
        <w:tc>
          <w:tcPr>
            <w:tcW w:w="50" w:type="pct"/>
            <w:shd w:val="clear" w:color="auto" w:fill="FFFFFF"/>
            <w:noWrap/>
            <w:tcMar>
              <w:top w:w="15" w:type="dxa"/>
              <w:left w:w="0" w:type="dxa"/>
              <w:bottom w:w="0" w:type="dxa"/>
              <w:right w:w="15" w:type="dxa"/>
            </w:tcMar>
            <w:vAlign w:val="bottom"/>
            <w:hideMark/>
          </w:tcPr>
          <w:p w14:paraId="3571642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5A1B27C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ED18B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7F3E6B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6,118</w:t>
            </w:r>
          </w:p>
        </w:tc>
        <w:tc>
          <w:tcPr>
            <w:tcW w:w="50" w:type="pct"/>
            <w:shd w:val="clear" w:color="auto" w:fill="FFFFFF"/>
            <w:noWrap/>
            <w:tcMar>
              <w:top w:w="15" w:type="dxa"/>
              <w:left w:w="0" w:type="dxa"/>
              <w:bottom w:w="0" w:type="dxa"/>
              <w:right w:w="15" w:type="dxa"/>
            </w:tcMar>
            <w:vAlign w:val="bottom"/>
            <w:hideMark/>
          </w:tcPr>
          <w:p w14:paraId="52E7B03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1D60C3E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47D05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10F45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6,163</w:t>
            </w:r>
          </w:p>
        </w:tc>
        <w:tc>
          <w:tcPr>
            <w:tcW w:w="50" w:type="pct"/>
            <w:shd w:val="clear" w:color="auto" w:fill="FFFFFF"/>
            <w:noWrap/>
            <w:tcMar>
              <w:top w:w="15" w:type="dxa"/>
              <w:left w:w="0" w:type="dxa"/>
              <w:bottom w:w="0" w:type="dxa"/>
              <w:right w:w="15" w:type="dxa"/>
            </w:tcMar>
            <w:vAlign w:val="bottom"/>
            <w:hideMark/>
          </w:tcPr>
          <w:p w14:paraId="0F79CFA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 w:type="pct"/>
            <w:shd w:val="clear" w:color="auto" w:fill="FFFFFF"/>
            <w:tcMar>
              <w:top w:w="15" w:type="dxa"/>
              <w:left w:w="0" w:type="dxa"/>
              <w:bottom w:w="0" w:type="dxa"/>
              <w:right w:w="15" w:type="dxa"/>
            </w:tcMar>
            <w:vAlign w:val="bottom"/>
            <w:hideMark/>
          </w:tcPr>
          <w:p w14:paraId="4F1FCF7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67295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A9433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54,970</w:t>
            </w:r>
          </w:p>
        </w:tc>
        <w:tc>
          <w:tcPr>
            <w:tcW w:w="50" w:type="pct"/>
            <w:shd w:val="clear" w:color="auto" w:fill="FFFFFF"/>
            <w:noWrap/>
            <w:tcMar>
              <w:top w:w="15" w:type="dxa"/>
              <w:left w:w="0" w:type="dxa"/>
              <w:bottom w:w="0" w:type="dxa"/>
              <w:right w:w="15" w:type="dxa"/>
            </w:tcMar>
            <w:vAlign w:val="bottom"/>
            <w:hideMark/>
          </w:tcPr>
          <w:p w14:paraId="6A84B506"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26082D4F" w14:textId="77777777" w:rsidR="00251D72" w:rsidRDefault="00251D72">
      <w:pPr>
        <w:pStyle w:val="a3"/>
        <w:pBdr>
          <w:bottom w:val="single" w:sz="6" w:space="1" w:color="auto"/>
        </w:pBdr>
        <w:spacing w:before="0" w:beforeAutospacing="0" w:after="0" w:afterAutospacing="0"/>
        <w:ind w:right="10953"/>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60878FEC" w14:textId="77777777">
        <w:tc>
          <w:tcPr>
            <w:tcW w:w="192" w:type="pct"/>
            <w:noWrap/>
            <w:hideMark/>
          </w:tcPr>
          <w:p w14:paraId="22BF03B3"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14FD9D48"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 xml:space="preserve">Represents the principal balances and interest payments to be paid in connection with our senior notes and other borrowings outstanding as of May 31, 2019 after considering: </w:t>
            </w:r>
          </w:p>
        </w:tc>
      </w:tr>
    </w:tbl>
    <w:p w14:paraId="4BA9367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5"/>
        <w:gridCol w:w="243"/>
        <w:gridCol w:w="7668"/>
      </w:tblGrid>
      <w:tr w:rsidR="00251D72" w14:paraId="7756F960" w14:textId="77777777">
        <w:tc>
          <w:tcPr>
            <w:tcW w:w="238" w:type="pct"/>
            <w:noWrap/>
            <w:hideMark/>
          </w:tcPr>
          <w:p w14:paraId="359C2683" w14:textId="77777777" w:rsidR="00251D72" w:rsidRDefault="00251D72">
            <w:pPr>
              <w:pStyle w:val="a3"/>
              <w:spacing w:before="120" w:beforeAutospacing="0" w:after="0" w:afterAutospacing="0"/>
              <w:jc w:val="both"/>
              <w:rPr>
                <w:sz w:val="20"/>
                <w:szCs w:val="20"/>
              </w:rPr>
            </w:pPr>
            <w:r>
              <w:rPr>
                <w:sz w:val="20"/>
                <w:szCs w:val="20"/>
              </w:rPr>
              <w:t> </w:t>
            </w:r>
          </w:p>
        </w:tc>
        <w:tc>
          <w:tcPr>
            <w:tcW w:w="146" w:type="pct"/>
            <w:noWrap/>
            <w:hideMark/>
          </w:tcPr>
          <w:p w14:paraId="427E45E8"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14CB8B7" w14:textId="77777777" w:rsidR="00251D72" w:rsidRDefault="00251D72">
            <w:pPr>
              <w:pStyle w:val="a3"/>
              <w:spacing w:before="120" w:beforeAutospacing="0" w:after="0" w:afterAutospacing="0"/>
              <w:jc w:val="both"/>
              <w:rPr>
                <w:sz w:val="20"/>
                <w:szCs w:val="20"/>
              </w:rPr>
            </w:pPr>
            <w:r>
              <w:rPr>
                <w:rFonts w:ascii="Calibri" w:hAnsi="Calibri" w:cs="Calibri"/>
                <w:sz w:val="15"/>
                <w:szCs w:val="15"/>
              </w:rPr>
              <w:t>certain interest rate swap agreements for certain series of senior notes that have the economic effect of modifying the fixed-interest obligations associated with these senior notes so that they effectively became variable pursuant to a LIBOR-based index. Interest payments on these senior notes have been presented in the table above after consideration of these fixed to variable interest rate swap agreements based upon the interest rates applicable as of May 31, 2019 and are subject to change in future periods;</w:t>
            </w:r>
          </w:p>
        </w:tc>
      </w:tr>
    </w:tbl>
    <w:p w14:paraId="5EA9E13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5"/>
        <w:gridCol w:w="243"/>
        <w:gridCol w:w="7668"/>
      </w:tblGrid>
      <w:tr w:rsidR="00251D72" w14:paraId="5348F579" w14:textId="77777777">
        <w:tc>
          <w:tcPr>
            <w:tcW w:w="238" w:type="pct"/>
            <w:noWrap/>
            <w:hideMark/>
          </w:tcPr>
          <w:p w14:paraId="363204C6" w14:textId="77777777" w:rsidR="00251D72" w:rsidRDefault="00251D72">
            <w:pPr>
              <w:pStyle w:val="a3"/>
              <w:spacing w:before="120" w:beforeAutospacing="0" w:after="0" w:afterAutospacing="0"/>
              <w:jc w:val="both"/>
              <w:rPr>
                <w:color w:val="000000"/>
                <w:sz w:val="20"/>
                <w:szCs w:val="20"/>
              </w:rPr>
            </w:pPr>
            <w:r>
              <w:rPr>
                <w:color w:val="000000"/>
                <w:sz w:val="20"/>
                <w:szCs w:val="20"/>
              </w:rPr>
              <w:t> </w:t>
            </w:r>
          </w:p>
        </w:tc>
        <w:tc>
          <w:tcPr>
            <w:tcW w:w="146" w:type="pct"/>
            <w:noWrap/>
            <w:hideMark/>
          </w:tcPr>
          <w:p w14:paraId="37EDFB31" w14:textId="77777777" w:rsidR="00251D72" w:rsidRDefault="00251D72">
            <w:pPr>
              <w:pStyle w:val="a3"/>
              <w:spacing w:before="120" w:beforeAutospacing="0" w:after="0" w:afterAutospacing="0"/>
              <w:jc w:val="both"/>
              <w:rPr>
                <w:color w:val="000000"/>
                <w:sz w:val="20"/>
                <w:szCs w:val="20"/>
              </w:rPr>
            </w:pPr>
            <w:r>
              <w:rPr>
                <w:color w:val="000000"/>
                <w:sz w:val="20"/>
                <w:szCs w:val="20"/>
              </w:rPr>
              <w:t>•</w:t>
            </w:r>
          </w:p>
        </w:tc>
        <w:tc>
          <w:tcPr>
            <w:tcW w:w="0" w:type="auto"/>
            <w:hideMark/>
          </w:tcPr>
          <w:p w14:paraId="3FCA69C8" w14:textId="77777777" w:rsidR="00251D72" w:rsidRDefault="00251D72">
            <w:pPr>
              <w:pStyle w:val="a3"/>
              <w:spacing w:before="120" w:beforeAutospacing="0" w:after="0" w:afterAutospacing="0"/>
              <w:jc w:val="both"/>
              <w:rPr>
                <w:color w:val="000000"/>
                <w:sz w:val="20"/>
                <w:szCs w:val="20"/>
              </w:rPr>
            </w:pPr>
            <w:r>
              <w:rPr>
                <w:rFonts w:ascii="Calibri" w:hAnsi="Calibri" w:cs="Calibri"/>
                <w:color w:val="000000"/>
                <w:sz w:val="15"/>
                <w:szCs w:val="15"/>
              </w:rPr>
              <w:t>interest payments on our floating-rate senior notes that are based upon the interest rates applicable to the senior notes as of May 31, 2019 and are subject to change in future periods;</w:t>
            </w:r>
          </w:p>
        </w:tc>
      </w:tr>
    </w:tbl>
    <w:p w14:paraId="30FDF84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5"/>
        <w:gridCol w:w="243"/>
        <w:gridCol w:w="7668"/>
      </w:tblGrid>
      <w:tr w:rsidR="00251D72" w14:paraId="62334B1A" w14:textId="77777777">
        <w:tc>
          <w:tcPr>
            <w:tcW w:w="238" w:type="pct"/>
            <w:noWrap/>
            <w:hideMark/>
          </w:tcPr>
          <w:p w14:paraId="1A2B778B" w14:textId="77777777" w:rsidR="00251D72" w:rsidRDefault="00251D72">
            <w:pPr>
              <w:pStyle w:val="a3"/>
              <w:spacing w:before="120" w:beforeAutospacing="0" w:after="0" w:afterAutospacing="0"/>
              <w:jc w:val="both"/>
              <w:rPr>
                <w:sz w:val="20"/>
                <w:szCs w:val="20"/>
              </w:rPr>
            </w:pPr>
            <w:r>
              <w:rPr>
                <w:sz w:val="20"/>
                <w:szCs w:val="20"/>
              </w:rPr>
              <w:t> </w:t>
            </w:r>
          </w:p>
        </w:tc>
        <w:tc>
          <w:tcPr>
            <w:tcW w:w="146" w:type="pct"/>
            <w:noWrap/>
            <w:hideMark/>
          </w:tcPr>
          <w:p w14:paraId="1095D39C"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EE3BF6B" w14:textId="77777777" w:rsidR="00251D72" w:rsidRDefault="00251D72">
            <w:pPr>
              <w:pStyle w:val="a3"/>
              <w:spacing w:before="120" w:beforeAutospacing="0" w:after="0" w:afterAutospacing="0"/>
              <w:jc w:val="both"/>
              <w:rPr>
                <w:sz w:val="20"/>
                <w:szCs w:val="20"/>
              </w:rPr>
            </w:pPr>
            <w:r>
              <w:rPr>
                <w:rFonts w:ascii="Calibri" w:hAnsi="Calibri" w:cs="Calibri"/>
                <w:color w:val="000000"/>
                <w:sz w:val="15"/>
                <w:szCs w:val="15"/>
              </w:rPr>
              <w:t>certain cross-currency swap agreements for our €1.25 billion 2.25% senior notes due 2021 that have the economic effect of converting our fixed-rate, Euro-denominated debt, including annual interest payments and the payment of principal at maturity, to a fixed-rate, U.S. Dollar-denominated debt with a fixed annual interest rate. Principal and interest payments for these senior notes were calculated and presented in the table above based on the terms of these cross-currency swap agreements</w:t>
            </w:r>
            <w:r>
              <w:rPr>
                <w:rFonts w:ascii="Calibri" w:hAnsi="Calibri" w:cs="Calibri"/>
                <w:sz w:val="15"/>
                <w:szCs w:val="15"/>
              </w:rPr>
              <w:t xml:space="preserve">; and </w:t>
            </w:r>
          </w:p>
        </w:tc>
      </w:tr>
    </w:tbl>
    <w:p w14:paraId="64D51F7A"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5"/>
        <w:gridCol w:w="243"/>
        <w:gridCol w:w="7668"/>
      </w:tblGrid>
      <w:tr w:rsidR="00251D72" w14:paraId="627BF7C2" w14:textId="77777777">
        <w:tc>
          <w:tcPr>
            <w:tcW w:w="238" w:type="pct"/>
            <w:noWrap/>
            <w:hideMark/>
          </w:tcPr>
          <w:p w14:paraId="5F256EE6" w14:textId="77777777" w:rsidR="00251D72" w:rsidRDefault="00251D72">
            <w:pPr>
              <w:pStyle w:val="a3"/>
              <w:spacing w:before="120" w:beforeAutospacing="0" w:after="0" w:afterAutospacing="0"/>
              <w:jc w:val="both"/>
              <w:rPr>
                <w:sz w:val="20"/>
                <w:szCs w:val="20"/>
              </w:rPr>
            </w:pPr>
            <w:r>
              <w:rPr>
                <w:sz w:val="20"/>
                <w:szCs w:val="20"/>
              </w:rPr>
              <w:t> </w:t>
            </w:r>
          </w:p>
        </w:tc>
        <w:tc>
          <w:tcPr>
            <w:tcW w:w="146" w:type="pct"/>
            <w:noWrap/>
            <w:hideMark/>
          </w:tcPr>
          <w:p w14:paraId="3A1C56C1"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C3904D9" w14:textId="77777777" w:rsidR="00251D72" w:rsidRDefault="00251D72">
            <w:pPr>
              <w:pStyle w:val="a3"/>
              <w:spacing w:before="120" w:beforeAutospacing="0" w:after="0" w:afterAutospacing="0"/>
              <w:jc w:val="both"/>
              <w:rPr>
                <w:sz w:val="20"/>
                <w:szCs w:val="20"/>
              </w:rPr>
            </w:pPr>
            <w:r>
              <w:rPr>
                <w:rFonts w:ascii="Calibri" w:hAnsi="Calibri" w:cs="Calibri"/>
                <w:color w:val="000000"/>
                <w:sz w:val="15"/>
                <w:szCs w:val="15"/>
              </w:rPr>
              <w:t>certain cross-currency interest rate swap agreements for our €750 million 3.125% senior notes due July 2025 that have the economic effect of converting our fixed-rate, Euro-denominated debt, including annual interest payments and the payment of principal at maturity, to a variable-rate, U.S. Dollar-denominated debt. Principal and interest payments for these senior notes were calculated and presented in the table above based on the terms of these cross-currency interest rate swap agreem</w:t>
            </w:r>
            <w:r>
              <w:rPr>
                <w:rFonts w:ascii="Calibri" w:hAnsi="Calibri" w:cs="Calibri"/>
                <w:sz w:val="15"/>
                <w:szCs w:val="15"/>
              </w:rPr>
              <w:t>ents as of May 31, 2019 and the interest payments are subject to change in future periods.</w:t>
            </w:r>
          </w:p>
        </w:tc>
      </w:tr>
    </w:tbl>
    <w:p w14:paraId="48DCC24A" w14:textId="77777777" w:rsidR="00251D72" w:rsidRDefault="00251D72">
      <w:pPr>
        <w:pStyle w:val="a3"/>
        <w:spacing w:before="120" w:beforeAutospacing="0" w:after="0" w:afterAutospacing="0"/>
        <w:ind w:left="357"/>
        <w:jc w:val="both"/>
        <w:rPr>
          <w:rFonts w:ascii="Calibri" w:hAnsi="Calibri" w:cs="Calibri"/>
          <w:sz w:val="15"/>
          <w:szCs w:val="15"/>
        </w:rPr>
      </w:pPr>
      <w:r>
        <w:rPr>
          <w:rFonts w:ascii="Calibri" w:hAnsi="Calibri" w:cs="Calibri"/>
          <w:sz w:val="15"/>
          <w:szCs w:val="15"/>
        </w:rPr>
        <w:t>Refer to Notes 7 and 10 of Notes to Consolidated Financial Statements included elsewhere in this Annual Report for additional information related to our notes payable and other borrowings and related derivative agreements.</w:t>
      </w:r>
    </w:p>
    <w:tbl>
      <w:tblPr>
        <w:tblW w:w="5000" w:type="pct"/>
        <w:tblCellMar>
          <w:left w:w="0" w:type="dxa"/>
          <w:right w:w="0" w:type="dxa"/>
        </w:tblCellMar>
        <w:tblLook w:val="04A0" w:firstRow="1" w:lastRow="0" w:firstColumn="1" w:lastColumn="0" w:noHBand="0" w:noVBand="1"/>
      </w:tblPr>
      <w:tblGrid>
        <w:gridCol w:w="319"/>
        <w:gridCol w:w="7987"/>
      </w:tblGrid>
      <w:tr w:rsidR="00251D72" w14:paraId="7C47912D" w14:textId="77777777">
        <w:tc>
          <w:tcPr>
            <w:tcW w:w="192" w:type="pct"/>
            <w:noWrap/>
            <w:hideMark/>
          </w:tcPr>
          <w:p w14:paraId="5816718A"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700EA11C"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Primarily represents leases of facilities, land, data centers, and vehicles and includes future minimum rent payments for facilities that we have vacated pursuant to our restructuring activities. We have approximately $58 million in facility obligations, net of estimated sublease income, for certain vacated locations in accrued restructuring on our consolidated balance sheet at May 31, 2019.</w:t>
            </w:r>
          </w:p>
        </w:tc>
      </w:tr>
    </w:tbl>
    <w:p w14:paraId="60995BAA"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097D7C69" w14:textId="77777777">
        <w:tc>
          <w:tcPr>
            <w:tcW w:w="192" w:type="pct"/>
            <w:noWrap/>
            <w:hideMark/>
          </w:tcPr>
          <w:p w14:paraId="765E6D62"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(3)</w:t>
            </w:r>
          </w:p>
        </w:tc>
        <w:tc>
          <w:tcPr>
            <w:tcW w:w="0" w:type="auto"/>
            <w:hideMark/>
          </w:tcPr>
          <w:p w14:paraId="1F9746A2" w14:textId="77777777" w:rsidR="00251D72" w:rsidRDefault="00251D72">
            <w:pPr>
              <w:pStyle w:val="a3"/>
              <w:spacing w:before="120" w:beforeAutospacing="0" w:after="0" w:afterAutospacing="0"/>
              <w:jc w:val="both"/>
              <w:rPr>
                <w:rFonts w:ascii="Calibri" w:hAnsi="Calibri" w:cs="Calibri"/>
                <w:sz w:val="15"/>
                <w:szCs w:val="15"/>
              </w:rPr>
            </w:pPr>
            <w:bookmarkStart w:id="73" w:name="_Hlk8044238"/>
            <w:bookmarkEnd w:id="73"/>
            <w:r>
              <w:rPr>
                <w:rFonts w:ascii="Calibri" w:hAnsi="Calibri" w:cs="Calibri"/>
                <w:sz w:val="15"/>
                <w:szCs w:val="15"/>
              </w:rPr>
              <w:t>Represents the future cash payments related to the transition tax payable incurred as a result of the Tax Act. Refer to Note 1 of Notes to Consolidated Financial Statements included elsewhere in this Annual Report for additional information.</w:t>
            </w:r>
          </w:p>
        </w:tc>
      </w:tr>
    </w:tbl>
    <w:p w14:paraId="2E1A8D8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5991BE2A" w14:textId="77777777">
        <w:tc>
          <w:tcPr>
            <w:tcW w:w="192" w:type="pct"/>
            <w:noWrap/>
            <w:hideMark/>
          </w:tcPr>
          <w:p w14:paraId="4BB45586"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(4)</w:t>
            </w:r>
          </w:p>
        </w:tc>
        <w:tc>
          <w:tcPr>
            <w:tcW w:w="0" w:type="auto"/>
            <w:hideMark/>
          </w:tcPr>
          <w:p w14:paraId="6041DB95"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Primarily represents amounts associated with agreements that are enforceable and legally binding; terms include: fixed or minimum quantities to be purchased; fixed, minimum or variable price provisions; and the approximate timing of the payment. We utilize several external manufacturers to manufacture sub-assemblies for our hardware products and to perform final assembly and testing of finished hardware products. We also obtain individual hardware components for our products from a variety of individual suppliers based on projected demand information. Such purchase commitments are based on our forecasted component and manufacturing requirements and typically provide for fulfillment within agreed upon lead-times and/or commercially standard lead-times for the particular part or product and have been included in the amount presented in the above contractual obligations table. Routine arrangements for other materials and goods that are not related to our external manufacturers and certain other suppliers and that are entered into in the ordinary course of business are not included in the amounts presented above, as they are generally entered into in order to secure pricing or other negotiated terms and are difficult to quantify in a meaningful way.</w:t>
            </w:r>
          </w:p>
        </w:tc>
      </w:tr>
    </w:tbl>
    <w:p w14:paraId="473945B2" w14:textId="77777777" w:rsidR="00251D72" w:rsidRDefault="00251D72">
      <w:pPr>
        <w:pStyle w:val="a3"/>
        <w:spacing w:before="120" w:beforeAutospacing="0" w:after="0" w:afterAutospacing="0"/>
        <w:jc w:val="both"/>
        <w:rPr>
          <w:rFonts w:ascii="Calibri" w:hAnsi="Calibri" w:cs="Calibri"/>
          <w:sz w:val="20"/>
          <w:szCs w:val="20"/>
        </w:rPr>
      </w:pPr>
      <w:bookmarkStart w:id="74" w:name="_AEIOULastRenderedPageBreakAEIOU59"/>
      <w:bookmarkEnd w:id="74"/>
      <w:r>
        <w:rPr>
          <w:rFonts w:ascii="Calibri" w:hAnsi="Calibri" w:cs="Calibri"/>
          <w:sz w:val="20"/>
          <w:szCs w:val="20"/>
        </w:rPr>
        <w:t xml:space="preserve">As of May 31, 2019, we had $7.6 billion of gross unrecognized income tax benefits, including related interest and penalties, recorded on our consolidated balance sheet, and all such obligations have been excluded from the contractual obligations table above due to the uncertainty as to when they might be settled. We cannot make a reasonably reliable estimate of the period in which the remainder of our unrecognized income tax benefits will be settled or released with the relevant tax authorities, although we believe it is reasonably possible that certain of these liabilities could be settled or released during fiscal 2020. We are involved in claims and legal proceedings. All </w:t>
      </w:r>
    </w:p>
    <w:p w14:paraId="7B33A1D7"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56</w:t>
      </w:r>
    </w:p>
    <w:p w14:paraId="06D4AFB1" w14:textId="77777777" w:rsidR="00251D72" w:rsidRDefault="00251D72">
      <w:pPr>
        <w:rPr>
          <w:rFonts w:ascii="Times New Roman" w:eastAsia="Times New Roman" w:hAnsi="Times New Roman" w:cs="Times New Roman"/>
          <w:sz w:val="24"/>
          <w:szCs w:val="24"/>
        </w:rPr>
      </w:pPr>
      <w:r>
        <w:rPr>
          <w:rFonts w:eastAsia="Times New Roman"/>
        </w:rPr>
        <w:pict w14:anchorId="77C0620D">
          <v:rect id="_x0000_i1082" style="width:415.3pt;height:1.5pt" o:hralign="center" o:hrstd="t" o:hr="t" fillcolor="#a0a0a0" stroked="f"/>
        </w:pict>
      </w:r>
    </w:p>
    <w:p w14:paraId="2864D312"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F02351A"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2BBFEEF" w14:textId="77777777" w:rsidR="00251D72" w:rsidRDefault="00251D72">
      <w:pPr>
        <w:pStyle w:val="a3"/>
        <w:spacing w:before="120" w:beforeAutospacing="0" w:after="0" w:afterAutospacing="0"/>
        <w:rPr>
          <w:sz w:val="20"/>
          <w:szCs w:val="20"/>
        </w:rPr>
      </w:pPr>
      <w:r>
        <w:rPr>
          <w:sz w:val="20"/>
          <w:szCs w:val="20"/>
        </w:rPr>
        <w:t> </w:t>
      </w:r>
    </w:p>
    <w:p w14:paraId="1130048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such claims and obligations have been excluded from the contractual obligations table above due to the uncertainty of claims and legal proceedings and associated estimates and assumptions, all of which are inherently unpredictable and many aspects of which are out of our control. Notes 14 and 17 of Notes to Consolidated Financial Statements included elsewhere in this Annual Report includes additional information regarding these contingencies.</w:t>
      </w:r>
    </w:p>
    <w:p w14:paraId="7A2A392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believe that our current cash, cash equivalents and marketable securities and cash generated from operations will be sufficient to meet our working capital, capital expenditures and contractual obligation requirements. In addition, we believe that we could fund our future acquisitions, dividend payments and repurchases of common stock or debt with our internally available cash, cash equivalents and marketable securities, cash generated from operations, additional borrowings or from the issuance of additional securities.</w:t>
      </w:r>
    </w:p>
    <w:p w14:paraId="40DFA160"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Off-Balance Sheet Arrangements:</w:t>
      </w:r>
      <w:r>
        <w:rPr>
          <w:rFonts w:ascii="Calibri" w:hAnsi="Calibri" w:cs="Calibri"/>
          <w:sz w:val="20"/>
          <w:szCs w:val="20"/>
        </w:rPr>
        <w:t xml:space="preserve"> We do not have any off-balance sheet arrangements that have or are reasonably likely to have a current or future effect on our financial condition, changes in financial condition, revenues or expenses, results of operations, liquidity, capital expenditures or capital resources that are material to investors.</w:t>
      </w:r>
    </w:p>
    <w:p w14:paraId="5E3EC4CD"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Selected Quarterly Financial Data</w:t>
      </w:r>
    </w:p>
    <w:p w14:paraId="2910E00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following tables set forth selected unaudited quarterly information for our last eight fiscal quarters. We believe that all necessary adjustments, which consisted only of normal recurring adjustments, have been included in the amounts stated below to present fairly the results of such periods when read in conjunction with the consolidated financial statements and related notes included elsewhere in this Annual Report. The sum of the quarterly financial information may vary from annual data due to rounding. Refer to “Seasonality and Cyclicality” in Item 1 and “Business Overview” in Item 7 included elsewhere within this Annual Report for additional information regarding the seasonality of our revenues, expenses and margins.</w:t>
      </w:r>
    </w:p>
    <w:p w14:paraId="076EB061"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3496"/>
        <w:gridCol w:w="104"/>
        <w:gridCol w:w="117"/>
        <w:gridCol w:w="906"/>
        <w:gridCol w:w="72"/>
        <w:gridCol w:w="104"/>
        <w:gridCol w:w="118"/>
        <w:gridCol w:w="906"/>
        <w:gridCol w:w="72"/>
        <w:gridCol w:w="105"/>
        <w:gridCol w:w="117"/>
        <w:gridCol w:w="907"/>
        <w:gridCol w:w="73"/>
        <w:gridCol w:w="105"/>
        <w:gridCol w:w="117"/>
        <w:gridCol w:w="914"/>
        <w:gridCol w:w="73"/>
      </w:tblGrid>
      <w:tr w:rsidR="00251D72" w14:paraId="7FF4DB09" w14:textId="77777777">
        <w:trPr>
          <w:divId w:val="220673366"/>
          <w:jc w:val="center"/>
        </w:trPr>
        <w:tc>
          <w:tcPr>
            <w:tcW w:w="2111" w:type="pct"/>
            <w:shd w:val="clear" w:color="auto" w:fill="FFFFFF"/>
            <w:tcMar>
              <w:top w:w="15" w:type="dxa"/>
              <w:left w:w="0" w:type="dxa"/>
              <w:bottom w:w="0" w:type="dxa"/>
              <w:right w:w="15" w:type="dxa"/>
            </w:tcMar>
            <w:vAlign w:val="bottom"/>
            <w:hideMark/>
          </w:tcPr>
          <w:p w14:paraId="3C71322F" w14:textId="77777777" w:rsidR="00251D72" w:rsidRDefault="00251D72">
            <w:pPr>
              <w:pStyle w:val="a3"/>
              <w:spacing w:before="0" w:beforeAutospacing="0" w:after="0" w:afterAutospacing="0"/>
              <w:rPr>
                <w:sz w:val="15"/>
                <w:szCs w:val="15"/>
              </w:rPr>
            </w:pPr>
            <w:r>
              <w:rPr>
                <w:sz w:val="15"/>
                <w:szCs w:val="15"/>
              </w:rPr>
              <w:t> </w:t>
            </w:r>
          </w:p>
        </w:tc>
        <w:tc>
          <w:tcPr>
            <w:tcW w:w="69" w:type="pct"/>
            <w:shd w:val="clear" w:color="auto" w:fill="FFFFFF"/>
            <w:tcMar>
              <w:top w:w="15" w:type="dxa"/>
              <w:left w:w="0" w:type="dxa"/>
              <w:bottom w:w="0" w:type="dxa"/>
              <w:right w:w="15" w:type="dxa"/>
            </w:tcMar>
            <w:vAlign w:val="bottom"/>
            <w:hideMark/>
          </w:tcPr>
          <w:p w14:paraId="5D9F10B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769" w:type="pct"/>
            <w:gridSpan w:val="14"/>
            <w:tcBorders>
              <w:bottom w:val="single" w:sz="6" w:space="0" w:color="000000"/>
            </w:tcBorders>
            <w:shd w:val="clear" w:color="auto" w:fill="FFFFFF"/>
            <w:tcMar>
              <w:top w:w="15" w:type="dxa"/>
              <w:left w:w="0" w:type="dxa"/>
              <w:bottom w:w="0" w:type="dxa"/>
              <w:right w:w="15" w:type="dxa"/>
            </w:tcMar>
            <w:vAlign w:val="bottom"/>
            <w:hideMark/>
          </w:tcPr>
          <w:p w14:paraId="3A50F59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Fiscal 2019 Quarter Ended (Unaudited)</w:t>
            </w:r>
          </w:p>
        </w:tc>
        <w:tc>
          <w:tcPr>
            <w:tcW w:w="50" w:type="pct"/>
            <w:shd w:val="clear" w:color="auto" w:fill="FFFFFF"/>
            <w:noWrap/>
            <w:tcMar>
              <w:top w:w="15" w:type="dxa"/>
              <w:left w:w="0" w:type="dxa"/>
              <w:bottom w:w="0" w:type="dxa"/>
              <w:right w:w="15" w:type="dxa"/>
            </w:tcMar>
            <w:vAlign w:val="bottom"/>
            <w:hideMark/>
          </w:tcPr>
          <w:p w14:paraId="4EE9F1F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CD42AE3" w14:textId="77777777">
        <w:trPr>
          <w:divId w:val="220673366"/>
          <w:jc w:val="center"/>
        </w:trPr>
        <w:tc>
          <w:tcPr>
            <w:tcW w:w="2111" w:type="pct"/>
            <w:tcBorders>
              <w:bottom w:val="single" w:sz="6" w:space="0" w:color="000000"/>
            </w:tcBorders>
            <w:shd w:val="clear" w:color="auto" w:fill="FFFFFF"/>
            <w:tcMar>
              <w:top w:w="15" w:type="dxa"/>
              <w:left w:w="0" w:type="dxa"/>
              <w:bottom w:w="0" w:type="dxa"/>
              <w:right w:w="15" w:type="dxa"/>
            </w:tcMar>
            <w:vAlign w:val="bottom"/>
            <w:hideMark/>
          </w:tcPr>
          <w:p w14:paraId="6F83D29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69" w:type="pct"/>
            <w:shd w:val="clear" w:color="auto" w:fill="FFFFFF"/>
            <w:tcMar>
              <w:top w:w="15" w:type="dxa"/>
              <w:left w:w="0" w:type="dxa"/>
              <w:bottom w:w="0" w:type="dxa"/>
              <w:right w:w="15" w:type="dxa"/>
            </w:tcMar>
            <w:vAlign w:val="bottom"/>
            <w:hideMark/>
          </w:tcPr>
          <w:p w14:paraId="2F32E17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E0080C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left w:w="0" w:type="dxa"/>
              <w:bottom w:w="0" w:type="dxa"/>
              <w:right w:w="15" w:type="dxa"/>
            </w:tcMar>
            <w:vAlign w:val="bottom"/>
            <w:hideMark/>
          </w:tcPr>
          <w:p w14:paraId="04581C8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434ADAD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9B9DFE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left w:w="0" w:type="dxa"/>
              <w:bottom w:w="0" w:type="dxa"/>
              <w:right w:w="15" w:type="dxa"/>
            </w:tcMar>
            <w:vAlign w:val="bottom"/>
            <w:hideMark/>
          </w:tcPr>
          <w:p w14:paraId="5ACFF93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77995BD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16560A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393907B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5BEA8BD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02A69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left w:w="0" w:type="dxa"/>
              <w:bottom w:w="0" w:type="dxa"/>
              <w:right w:w="15" w:type="dxa"/>
            </w:tcMar>
            <w:vAlign w:val="bottom"/>
            <w:hideMark/>
          </w:tcPr>
          <w:p w14:paraId="10BCFA1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1D13B03" w14:textId="77777777">
        <w:trPr>
          <w:divId w:val="220673366"/>
          <w:jc w:val="center"/>
        </w:trPr>
        <w:tc>
          <w:tcPr>
            <w:tcW w:w="2111" w:type="pct"/>
            <w:tcBorders>
              <w:top w:val="single" w:sz="6" w:space="0" w:color="000000"/>
            </w:tcBorders>
            <w:shd w:val="clear" w:color="auto" w:fill="CFF0FC"/>
            <w:tcMar>
              <w:top w:w="15" w:type="dxa"/>
              <w:left w:w="0" w:type="dxa"/>
              <w:bottom w:w="0" w:type="dxa"/>
              <w:right w:w="15" w:type="dxa"/>
            </w:tcMar>
            <w:hideMark/>
          </w:tcPr>
          <w:p w14:paraId="327E261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Revenues</w:t>
            </w:r>
          </w:p>
        </w:tc>
        <w:tc>
          <w:tcPr>
            <w:tcW w:w="69" w:type="pct"/>
            <w:shd w:val="clear" w:color="auto" w:fill="CFF0FC"/>
            <w:tcMar>
              <w:top w:w="15" w:type="dxa"/>
              <w:left w:w="0" w:type="dxa"/>
              <w:bottom w:w="0" w:type="dxa"/>
              <w:right w:w="15" w:type="dxa"/>
            </w:tcMar>
            <w:vAlign w:val="bottom"/>
            <w:hideMark/>
          </w:tcPr>
          <w:p w14:paraId="2C87780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1559B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14:paraId="221EECB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9,193</w:t>
            </w:r>
          </w:p>
        </w:tc>
        <w:tc>
          <w:tcPr>
            <w:tcW w:w="50" w:type="pct"/>
            <w:shd w:val="clear" w:color="auto" w:fill="CFF0FC"/>
            <w:noWrap/>
            <w:tcMar>
              <w:top w:w="15" w:type="dxa"/>
              <w:left w:w="0" w:type="dxa"/>
              <w:bottom w:w="0" w:type="dxa"/>
              <w:right w:w="15" w:type="dxa"/>
            </w:tcMar>
            <w:vAlign w:val="bottom"/>
            <w:hideMark/>
          </w:tcPr>
          <w:p w14:paraId="176CD7C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459F450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275BC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14:paraId="22F7E8E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9,562</w:t>
            </w:r>
          </w:p>
        </w:tc>
        <w:tc>
          <w:tcPr>
            <w:tcW w:w="50" w:type="pct"/>
            <w:shd w:val="clear" w:color="auto" w:fill="CFF0FC"/>
            <w:noWrap/>
            <w:tcMar>
              <w:top w:w="15" w:type="dxa"/>
              <w:left w:w="0" w:type="dxa"/>
              <w:bottom w:w="0" w:type="dxa"/>
              <w:right w:w="15" w:type="dxa"/>
            </w:tcMar>
            <w:vAlign w:val="bottom"/>
            <w:hideMark/>
          </w:tcPr>
          <w:p w14:paraId="1BAE03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7DD8EB5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5CA5A4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14:paraId="3EF71E3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9,614</w:t>
            </w:r>
          </w:p>
        </w:tc>
        <w:tc>
          <w:tcPr>
            <w:tcW w:w="50" w:type="pct"/>
            <w:shd w:val="clear" w:color="auto" w:fill="CFF0FC"/>
            <w:noWrap/>
            <w:tcMar>
              <w:top w:w="15" w:type="dxa"/>
              <w:left w:w="0" w:type="dxa"/>
              <w:bottom w:w="0" w:type="dxa"/>
              <w:right w:w="15" w:type="dxa"/>
            </w:tcMar>
            <w:vAlign w:val="bottom"/>
            <w:hideMark/>
          </w:tcPr>
          <w:p w14:paraId="294E8F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45ED90F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DE3F5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14:paraId="7A3206D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11,136</w:t>
            </w:r>
          </w:p>
        </w:tc>
        <w:tc>
          <w:tcPr>
            <w:tcW w:w="50" w:type="pct"/>
            <w:shd w:val="clear" w:color="auto" w:fill="CFF0FC"/>
            <w:noWrap/>
            <w:tcMar>
              <w:top w:w="15" w:type="dxa"/>
              <w:left w:w="0" w:type="dxa"/>
              <w:bottom w:w="0" w:type="dxa"/>
              <w:right w:w="15" w:type="dxa"/>
            </w:tcMar>
            <w:vAlign w:val="bottom"/>
            <w:hideMark/>
          </w:tcPr>
          <w:p w14:paraId="6C3D2C1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E93AF79" w14:textId="77777777">
        <w:trPr>
          <w:divId w:val="220673366"/>
          <w:jc w:val="center"/>
        </w:trPr>
        <w:tc>
          <w:tcPr>
            <w:tcW w:w="2111" w:type="pct"/>
            <w:shd w:val="clear" w:color="auto" w:fill="FFFFFF"/>
            <w:tcMar>
              <w:top w:w="15" w:type="dxa"/>
              <w:left w:w="0" w:type="dxa"/>
              <w:bottom w:w="0" w:type="dxa"/>
              <w:right w:w="15" w:type="dxa"/>
            </w:tcMar>
            <w:hideMark/>
          </w:tcPr>
          <w:p w14:paraId="52D18EA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Gross profit</w:t>
            </w:r>
          </w:p>
        </w:tc>
        <w:tc>
          <w:tcPr>
            <w:tcW w:w="69" w:type="pct"/>
            <w:shd w:val="clear" w:color="auto" w:fill="FFFFFF"/>
            <w:tcMar>
              <w:top w:w="15" w:type="dxa"/>
              <w:left w:w="0" w:type="dxa"/>
              <w:bottom w:w="0" w:type="dxa"/>
              <w:right w:w="15" w:type="dxa"/>
            </w:tcMar>
            <w:vAlign w:val="bottom"/>
            <w:hideMark/>
          </w:tcPr>
          <w:p w14:paraId="4C5B393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B011C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17A7151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7,240</w:t>
            </w:r>
          </w:p>
        </w:tc>
        <w:tc>
          <w:tcPr>
            <w:tcW w:w="50" w:type="pct"/>
            <w:shd w:val="clear" w:color="auto" w:fill="FFFFFF"/>
            <w:noWrap/>
            <w:tcMar>
              <w:top w:w="15" w:type="dxa"/>
              <w:left w:w="0" w:type="dxa"/>
              <w:bottom w:w="0" w:type="dxa"/>
              <w:right w:w="15" w:type="dxa"/>
            </w:tcMar>
            <w:vAlign w:val="bottom"/>
            <w:hideMark/>
          </w:tcPr>
          <w:p w14:paraId="7FE057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5C8C0B1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92AB8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2CCC288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7,561</w:t>
            </w:r>
          </w:p>
        </w:tc>
        <w:tc>
          <w:tcPr>
            <w:tcW w:w="50" w:type="pct"/>
            <w:shd w:val="clear" w:color="auto" w:fill="FFFFFF"/>
            <w:noWrap/>
            <w:tcMar>
              <w:top w:w="15" w:type="dxa"/>
              <w:left w:w="0" w:type="dxa"/>
              <w:bottom w:w="0" w:type="dxa"/>
              <w:right w:w="15" w:type="dxa"/>
            </w:tcMar>
            <w:vAlign w:val="bottom"/>
            <w:hideMark/>
          </w:tcPr>
          <w:p w14:paraId="2F3B708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1658A85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3EB50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1AB463F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7,638</w:t>
            </w:r>
          </w:p>
        </w:tc>
        <w:tc>
          <w:tcPr>
            <w:tcW w:w="50" w:type="pct"/>
            <w:shd w:val="clear" w:color="auto" w:fill="FFFFFF"/>
            <w:noWrap/>
            <w:tcMar>
              <w:top w:w="15" w:type="dxa"/>
              <w:left w:w="0" w:type="dxa"/>
              <w:bottom w:w="0" w:type="dxa"/>
              <w:right w:w="15" w:type="dxa"/>
            </w:tcMar>
            <w:vAlign w:val="bottom"/>
            <w:hideMark/>
          </w:tcPr>
          <w:p w14:paraId="156C46C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75E371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18A9EE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2DFDE78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9,073</w:t>
            </w:r>
          </w:p>
        </w:tc>
        <w:tc>
          <w:tcPr>
            <w:tcW w:w="50" w:type="pct"/>
            <w:shd w:val="clear" w:color="auto" w:fill="FFFFFF"/>
            <w:noWrap/>
            <w:tcMar>
              <w:top w:w="15" w:type="dxa"/>
              <w:left w:w="0" w:type="dxa"/>
              <w:bottom w:w="0" w:type="dxa"/>
              <w:right w:w="15" w:type="dxa"/>
            </w:tcMar>
            <w:vAlign w:val="bottom"/>
            <w:hideMark/>
          </w:tcPr>
          <w:p w14:paraId="00A8961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CABB83E" w14:textId="77777777">
        <w:trPr>
          <w:divId w:val="220673366"/>
          <w:jc w:val="center"/>
        </w:trPr>
        <w:tc>
          <w:tcPr>
            <w:tcW w:w="2111" w:type="pct"/>
            <w:shd w:val="clear" w:color="auto" w:fill="CFF0FC"/>
            <w:tcMar>
              <w:top w:w="15" w:type="dxa"/>
              <w:left w:w="0" w:type="dxa"/>
              <w:bottom w:w="0" w:type="dxa"/>
              <w:right w:w="15" w:type="dxa"/>
            </w:tcMar>
            <w:hideMark/>
          </w:tcPr>
          <w:p w14:paraId="62BFA61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Operating income</w:t>
            </w:r>
          </w:p>
        </w:tc>
        <w:tc>
          <w:tcPr>
            <w:tcW w:w="69" w:type="pct"/>
            <w:shd w:val="clear" w:color="auto" w:fill="CFF0FC"/>
            <w:tcMar>
              <w:top w:w="15" w:type="dxa"/>
              <w:left w:w="0" w:type="dxa"/>
              <w:bottom w:w="0" w:type="dxa"/>
              <w:right w:w="15" w:type="dxa"/>
            </w:tcMar>
            <w:vAlign w:val="bottom"/>
            <w:hideMark/>
          </w:tcPr>
          <w:p w14:paraId="6D53FD0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1EB74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17691DF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2,778</w:t>
            </w:r>
          </w:p>
        </w:tc>
        <w:tc>
          <w:tcPr>
            <w:tcW w:w="50" w:type="pct"/>
            <w:shd w:val="clear" w:color="auto" w:fill="CFF0FC"/>
            <w:noWrap/>
            <w:tcMar>
              <w:top w:w="15" w:type="dxa"/>
              <w:left w:w="0" w:type="dxa"/>
              <w:bottom w:w="0" w:type="dxa"/>
              <w:right w:w="15" w:type="dxa"/>
            </w:tcMar>
            <w:vAlign w:val="bottom"/>
            <w:hideMark/>
          </w:tcPr>
          <w:p w14:paraId="36B069E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28DB611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29771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68CA9A3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3,101</w:t>
            </w:r>
          </w:p>
        </w:tc>
        <w:tc>
          <w:tcPr>
            <w:tcW w:w="50" w:type="pct"/>
            <w:shd w:val="clear" w:color="auto" w:fill="CFF0FC"/>
            <w:noWrap/>
            <w:tcMar>
              <w:top w:w="15" w:type="dxa"/>
              <w:left w:w="0" w:type="dxa"/>
              <w:bottom w:w="0" w:type="dxa"/>
              <w:right w:w="15" w:type="dxa"/>
            </w:tcMar>
            <w:vAlign w:val="bottom"/>
            <w:hideMark/>
          </w:tcPr>
          <w:p w14:paraId="3F8B79F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64D3C45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20FB6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2B5878A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3,399</w:t>
            </w:r>
          </w:p>
        </w:tc>
        <w:tc>
          <w:tcPr>
            <w:tcW w:w="50" w:type="pct"/>
            <w:shd w:val="clear" w:color="auto" w:fill="CFF0FC"/>
            <w:noWrap/>
            <w:tcMar>
              <w:top w:w="15" w:type="dxa"/>
              <w:left w:w="0" w:type="dxa"/>
              <w:bottom w:w="0" w:type="dxa"/>
              <w:right w:w="15" w:type="dxa"/>
            </w:tcMar>
            <w:vAlign w:val="bottom"/>
            <w:hideMark/>
          </w:tcPr>
          <w:p w14:paraId="7C1A66C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1BE5C9A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75816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0BF22AA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4,257</w:t>
            </w:r>
          </w:p>
        </w:tc>
        <w:tc>
          <w:tcPr>
            <w:tcW w:w="50" w:type="pct"/>
            <w:shd w:val="clear" w:color="auto" w:fill="CFF0FC"/>
            <w:noWrap/>
            <w:tcMar>
              <w:top w:w="15" w:type="dxa"/>
              <w:left w:w="0" w:type="dxa"/>
              <w:bottom w:w="0" w:type="dxa"/>
              <w:right w:w="15" w:type="dxa"/>
            </w:tcMar>
            <w:vAlign w:val="bottom"/>
            <w:hideMark/>
          </w:tcPr>
          <w:p w14:paraId="645C1C0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D32208B" w14:textId="77777777">
        <w:trPr>
          <w:divId w:val="220673366"/>
          <w:jc w:val="center"/>
        </w:trPr>
        <w:tc>
          <w:tcPr>
            <w:tcW w:w="2111" w:type="pct"/>
            <w:shd w:val="clear" w:color="auto" w:fill="FFFFFF"/>
            <w:tcMar>
              <w:top w:w="15" w:type="dxa"/>
              <w:left w:w="0" w:type="dxa"/>
              <w:bottom w:w="0" w:type="dxa"/>
              <w:right w:w="15" w:type="dxa"/>
            </w:tcMar>
            <w:hideMark/>
          </w:tcPr>
          <w:p w14:paraId="22C806D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income</w:t>
            </w:r>
          </w:p>
        </w:tc>
        <w:tc>
          <w:tcPr>
            <w:tcW w:w="69" w:type="pct"/>
            <w:shd w:val="clear" w:color="auto" w:fill="FFFFFF"/>
            <w:tcMar>
              <w:top w:w="15" w:type="dxa"/>
              <w:left w:w="0" w:type="dxa"/>
              <w:bottom w:w="0" w:type="dxa"/>
              <w:right w:w="15" w:type="dxa"/>
            </w:tcMar>
            <w:vAlign w:val="bottom"/>
            <w:hideMark/>
          </w:tcPr>
          <w:p w14:paraId="6EBBBB5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0F439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6BA0ADE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2,265</w:t>
            </w:r>
          </w:p>
        </w:tc>
        <w:tc>
          <w:tcPr>
            <w:tcW w:w="50" w:type="pct"/>
            <w:shd w:val="clear" w:color="auto" w:fill="FFFFFF"/>
            <w:noWrap/>
            <w:tcMar>
              <w:top w:w="15" w:type="dxa"/>
              <w:left w:w="0" w:type="dxa"/>
              <w:bottom w:w="0" w:type="dxa"/>
              <w:right w:w="15" w:type="dxa"/>
            </w:tcMar>
            <w:vAlign w:val="bottom"/>
            <w:hideMark/>
          </w:tcPr>
          <w:p w14:paraId="0E3B69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183DE3E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5CA3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11EBFCA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2,333</w:t>
            </w:r>
          </w:p>
        </w:tc>
        <w:tc>
          <w:tcPr>
            <w:tcW w:w="50" w:type="pct"/>
            <w:shd w:val="clear" w:color="auto" w:fill="FFFFFF"/>
            <w:noWrap/>
            <w:tcMar>
              <w:top w:w="15" w:type="dxa"/>
              <w:left w:w="0" w:type="dxa"/>
              <w:bottom w:w="0" w:type="dxa"/>
              <w:right w:w="15" w:type="dxa"/>
            </w:tcMar>
            <w:vAlign w:val="bottom"/>
            <w:hideMark/>
          </w:tcPr>
          <w:p w14:paraId="2547E18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51A358C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926DC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4689C20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2,745</w:t>
            </w:r>
          </w:p>
        </w:tc>
        <w:tc>
          <w:tcPr>
            <w:tcW w:w="50" w:type="pct"/>
            <w:shd w:val="clear" w:color="auto" w:fill="FFFFFF"/>
            <w:noWrap/>
            <w:tcMar>
              <w:top w:w="15" w:type="dxa"/>
              <w:left w:w="0" w:type="dxa"/>
              <w:bottom w:w="0" w:type="dxa"/>
              <w:right w:w="15" w:type="dxa"/>
            </w:tcMar>
            <w:vAlign w:val="bottom"/>
            <w:hideMark/>
          </w:tcPr>
          <w:p w14:paraId="2DE49D5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367528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AF5AB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2D382A2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3,740</w:t>
            </w:r>
          </w:p>
        </w:tc>
        <w:tc>
          <w:tcPr>
            <w:tcW w:w="50" w:type="pct"/>
            <w:shd w:val="clear" w:color="auto" w:fill="FFFFFF"/>
            <w:noWrap/>
            <w:tcMar>
              <w:top w:w="15" w:type="dxa"/>
              <w:left w:w="0" w:type="dxa"/>
              <w:bottom w:w="0" w:type="dxa"/>
              <w:right w:w="15" w:type="dxa"/>
            </w:tcMar>
            <w:vAlign w:val="bottom"/>
            <w:hideMark/>
          </w:tcPr>
          <w:p w14:paraId="5EB5BD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E750C25" w14:textId="77777777">
        <w:trPr>
          <w:divId w:val="220673366"/>
          <w:jc w:val="center"/>
        </w:trPr>
        <w:tc>
          <w:tcPr>
            <w:tcW w:w="2111" w:type="pct"/>
            <w:shd w:val="clear" w:color="auto" w:fill="CFF0FC"/>
            <w:tcMar>
              <w:top w:w="15" w:type="dxa"/>
              <w:left w:w="0" w:type="dxa"/>
              <w:bottom w:w="0" w:type="dxa"/>
              <w:right w:w="15" w:type="dxa"/>
            </w:tcMar>
            <w:hideMark/>
          </w:tcPr>
          <w:p w14:paraId="07177C0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Earnings per share—basic</w:t>
            </w:r>
          </w:p>
        </w:tc>
        <w:tc>
          <w:tcPr>
            <w:tcW w:w="69" w:type="pct"/>
            <w:shd w:val="clear" w:color="auto" w:fill="CFF0FC"/>
            <w:tcMar>
              <w:top w:w="15" w:type="dxa"/>
              <w:left w:w="0" w:type="dxa"/>
              <w:bottom w:w="0" w:type="dxa"/>
              <w:right w:w="15" w:type="dxa"/>
            </w:tcMar>
            <w:vAlign w:val="bottom"/>
            <w:hideMark/>
          </w:tcPr>
          <w:p w14:paraId="2AFE7C1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EBBD9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11D478D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0.58</w:t>
            </w:r>
          </w:p>
        </w:tc>
        <w:tc>
          <w:tcPr>
            <w:tcW w:w="50" w:type="pct"/>
            <w:shd w:val="clear" w:color="auto" w:fill="CFF0FC"/>
            <w:noWrap/>
            <w:tcMar>
              <w:top w:w="15" w:type="dxa"/>
              <w:left w:w="0" w:type="dxa"/>
              <w:bottom w:w="0" w:type="dxa"/>
              <w:right w:w="15" w:type="dxa"/>
            </w:tcMar>
            <w:vAlign w:val="bottom"/>
            <w:hideMark/>
          </w:tcPr>
          <w:p w14:paraId="1F2D5C4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2A39C6C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8C19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6AC13FE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0.63</w:t>
            </w:r>
          </w:p>
        </w:tc>
        <w:tc>
          <w:tcPr>
            <w:tcW w:w="50" w:type="pct"/>
            <w:shd w:val="clear" w:color="auto" w:fill="CFF0FC"/>
            <w:noWrap/>
            <w:tcMar>
              <w:top w:w="15" w:type="dxa"/>
              <w:left w:w="0" w:type="dxa"/>
              <w:bottom w:w="0" w:type="dxa"/>
              <w:right w:w="15" w:type="dxa"/>
            </w:tcMar>
            <w:vAlign w:val="bottom"/>
            <w:hideMark/>
          </w:tcPr>
          <w:p w14:paraId="12BDAD7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11B5076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E8B07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41C7713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0.78</w:t>
            </w:r>
          </w:p>
        </w:tc>
        <w:tc>
          <w:tcPr>
            <w:tcW w:w="50" w:type="pct"/>
            <w:shd w:val="clear" w:color="auto" w:fill="CFF0FC"/>
            <w:noWrap/>
            <w:tcMar>
              <w:top w:w="15" w:type="dxa"/>
              <w:left w:w="0" w:type="dxa"/>
              <w:bottom w:w="0" w:type="dxa"/>
              <w:right w:w="15" w:type="dxa"/>
            </w:tcMar>
            <w:vAlign w:val="bottom"/>
            <w:hideMark/>
          </w:tcPr>
          <w:p w14:paraId="1B503C7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702BFB5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552FB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7914387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1.10</w:t>
            </w:r>
          </w:p>
        </w:tc>
        <w:tc>
          <w:tcPr>
            <w:tcW w:w="50" w:type="pct"/>
            <w:shd w:val="clear" w:color="auto" w:fill="CFF0FC"/>
            <w:noWrap/>
            <w:tcMar>
              <w:top w:w="15" w:type="dxa"/>
              <w:left w:w="0" w:type="dxa"/>
              <w:bottom w:w="0" w:type="dxa"/>
              <w:right w:w="15" w:type="dxa"/>
            </w:tcMar>
            <w:vAlign w:val="bottom"/>
            <w:hideMark/>
          </w:tcPr>
          <w:p w14:paraId="17C8691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0AC12EC" w14:textId="77777777">
        <w:trPr>
          <w:divId w:val="220673366"/>
          <w:jc w:val="center"/>
        </w:trPr>
        <w:tc>
          <w:tcPr>
            <w:tcW w:w="2111" w:type="pct"/>
            <w:shd w:val="clear" w:color="auto" w:fill="FFFFFF"/>
            <w:tcMar>
              <w:top w:w="15" w:type="dxa"/>
              <w:left w:w="0" w:type="dxa"/>
              <w:bottom w:w="0" w:type="dxa"/>
              <w:right w:w="15" w:type="dxa"/>
            </w:tcMar>
            <w:hideMark/>
          </w:tcPr>
          <w:p w14:paraId="6B5FD16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Earnings per share—diluted</w:t>
            </w:r>
          </w:p>
        </w:tc>
        <w:tc>
          <w:tcPr>
            <w:tcW w:w="69" w:type="pct"/>
            <w:shd w:val="clear" w:color="auto" w:fill="FFFFFF"/>
            <w:tcMar>
              <w:top w:w="15" w:type="dxa"/>
              <w:left w:w="0" w:type="dxa"/>
              <w:bottom w:w="0" w:type="dxa"/>
              <w:right w:w="15" w:type="dxa"/>
            </w:tcMar>
            <w:vAlign w:val="bottom"/>
            <w:hideMark/>
          </w:tcPr>
          <w:p w14:paraId="55F0BD2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9624B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0E0B514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0.57</w:t>
            </w:r>
          </w:p>
        </w:tc>
        <w:tc>
          <w:tcPr>
            <w:tcW w:w="50" w:type="pct"/>
            <w:shd w:val="clear" w:color="auto" w:fill="FFFFFF"/>
            <w:noWrap/>
            <w:tcMar>
              <w:top w:w="15" w:type="dxa"/>
              <w:left w:w="0" w:type="dxa"/>
              <w:bottom w:w="0" w:type="dxa"/>
              <w:right w:w="15" w:type="dxa"/>
            </w:tcMar>
            <w:vAlign w:val="bottom"/>
            <w:hideMark/>
          </w:tcPr>
          <w:p w14:paraId="6338FD1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1C52F4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7A26A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2A2A3DF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0.61</w:t>
            </w:r>
          </w:p>
        </w:tc>
        <w:tc>
          <w:tcPr>
            <w:tcW w:w="50" w:type="pct"/>
            <w:shd w:val="clear" w:color="auto" w:fill="FFFFFF"/>
            <w:noWrap/>
            <w:tcMar>
              <w:top w:w="15" w:type="dxa"/>
              <w:left w:w="0" w:type="dxa"/>
              <w:bottom w:w="0" w:type="dxa"/>
              <w:right w:w="15" w:type="dxa"/>
            </w:tcMar>
            <w:vAlign w:val="bottom"/>
            <w:hideMark/>
          </w:tcPr>
          <w:p w14:paraId="31992B3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5C1CA79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55287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27FD247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0.76</w:t>
            </w:r>
          </w:p>
        </w:tc>
        <w:tc>
          <w:tcPr>
            <w:tcW w:w="50" w:type="pct"/>
            <w:shd w:val="clear" w:color="auto" w:fill="FFFFFF"/>
            <w:noWrap/>
            <w:tcMar>
              <w:top w:w="15" w:type="dxa"/>
              <w:left w:w="0" w:type="dxa"/>
              <w:bottom w:w="0" w:type="dxa"/>
              <w:right w:w="15" w:type="dxa"/>
            </w:tcMar>
            <w:vAlign w:val="bottom"/>
            <w:hideMark/>
          </w:tcPr>
          <w:p w14:paraId="356C79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1D721AB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7827D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459C330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1.07</w:t>
            </w:r>
          </w:p>
        </w:tc>
        <w:tc>
          <w:tcPr>
            <w:tcW w:w="50" w:type="pct"/>
            <w:shd w:val="clear" w:color="auto" w:fill="FFFFFF"/>
            <w:noWrap/>
            <w:tcMar>
              <w:top w:w="15" w:type="dxa"/>
              <w:left w:w="0" w:type="dxa"/>
              <w:bottom w:w="0" w:type="dxa"/>
              <w:right w:w="15" w:type="dxa"/>
            </w:tcMar>
            <w:vAlign w:val="bottom"/>
            <w:hideMark/>
          </w:tcPr>
          <w:p w14:paraId="145E4C91"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45E9CB5"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3496"/>
        <w:gridCol w:w="104"/>
        <w:gridCol w:w="117"/>
        <w:gridCol w:w="906"/>
        <w:gridCol w:w="72"/>
        <w:gridCol w:w="104"/>
        <w:gridCol w:w="118"/>
        <w:gridCol w:w="906"/>
        <w:gridCol w:w="72"/>
        <w:gridCol w:w="105"/>
        <w:gridCol w:w="117"/>
        <w:gridCol w:w="907"/>
        <w:gridCol w:w="76"/>
        <w:gridCol w:w="102"/>
        <w:gridCol w:w="117"/>
        <w:gridCol w:w="914"/>
        <w:gridCol w:w="73"/>
      </w:tblGrid>
      <w:tr w:rsidR="00251D72" w14:paraId="183D5719" w14:textId="77777777">
        <w:trPr>
          <w:divId w:val="618876899"/>
          <w:jc w:val="center"/>
        </w:trPr>
        <w:tc>
          <w:tcPr>
            <w:tcW w:w="2111" w:type="pct"/>
            <w:shd w:val="clear" w:color="auto" w:fill="FFFFFF"/>
            <w:tcMar>
              <w:top w:w="15" w:type="dxa"/>
              <w:left w:w="0" w:type="dxa"/>
              <w:bottom w:w="0" w:type="dxa"/>
              <w:right w:w="15" w:type="dxa"/>
            </w:tcMar>
            <w:vAlign w:val="bottom"/>
            <w:hideMark/>
          </w:tcPr>
          <w:p w14:paraId="1CAEB5B5" w14:textId="77777777" w:rsidR="00251D72" w:rsidRDefault="00251D72">
            <w:pPr>
              <w:pStyle w:val="a3"/>
              <w:spacing w:before="0" w:beforeAutospacing="0" w:after="0" w:afterAutospacing="0"/>
              <w:rPr>
                <w:sz w:val="15"/>
                <w:szCs w:val="15"/>
              </w:rPr>
            </w:pPr>
            <w:r>
              <w:rPr>
                <w:sz w:val="15"/>
                <w:szCs w:val="15"/>
              </w:rPr>
              <w:t> </w:t>
            </w:r>
          </w:p>
        </w:tc>
        <w:tc>
          <w:tcPr>
            <w:tcW w:w="69" w:type="pct"/>
            <w:shd w:val="clear" w:color="auto" w:fill="FFFFFF"/>
            <w:tcMar>
              <w:top w:w="15" w:type="dxa"/>
              <w:left w:w="0" w:type="dxa"/>
              <w:bottom w:w="0" w:type="dxa"/>
              <w:right w:w="15" w:type="dxa"/>
            </w:tcMar>
            <w:vAlign w:val="bottom"/>
            <w:hideMark/>
          </w:tcPr>
          <w:p w14:paraId="757D998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769" w:type="pct"/>
            <w:gridSpan w:val="14"/>
            <w:tcBorders>
              <w:bottom w:val="single" w:sz="6" w:space="0" w:color="000000"/>
            </w:tcBorders>
            <w:shd w:val="clear" w:color="auto" w:fill="FFFFFF"/>
            <w:tcMar>
              <w:top w:w="15" w:type="dxa"/>
              <w:left w:w="0" w:type="dxa"/>
              <w:bottom w:w="0" w:type="dxa"/>
              <w:right w:w="15" w:type="dxa"/>
            </w:tcMar>
            <w:vAlign w:val="bottom"/>
            <w:hideMark/>
          </w:tcPr>
          <w:p w14:paraId="6E7883E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Fiscal 2018 Quarter Ended (Unaudited)</w:t>
            </w:r>
          </w:p>
        </w:tc>
        <w:tc>
          <w:tcPr>
            <w:tcW w:w="50" w:type="pct"/>
            <w:shd w:val="clear" w:color="auto" w:fill="FFFFFF"/>
            <w:noWrap/>
            <w:tcMar>
              <w:top w:w="15" w:type="dxa"/>
              <w:left w:w="0" w:type="dxa"/>
              <w:bottom w:w="0" w:type="dxa"/>
              <w:right w:w="15" w:type="dxa"/>
            </w:tcMar>
            <w:vAlign w:val="bottom"/>
            <w:hideMark/>
          </w:tcPr>
          <w:p w14:paraId="2069DC8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4560757" w14:textId="77777777">
        <w:trPr>
          <w:divId w:val="618876899"/>
          <w:jc w:val="center"/>
        </w:trPr>
        <w:tc>
          <w:tcPr>
            <w:tcW w:w="2111" w:type="pct"/>
            <w:tcBorders>
              <w:bottom w:val="single" w:sz="6" w:space="0" w:color="000000"/>
            </w:tcBorders>
            <w:shd w:val="clear" w:color="auto" w:fill="FFFFFF"/>
            <w:tcMar>
              <w:top w:w="15" w:type="dxa"/>
              <w:left w:w="0" w:type="dxa"/>
              <w:bottom w:w="0" w:type="dxa"/>
              <w:right w:w="15" w:type="dxa"/>
            </w:tcMar>
            <w:vAlign w:val="bottom"/>
            <w:hideMark/>
          </w:tcPr>
          <w:p w14:paraId="044314D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69" w:type="pct"/>
            <w:shd w:val="clear" w:color="auto" w:fill="FFFFFF"/>
            <w:tcMar>
              <w:top w:w="15" w:type="dxa"/>
              <w:left w:w="0" w:type="dxa"/>
              <w:bottom w:w="0" w:type="dxa"/>
              <w:right w:w="15" w:type="dxa"/>
            </w:tcMar>
            <w:vAlign w:val="bottom"/>
            <w:hideMark/>
          </w:tcPr>
          <w:p w14:paraId="1C82CC1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DBE48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left w:w="0" w:type="dxa"/>
              <w:bottom w:w="0" w:type="dxa"/>
              <w:right w:w="15" w:type="dxa"/>
            </w:tcMar>
            <w:vAlign w:val="bottom"/>
            <w:hideMark/>
          </w:tcPr>
          <w:p w14:paraId="6EDB9B0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79D8843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55E05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left w:w="0" w:type="dxa"/>
              <w:bottom w:w="0" w:type="dxa"/>
              <w:right w:w="15" w:type="dxa"/>
            </w:tcMar>
            <w:vAlign w:val="bottom"/>
            <w:hideMark/>
          </w:tcPr>
          <w:p w14:paraId="338B5A4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0412D08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D786A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47551E1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277124E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A0F6F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left w:w="0" w:type="dxa"/>
              <w:bottom w:w="0" w:type="dxa"/>
              <w:right w:w="15" w:type="dxa"/>
            </w:tcMar>
            <w:vAlign w:val="bottom"/>
            <w:hideMark/>
          </w:tcPr>
          <w:p w14:paraId="4C2EA3F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CA809F4" w14:textId="77777777">
        <w:trPr>
          <w:divId w:val="618876899"/>
          <w:jc w:val="center"/>
        </w:trPr>
        <w:tc>
          <w:tcPr>
            <w:tcW w:w="2111" w:type="pct"/>
            <w:tcBorders>
              <w:top w:val="single" w:sz="6" w:space="0" w:color="000000"/>
            </w:tcBorders>
            <w:shd w:val="clear" w:color="auto" w:fill="CFF0FC"/>
            <w:tcMar>
              <w:top w:w="15" w:type="dxa"/>
              <w:left w:w="0" w:type="dxa"/>
              <w:bottom w:w="0" w:type="dxa"/>
              <w:right w:w="15" w:type="dxa"/>
            </w:tcMar>
            <w:hideMark/>
          </w:tcPr>
          <w:p w14:paraId="636453B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Revenues</w:t>
            </w:r>
          </w:p>
        </w:tc>
        <w:tc>
          <w:tcPr>
            <w:tcW w:w="69" w:type="pct"/>
            <w:shd w:val="clear" w:color="auto" w:fill="CFF0FC"/>
            <w:tcMar>
              <w:top w:w="15" w:type="dxa"/>
              <w:left w:w="0" w:type="dxa"/>
              <w:bottom w:w="0" w:type="dxa"/>
              <w:right w:w="15" w:type="dxa"/>
            </w:tcMar>
            <w:vAlign w:val="bottom"/>
            <w:hideMark/>
          </w:tcPr>
          <w:p w14:paraId="1AEBAB4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15C36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14:paraId="03F69B7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9,104</w:t>
            </w:r>
          </w:p>
        </w:tc>
        <w:tc>
          <w:tcPr>
            <w:tcW w:w="50" w:type="pct"/>
            <w:shd w:val="clear" w:color="auto" w:fill="CFF0FC"/>
            <w:noWrap/>
            <w:tcMar>
              <w:top w:w="15" w:type="dxa"/>
              <w:left w:w="0" w:type="dxa"/>
              <w:bottom w:w="0" w:type="dxa"/>
              <w:right w:w="15" w:type="dxa"/>
            </w:tcMar>
            <w:vAlign w:val="bottom"/>
            <w:hideMark/>
          </w:tcPr>
          <w:p w14:paraId="26B6010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2F529E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FA87A3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14:paraId="4D66453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9,589</w:t>
            </w:r>
          </w:p>
        </w:tc>
        <w:tc>
          <w:tcPr>
            <w:tcW w:w="50" w:type="pct"/>
            <w:shd w:val="clear" w:color="auto" w:fill="CFF0FC"/>
            <w:noWrap/>
            <w:tcMar>
              <w:top w:w="15" w:type="dxa"/>
              <w:left w:w="0" w:type="dxa"/>
              <w:bottom w:w="0" w:type="dxa"/>
              <w:right w:w="15" w:type="dxa"/>
            </w:tcMar>
            <w:vAlign w:val="bottom"/>
            <w:hideMark/>
          </w:tcPr>
          <w:p w14:paraId="6779F44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4C9DCC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BFAE6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14:paraId="4092799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9,676</w:t>
            </w:r>
          </w:p>
        </w:tc>
        <w:tc>
          <w:tcPr>
            <w:tcW w:w="50" w:type="pct"/>
            <w:shd w:val="clear" w:color="auto" w:fill="CFF0FC"/>
            <w:noWrap/>
            <w:tcMar>
              <w:top w:w="15" w:type="dxa"/>
              <w:left w:w="0" w:type="dxa"/>
              <w:bottom w:w="0" w:type="dxa"/>
              <w:right w:w="15" w:type="dxa"/>
            </w:tcMar>
            <w:vAlign w:val="bottom"/>
            <w:hideMark/>
          </w:tcPr>
          <w:p w14:paraId="4E4E62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3024C20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33787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14:paraId="0AA1D18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11,014</w:t>
            </w:r>
          </w:p>
        </w:tc>
        <w:tc>
          <w:tcPr>
            <w:tcW w:w="50" w:type="pct"/>
            <w:shd w:val="clear" w:color="auto" w:fill="CFF0FC"/>
            <w:noWrap/>
            <w:tcMar>
              <w:top w:w="15" w:type="dxa"/>
              <w:left w:w="0" w:type="dxa"/>
              <w:bottom w:w="0" w:type="dxa"/>
              <w:right w:w="15" w:type="dxa"/>
            </w:tcMar>
            <w:vAlign w:val="bottom"/>
            <w:hideMark/>
          </w:tcPr>
          <w:p w14:paraId="7CF060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AB23E57" w14:textId="77777777">
        <w:trPr>
          <w:divId w:val="618876899"/>
          <w:jc w:val="center"/>
        </w:trPr>
        <w:tc>
          <w:tcPr>
            <w:tcW w:w="2111" w:type="pct"/>
            <w:shd w:val="clear" w:color="auto" w:fill="FFFFFF"/>
            <w:tcMar>
              <w:top w:w="15" w:type="dxa"/>
              <w:left w:w="0" w:type="dxa"/>
              <w:bottom w:w="0" w:type="dxa"/>
              <w:right w:w="15" w:type="dxa"/>
            </w:tcMar>
            <w:hideMark/>
          </w:tcPr>
          <w:p w14:paraId="4592A5B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Gross profit</w:t>
            </w:r>
          </w:p>
        </w:tc>
        <w:tc>
          <w:tcPr>
            <w:tcW w:w="69" w:type="pct"/>
            <w:shd w:val="clear" w:color="auto" w:fill="FFFFFF"/>
            <w:tcMar>
              <w:top w:w="15" w:type="dxa"/>
              <w:left w:w="0" w:type="dxa"/>
              <w:bottom w:w="0" w:type="dxa"/>
              <w:right w:w="15" w:type="dxa"/>
            </w:tcMar>
            <w:vAlign w:val="bottom"/>
            <w:hideMark/>
          </w:tcPr>
          <w:p w14:paraId="25ED242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915D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04C306A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7,176</w:t>
            </w:r>
          </w:p>
        </w:tc>
        <w:tc>
          <w:tcPr>
            <w:tcW w:w="50" w:type="pct"/>
            <w:shd w:val="clear" w:color="auto" w:fill="FFFFFF"/>
            <w:noWrap/>
            <w:tcMar>
              <w:top w:w="15" w:type="dxa"/>
              <w:left w:w="0" w:type="dxa"/>
              <w:bottom w:w="0" w:type="dxa"/>
              <w:right w:w="15" w:type="dxa"/>
            </w:tcMar>
            <w:vAlign w:val="bottom"/>
            <w:hideMark/>
          </w:tcPr>
          <w:p w14:paraId="48E2B12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3BB2C40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17872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25A9B77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7,629</w:t>
            </w:r>
          </w:p>
        </w:tc>
        <w:tc>
          <w:tcPr>
            <w:tcW w:w="50" w:type="pct"/>
            <w:shd w:val="clear" w:color="auto" w:fill="FFFFFF"/>
            <w:noWrap/>
            <w:tcMar>
              <w:top w:w="15" w:type="dxa"/>
              <w:left w:w="0" w:type="dxa"/>
              <w:bottom w:w="0" w:type="dxa"/>
              <w:right w:w="15" w:type="dxa"/>
            </w:tcMar>
            <w:vAlign w:val="bottom"/>
            <w:hideMark/>
          </w:tcPr>
          <w:p w14:paraId="7AF1370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12DA35E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53D27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22BED5E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7,680</w:t>
            </w:r>
          </w:p>
        </w:tc>
        <w:tc>
          <w:tcPr>
            <w:tcW w:w="50" w:type="pct"/>
            <w:shd w:val="clear" w:color="auto" w:fill="FFFFFF"/>
            <w:noWrap/>
            <w:tcMar>
              <w:top w:w="15" w:type="dxa"/>
              <w:left w:w="0" w:type="dxa"/>
              <w:bottom w:w="0" w:type="dxa"/>
              <w:right w:w="15" w:type="dxa"/>
            </w:tcMar>
            <w:vAlign w:val="bottom"/>
            <w:hideMark/>
          </w:tcPr>
          <w:p w14:paraId="0E201C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00E261C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CE6E8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157228D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8,840</w:t>
            </w:r>
          </w:p>
        </w:tc>
        <w:tc>
          <w:tcPr>
            <w:tcW w:w="50" w:type="pct"/>
            <w:shd w:val="clear" w:color="auto" w:fill="FFFFFF"/>
            <w:noWrap/>
            <w:tcMar>
              <w:top w:w="15" w:type="dxa"/>
              <w:left w:w="0" w:type="dxa"/>
              <w:bottom w:w="0" w:type="dxa"/>
              <w:right w:w="15" w:type="dxa"/>
            </w:tcMar>
            <w:vAlign w:val="bottom"/>
            <w:hideMark/>
          </w:tcPr>
          <w:p w14:paraId="5795037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7F74639" w14:textId="77777777">
        <w:trPr>
          <w:divId w:val="618876899"/>
          <w:jc w:val="center"/>
        </w:trPr>
        <w:tc>
          <w:tcPr>
            <w:tcW w:w="2111" w:type="pct"/>
            <w:shd w:val="clear" w:color="auto" w:fill="CFF0FC"/>
            <w:tcMar>
              <w:top w:w="15" w:type="dxa"/>
              <w:left w:w="0" w:type="dxa"/>
              <w:bottom w:w="0" w:type="dxa"/>
              <w:right w:w="15" w:type="dxa"/>
            </w:tcMar>
            <w:hideMark/>
          </w:tcPr>
          <w:p w14:paraId="730E4C7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Operating income</w:t>
            </w:r>
          </w:p>
        </w:tc>
        <w:tc>
          <w:tcPr>
            <w:tcW w:w="69" w:type="pct"/>
            <w:shd w:val="clear" w:color="auto" w:fill="CFF0FC"/>
            <w:tcMar>
              <w:top w:w="15" w:type="dxa"/>
              <w:left w:w="0" w:type="dxa"/>
              <w:bottom w:w="0" w:type="dxa"/>
              <w:right w:w="15" w:type="dxa"/>
            </w:tcMar>
            <w:vAlign w:val="bottom"/>
            <w:hideMark/>
          </w:tcPr>
          <w:p w14:paraId="06979E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9A6DC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1C71FC3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2,749</w:t>
            </w:r>
          </w:p>
        </w:tc>
        <w:tc>
          <w:tcPr>
            <w:tcW w:w="50" w:type="pct"/>
            <w:shd w:val="clear" w:color="auto" w:fill="CFF0FC"/>
            <w:noWrap/>
            <w:tcMar>
              <w:top w:w="15" w:type="dxa"/>
              <w:left w:w="0" w:type="dxa"/>
              <w:bottom w:w="0" w:type="dxa"/>
              <w:right w:w="15" w:type="dxa"/>
            </w:tcMar>
            <w:vAlign w:val="bottom"/>
            <w:hideMark/>
          </w:tcPr>
          <w:p w14:paraId="5BE618D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255482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1D8C1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2693E9B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3,039</w:t>
            </w:r>
          </w:p>
        </w:tc>
        <w:tc>
          <w:tcPr>
            <w:tcW w:w="50" w:type="pct"/>
            <w:shd w:val="clear" w:color="auto" w:fill="CFF0FC"/>
            <w:noWrap/>
            <w:tcMar>
              <w:top w:w="15" w:type="dxa"/>
              <w:left w:w="0" w:type="dxa"/>
              <w:bottom w:w="0" w:type="dxa"/>
              <w:right w:w="15" w:type="dxa"/>
            </w:tcMar>
            <w:vAlign w:val="bottom"/>
            <w:hideMark/>
          </w:tcPr>
          <w:p w14:paraId="137983B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37BE0D5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11CB7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72B79BC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3,315</w:t>
            </w:r>
          </w:p>
        </w:tc>
        <w:tc>
          <w:tcPr>
            <w:tcW w:w="50" w:type="pct"/>
            <w:shd w:val="clear" w:color="auto" w:fill="CFF0FC"/>
            <w:noWrap/>
            <w:tcMar>
              <w:top w:w="15" w:type="dxa"/>
              <w:left w:w="0" w:type="dxa"/>
              <w:bottom w:w="0" w:type="dxa"/>
              <w:right w:w="15" w:type="dxa"/>
            </w:tcMar>
            <w:vAlign w:val="bottom"/>
            <w:hideMark/>
          </w:tcPr>
          <w:p w14:paraId="08DFEB5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1153945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6D8DA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5BDF987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4,161</w:t>
            </w:r>
          </w:p>
        </w:tc>
        <w:tc>
          <w:tcPr>
            <w:tcW w:w="50" w:type="pct"/>
            <w:shd w:val="clear" w:color="auto" w:fill="CFF0FC"/>
            <w:noWrap/>
            <w:tcMar>
              <w:top w:w="15" w:type="dxa"/>
              <w:left w:w="0" w:type="dxa"/>
              <w:bottom w:w="0" w:type="dxa"/>
              <w:right w:w="15" w:type="dxa"/>
            </w:tcMar>
            <w:vAlign w:val="bottom"/>
            <w:hideMark/>
          </w:tcPr>
          <w:p w14:paraId="2BE9809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203E141" w14:textId="77777777">
        <w:trPr>
          <w:divId w:val="618876899"/>
          <w:jc w:val="center"/>
        </w:trPr>
        <w:tc>
          <w:tcPr>
            <w:tcW w:w="2111" w:type="pct"/>
            <w:shd w:val="clear" w:color="auto" w:fill="FFFFFF"/>
            <w:tcMar>
              <w:top w:w="15" w:type="dxa"/>
              <w:left w:w="0" w:type="dxa"/>
              <w:bottom w:w="0" w:type="dxa"/>
              <w:right w:w="15" w:type="dxa"/>
            </w:tcMar>
            <w:hideMark/>
          </w:tcPr>
          <w:p w14:paraId="244DCD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income (loss)</w:t>
            </w:r>
          </w:p>
        </w:tc>
        <w:tc>
          <w:tcPr>
            <w:tcW w:w="69" w:type="pct"/>
            <w:shd w:val="clear" w:color="auto" w:fill="FFFFFF"/>
            <w:tcMar>
              <w:top w:w="15" w:type="dxa"/>
              <w:left w:w="0" w:type="dxa"/>
              <w:bottom w:w="0" w:type="dxa"/>
              <w:right w:w="15" w:type="dxa"/>
            </w:tcMar>
            <w:vAlign w:val="bottom"/>
            <w:hideMark/>
          </w:tcPr>
          <w:p w14:paraId="57E3BE6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0CFD7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28649BF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2,144</w:t>
            </w:r>
          </w:p>
        </w:tc>
        <w:tc>
          <w:tcPr>
            <w:tcW w:w="50" w:type="pct"/>
            <w:shd w:val="clear" w:color="auto" w:fill="FFFFFF"/>
            <w:noWrap/>
            <w:tcMar>
              <w:top w:w="15" w:type="dxa"/>
              <w:left w:w="0" w:type="dxa"/>
              <w:bottom w:w="0" w:type="dxa"/>
              <w:right w:w="15" w:type="dxa"/>
            </w:tcMar>
            <w:vAlign w:val="bottom"/>
            <w:hideMark/>
          </w:tcPr>
          <w:p w14:paraId="36C035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06D0BF5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488E8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278F729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2,214</w:t>
            </w:r>
          </w:p>
        </w:tc>
        <w:tc>
          <w:tcPr>
            <w:tcW w:w="50" w:type="pct"/>
            <w:shd w:val="clear" w:color="auto" w:fill="FFFFFF"/>
            <w:noWrap/>
            <w:tcMar>
              <w:top w:w="15" w:type="dxa"/>
              <w:left w:w="0" w:type="dxa"/>
              <w:bottom w:w="0" w:type="dxa"/>
              <w:right w:w="15" w:type="dxa"/>
            </w:tcMar>
            <w:vAlign w:val="bottom"/>
            <w:hideMark/>
          </w:tcPr>
          <w:p w14:paraId="452B8CC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32C58A0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4D54E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34BE453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(4,047</w:t>
            </w:r>
          </w:p>
        </w:tc>
        <w:tc>
          <w:tcPr>
            <w:tcW w:w="50" w:type="pct"/>
            <w:shd w:val="clear" w:color="auto" w:fill="FFFFFF"/>
            <w:noWrap/>
            <w:tcMar>
              <w:top w:w="15" w:type="dxa"/>
              <w:left w:w="0" w:type="dxa"/>
              <w:bottom w:w="0" w:type="dxa"/>
              <w:right w:w="15" w:type="dxa"/>
            </w:tcMar>
            <w:vAlign w:val="bottom"/>
            <w:hideMark/>
          </w:tcPr>
          <w:p w14:paraId="0272CE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left w:w="0" w:type="dxa"/>
              <w:bottom w:w="0" w:type="dxa"/>
              <w:right w:w="15" w:type="dxa"/>
            </w:tcMar>
            <w:vAlign w:val="bottom"/>
            <w:hideMark/>
          </w:tcPr>
          <w:p w14:paraId="095CD48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52887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7E499E3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3,276</w:t>
            </w:r>
          </w:p>
        </w:tc>
        <w:tc>
          <w:tcPr>
            <w:tcW w:w="50" w:type="pct"/>
            <w:shd w:val="clear" w:color="auto" w:fill="FFFFFF"/>
            <w:noWrap/>
            <w:tcMar>
              <w:top w:w="15" w:type="dxa"/>
              <w:left w:w="0" w:type="dxa"/>
              <w:bottom w:w="0" w:type="dxa"/>
              <w:right w:w="15" w:type="dxa"/>
            </w:tcMar>
            <w:vAlign w:val="bottom"/>
            <w:hideMark/>
          </w:tcPr>
          <w:p w14:paraId="6946F3C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CA39FE5" w14:textId="77777777">
        <w:trPr>
          <w:divId w:val="618876899"/>
          <w:jc w:val="center"/>
        </w:trPr>
        <w:tc>
          <w:tcPr>
            <w:tcW w:w="2111" w:type="pct"/>
            <w:shd w:val="clear" w:color="auto" w:fill="CFF0FC"/>
            <w:tcMar>
              <w:top w:w="15" w:type="dxa"/>
              <w:left w:w="0" w:type="dxa"/>
              <w:bottom w:w="0" w:type="dxa"/>
              <w:right w:w="15" w:type="dxa"/>
            </w:tcMar>
            <w:hideMark/>
          </w:tcPr>
          <w:p w14:paraId="49E5560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Earnings (loss) per share—basic</w:t>
            </w:r>
          </w:p>
        </w:tc>
        <w:tc>
          <w:tcPr>
            <w:tcW w:w="69" w:type="pct"/>
            <w:shd w:val="clear" w:color="auto" w:fill="CFF0FC"/>
            <w:tcMar>
              <w:top w:w="15" w:type="dxa"/>
              <w:left w:w="0" w:type="dxa"/>
              <w:bottom w:w="0" w:type="dxa"/>
              <w:right w:w="15" w:type="dxa"/>
            </w:tcMar>
            <w:vAlign w:val="bottom"/>
            <w:hideMark/>
          </w:tcPr>
          <w:p w14:paraId="7E22151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902FA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4281164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0.52</w:t>
            </w:r>
          </w:p>
        </w:tc>
        <w:tc>
          <w:tcPr>
            <w:tcW w:w="50" w:type="pct"/>
            <w:shd w:val="clear" w:color="auto" w:fill="CFF0FC"/>
            <w:noWrap/>
            <w:tcMar>
              <w:top w:w="15" w:type="dxa"/>
              <w:left w:w="0" w:type="dxa"/>
              <w:bottom w:w="0" w:type="dxa"/>
              <w:right w:w="15" w:type="dxa"/>
            </w:tcMar>
            <w:vAlign w:val="bottom"/>
            <w:hideMark/>
          </w:tcPr>
          <w:p w14:paraId="6D4057F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587B851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5AD554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35ACD4F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0.53</w:t>
            </w:r>
          </w:p>
        </w:tc>
        <w:tc>
          <w:tcPr>
            <w:tcW w:w="50" w:type="pct"/>
            <w:shd w:val="clear" w:color="auto" w:fill="CFF0FC"/>
            <w:noWrap/>
            <w:tcMar>
              <w:top w:w="15" w:type="dxa"/>
              <w:left w:w="0" w:type="dxa"/>
              <w:bottom w:w="0" w:type="dxa"/>
              <w:right w:w="15" w:type="dxa"/>
            </w:tcMar>
            <w:vAlign w:val="bottom"/>
            <w:hideMark/>
          </w:tcPr>
          <w:p w14:paraId="4273CC1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6F699AE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69204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79084E2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(0.98</w:t>
            </w:r>
          </w:p>
        </w:tc>
        <w:tc>
          <w:tcPr>
            <w:tcW w:w="50" w:type="pct"/>
            <w:shd w:val="clear" w:color="auto" w:fill="CFF0FC"/>
            <w:noWrap/>
            <w:tcMar>
              <w:top w:w="15" w:type="dxa"/>
              <w:left w:w="0" w:type="dxa"/>
              <w:bottom w:w="0" w:type="dxa"/>
              <w:right w:w="15" w:type="dxa"/>
            </w:tcMar>
            <w:vAlign w:val="bottom"/>
            <w:hideMark/>
          </w:tcPr>
          <w:p w14:paraId="4EAC4DB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left w:w="0" w:type="dxa"/>
              <w:bottom w:w="0" w:type="dxa"/>
              <w:right w:w="15" w:type="dxa"/>
            </w:tcMar>
            <w:vAlign w:val="bottom"/>
            <w:hideMark/>
          </w:tcPr>
          <w:p w14:paraId="432E745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3322E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left w:w="0" w:type="dxa"/>
              <w:bottom w:w="0" w:type="dxa"/>
              <w:right w:w="15" w:type="dxa"/>
            </w:tcMar>
            <w:vAlign w:val="bottom"/>
            <w:hideMark/>
          </w:tcPr>
          <w:p w14:paraId="0CCEA8D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0.81</w:t>
            </w:r>
          </w:p>
        </w:tc>
        <w:tc>
          <w:tcPr>
            <w:tcW w:w="50" w:type="pct"/>
            <w:shd w:val="clear" w:color="auto" w:fill="CFF0FC"/>
            <w:noWrap/>
            <w:tcMar>
              <w:top w:w="15" w:type="dxa"/>
              <w:left w:w="0" w:type="dxa"/>
              <w:bottom w:w="0" w:type="dxa"/>
              <w:right w:w="15" w:type="dxa"/>
            </w:tcMar>
            <w:vAlign w:val="bottom"/>
            <w:hideMark/>
          </w:tcPr>
          <w:p w14:paraId="6F3057C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9BBA462" w14:textId="77777777">
        <w:trPr>
          <w:divId w:val="618876899"/>
          <w:jc w:val="center"/>
        </w:trPr>
        <w:tc>
          <w:tcPr>
            <w:tcW w:w="2111" w:type="pct"/>
            <w:shd w:val="clear" w:color="auto" w:fill="FFFFFF"/>
            <w:tcMar>
              <w:top w:w="15" w:type="dxa"/>
              <w:left w:w="0" w:type="dxa"/>
              <w:bottom w:w="0" w:type="dxa"/>
              <w:right w:w="15" w:type="dxa"/>
            </w:tcMar>
            <w:hideMark/>
          </w:tcPr>
          <w:p w14:paraId="1C39D5C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Earnings (loss) per share—diluted</w:t>
            </w:r>
          </w:p>
        </w:tc>
        <w:tc>
          <w:tcPr>
            <w:tcW w:w="69" w:type="pct"/>
            <w:shd w:val="clear" w:color="auto" w:fill="FFFFFF"/>
            <w:tcMar>
              <w:top w:w="15" w:type="dxa"/>
              <w:left w:w="0" w:type="dxa"/>
              <w:bottom w:w="0" w:type="dxa"/>
              <w:right w:w="15" w:type="dxa"/>
            </w:tcMar>
            <w:vAlign w:val="bottom"/>
            <w:hideMark/>
          </w:tcPr>
          <w:p w14:paraId="71CA24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E6549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0947A02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0.50</w:t>
            </w:r>
          </w:p>
        </w:tc>
        <w:tc>
          <w:tcPr>
            <w:tcW w:w="50" w:type="pct"/>
            <w:shd w:val="clear" w:color="auto" w:fill="FFFFFF"/>
            <w:noWrap/>
            <w:tcMar>
              <w:top w:w="15" w:type="dxa"/>
              <w:left w:w="0" w:type="dxa"/>
              <w:bottom w:w="0" w:type="dxa"/>
              <w:right w:w="15" w:type="dxa"/>
            </w:tcMar>
            <w:vAlign w:val="bottom"/>
            <w:hideMark/>
          </w:tcPr>
          <w:p w14:paraId="1BD7279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2817CE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594F1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613B788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0.52</w:t>
            </w:r>
          </w:p>
        </w:tc>
        <w:tc>
          <w:tcPr>
            <w:tcW w:w="50" w:type="pct"/>
            <w:shd w:val="clear" w:color="auto" w:fill="FFFFFF"/>
            <w:noWrap/>
            <w:tcMar>
              <w:top w:w="15" w:type="dxa"/>
              <w:left w:w="0" w:type="dxa"/>
              <w:bottom w:w="0" w:type="dxa"/>
              <w:right w:w="15" w:type="dxa"/>
            </w:tcMar>
            <w:vAlign w:val="bottom"/>
            <w:hideMark/>
          </w:tcPr>
          <w:p w14:paraId="418C7B3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4560879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3F4B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4E34FA6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(0.98</w:t>
            </w:r>
          </w:p>
        </w:tc>
        <w:tc>
          <w:tcPr>
            <w:tcW w:w="50" w:type="pct"/>
            <w:shd w:val="clear" w:color="auto" w:fill="FFFFFF"/>
            <w:noWrap/>
            <w:tcMar>
              <w:top w:w="15" w:type="dxa"/>
              <w:left w:w="0" w:type="dxa"/>
              <w:bottom w:w="0" w:type="dxa"/>
              <w:right w:w="15" w:type="dxa"/>
            </w:tcMar>
            <w:vAlign w:val="bottom"/>
            <w:hideMark/>
          </w:tcPr>
          <w:p w14:paraId="6178476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left w:w="0" w:type="dxa"/>
              <w:bottom w:w="0" w:type="dxa"/>
              <w:right w:w="15" w:type="dxa"/>
            </w:tcMar>
            <w:vAlign w:val="bottom"/>
            <w:hideMark/>
          </w:tcPr>
          <w:p w14:paraId="5E58BE9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93B3B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left w:w="0" w:type="dxa"/>
              <w:bottom w:w="0" w:type="dxa"/>
              <w:right w:w="15" w:type="dxa"/>
            </w:tcMar>
            <w:vAlign w:val="bottom"/>
            <w:hideMark/>
          </w:tcPr>
          <w:p w14:paraId="7661602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0.79</w:t>
            </w:r>
          </w:p>
        </w:tc>
        <w:tc>
          <w:tcPr>
            <w:tcW w:w="50" w:type="pct"/>
            <w:shd w:val="clear" w:color="auto" w:fill="FFFFFF"/>
            <w:noWrap/>
            <w:tcMar>
              <w:top w:w="15" w:type="dxa"/>
              <w:left w:w="0" w:type="dxa"/>
              <w:bottom w:w="0" w:type="dxa"/>
              <w:right w:w="15" w:type="dxa"/>
            </w:tcMar>
            <w:vAlign w:val="bottom"/>
            <w:hideMark/>
          </w:tcPr>
          <w:p w14:paraId="10B34DC8"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E9E1C51" w14:textId="77777777" w:rsidR="00251D72" w:rsidRDefault="00251D72">
      <w:pPr>
        <w:pStyle w:val="a3"/>
        <w:spacing w:before="0" w:beforeAutospacing="0" w:after="0" w:afterAutospacing="0"/>
        <w:rPr>
          <w:sz w:val="12"/>
          <w:szCs w:val="12"/>
        </w:rPr>
      </w:pPr>
      <w:r>
        <w:rPr>
          <w:sz w:val="12"/>
          <w:szCs w:val="12"/>
        </w:rPr>
        <w:t> </w:t>
      </w:r>
    </w:p>
    <w:p w14:paraId="52B12BA9" w14:textId="77777777" w:rsidR="00251D72" w:rsidRDefault="00251D72">
      <w:pPr>
        <w:pStyle w:val="a3"/>
        <w:spacing w:before="120" w:beforeAutospacing="0" w:after="0" w:afterAutospacing="0"/>
        <w:rPr>
          <w:rFonts w:ascii="Calibri" w:hAnsi="Calibri" w:cs="Calibri"/>
          <w:b/>
          <w:bCs/>
          <w:sz w:val="20"/>
          <w:szCs w:val="20"/>
        </w:rPr>
      </w:pPr>
      <w:r>
        <w:rPr>
          <w:rFonts w:ascii="Calibri" w:hAnsi="Calibri" w:cs="Calibri"/>
          <w:b/>
          <w:bCs/>
          <w:sz w:val="20"/>
          <w:szCs w:val="20"/>
        </w:rPr>
        <w:t>Restricted Stock-Based Awards and Stock Options</w:t>
      </w:r>
    </w:p>
    <w:p w14:paraId="71E4E33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stock-based compensation program is a key component of the compensation package we provide to attract and retain certain of our talented employees and align their interests with the interests of existing stockholders. </w:t>
      </w:r>
    </w:p>
    <w:p w14:paraId="74EE63C3" w14:textId="77777777" w:rsidR="00251D72" w:rsidRDefault="00251D72">
      <w:pPr>
        <w:pStyle w:val="a3"/>
        <w:spacing w:before="120" w:beforeAutospacing="0" w:after="0" w:afterAutospacing="0"/>
        <w:jc w:val="both"/>
        <w:rPr>
          <w:rFonts w:ascii="Calibri" w:hAnsi="Calibri" w:cs="Calibri"/>
          <w:sz w:val="20"/>
          <w:szCs w:val="20"/>
        </w:rPr>
      </w:pPr>
      <w:bookmarkStart w:id="75" w:name="_AEIOULastRenderedPageBreakAEIOU60"/>
      <w:bookmarkEnd w:id="75"/>
      <w:r>
        <w:rPr>
          <w:rFonts w:ascii="Calibri" w:hAnsi="Calibri" w:cs="Calibri"/>
          <w:sz w:val="20"/>
          <w:szCs w:val="20"/>
        </w:rPr>
        <w:t xml:space="preserve">We recognize that restricted stock-based awards and stock options dilute existing stockholders and have sought to control the number of stock-based awards granted while providing competitive compensation packages. Consistent with these dual goals, our cumulative potential dilution since June 1, 2016 has been a weighted-average annualized rate of 1.7% per year. The potential dilution percentage is calculated as the average annualized new restricted stock-based awards or stock options granted and assumed, net of restricted stock-based awards and </w:t>
      </w:r>
    </w:p>
    <w:p w14:paraId="7876307D"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57</w:t>
      </w:r>
    </w:p>
    <w:p w14:paraId="692F26F7" w14:textId="77777777" w:rsidR="00251D72" w:rsidRDefault="00251D72">
      <w:pPr>
        <w:rPr>
          <w:rFonts w:ascii="Times New Roman" w:eastAsia="Times New Roman" w:hAnsi="Times New Roman" w:cs="Times New Roman"/>
          <w:sz w:val="24"/>
          <w:szCs w:val="24"/>
        </w:rPr>
      </w:pPr>
      <w:r>
        <w:rPr>
          <w:rFonts w:eastAsia="Times New Roman"/>
        </w:rPr>
        <w:pict w14:anchorId="2A7E7A0B">
          <v:rect id="_x0000_i1083" style="width:415.3pt;height:1.5pt" o:hralign="center" o:hrstd="t" o:hr="t" fillcolor="#a0a0a0" stroked="f"/>
        </w:pict>
      </w:r>
    </w:p>
    <w:p w14:paraId="50F6BFCD"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528EECB"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E5DBAFD" w14:textId="77777777" w:rsidR="00251D72" w:rsidRDefault="00251D72">
      <w:pPr>
        <w:pStyle w:val="a3"/>
        <w:spacing w:before="120" w:beforeAutospacing="0" w:after="0" w:afterAutospacing="0"/>
        <w:rPr>
          <w:sz w:val="20"/>
          <w:szCs w:val="20"/>
        </w:rPr>
      </w:pPr>
      <w:r>
        <w:rPr>
          <w:sz w:val="20"/>
          <w:szCs w:val="20"/>
        </w:rPr>
        <w:t> </w:t>
      </w:r>
    </w:p>
    <w:p w14:paraId="5CDB3C3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stock options forfeited by employees leaving the company, divided by the weighted-average outstanding shares during the calculation period. This maximum potential dilution will only result if all restricted stock-based awards vest and stock options are exercised. Of the outstanding stock options at May 31, 2019, which generally have a ten-year exercise period, approximately 23% have exercise prices higher than the market price of our common stock on such date. In recent years, our stock repurchase program has more than offset the dilutive effect of our stock-based compensation program. However, we may modify the levels of our stock repurchases in the future depending on a number of factors, including the amount of cash we have available for acquisitions, to pay dividends, to repay or repurchase indebtedness or for other purposes. As of May 31, 2019, the maximum potential dilution from all outstanding restricted stock-based awards and unexercised stock options, regardless of when granted and regardless of whether vested or unvested </w:t>
      </w:r>
      <w:r>
        <w:rPr>
          <w:rFonts w:ascii="Calibri" w:hAnsi="Calibri" w:cs="Calibri"/>
          <w:color w:val="000000"/>
          <w:sz w:val="20"/>
          <w:szCs w:val="20"/>
        </w:rPr>
        <w:t>and including stock options where the strike price is higher than the market price as of such date</w:t>
      </w:r>
      <w:r>
        <w:rPr>
          <w:rFonts w:ascii="Calibri" w:hAnsi="Calibri" w:cs="Calibri"/>
          <w:sz w:val="20"/>
          <w:szCs w:val="20"/>
        </w:rPr>
        <w:t>, was 9.6%.</w:t>
      </w:r>
    </w:p>
    <w:p w14:paraId="61A1448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During fiscal 2019, the Compensation Committee of the Board of Directors reviewed and approved the annual organization-wide stock-based award grants to selected employees; all stock-based award grants to senior officers; and any individual grant of restricted stock units of 62,500 or greater. The annual organization-wide stock-based award grants to selected employees are generally approved by the Compensation Committee during the ten business day period following the second trading day after the announcement of our fiscal fourth quarter earnings report. Each member of a separate executive officer committee, referred to as the Plan Committee, was allocated a fiscal 2019 equity budget that could be used throughout the fiscal year to grant equity within his or her organization, subject to certain limitations established by the Compensation Committee. </w:t>
      </w:r>
    </w:p>
    <w:p w14:paraId="02CE93E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Restricted stock-based award and stock option activity from June 1, 2016 through May 31, 2019 is summarized as follows (shares in millions):</w:t>
      </w:r>
    </w:p>
    <w:p w14:paraId="4A0D1335"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7368"/>
        <w:gridCol w:w="126"/>
        <w:gridCol w:w="83"/>
        <w:gridCol w:w="646"/>
        <w:gridCol w:w="83"/>
      </w:tblGrid>
      <w:tr w:rsidR="00251D72" w14:paraId="1CC2857C" w14:textId="77777777">
        <w:trPr>
          <w:divId w:val="317804692"/>
          <w:jc w:val="center"/>
        </w:trPr>
        <w:tc>
          <w:tcPr>
            <w:tcW w:w="4433" w:type="pct"/>
            <w:shd w:val="clear" w:color="auto" w:fill="CFF0FC"/>
            <w:tcMar>
              <w:top w:w="15" w:type="dxa"/>
              <w:left w:w="0" w:type="dxa"/>
              <w:bottom w:w="0" w:type="dxa"/>
              <w:right w:w="15" w:type="dxa"/>
            </w:tcMar>
            <w:hideMark/>
          </w:tcPr>
          <w:p w14:paraId="72A6AF9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Restricted stock-based awards and stock options outstanding at May 31, 2016</w:t>
            </w:r>
          </w:p>
        </w:tc>
        <w:tc>
          <w:tcPr>
            <w:tcW w:w="76" w:type="pct"/>
            <w:shd w:val="clear" w:color="auto" w:fill="CFF0FC"/>
            <w:tcMar>
              <w:top w:w="15" w:type="dxa"/>
              <w:left w:w="0" w:type="dxa"/>
              <w:bottom w:w="0" w:type="dxa"/>
              <w:right w:w="15" w:type="dxa"/>
            </w:tcMar>
            <w:vAlign w:val="bottom"/>
            <w:hideMark/>
          </w:tcPr>
          <w:p w14:paraId="7FAC4FA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078EB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9" w:type="pct"/>
            <w:shd w:val="clear" w:color="auto" w:fill="CFF0FC"/>
            <w:noWrap/>
            <w:tcMar>
              <w:top w:w="15" w:type="dxa"/>
              <w:left w:w="0" w:type="dxa"/>
              <w:bottom w:w="0" w:type="dxa"/>
              <w:right w:w="15" w:type="dxa"/>
            </w:tcMar>
            <w:vAlign w:val="bottom"/>
            <w:hideMark/>
          </w:tcPr>
          <w:p w14:paraId="09F41BE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427</w:t>
            </w:r>
          </w:p>
        </w:tc>
        <w:tc>
          <w:tcPr>
            <w:tcW w:w="50" w:type="pct"/>
            <w:shd w:val="clear" w:color="auto" w:fill="CFF0FC"/>
            <w:noWrap/>
            <w:tcMar>
              <w:top w:w="15" w:type="dxa"/>
              <w:left w:w="0" w:type="dxa"/>
              <w:bottom w:w="0" w:type="dxa"/>
              <w:right w:w="15" w:type="dxa"/>
            </w:tcMar>
            <w:vAlign w:val="bottom"/>
            <w:hideMark/>
          </w:tcPr>
          <w:p w14:paraId="74DEA7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52002F0" w14:textId="77777777">
        <w:trPr>
          <w:divId w:val="317804692"/>
          <w:jc w:val="center"/>
        </w:trPr>
        <w:tc>
          <w:tcPr>
            <w:tcW w:w="4433" w:type="pct"/>
            <w:shd w:val="clear" w:color="auto" w:fill="FFFFFF"/>
            <w:tcMar>
              <w:top w:w="15" w:type="dxa"/>
              <w:left w:w="0" w:type="dxa"/>
              <w:bottom w:w="0" w:type="dxa"/>
              <w:right w:w="15" w:type="dxa"/>
            </w:tcMar>
            <w:hideMark/>
          </w:tcPr>
          <w:p w14:paraId="6D87B40B" w14:textId="77777777" w:rsidR="00251D72" w:rsidRDefault="00251D72">
            <w:pPr>
              <w:pStyle w:val="a3"/>
              <w:spacing w:before="0" w:beforeAutospacing="0" w:after="0" w:afterAutospacing="0"/>
              <w:ind w:left="418" w:hanging="144"/>
              <w:rPr>
                <w:rFonts w:ascii="Calibri" w:hAnsi="Calibri" w:cs="Calibri"/>
                <w:color w:val="000000"/>
                <w:sz w:val="18"/>
                <w:szCs w:val="18"/>
              </w:rPr>
            </w:pPr>
            <w:r>
              <w:rPr>
                <w:rFonts w:ascii="Calibri" w:hAnsi="Calibri" w:cs="Calibri"/>
                <w:color w:val="000000"/>
                <w:sz w:val="18"/>
                <w:szCs w:val="18"/>
              </w:rPr>
              <w:t>Restricted stock-based awards and stock options granted</w:t>
            </w:r>
          </w:p>
        </w:tc>
        <w:tc>
          <w:tcPr>
            <w:tcW w:w="76" w:type="pct"/>
            <w:shd w:val="clear" w:color="auto" w:fill="FFFFFF"/>
            <w:tcMar>
              <w:top w:w="15" w:type="dxa"/>
              <w:left w:w="0" w:type="dxa"/>
              <w:bottom w:w="0" w:type="dxa"/>
              <w:right w:w="15" w:type="dxa"/>
            </w:tcMar>
            <w:vAlign w:val="bottom"/>
            <w:hideMark/>
          </w:tcPr>
          <w:p w14:paraId="0A130D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7FC72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9" w:type="pct"/>
            <w:shd w:val="clear" w:color="auto" w:fill="FFFFFF"/>
            <w:noWrap/>
            <w:tcMar>
              <w:top w:w="15" w:type="dxa"/>
              <w:left w:w="0" w:type="dxa"/>
              <w:bottom w:w="0" w:type="dxa"/>
              <w:right w:w="15" w:type="dxa"/>
            </w:tcMar>
            <w:vAlign w:val="bottom"/>
            <w:hideMark/>
          </w:tcPr>
          <w:p w14:paraId="4ABCD2F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241</w:t>
            </w:r>
          </w:p>
        </w:tc>
        <w:tc>
          <w:tcPr>
            <w:tcW w:w="50" w:type="pct"/>
            <w:shd w:val="clear" w:color="auto" w:fill="FFFFFF"/>
            <w:noWrap/>
            <w:tcMar>
              <w:top w:w="15" w:type="dxa"/>
              <w:left w:w="0" w:type="dxa"/>
              <w:bottom w:w="0" w:type="dxa"/>
              <w:right w:w="15" w:type="dxa"/>
            </w:tcMar>
            <w:vAlign w:val="bottom"/>
            <w:hideMark/>
          </w:tcPr>
          <w:p w14:paraId="48F75F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86F8807" w14:textId="77777777">
        <w:trPr>
          <w:divId w:val="317804692"/>
          <w:jc w:val="center"/>
        </w:trPr>
        <w:tc>
          <w:tcPr>
            <w:tcW w:w="4433" w:type="pct"/>
            <w:shd w:val="clear" w:color="auto" w:fill="CFF0FC"/>
            <w:tcMar>
              <w:top w:w="15" w:type="dxa"/>
              <w:left w:w="0" w:type="dxa"/>
              <w:bottom w:w="0" w:type="dxa"/>
              <w:right w:w="15" w:type="dxa"/>
            </w:tcMar>
            <w:hideMark/>
          </w:tcPr>
          <w:p w14:paraId="481D9D02" w14:textId="77777777" w:rsidR="00251D72" w:rsidRDefault="00251D72">
            <w:pPr>
              <w:pStyle w:val="a3"/>
              <w:spacing w:before="0" w:beforeAutospacing="0" w:after="0" w:afterAutospacing="0"/>
              <w:ind w:left="418" w:hanging="144"/>
              <w:rPr>
                <w:rFonts w:ascii="Calibri" w:hAnsi="Calibri" w:cs="Calibri"/>
                <w:color w:val="000000"/>
                <w:sz w:val="18"/>
                <w:szCs w:val="18"/>
              </w:rPr>
            </w:pPr>
            <w:r>
              <w:rPr>
                <w:rFonts w:ascii="Calibri" w:hAnsi="Calibri" w:cs="Calibri"/>
                <w:color w:val="000000"/>
                <w:sz w:val="18"/>
                <w:szCs w:val="18"/>
              </w:rPr>
              <w:t>Restricted stock-based awards and stock options assumed</w:t>
            </w:r>
          </w:p>
        </w:tc>
        <w:tc>
          <w:tcPr>
            <w:tcW w:w="76" w:type="pct"/>
            <w:shd w:val="clear" w:color="auto" w:fill="CFF0FC"/>
            <w:tcMar>
              <w:top w:w="15" w:type="dxa"/>
              <w:left w:w="0" w:type="dxa"/>
              <w:bottom w:w="0" w:type="dxa"/>
              <w:right w:w="15" w:type="dxa"/>
            </w:tcMar>
            <w:vAlign w:val="bottom"/>
            <w:hideMark/>
          </w:tcPr>
          <w:p w14:paraId="331D3E2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3E7262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9" w:type="pct"/>
            <w:shd w:val="clear" w:color="auto" w:fill="CFF0FC"/>
            <w:noWrap/>
            <w:tcMar>
              <w:top w:w="15" w:type="dxa"/>
              <w:left w:w="0" w:type="dxa"/>
              <w:bottom w:w="0" w:type="dxa"/>
              <w:right w:w="15" w:type="dxa"/>
            </w:tcMar>
            <w:vAlign w:val="bottom"/>
            <w:hideMark/>
          </w:tcPr>
          <w:p w14:paraId="55AE9B6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noWrap/>
            <w:tcMar>
              <w:top w:w="15" w:type="dxa"/>
              <w:left w:w="0" w:type="dxa"/>
              <w:bottom w:w="0" w:type="dxa"/>
              <w:right w:w="15" w:type="dxa"/>
            </w:tcMar>
            <w:vAlign w:val="bottom"/>
            <w:hideMark/>
          </w:tcPr>
          <w:p w14:paraId="268C88F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F9813E0" w14:textId="77777777">
        <w:trPr>
          <w:divId w:val="317804692"/>
          <w:jc w:val="center"/>
        </w:trPr>
        <w:tc>
          <w:tcPr>
            <w:tcW w:w="4433" w:type="pct"/>
            <w:shd w:val="clear" w:color="auto" w:fill="FFFFFF"/>
            <w:tcMar>
              <w:top w:w="15" w:type="dxa"/>
              <w:left w:w="0" w:type="dxa"/>
              <w:bottom w:w="0" w:type="dxa"/>
              <w:right w:w="15" w:type="dxa"/>
            </w:tcMar>
            <w:hideMark/>
          </w:tcPr>
          <w:p w14:paraId="69C270FF" w14:textId="77777777" w:rsidR="00251D72" w:rsidRDefault="00251D72">
            <w:pPr>
              <w:pStyle w:val="a3"/>
              <w:spacing w:before="0" w:beforeAutospacing="0" w:after="0" w:afterAutospacing="0"/>
              <w:ind w:left="418" w:hanging="144"/>
              <w:rPr>
                <w:rFonts w:ascii="Calibri" w:hAnsi="Calibri" w:cs="Calibri"/>
                <w:color w:val="000000"/>
                <w:sz w:val="18"/>
                <w:szCs w:val="18"/>
              </w:rPr>
            </w:pPr>
            <w:r>
              <w:rPr>
                <w:rFonts w:ascii="Calibri" w:hAnsi="Calibri" w:cs="Calibri"/>
                <w:color w:val="000000"/>
                <w:sz w:val="18"/>
                <w:szCs w:val="18"/>
              </w:rPr>
              <w:t>Restricted stock-based awards vested and issued and stock options exercised</w:t>
            </w:r>
          </w:p>
        </w:tc>
        <w:tc>
          <w:tcPr>
            <w:tcW w:w="76" w:type="pct"/>
            <w:shd w:val="clear" w:color="auto" w:fill="FFFFFF"/>
            <w:tcMar>
              <w:top w:w="15" w:type="dxa"/>
              <w:left w:w="0" w:type="dxa"/>
              <w:bottom w:w="0" w:type="dxa"/>
              <w:right w:w="15" w:type="dxa"/>
            </w:tcMar>
            <w:vAlign w:val="bottom"/>
            <w:hideMark/>
          </w:tcPr>
          <w:p w14:paraId="6375DB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B766B2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9" w:type="pct"/>
            <w:shd w:val="clear" w:color="auto" w:fill="FFFFFF"/>
            <w:noWrap/>
            <w:tcMar>
              <w:top w:w="15" w:type="dxa"/>
              <w:left w:w="0" w:type="dxa"/>
              <w:bottom w:w="0" w:type="dxa"/>
              <w:right w:w="15" w:type="dxa"/>
            </w:tcMar>
            <w:vAlign w:val="bottom"/>
            <w:hideMark/>
          </w:tcPr>
          <w:p w14:paraId="48FA7B1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(303</w:t>
            </w:r>
          </w:p>
        </w:tc>
        <w:tc>
          <w:tcPr>
            <w:tcW w:w="50" w:type="pct"/>
            <w:shd w:val="clear" w:color="auto" w:fill="FFFFFF"/>
            <w:noWrap/>
            <w:tcMar>
              <w:top w:w="15" w:type="dxa"/>
              <w:left w:w="0" w:type="dxa"/>
              <w:bottom w:w="0" w:type="dxa"/>
              <w:right w:w="15" w:type="dxa"/>
            </w:tcMar>
            <w:vAlign w:val="bottom"/>
            <w:hideMark/>
          </w:tcPr>
          <w:p w14:paraId="4C50B7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5AAEE719" w14:textId="77777777">
        <w:trPr>
          <w:divId w:val="317804692"/>
          <w:jc w:val="center"/>
        </w:trPr>
        <w:tc>
          <w:tcPr>
            <w:tcW w:w="4433" w:type="pct"/>
            <w:shd w:val="clear" w:color="auto" w:fill="CFF0FC"/>
            <w:tcMar>
              <w:top w:w="15" w:type="dxa"/>
              <w:left w:w="0" w:type="dxa"/>
              <w:bottom w:w="0" w:type="dxa"/>
              <w:right w:w="15" w:type="dxa"/>
            </w:tcMar>
            <w:hideMark/>
          </w:tcPr>
          <w:p w14:paraId="183F5A16" w14:textId="77777777" w:rsidR="00251D72" w:rsidRDefault="00251D72">
            <w:pPr>
              <w:pStyle w:val="a3"/>
              <w:spacing w:before="0" w:beforeAutospacing="0" w:after="0" w:afterAutospacing="0"/>
              <w:ind w:left="418" w:hanging="144"/>
              <w:rPr>
                <w:rFonts w:ascii="Calibri" w:hAnsi="Calibri" w:cs="Calibri"/>
                <w:color w:val="000000"/>
                <w:sz w:val="18"/>
                <w:szCs w:val="18"/>
              </w:rPr>
            </w:pPr>
            <w:r>
              <w:rPr>
                <w:rFonts w:ascii="Calibri" w:hAnsi="Calibri" w:cs="Calibri"/>
                <w:color w:val="000000"/>
                <w:sz w:val="18"/>
                <w:szCs w:val="18"/>
              </w:rPr>
              <w:t>Forfeitures, cancellations and other, net</w:t>
            </w:r>
          </w:p>
        </w:tc>
        <w:tc>
          <w:tcPr>
            <w:tcW w:w="76" w:type="pct"/>
            <w:shd w:val="clear" w:color="auto" w:fill="CFF0FC"/>
            <w:tcMar>
              <w:top w:w="15" w:type="dxa"/>
              <w:left w:w="0" w:type="dxa"/>
              <w:bottom w:w="0" w:type="dxa"/>
              <w:right w:w="15" w:type="dxa"/>
            </w:tcMar>
            <w:vAlign w:val="bottom"/>
            <w:hideMark/>
          </w:tcPr>
          <w:p w14:paraId="516FAC1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42923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9" w:type="pct"/>
            <w:tcBorders>
              <w:bottom w:val="single" w:sz="6" w:space="0" w:color="000000"/>
            </w:tcBorders>
            <w:shd w:val="clear" w:color="auto" w:fill="CFF0FC"/>
            <w:noWrap/>
            <w:tcMar>
              <w:top w:w="15" w:type="dxa"/>
              <w:left w:w="0" w:type="dxa"/>
              <w:bottom w:w="0" w:type="dxa"/>
              <w:right w:w="15" w:type="dxa"/>
            </w:tcMar>
            <w:vAlign w:val="bottom"/>
            <w:hideMark/>
          </w:tcPr>
          <w:p w14:paraId="7946B3F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(60</w:t>
            </w:r>
          </w:p>
        </w:tc>
        <w:tc>
          <w:tcPr>
            <w:tcW w:w="50" w:type="pct"/>
            <w:shd w:val="clear" w:color="auto" w:fill="CFF0FC"/>
            <w:noWrap/>
            <w:tcMar>
              <w:top w:w="15" w:type="dxa"/>
              <w:left w:w="0" w:type="dxa"/>
              <w:bottom w:w="0" w:type="dxa"/>
              <w:right w:w="15" w:type="dxa"/>
            </w:tcMar>
            <w:vAlign w:val="bottom"/>
            <w:hideMark/>
          </w:tcPr>
          <w:p w14:paraId="2872E4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2827F10C" w14:textId="77777777">
        <w:trPr>
          <w:divId w:val="317804692"/>
          <w:jc w:val="center"/>
        </w:trPr>
        <w:tc>
          <w:tcPr>
            <w:tcW w:w="4433" w:type="pct"/>
            <w:shd w:val="clear" w:color="auto" w:fill="FFFFFF"/>
            <w:tcMar>
              <w:top w:w="15" w:type="dxa"/>
              <w:left w:w="0" w:type="dxa"/>
              <w:bottom w:w="0" w:type="dxa"/>
              <w:right w:w="15" w:type="dxa"/>
            </w:tcMar>
            <w:hideMark/>
          </w:tcPr>
          <w:p w14:paraId="02E48F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Restricted stock-based awards and stock options outstanding at May 31, 2019</w:t>
            </w:r>
          </w:p>
        </w:tc>
        <w:tc>
          <w:tcPr>
            <w:tcW w:w="76" w:type="pct"/>
            <w:shd w:val="clear" w:color="auto" w:fill="FFFFFF"/>
            <w:tcMar>
              <w:top w:w="15" w:type="dxa"/>
              <w:left w:w="0" w:type="dxa"/>
              <w:bottom w:w="0" w:type="dxa"/>
              <w:right w:w="15" w:type="dxa"/>
            </w:tcMar>
            <w:vAlign w:val="bottom"/>
            <w:hideMark/>
          </w:tcPr>
          <w:p w14:paraId="156ED1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7521C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39E167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321</w:t>
            </w:r>
          </w:p>
        </w:tc>
        <w:tc>
          <w:tcPr>
            <w:tcW w:w="50" w:type="pct"/>
            <w:shd w:val="clear" w:color="auto" w:fill="FFFFFF"/>
            <w:noWrap/>
            <w:tcMar>
              <w:top w:w="15" w:type="dxa"/>
              <w:left w:w="0" w:type="dxa"/>
              <w:bottom w:w="0" w:type="dxa"/>
              <w:right w:w="15" w:type="dxa"/>
            </w:tcMar>
            <w:vAlign w:val="bottom"/>
            <w:hideMark/>
          </w:tcPr>
          <w:p w14:paraId="22D0325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D73C79A" w14:textId="77777777">
        <w:trPr>
          <w:divId w:val="317804692"/>
          <w:jc w:val="center"/>
        </w:trPr>
        <w:tc>
          <w:tcPr>
            <w:tcW w:w="4433" w:type="pct"/>
            <w:shd w:val="clear" w:color="auto" w:fill="CFF0FC"/>
            <w:tcMar>
              <w:top w:w="15" w:type="dxa"/>
              <w:left w:w="0" w:type="dxa"/>
              <w:bottom w:w="0" w:type="dxa"/>
              <w:right w:w="15" w:type="dxa"/>
            </w:tcMar>
            <w:hideMark/>
          </w:tcPr>
          <w:p w14:paraId="1F57311A"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Weighted-average annualized restricted stock-based awards and stock options granted and assumed, net of forfeitures and cancellations</w:t>
            </w:r>
          </w:p>
        </w:tc>
        <w:tc>
          <w:tcPr>
            <w:tcW w:w="76" w:type="pct"/>
            <w:shd w:val="clear" w:color="auto" w:fill="CFF0FC"/>
            <w:tcMar>
              <w:top w:w="15" w:type="dxa"/>
              <w:left w:w="0" w:type="dxa"/>
              <w:bottom w:w="0" w:type="dxa"/>
              <w:right w:w="15" w:type="dxa"/>
            </w:tcMar>
            <w:vAlign w:val="bottom"/>
            <w:hideMark/>
          </w:tcPr>
          <w:p w14:paraId="6F0380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471D1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9" w:type="pct"/>
            <w:tcBorders>
              <w:top w:val="double" w:sz="6" w:space="0" w:color="000000"/>
            </w:tcBorders>
            <w:shd w:val="clear" w:color="auto" w:fill="CFF0FC"/>
            <w:noWrap/>
            <w:tcMar>
              <w:top w:w="15" w:type="dxa"/>
              <w:left w:w="0" w:type="dxa"/>
              <w:bottom w:w="0" w:type="dxa"/>
              <w:right w:w="15" w:type="dxa"/>
            </w:tcMar>
            <w:vAlign w:val="bottom"/>
            <w:hideMark/>
          </w:tcPr>
          <w:p w14:paraId="4D914DF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CFF0FC"/>
            <w:noWrap/>
            <w:tcMar>
              <w:top w:w="15" w:type="dxa"/>
              <w:left w:w="0" w:type="dxa"/>
              <w:bottom w:w="0" w:type="dxa"/>
              <w:right w:w="15" w:type="dxa"/>
            </w:tcMar>
            <w:vAlign w:val="bottom"/>
            <w:hideMark/>
          </w:tcPr>
          <w:p w14:paraId="5A69F1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19BEA74" w14:textId="77777777">
        <w:trPr>
          <w:divId w:val="317804692"/>
          <w:jc w:val="center"/>
        </w:trPr>
        <w:tc>
          <w:tcPr>
            <w:tcW w:w="4433" w:type="pct"/>
            <w:shd w:val="clear" w:color="auto" w:fill="FFFFFF"/>
            <w:tcMar>
              <w:top w:w="15" w:type="dxa"/>
              <w:left w:w="0" w:type="dxa"/>
              <w:bottom w:w="0" w:type="dxa"/>
              <w:right w:w="15" w:type="dxa"/>
            </w:tcMar>
            <w:hideMark/>
          </w:tcPr>
          <w:p w14:paraId="4DBD2DFF"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Weighted-average annualized stock repurchases</w:t>
            </w:r>
          </w:p>
        </w:tc>
        <w:tc>
          <w:tcPr>
            <w:tcW w:w="76" w:type="pct"/>
            <w:shd w:val="clear" w:color="auto" w:fill="FFFFFF"/>
            <w:tcMar>
              <w:top w:w="15" w:type="dxa"/>
              <w:left w:w="0" w:type="dxa"/>
              <w:bottom w:w="0" w:type="dxa"/>
              <w:right w:w="15" w:type="dxa"/>
            </w:tcMar>
            <w:vAlign w:val="bottom"/>
            <w:hideMark/>
          </w:tcPr>
          <w:p w14:paraId="6D9A5B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5ADF76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9" w:type="pct"/>
            <w:shd w:val="clear" w:color="auto" w:fill="FFFFFF"/>
            <w:noWrap/>
            <w:tcMar>
              <w:top w:w="15" w:type="dxa"/>
              <w:left w:w="0" w:type="dxa"/>
              <w:bottom w:w="0" w:type="dxa"/>
              <w:right w:w="15" w:type="dxa"/>
            </w:tcMar>
            <w:vAlign w:val="bottom"/>
            <w:hideMark/>
          </w:tcPr>
          <w:p w14:paraId="0DFA426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(353</w:t>
            </w:r>
          </w:p>
        </w:tc>
        <w:tc>
          <w:tcPr>
            <w:tcW w:w="50" w:type="pct"/>
            <w:shd w:val="clear" w:color="auto" w:fill="FFFFFF"/>
            <w:noWrap/>
            <w:tcMar>
              <w:top w:w="15" w:type="dxa"/>
              <w:left w:w="0" w:type="dxa"/>
              <w:bottom w:w="0" w:type="dxa"/>
              <w:right w:w="15" w:type="dxa"/>
            </w:tcMar>
            <w:vAlign w:val="bottom"/>
            <w:hideMark/>
          </w:tcPr>
          <w:p w14:paraId="54D2448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67BA5403" w14:textId="77777777">
        <w:trPr>
          <w:divId w:val="317804692"/>
          <w:jc w:val="center"/>
        </w:trPr>
        <w:tc>
          <w:tcPr>
            <w:tcW w:w="4433" w:type="pct"/>
            <w:shd w:val="clear" w:color="auto" w:fill="CFF0FC"/>
            <w:tcMar>
              <w:top w:w="15" w:type="dxa"/>
              <w:left w:w="0" w:type="dxa"/>
              <w:bottom w:w="0" w:type="dxa"/>
              <w:right w:w="15" w:type="dxa"/>
            </w:tcMar>
            <w:hideMark/>
          </w:tcPr>
          <w:p w14:paraId="757E1DD5"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Shares outstanding at May 31, 2019</w:t>
            </w:r>
          </w:p>
        </w:tc>
        <w:tc>
          <w:tcPr>
            <w:tcW w:w="76" w:type="pct"/>
            <w:shd w:val="clear" w:color="auto" w:fill="CFF0FC"/>
            <w:tcMar>
              <w:top w:w="15" w:type="dxa"/>
              <w:left w:w="0" w:type="dxa"/>
              <w:bottom w:w="0" w:type="dxa"/>
              <w:right w:w="15" w:type="dxa"/>
            </w:tcMar>
            <w:vAlign w:val="bottom"/>
            <w:hideMark/>
          </w:tcPr>
          <w:p w14:paraId="024B6F5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2FB12E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9" w:type="pct"/>
            <w:shd w:val="clear" w:color="auto" w:fill="CFF0FC"/>
            <w:noWrap/>
            <w:tcMar>
              <w:top w:w="15" w:type="dxa"/>
              <w:left w:w="0" w:type="dxa"/>
              <w:bottom w:w="0" w:type="dxa"/>
              <w:right w:w="15" w:type="dxa"/>
            </w:tcMar>
            <w:vAlign w:val="bottom"/>
            <w:hideMark/>
          </w:tcPr>
          <w:p w14:paraId="1512026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3,359</w:t>
            </w:r>
          </w:p>
        </w:tc>
        <w:tc>
          <w:tcPr>
            <w:tcW w:w="50" w:type="pct"/>
            <w:shd w:val="clear" w:color="auto" w:fill="CFF0FC"/>
            <w:noWrap/>
            <w:tcMar>
              <w:top w:w="15" w:type="dxa"/>
              <w:left w:w="0" w:type="dxa"/>
              <w:bottom w:w="0" w:type="dxa"/>
              <w:right w:w="15" w:type="dxa"/>
            </w:tcMar>
            <w:vAlign w:val="bottom"/>
            <w:hideMark/>
          </w:tcPr>
          <w:p w14:paraId="6EF27D3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0BBA34B" w14:textId="77777777">
        <w:trPr>
          <w:divId w:val="317804692"/>
          <w:jc w:val="center"/>
        </w:trPr>
        <w:tc>
          <w:tcPr>
            <w:tcW w:w="4433" w:type="pct"/>
            <w:shd w:val="clear" w:color="auto" w:fill="FFFFFF"/>
            <w:tcMar>
              <w:top w:w="15" w:type="dxa"/>
              <w:left w:w="0" w:type="dxa"/>
              <w:bottom w:w="0" w:type="dxa"/>
              <w:right w:w="15" w:type="dxa"/>
            </w:tcMar>
            <w:hideMark/>
          </w:tcPr>
          <w:p w14:paraId="7235D75F"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Basic weighted-average shares outstanding from June 1, 2016 through May 31, 2019</w:t>
            </w:r>
          </w:p>
        </w:tc>
        <w:tc>
          <w:tcPr>
            <w:tcW w:w="76" w:type="pct"/>
            <w:shd w:val="clear" w:color="auto" w:fill="FFFFFF"/>
            <w:tcMar>
              <w:top w:w="15" w:type="dxa"/>
              <w:left w:w="0" w:type="dxa"/>
              <w:bottom w:w="0" w:type="dxa"/>
              <w:right w:w="15" w:type="dxa"/>
            </w:tcMar>
            <w:vAlign w:val="bottom"/>
            <w:hideMark/>
          </w:tcPr>
          <w:p w14:paraId="1694410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08EE05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9" w:type="pct"/>
            <w:shd w:val="clear" w:color="auto" w:fill="FFFFFF"/>
            <w:noWrap/>
            <w:tcMar>
              <w:top w:w="15" w:type="dxa"/>
              <w:left w:w="0" w:type="dxa"/>
              <w:bottom w:w="0" w:type="dxa"/>
              <w:right w:w="15" w:type="dxa"/>
            </w:tcMar>
            <w:vAlign w:val="bottom"/>
            <w:hideMark/>
          </w:tcPr>
          <w:p w14:paraId="144131B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3,957</w:t>
            </w:r>
          </w:p>
        </w:tc>
        <w:tc>
          <w:tcPr>
            <w:tcW w:w="50" w:type="pct"/>
            <w:shd w:val="clear" w:color="auto" w:fill="FFFFFF"/>
            <w:noWrap/>
            <w:tcMar>
              <w:top w:w="15" w:type="dxa"/>
              <w:left w:w="0" w:type="dxa"/>
              <w:bottom w:w="0" w:type="dxa"/>
              <w:right w:w="15" w:type="dxa"/>
            </w:tcMar>
            <w:vAlign w:val="bottom"/>
            <w:hideMark/>
          </w:tcPr>
          <w:p w14:paraId="241BFC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497CCFC" w14:textId="77777777">
        <w:trPr>
          <w:divId w:val="317804692"/>
          <w:jc w:val="center"/>
        </w:trPr>
        <w:tc>
          <w:tcPr>
            <w:tcW w:w="4433" w:type="pct"/>
            <w:shd w:val="clear" w:color="auto" w:fill="CFF0FC"/>
            <w:tcMar>
              <w:top w:w="15" w:type="dxa"/>
              <w:left w:w="0" w:type="dxa"/>
              <w:bottom w:w="0" w:type="dxa"/>
              <w:right w:w="15" w:type="dxa"/>
            </w:tcMar>
            <w:hideMark/>
          </w:tcPr>
          <w:p w14:paraId="19745CC6"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Restricted stock-based awards and stock options outstanding as a percent of shares outstanding at May 31, 2019</w:t>
            </w:r>
          </w:p>
        </w:tc>
        <w:tc>
          <w:tcPr>
            <w:tcW w:w="76" w:type="pct"/>
            <w:shd w:val="clear" w:color="auto" w:fill="CFF0FC"/>
            <w:tcMar>
              <w:top w:w="15" w:type="dxa"/>
              <w:left w:w="0" w:type="dxa"/>
              <w:bottom w:w="0" w:type="dxa"/>
              <w:right w:w="15" w:type="dxa"/>
            </w:tcMar>
            <w:vAlign w:val="bottom"/>
            <w:hideMark/>
          </w:tcPr>
          <w:p w14:paraId="2017DA5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9" w:type="pct"/>
            <w:gridSpan w:val="2"/>
            <w:shd w:val="clear" w:color="auto" w:fill="CFF0FC"/>
            <w:tcMar>
              <w:top w:w="15" w:type="dxa"/>
              <w:left w:w="0" w:type="dxa"/>
              <w:bottom w:w="0" w:type="dxa"/>
              <w:right w:w="15" w:type="dxa"/>
            </w:tcMar>
            <w:vAlign w:val="bottom"/>
            <w:hideMark/>
          </w:tcPr>
          <w:p w14:paraId="4E1F2CB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9.6%</w:t>
            </w:r>
          </w:p>
        </w:tc>
        <w:tc>
          <w:tcPr>
            <w:tcW w:w="50" w:type="pct"/>
            <w:shd w:val="clear" w:color="auto" w:fill="CFF0FC"/>
            <w:noWrap/>
            <w:tcMar>
              <w:top w:w="15" w:type="dxa"/>
              <w:left w:w="0" w:type="dxa"/>
              <w:bottom w:w="0" w:type="dxa"/>
              <w:right w:w="15" w:type="dxa"/>
            </w:tcMar>
            <w:vAlign w:val="bottom"/>
            <w:hideMark/>
          </w:tcPr>
          <w:p w14:paraId="1D0359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E495C5C" w14:textId="77777777">
        <w:trPr>
          <w:divId w:val="317804692"/>
          <w:jc w:val="center"/>
        </w:trPr>
        <w:tc>
          <w:tcPr>
            <w:tcW w:w="4433" w:type="pct"/>
            <w:shd w:val="clear" w:color="auto" w:fill="FFFFFF"/>
            <w:tcMar>
              <w:top w:w="15" w:type="dxa"/>
              <w:left w:w="0" w:type="dxa"/>
              <w:bottom w:w="0" w:type="dxa"/>
              <w:right w:w="15" w:type="dxa"/>
            </w:tcMar>
            <w:hideMark/>
          </w:tcPr>
          <w:p w14:paraId="6E9FA108"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Total restricted stock-based awards and in the money stock options outstanding (based on the closing price of our common stock on the last trading day of fiscal 2019) as a percent of shares outstanding at May 31, 2019</w:t>
            </w:r>
          </w:p>
        </w:tc>
        <w:tc>
          <w:tcPr>
            <w:tcW w:w="76" w:type="pct"/>
            <w:shd w:val="clear" w:color="auto" w:fill="FFFFFF"/>
            <w:tcMar>
              <w:top w:w="15" w:type="dxa"/>
              <w:left w:w="0" w:type="dxa"/>
              <w:bottom w:w="0" w:type="dxa"/>
              <w:right w:w="15" w:type="dxa"/>
            </w:tcMar>
            <w:vAlign w:val="bottom"/>
            <w:hideMark/>
          </w:tcPr>
          <w:p w14:paraId="7CF1A6A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9" w:type="pct"/>
            <w:gridSpan w:val="2"/>
            <w:shd w:val="clear" w:color="auto" w:fill="FFFFFF"/>
            <w:tcMar>
              <w:top w:w="15" w:type="dxa"/>
              <w:left w:w="0" w:type="dxa"/>
              <w:bottom w:w="0" w:type="dxa"/>
              <w:right w:w="15" w:type="dxa"/>
            </w:tcMar>
            <w:vAlign w:val="bottom"/>
            <w:hideMark/>
          </w:tcPr>
          <w:p w14:paraId="5D93C43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8.0%</w:t>
            </w:r>
          </w:p>
        </w:tc>
        <w:tc>
          <w:tcPr>
            <w:tcW w:w="50" w:type="pct"/>
            <w:shd w:val="clear" w:color="auto" w:fill="FFFFFF"/>
            <w:noWrap/>
            <w:tcMar>
              <w:top w:w="15" w:type="dxa"/>
              <w:left w:w="0" w:type="dxa"/>
              <w:bottom w:w="0" w:type="dxa"/>
              <w:right w:w="15" w:type="dxa"/>
            </w:tcMar>
            <w:vAlign w:val="bottom"/>
            <w:hideMark/>
          </w:tcPr>
          <w:p w14:paraId="08DB409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4C97895" w14:textId="77777777">
        <w:trPr>
          <w:divId w:val="317804692"/>
          <w:jc w:val="center"/>
        </w:trPr>
        <w:tc>
          <w:tcPr>
            <w:tcW w:w="4433" w:type="pct"/>
            <w:shd w:val="clear" w:color="auto" w:fill="CFF0FC"/>
            <w:tcMar>
              <w:top w:w="15" w:type="dxa"/>
              <w:left w:w="0" w:type="dxa"/>
              <w:bottom w:w="0" w:type="dxa"/>
              <w:right w:w="15" w:type="dxa"/>
            </w:tcMar>
            <w:hideMark/>
          </w:tcPr>
          <w:p w14:paraId="3F691328"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Weighted-average annualized restricted stock-based awards and stock options granted and assumed, net of forfeitures and cancellations and before stock repurchases, as a percent of weighted-average shares outstanding from June 1, 2016 through May 31, 2019</w:t>
            </w:r>
          </w:p>
        </w:tc>
        <w:tc>
          <w:tcPr>
            <w:tcW w:w="76" w:type="pct"/>
            <w:shd w:val="clear" w:color="auto" w:fill="CFF0FC"/>
            <w:tcMar>
              <w:top w:w="15" w:type="dxa"/>
              <w:left w:w="0" w:type="dxa"/>
              <w:bottom w:w="0" w:type="dxa"/>
              <w:right w:w="15" w:type="dxa"/>
            </w:tcMar>
            <w:vAlign w:val="bottom"/>
            <w:hideMark/>
          </w:tcPr>
          <w:p w14:paraId="3D10C84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9" w:type="pct"/>
            <w:gridSpan w:val="2"/>
            <w:shd w:val="clear" w:color="auto" w:fill="CFF0FC"/>
            <w:tcMar>
              <w:top w:w="15" w:type="dxa"/>
              <w:left w:w="0" w:type="dxa"/>
              <w:bottom w:w="0" w:type="dxa"/>
              <w:right w:w="15" w:type="dxa"/>
            </w:tcMar>
            <w:vAlign w:val="bottom"/>
            <w:hideMark/>
          </w:tcPr>
          <w:p w14:paraId="47E081C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CFF0FC"/>
            <w:noWrap/>
            <w:tcMar>
              <w:top w:w="15" w:type="dxa"/>
              <w:left w:w="0" w:type="dxa"/>
              <w:bottom w:w="0" w:type="dxa"/>
              <w:right w:w="15" w:type="dxa"/>
            </w:tcMar>
            <w:vAlign w:val="bottom"/>
            <w:hideMark/>
          </w:tcPr>
          <w:p w14:paraId="0AE02A7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341191C" w14:textId="77777777">
        <w:trPr>
          <w:divId w:val="317804692"/>
          <w:jc w:val="center"/>
        </w:trPr>
        <w:tc>
          <w:tcPr>
            <w:tcW w:w="4433" w:type="pct"/>
            <w:shd w:val="clear" w:color="auto" w:fill="FFFFFF"/>
            <w:tcMar>
              <w:top w:w="15" w:type="dxa"/>
              <w:left w:w="0" w:type="dxa"/>
              <w:bottom w:w="0" w:type="dxa"/>
              <w:right w:w="15" w:type="dxa"/>
            </w:tcMar>
            <w:hideMark/>
          </w:tcPr>
          <w:p w14:paraId="5023E12B"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Weighted-average annualized restricted stock-based awards and stock options granted and assumed, net of forfeitures and cancellations and after stock repurchases, as a percent of weighted-average shares outstanding from June 1, 2016 through May 31, 2019</w:t>
            </w:r>
          </w:p>
        </w:tc>
        <w:tc>
          <w:tcPr>
            <w:tcW w:w="76" w:type="pct"/>
            <w:shd w:val="clear" w:color="auto" w:fill="FFFFFF"/>
            <w:tcMar>
              <w:top w:w="15" w:type="dxa"/>
              <w:left w:w="0" w:type="dxa"/>
              <w:bottom w:w="0" w:type="dxa"/>
              <w:right w:w="15" w:type="dxa"/>
            </w:tcMar>
            <w:vAlign w:val="bottom"/>
            <w:hideMark/>
          </w:tcPr>
          <w:p w14:paraId="0B81FDD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9" w:type="pct"/>
            <w:gridSpan w:val="2"/>
            <w:shd w:val="clear" w:color="auto" w:fill="FFFFFF"/>
            <w:tcMar>
              <w:top w:w="15" w:type="dxa"/>
              <w:left w:w="0" w:type="dxa"/>
              <w:bottom w:w="0" w:type="dxa"/>
              <w:right w:w="15" w:type="dxa"/>
            </w:tcMar>
            <w:vAlign w:val="bottom"/>
            <w:hideMark/>
          </w:tcPr>
          <w:p w14:paraId="14F33AE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-7.3%</w:t>
            </w:r>
          </w:p>
        </w:tc>
        <w:tc>
          <w:tcPr>
            <w:tcW w:w="50" w:type="pct"/>
            <w:shd w:val="clear" w:color="auto" w:fill="FFFFFF"/>
            <w:noWrap/>
            <w:tcMar>
              <w:top w:w="15" w:type="dxa"/>
              <w:left w:w="0" w:type="dxa"/>
              <w:bottom w:w="0" w:type="dxa"/>
              <w:right w:w="15" w:type="dxa"/>
            </w:tcMar>
            <w:vAlign w:val="bottom"/>
            <w:hideMark/>
          </w:tcPr>
          <w:p w14:paraId="5227930C"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36D3AA4" w14:textId="77777777" w:rsidR="00251D72" w:rsidRDefault="00251D72">
      <w:pPr>
        <w:pStyle w:val="a3"/>
        <w:spacing w:before="0" w:beforeAutospacing="0" w:after="0" w:afterAutospacing="0"/>
        <w:rPr>
          <w:sz w:val="12"/>
          <w:szCs w:val="12"/>
        </w:rPr>
      </w:pPr>
      <w:r>
        <w:rPr>
          <w:sz w:val="12"/>
          <w:szCs w:val="12"/>
        </w:rPr>
        <w:t> </w:t>
      </w:r>
    </w:p>
    <w:p w14:paraId="106F5589"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Recent Accounting Pronouncements</w:t>
      </w:r>
    </w:p>
    <w:p w14:paraId="1A3125D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For information with respect to recent accounting pronouncements, if any, and the impact of these pronouncements on our consolidated financial statements, if any, see Note 1 of Notes to Consolidated Financial Statements included elsewhere in this Annual Report.</w:t>
      </w:r>
    </w:p>
    <w:p w14:paraId="6A855E01"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58</w:t>
      </w:r>
    </w:p>
    <w:p w14:paraId="19742F59" w14:textId="77777777" w:rsidR="00251D72" w:rsidRDefault="00251D72">
      <w:pPr>
        <w:rPr>
          <w:rFonts w:ascii="Times New Roman" w:eastAsia="Times New Roman" w:hAnsi="Times New Roman" w:cs="Times New Roman"/>
          <w:sz w:val="24"/>
          <w:szCs w:val="24"/>
        </w:rPr>
      </w:pPr>
      <w:r>
        <w:rPr>
          <w:rFonts w:eastAsia="Times New Roman"/>
        </w:rPr>
        <w:pict w14:anchorId="511CD26F">
          <v:rect id="_x0000_i1084" style="width:415.3pt;height:1.5pt" o:hralign="center" o:hrstd="t" o:hr="t" fillcolor="#a0a0a0" stroked="f"/>
        </w:pict>
      </w:r>
    </w:p>
    <w:p w14:paraId="19491AC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495665D"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284D35B" w14:textId="77777777" w:rsidR="00251D72" w:rsidRDefault="00251D72">
      <w:pPr>
        <w:pStyle w:val="a3"/>
        <w:spacing w:before="12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
        <w:gridCol w:w="7598"/>
      </w:tblGrid>
      <w:tr w:rsidR="00251D72" w14:paraId="781C962A" w14:textId="77777777">
        <w:tc>
          <w:tcPr>
            <w:tcW w:w="213" w:type="pct"/>
            <w:noWrap/>
            <w:hideMark/>
          </w:tcPr>
          <w:p w14:paraId="0CAD0E2C"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7A.</w:t>
            </w:r>
          </w:p>
        </w:tc>
        <w:tc>
          <w:tcPr>
            <w:tcW w:w="0" w:type="auto"/>
            <w:hideMark/>
          </w:tcPr>
          <w:p w14:paraId="660565BB" w14:textId="77777777" w:rsidR="00251D72" w:rsidRDefault="00251D72">
            <w:pPr>
              <w:pStyle w:val="a3"/>
              <w:spacing w:before="240" w:beforeAutospacing="0" w:after="0" w:afterAutospacing="0"/>
              <w:jc w:val="both"/>
              <w:rPr>
                <w:rFonts w:ascii="Calibri" w:hAnsi="Calibri" w:cs="Calibri"/>
                <w:b/>
                <w:bCs/>
                <w:sz w:val="20"/>
                <w:szCs w:val="20"/>
              </w:rPr>
            </w:pPr>
            <w:bookmarkStart w:id="76" w:name="ITEM_7A_QUANTITATIVE_QUALITATIVE_DISCLOS"/>
            <w:bookmarkStart w:id="77" w:name="_AEIOULastRenderedPageBreakAEIOU61"/>
            <w:bookmarkEnd w:id="76"/>
            <w:bookmarkEnd w:id="77"/>
            <w:r>
              <w:rPr>
                <w:rFonts w:ascii="Calibri" w:hAnsi="Calibri" w:cs="Calibri"/>
                <w:b/>
                <w:bCs/>
                <w:sz w:val="20"/>
                <w:szCs w:val="20"/>
              </w:rPr>
              <w:t>Quantitative and Qualitative Disclosures About Market Risk</w:t>
            </w:r>
          </w:p>
        </w:tc>
      </w:tr>
    </w:tbl>
    <w:p w14:paraId="7BB9C449"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Cash, Cash Equivalents, Marketable Securities and Interest Income Risk</w:t>
      </w:r>
    </w:p>
    <w:p w14:paraId="20AC2E9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Cash, cash equivalents, and marketable securities were $37.8 billion and $67.3 billion as of May 31, 2019 and 2018, respectively. Our bank deposits and time deposits are generally held with large, diverse financial institutions worldwide with high investment-grade credit ratings or financial institutions that meet investment-grade ratings criteria, which we believe mitigates credit risk and certain other risks. In addition, as of May 31, 2019, substantially all of our marketable securities were high quality with approximately 33% having maturity dates within one year and 67% having maturity dates within one to four years (a description of our marketable securities held is included in Notes 3 and 4 of Notes to Consolidated Financial Statements included elsewhere in this Annual Report and “Liquidity and Capital Resources” above). We held a mix of both fixed and floating-rate debt securities. Fixed rate securities may have their market values adversely impacted as interest rates increase, while floating rate securities may produce less income than expected if interest rates fall. Due in part to these factors, our future investment income may vary due to changes in interest rates or we may realize losses if we are forced to sell securities that decline in market value due to changes in interest rates. However, because we classify our debt securities as “available for sale,” no gains or losses are recognized due to changes in interest rates unless such securities are sold prior to maturity or declines in fair value are determined to be other-than-temporary. The fair values of our fixed-rate debt securities are impacted by interest rate movements and if interest rates would have been higher by 50 basis points as of each of May 31, 2019 and 2018 we estimate the change would have decreased the fair values of our marketable securities holdings by $128 million and $308 million, respectively. We generally do not use our investments for trading purposes. </w:t>
      </w:r>
    </w:p>
    <w:p w14:paraId="08850DE3" w14:textId="77777777" w:rsidR="00251D72" w:rsidRDefault="00251D72">
      <w:pPr>
        <w:pStyle w:val="a3"/>
        <w:spacing w:before="80" w:beforeAutospacing="0" w:after="0" w:afterAutospacing="0"/>
        <w:jc w:val="both"/>
        <w:rPr>
          <w:rFonts w:ascii="Calibri" w:hAnsi="Calibri" w:cs="Calibri"/>
          <w:sz w:val="20"/>
          <w:szCs w:val="20"/>
        </w:rPr>
      </w:pPr>
      <w:r>
        <w:rPr>
          <w:rFonts w:ascii="Calibri" w:hAnsi="Calibri" w:cs="Calibri"/>
          <w:sz w:val="20"/>
          <w:szCs w:val="20"/>
        </w:rPr>
        <w:t>Changes in the overall level of interest rates affect the interest income that is generated from our cash, cash equivalents and marketable securities. For fiscal 2019 and 2018, total interest income was $1.1 billion and $1.2 billion, respectively, with our cash, cash equivalents and marketable securities investments yielding an average 2.08% and 1.73%, respectively, on a worldwide basis.</w:t>
      </w:r>
    </w:p>
    <w:p w14:paraId="73727090"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Interest Expense Risk </w:t>
      </w:r>
    </w:p>
    <w:p w14:paraId="08553FDF" w14:textId="77777777" w:rsidR="00251D72" w:rsidRDefault="00251D72">
      <w:pPr>
        <w:pStyle w:val="a3"/>
        <w:spacing w:before="120" w:beforeAutospacing="0" w:after="0" w:afterAutospacing="0"/>
        <w:rPr>
          <w:rFonts w:ascii="Calibri" w:hAnsi="Calibri" w:cs="Calibri"/>
          <w:b/>
          <w:bCs/>
          <w:i/>
          <w:iCs/>
          <w:sz w:val="20"/>
          <w:szCs w:val="20"/>
        </w:rPr>
      </w:pPr>
      <w:r>
        <w:rPr>
          <w:rFonts w:ascii="Calibri" w:hAnsi="Calibri" w:cs="Calibri"/>
          <w:b/>
          <w:bCs/>
          <w:i/>
          <w:iCs/>
          <w:sz w:val="20"/>
          <w:szCs w:val="20"/>
        </w:rPr>
        <w:t>Interest Expense Risk</w:t>
      </w:r>
      <w:r>
        <w:rPr>
          <w:rFonts w:ascii="Calibri" w:hAnsi="Calibri" w:cs="Calibri"/>
          <w:sz w:val="20"/>
          <w:szCs w:val="20"/>
        </w:rPr>
        <w:t>—</w:t>
      </w:r>
      <w:r>
        <w:rPr>
          <w:rFonts w:ascii="Calibri" w:hAnsi="Calibri" w:cs="Calibri"/>
          <w:b/>
          <w:bCs/>
          <w:i/>
          <w:iCs/>
          <w:sz w:val="20"/>
          <w:szCs w:val="20"/>
        </w:rPr>
        <w:t>Interest Rate Swap Agreements and Cross-Currency Interest Rate Swap Agreements</w:t>
      </w:r>
    </w:p>
    <w:p w14:paraId="498015B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total borrowings were $56.3 billion as of May 31, 2019, consisting of $55.4 billion of fixed-rate borrowings, $750 million of floating-rate borrowings (Floating-Rate Notes) and $113 million of other borrowings. As of May 31, 2019, we held certain interest rate swap agreements that have the economic effect of modifying the fixed-interest obligations associated with our $2.0 billion of 2.25% fixed-rate senior notes due October 2019 (October 2019 Notes) and our $1.5 billion of 2.80% fixed-rate senior notes due July 2021 (July 2021 Notes), so that the fixed-rate interest payable on these senior notes effectively became variable based on LIBOR. We have also entered into cross-currency interest rate swap agreements to manage the foreign currency exchange rate risk associated with our €750 million of 3.125% fixed-rate senior notes due July 2025 Notes (July 2025 Notes) by effectively converting the fixed-rate, Euro denominated debt, including the annual interest payments and the payment of principal at maturity, to variable-rate, U.S. Dollar denominated debt based on LIBOR. The critical terms of the swap agreements match the critical terms of the October 2019 Notes, July 2021 Notes and July 2025 Notes that the swap agreements pertain to, including the notional amounts and maturity dates. We do not use these swap arrangements for trading purposes. We are accounting for these swap agreements as fair value hedges pursuant to ASC 815, </w:t>
      </w:r>
      <w:r>
        <w:rPr>
          <w:rFonts w:ascii="Calibri" w:hAnsi="Calibri" w:cs="Calibri"/>
          <w:i/>
          <w:iCs/>
          <w:sz w:val="20"/>
          <w:szCs w:val="20"/>
        </w:rPr>
        <w:t>Derivatives and Hedging</w:t>
      </w:r>
      <w:r>
        <w:rPr>
          <w:rFonts w:ascii="Calibri" w:hAnsi="Calibri" w:cs="Calibri"/>
          <w:sz w:val="20"/>
          <w:szCs w:val="20"/>
        </w:rPr>
        <w:t xml:space="preserve"> (ASC 815). The fair values of our outstanding fixed to variable interest rate swap agreements as of May 31, 2019 and 2018 were a $17 million net loss and a $26 million net loss, respectively. We estimate that the changes in the fair values of these swap agreements during fiscal 2019 and 2018 were primarily attributable to an increase in forward interest rate prices. If LIBOR-based interest rates would have been higher by 100 basis points as of May 31, 2019 and 2018, the change would have decreased the collective fair values of the fixed to variable swap agreements by $90 million and $315 million, respectively. </w:t>
      </w:r>
    </w:p>
    <w:p w14:paraId="51CE072A"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59</w:t>
      </w:r>
    </w:p>
    <w:p w14:paraId="67F5AF7F" w14:textId="77777777" w:rsidR="00251D72" w:rsidRDefault="00251D72">
      <w:pPr>
        <w:rPr>
          <w:rFonts w:ascii="Times New Roman" w:eastAsia="Times New Roman" w:hAnsi="Times New Roman" w:cs="Times New Roman"/>
          <w:sz w:val="24"/>
          <w:szCs w:val="24"/>
        </w:rPr>
      </w:pPr>
      <w:r>
        <w:rPr>
          <w:rFonts w:eastAsia="Times New Roman"/>
        </w:rPr>
        <w:pict w14:anchorId="59C1CF61">
          <v:rect id="_x0000_i1085" style="width:415.3pt;height:1.5pt" o:hralign="center" o:hrstd="t" o:hr="t" fillcolor="#a0a0a0" stroked="f"/>
        </w:pict>
      </w:r>
    </w:p>
    <w:p w14:paraId="575A81C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631F661"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5C5B278" w14:textId="77777777" w:rsidR="00251D72" w:rsidRDefault="00251D72">
      <w:pPr>
        <w:pStyle w:val="a3"/>
        <w:spacing w:before="120" w:beforeAutospacing="0" w:after="0" w:afterAutospacing="0"/>
        <w:rPr>
          <w:sz w:val="20"/>
          <w:szCs w:val="20"/>
        </w:rPr>
      </w:pPr>
      <w:r>
        <w:rPr>
          <w:sz w:val="20"/>
          <w:szCs w:val="20"/>
        </w:rPr>
        <w:t> </w:t>
      </w:r>
    </w:p>
    <w:p w14:paraId="0C5C6729" w14:textId="77777777" w:rsidR="00251D72" w:rsidRDefault="00251D72">
      <w:pPr>
        <w:pStyle w:val="a3"/>
        <w:spacing w:before="120" w:beforeAutospacing="0" w:after="0" w:afterAutospacing="0"/>
        <w:jc w:val="both"/>
        <w:rPr>
          <w:rFonts w:ascii="Calibri" w:hAnsi="Calibri" w:cs="Calibri"/>
          <w:sz w:val="20"/>
          <w:szCs w:val="20"/>
        </w:rPr>
      </w:pPr>
      <w:bookmarkStart w:id="78" w:name="_AEIOULastRenderedPageBreakAEIOU62"/>
      <w:bookmarkEnd w:id="78"/>
      <w:r>
        <w:rPr>
          <w:rFonts w:ascii="Calibri" w:hAnsi="Calibri" w:cs="Calibri"/>
          <w:sz w:val="20"/>
          <w:szCs w:val="20"/>
        </w:rPr>
        <w:t xml:space="preserve">By issuing the Floating-Rate Notes and by entering into the aforementioned swap arrangements, we have assumed risks associated with variable interest rates based upon LIBOR. Changes in the overall level of interest rates affect the interest expense that we recognize in our consolidated statements of operations. An interest rate risk sensitivity analysis is used to measure interest rate risk by computing estimated changes in cash flows as a result of assumed changes in market interest rates. As of May 31, 2019 and 2018, if LIBOR-based interest rates would have been higher by 100 basis points, the change would have increased our interest expense annually by approximately $52 million and $86 million, respectively, as it relates to our fixed to variable interest rate swap agreements and floating-rate borrowings. Additional details regarding our senior notes and related swap agreements are included in Notes 7 and 10 of Notes to Consolidated Financial Statements included elsewhere in this Annual Report. </w:t>
      </w:r>
    </w:p>
    <w:p w14:paraId="4FEE40E6"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Currency Risk </w:t>
      </w:r>
    </w:p>
    <w:p w14:paraId="023C8975"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Foreign Currency Transaction Risk</w:t>
      </w:r>
      <w:r>
        <w:rPr>
          <w:rFonts w:ascii="Calibri" w:hAnsi="Calibri" w:cs="Calibri"/>
          <w:sz w:val="20"/>
          <w:szCs w:val="20"/>
        </w:rPr>
        <w:t>—</w:t>
      </w:r>
      <w:r>
        <w:rPr>
          <w:rFonts w:ascii="Calibri" w:hAnsi="Calibri" w:cs="Calibri"/>
          <w:b/>
          <w:bCs/>
          <w:i/>
          <w:iCs/>
          <w:sz w:val="20"/>
          <w:szCs w:val="20"/>
        </w:rPr>
        <w:t xml:space="preserve">Foreign Currency Forward Contracts </w:t>
      </w:r>
    </w:p>
    <w:p w14:paraId="6771EF1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transact business in various foreign currencies and have established a program that primarily utilizes foreign currency forward contracts to offset the risks associated with the effects of certain foreign currency exposures. Under this program, our strategy is to enter into foreign currency forward contracts so that increases or decreases in our foreign currency exposures are offset by gains or losses on the foreign currency forward contracts in order to mitigate the risks and volatility associated with our foreign currency transactions. We may suspend this program from time to time. Our foreign currency exposures typically arise from intercompany sublicense fees, intercompany loans and other intercompany transactions. Our foreign currency forward contracts are generally short-term in duration. </w:t>
      </w:r>
    </w:p>
    <w:p w14:paraId="18ED6DC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neither use these foreign currency forward contracts for trading purposes nor do we designate these forward contracts as hedging instruments pursuant to ASC 815. Accordingly, we record the fair values of these contracts as of the end of our reporting period to our consolidated balance sheet with changes in fair values recorded to our consolidated statement of operations. Given the short duration of the forward contracts, amounts recorded generally are not significant. The balance sheet classification for the fair values of these forward contracts is prepaid expenses and other current assets for forward contracts in an unrealized gain position and other current liabilities for forward contracts in an unrealized loss position. The statement of operations classification for changes in fair values of these forward contracts is non-operating income, net for both realized and unrealized gains and losses.</w:t>
      </w:r>
    </w:p>
    <w:p w14:paraId="6798DC1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expect that we will continue to realize gains or losses with respect to our foreign currency exposures, net of gains or losses from our foreign currency forward contracts. Our ultimate realized gain or loss with respect to foreign currency exposures will generally depend on the size and type of cross-currency transactions that we enter into, the currency exchange rates associated with these exposures and changes in those rates, the net realized gain or loss on our foreign currency forward contracts and other factors. The notional amounts of the forward contracts we held to purchase U.S. Dollars in exchange for other major international currencies were $3.8 billion and $3.4 billion as of May 31, 2019 and 2018, respectively, and the notional amounts of forward contracts we held to sell U.S. Dollars in exchange for other major international currencies were $3.3 billion and $1.4 billion as of May 31, 2019 and 2018, respectively. The fair values of our outstanding foreign currency forward contracts were nominal at May 31, 2019 and 2018. Net foreign exchange transaction losses included in non-operating income, net in the accompanying consolidated statements of operations were $111 million, $74 million and $152 million in fiscal 2019, 2018 and 2017, respectively. As a large portion of our consolidated operations are international, we could experience additional foreign currency volatility in the future, the amounts and timing of which are unknown. </w:t>
      </w:r>
    </w:p>
    <w:p w14:paraId="6E3FF056"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Foreign Currency Translation Risk—Impact on Cash, Cash Equivalents and Marketable Securities </w:t>
      </w:r>
    </w:p>
    <w:p w14:paraId="25F403DD" w14:textId="77777777" w:rsidR="00251D72" w:rsidRDefault="00251D72">
      <w:pPr>
        <w:pStyle w:val="a3"/>
        <w:spacing w:before="120" w:beforeAutospacing="0" w:after="0" w:afterAutospacing="0"/>
        <w:jc w:val="both"/>
        <w:rPr>
          <w:rFonts w:ascii="Calibri" w:hAnsi="Calibri" w:cs="Calibri"/>
          <w:sz w:val="20"/>
          <w:szCs w:val="20"/>
        </w:rPr>
      </w:pPr>
      <w:bookmarkStart w:id="79" w:name="_AEIOULastRenderedPageBreakAEIOU63"/>
      <w:bookmarkEnd w:id="79"/>
      <w:r>
        <w:rPr>
          <w:rFonts w:ascii="Calibri" w:hAnsi="Calibri" w:cs="Calibri"/>
          <w:sz w:val="20"/>
          <w:szCs w:val="20"/>
        </w:rPr>
        <w:t xml:space="preserve">Fluctuations in foreign currencies impact the amount of total assets and liabilities that we report for our foreign subsidiaries upon the translation of these amounts into U.S. Dollars. In particular, the amount of cash, cash equivalents and marketable securities that we report in U.S. Dollars for a significant portion of the cash held by these subsidiaries is subject to translation variance caused by changes in foreign currency exchange rates as of the end of each respective reporting period (the offset to which is substantially recorded to accumulated other </w:t>
      </w:r>
    </w:p>
    <w:p w14:paraId="1D44E910"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60</w:t>
      </w:r>
    </w:p>
    <w:p w14:paraId="77ADD1FE" w14:textId="77777777" w:rsidR="00251D72" w:rsidRDefault="00251D72">
      <w:pPr>
        <w:rPr>
          <w:rFonts w:ascii="Times New Roman" w:eastAsia="Times New Roman" w:hAnsi="Times New Roman" w:cs="Times New Roman"/>
          <w:sz w:val="24"/>
          <w:szCs w:val="24"/>
        </w:rPr>
      </w:pPr>
      <w:r>
        <w:rPr>
          <w:rFonts w:eastAsia="Times New Roman"/>
        </w:rPr>
        <w:pict w14:anchorId="7B3D9B05">
          <v:rect id="_x0000_i1086" style="width:415.3pt;height:1.5pt" o:hralign="center" o:hrstd="t" o:hr="t" fillcolor="#a0a0a0" stroked="f"/>
        </w:pict>
      </w:r>
    </w:p>
    <w:p w14:paraId="625DEC8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848604B"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BA3083F" w14:textId="77777777" w:rsidR="00251D72" w:rsidRDefault="00251D72">
      <w:pPr>
        <w:pStyle w:val="a3"/>
        <w:spacing w:before="120" w:beforeAutospacing="0" w:after="0" w:afterAutospacing="0"/>
        <w:rPr>
          <w:sz w:val="20"/>
          <w:szCs w:val="20"/>
        </w:rPr>
      </w:pPr>
      <w:r>
        <w:rPr>
          <w:sz w:val="20"/>
          <w:szCs w:val="20"/>
        </w:rPr>
        <w:t> </w:t>
      </w:r>
    </w:p>
    <w:p w14:paraId="58801B0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comprehensive loss on our consolidated balance sheets and is also presented as a line item in our consolidated statements of comprehensive income included elsewhere in this Annual Report). </w:t>
      </w:r>
    </w:p>
    <w:p w14:paraId="459A841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As the U.S. Dollar fluctuated against certain international currencies as of the end of fiscal 2019, the amount of cash, cash equivalents and marketable securities that we reported in U.S. Dollars for foreign subsidiaries that hold international currencies as of May 31, 2019 decreased relative to what we would have reported using a constant currency rate from May 31, 2018. As reported in our consolidated statements of cash flows, the estimated effects of exchange rate changes on our reported cash and cash equivalents balances in U.S. Dollars was a decrease of $158 million for fiscal 2019, an increase of $57 million for fiscal 2018 and a decrease of $86 million in fiscal 2017. If overall foreign currency exchange rates in comparison to the U.S. Dollar uniformly would have been weaker by 10% as of May 31, 2019 and May 31, 2018 the amount of cash, cash equivalents and marketable securities we would report in U.S. Dollars would have decreased by approximately $434 million and $555 million, respectively, assuming constant foreign currency cash, cash equivalents and marketable securities balances.</w:t>
      </w:r>
    </w:p>
    <w:tbl>
      <w:tblPr>
        <w:tblW w:w="5000" w:type="pct"/>
        <w:tblCellMar>
          <w:left w:w="0" w:type="dxa"/>
          <w:right w:w="0" w:type="dxa"/>
        </w:tblCellMar>
        <w:tblLook w:val="04A0" w:firstRow="1" w:lastRow="0" w:firstColumn="1" w:lastColumn="0" w:noHBand="0" w:noVBand="1"/>
      </w:tblPr>
      <w:tblGrid>
        <w:gridCol w:w="587"/>
        <w:gridCol w:w="7719"/>
      </w:tblGrid>
      <w:tr w:rsidR="00251D72" w14:paraId="6B1CB5F2" w14:textId="77777777">
        <w:tc>
          <w:tcPr>
            <w:tcW w:w="213" w:type="pct"/>
            <w:noWrap/>
            <w:hideMark/>
          </w:tcPr>
          <w:p w14:paraId="53CAFD76"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8.</w:t>
            </w:r>
          </w:p>
        </w:tc>
        <w:tc>
          <w:tcPr>
            <w:tcW w:w="0" w:type="auto"/>
            <w:hideMark/>
          </w:tcPr>
          <w:p w14:paraId="2D6A8929" w14:textId="77777777" w:rsidR="00251D72" w:rsidRDefault="00251D72">
            <w:pPr>
              <w:pStyle w:val="a3"/>
              <w:spacing w:before="240" w:beforeAutospacing="0" w:after="0" w:afterAutospacing="0"/>
              <w:jc w:val="both"/>
              <w:rPr>
                <w:rFonts w:ascii="Calibri" w:hAnsi="Calibri" w:cs="Calibri"/>
                <w:b/>
                <w:bCs/>
                <w:sz w:val="20"/>
                <w:szCs w:val="20"/>
              </w:rPr>
            </w:pPr>
            <w:bookmarkStart w:id="80" w:name="ITEM_8_FINANCIAL_STATEMENTS_SUPPLEMENTAR"/>
            <w:bookmarkEnd w:id="80"/>
            <w:r>
              <w:rPr>
                <w:rFonts w:ascii="Calibri" w:hAnsi="Calibri" w:cs="Calibri"/>
                <w:b/>
                <w:bCs/>
                <w:sz w:val="20"/>
                <w:szCs w:val="20"/>
              </w:rPr>
              <w:t>Financial Statements and Supplementary Data</w:t>
            </w:r>
          </w:p>
        </w:tc>
      </w:tr>
    </w:tbl>
    <w:p w14:paraId="477CECC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response to this item is submitted as a separate section of this Annual Report. See Part IV, Item 15.</w:t>
      </w:r>
    </w:p>
    <w:tbl>
      <w:tblPr>
        <w:tblW w:w="5000" w:type="pct"/>
        <w:tblCellMar>
          <w:left w:w="0" w:type="dxa"/>
          <w:right w:w="0" w:type="dxa"/>
        </w:tblCellMar>
        <w:tblLook w:val="04A0" w:firstRow="1" w:lastRow="0" w:firstColumn="1" w:lastColumn="0" w:noHBand="0" w:noVBand="1"/>
      </w:tblPr>
      <w:tblGrid>
        <w:gridCol w:w="587"/>
        <w:gridCol w:w="7719"/>
      </w:tblGrid>
      <w:tr w:rsidR="00251D72" w14:paraId="3402C712" w14:textId="77777777">
        <w:tc>
          <w:tcPr>
            <w:tcW w:w="213" w:type="pct"/>
            <w:noWrap/>
            <w:hideMark/>
          </w:tcPr>
          <w:p w14:paraId="1E93EBC1"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9.</w:t>
            </w:r>
          </w:p>
        </w:tc>
        <w:tc>
          <w:tcPr>
            <w:tcW w:w="0" w:type="auto"/>
            <w:hideMark/>
          </w:tcPr>
          <w:p w14:paraId="2BC808B5" w14:textId="77777777" w:rsidR="00251D72" w:rsidRDefault="00251D72">
            <w:pPr>
              <w:pStyle w:val="a3"/>
              <w:spacing w:before="240" w:beforeAutospacing="0" w:after="0" w:afterAutospacing="0"/>
              <w:jc w:val="both"/>
              <w:rPr>
                <w:rFonts w:ascii="Calibri" w:hAnsi="Calibri" w:cs="Calibri"/>
                <w:b/>
                <w:bCs/>
                <w:sz w:val="20"/>
                <w:szCs w:val="20"/>
              </w:rPr>
            </w:pPr>
            <w:bookmarkStart w:id="81" w:name="ITEM_9_CHANGES_IN_DISAGREEMENTS_WITH_ACC"/>
            <w:r>
              <w:rPr>
                <w:rFonts w:ascii="Calibri" w:hAnsi="Calibri" w:cs="Calibri"/>
                <w:b/>
                <w:bCs/>
                <w:sz w:val="20"/>
                <w:szCs w:val="20"/>
              </w:rPr>
              <w:t>Changes In</w:t>
            </w:r>
            <w:bookmarkEnd w:id="81"/>
            <w:r>
              <w:rPr>
                <w:rFonts w:ascii="Calibri" w:hAnsi="Calibri" w:cs="Calibri"/>
                <w:b/>
                <w:bCs/>
                <w:sz w:val="20"/>
                <w:szCs w:val="20"/>
              </w:rPr>
              <w:t xml:space="preserve"> and Disagreements with Accountants on Accounting and</w:t>
            </w:r>
            <w:r>
              <w:rPr>
                <w:rFonts w:ascii="Calibri" w:hAnsi="Calibri" w:cs="Calibri"/>
                <w:sz w:val="20"/>
                <w:szCs w:val="20"/>
              </w:rPr>
              <w:t xml:space="preserve"> </w:t>
            </w:r>
            <w:r>
              <w:rPr>
                <w:rFonts w:ascii="Calibri" w:hAnsi="Calibri" w:cs="Calibri"/>
                <w:b/>
                <w:bCs/>
                <w:sz w:val="20"/>
                <w:szCs w:val="20"/>
              </w:rPr>
              <w:t>Financial Disclosure</w:t>
            </w:r>
          </w:p>
        </w:tc>
      </w:tr>
    </w:tbl>
    <w:p w14:paraId="699BC3A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None. </w:t>
      </w:r>
    </w:p>
    <w:tbl>
      <w:tblPr>
        <w:tblW w:w="5000" w:type="pct"/>
        <w:tblCellMar>
          <w:left w:w="0" w:type="dxa"/>
          <w:right w:w="0" w:type="dxa"/>
        </w:tblCellMar>
        <w:tblLook w:val="04A0" w:firstRow="1" w:lastRow="0" w:firstColumn="1" w:lastColumn="0" w:noHBand="0" w:noVBand="1"/>
      </w:tblPr>
      <w:tblGrid>
        <w:gridCol w:w="708"/>
        <w:gridCol w:w="7598"/>
      </w:tblGrid>
      <w:tr w:rsidR="00251D72" w14:paraId="5408D32B" w14:textId="77777777">
        <w:tc>
          <w:tcPr>
            <w:tcW w:w="213" w:type="pct"/>
            <w:noWrap/>
            <w:hideMark/>
          </w:tcPr>
          <w:p w14:paraId="17AE77ED"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9A.</w:t>
            </w:r>
          </w:p>
        </w:tc>
        <w:tc>
          <w:tcPr>
            <w:tcW w:w="0" w:type="auto"/>
            <w:hideMark/>
          </w:tcPr>
          <w:p w14:paraId="1B3B7BCB" w14:textId="77777777" w:rsidR="00251D72" w:rsidRDefault="00251D72">
            <w:pPr>
              <w:pStyle w:val="a3"/>
              <w:spacing w:before="240" w:beforeAutospacing="0" w:after="0" w:afterAutospacing="0"/>
              <w:jc w:val="both"/>
              <w:rPr>
                <w:rFonts w:ascii="Calibri" w:hAnsi="Calibri" w:cs="Calibri"/>
                <w:b/>
                <w:bCs/>
                <w:sz w:val="20"/>
                <w:szCs w:val="20"/>
              </w:rPr>
            </w:pPr>
            <w:bookmarkStart w:id="82" w:name="ITEM_9A_CONTROLS_PROCEDURES"/>
            <w:bookmarkEnd w:id="82"/>
            <w:r>
              <w:rPr>
                <w:rFonts w:ascii="Calibri" w:hAnsi="Calibri" w:cs="Calibri"/>
                <w:b/>
                <w:bCs/>
                <w:sz w:val="20"/>
                <w:szCs w:val="20"/>
              </w:rPr>
              <w:t xml:space="preserve">Controls and Procedures </w:t>
            </w:r>
          </w:p>
        </w:tc>
      </w:tr>
    </w:tbl>
    <w:p w14:paraId="7199E9D7"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Evaluation of Disclosure Controls and Procedures</w:t>
      </w:r>
    </w:p>
    <w:p w14:paraId="38ACD96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As of the end of the period covered by this Annual Report on Form 10-K, we carried out an evaluation under the supervision and with the participation of our Disclosure Committee and our management, including our Principal Executive Officers (one of whom is our Principal Financial Officer), of the effectiveness of the design and operation of our disclosure controls and procedures pursuant to Exchange Act Rules 13a-15(e) and 15d-15(e). </w:t>
      </w:r>
    </w:p>
    <w:p w14:paraId="5A1D782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Based on our management’s evaluation (with the participation of our Principal Executive Officers, one of whom is our Principal Financial Officer), as of the end of the period covered by this report, our Principal Executive Officers have concluded that our disclosure controls and procedures were effective as of May 31, 2019 to provide reasonable assurance that information required to be disclosed by us in reports that we file or submit under the Exchange Act is (i) recorded, processed, summarized and reported within the time periods specified in the SEC rules and forms and (ii) accumulated and communicated to our management, including our Principal Executive Officers (one of whom is our Principal Financial Officer) as appropriate to allow timely decisions regarding required disclosure.</w:t>
      </w:r>
    </w:p>
    <w:p w14:paraId="37980075"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Management’s Report on Internal Control over Financial Reporting</w:t>
      </w:r>
    </w:p>
    <w:p w14:paraId="5D56657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management is responsible for establishing and maintaining adequate internal control over financial reporting, as such term is defined in Exchange Act Rules 13a-15(f) and 15d-15(f). Under the supervision and with the participation of our management, including our Principal Executive Officers (one of whom is our Principal Financial Officer), we conducted an evaluation of the effectiveness of our internal control over financial reporting as of May 31, 2019 based on the guidelines established in </w:t>
      </w:r>
      <w:r>
        <w:rPr>
          <w:rFonts w:ascii="Calibri" w:hAnsi="Calibri" w:cs="Calibri"/>
          <w:i/>
          <w:iCs/>
          <w:sz w:val="20"/>
          <w:szCs w:val="20"/>
        </w:rPr>
        <w:t>Internal Control—Integrated Framework</w:t>
      </w:r>
      <w:r>
        <w:rPr>
          <w:rFonts w:ascii="Calibri" w:hAnsi="Calibri" w:cs="Calibri"/>
          <w:sz w:val="20"/>
          <w:szCs w:val="20"/>
        </w:rPr>
        <w:t xml:space="preserve"> issued by the Committee of Sponsoring Organizations of the Treadway Commission’s 2013 framework. Our internal control over financial reporting includes policies and procedures that provide reasonable assurance regarding the reliability of financial reporting and the preparation of financial statements for external reporting purposes in accordance with U.S. GAAP. </w:t>
      </w:r>
    </w:p>
    <w:p w14:paraId="5680563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Based on the results of our evaluation, our management concluded that our internal control over financial reporting was effective as of May 31, 2019. We reviewed the results of management’s assessment with our Finance and Audit Committee.</w:t>
      </w:r>
    </w:p>
    <w:p w14:paraId="14781B61"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61</w:t>
      </w:r>
    </w:p>
    <w:p w14:paraId="5EBF0FD5" w14:textId="77777777" w:rsidR="00251D72" w:rsidRDefault="00251D72">
      <w:pPr>
        <w:rPr>
          <w:rFonts w:ascii="Times New Roman" w:eastAsia="Times New Roman" w:hAnsi="Times New Roman" w:cs="Times New Roman"/>
          <w:sz w:val="24"/>
          <w:szCs w:val="24"/>
        </w:rPr>
      </w:pPr>
      <w:r>
        <w:rPr>
          <w:rFonts w:eastAsia="Times New Roman"/>
        </w:rPr>
        <w:pict w14:anchorId="05710668">
          <v:rect id="_x0000_i1087" style="width:415.3pt;height:1.5pt" o:hralign="center" o:hrstd="t" o:hr="t" fillcolor="#a0a0a0" stroked="f"/>
        </w:pict>
      </w:r>
    </w:p>
    <w:p w14:paraId="62CF560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7249A8B"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249A953" w14:textId="77777777" w:rsidR="00251D72" w:rsidRDefault="00251D72">
      <w:pPr>
        <w:pStyle w:val="a3"/>
        <w:spacing w:before="120" w:beforeAutospacing="0" w:after="0" w:afterAutospacing="0"/>
        <w:rPr>
          <w:sz w:val="20"/>
          <w:szCs w:val="20"/>
        </w:rPr>
      </w:pPr>
      <w:r>
        <w:rPr>
          <w:sz w:val="20"/>
          <w:szCs w:val="20"/>
        </w:rPr>
        <w:t> </w:t>
      </w:r>
    </w:p>
    <w:p w14:paraId="3EF1C565" w14:textId="77777777" w:rsidR="00251D72" w:rsidRDefault="00251D72">
      <w:pPr>
        <w:pStyle w:val="a3"/>
        <w:spacing w:before="120" w:beforeAutospacing="0" w:after="0" w:afterAutospacing="0"/>
        <w:jc w:val="both"/>
        <w:rPr>
          <w:rFonts w:ascii="Calibri" w:hAnsi="Calibri" w:cs="Calibri"/>
          <w:sz w:val="20"/>
          <w:szCs w:val="20"/>
        </w:rPr>
      </w:pPr>
      <w:bookmarkStart w:id="83" w:name="_AEIOULastRenderedPageBreakAEIOU64"/>
      <w:bookmarkEnd w:id="83"/>
      <w:r>
        <w:rPr>
          <w:rFonts w:ascii="Calibri" w:hAnsi="Calibri" w:cs="Calibri"/>
          <w:sz w:val="20"/>
          <w:szCs w:val="20"/>
        </w:rPr>
        <w:t>The effectiveness of our internal control over financial reporting as of May 31, 2019 has been audited by Ernst &amp; Young LLP, an independent registered public accounting firm, as stated in their report which is included in Part IV, Item 15 of this Annual Report.</w:t>
      </w:r>
    </w:p>
    <w:p w14:paraId="5C2E9147"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Changes in Internal Control over Financial Reporting</w:t>
      </w:r>
    </w:p>
    <w:p w14:paraId="0188259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There were no changes in our internal control over financial reporting identified in connection with the evaluation required by paragraph (d) of Exchange Act Rules 13a-15 or 15d-15 that occurred during our last fiscal quarter that have materially affected, or are reasonably likely to materially affect, our internal control over financial reporting. We implemented internal controls to ensure we adequately evaluated our contracts and properly assessed the impact of the new accounting standard related to revenue recognition on our financial statements to facilitate its adoption on June 1, 2018. There were no significant changes to our internal control over financial reporting due to the adoption of the new standard.</w:t>
      </w:r>
    </w:p>
    <w:p w14:paraId="5F17C330"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Inherent Limitations on Effectiveness of Controls</w:t>
      </w:r>
    </w:p>
    <w:p w14:paraId="2DA7E96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management, including our Principal Executive Officers (one of whom is our Principal Financial Officer), believes that our disclosure controls and procedures and internal control over financial reporting are designed to provide reasonable assurance of achieving their objectives and are effective at the reasonable assurance level. However, our management does not expect that our disclosure controls and procedures or our internal control over financial reporting will prevent all errors and all fraud. A control system, no matter how well conceived and operated, can provide only reasonable, not absolute, assurance that the objectives of the control system are met. Further, the design of a control system must reflect the fact that there are resource constraints and the benefits of controls must be considered relative to their costs. Because of the inherent limitations in all control systems, no evaluation of controls can provide absolute assurance that all control issues and instances of fraud, if any, have been detected. These inherent limitations include the realities that judgments in decision-making can be faulty and that breakdowns can occur because of a simple error or mistake. Additionally, controls can be circumvented by the individual acts of some persons, by collusion of two or more people or by management override of the controls. The design of any system of controls also is based in part upon certain assumptions about the likelihood of future events and there can be no assurance that any design will succeed in achieving its stated goals under all potential future conditions; over time, controls may become inadequate because of changes in conditions, or the degree of compliance with policies or procedures may deteriorate. Because of the inherent limitations in a cost-effective control system, misstatements due to error or fraud may occur and not be detected. </w:t>
      </w:r>
    </w:p>
    <w:tbl>
      <w:tblPr>
        <w:tblW w:w="5000" w:type="pct"/>
        <w:tblCellMar>
          <w:left w:w="0" w:type="dxa"/>
          <w:right w:w="0" w:type="dxa"/>
        </w:tblCellMar>
        <w:tblLook w:val="04A0" w:firstRow="1" w:lastRow="0" w:firstColumn="1" w:lastColumn="0" w:noHBand="0" w:noVBand="1"/>
      </w:tblPr>
      <w:tblGrid>
        <w:gridCol w:w="699"/>
        <w:gridCol w:w="7607"/>
      </w:tblGrid>
      <w:tr w:rsidR="00251D72" w14:paraId="59282B85" w14:textId="77777777">
        <w:tc>
          <w:tcPr>
            <w:tcW w:w="213" w:type="pct"/>
            <w:noWrap/>
            <w:hideMark/>
          </w:tcPr>
          <w:p w14:paraId="1DB1AEA5"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9B.</w:t>
            </w:r>
          </w:p>
        </w:tc>
        <w:tc>
          <w:tcPr>
            <w:tcW w:w="0" w:type="auto"/>
            <w:hideMark/>
          </w:tcPr>
          <w:p w14:paraId="4485B972" w14:textId="77777777" w:rsidR="00251D72" w:rsidRDefault="00251D72">
            <w:pPr>
              <w:pStyle w:val="a3"/>
              <w:spacing w:before="240" w:beforeAutospacing="0" w:after="0" w:afterAutospacing="0"/>
              <w:jc w:val="both"/>
              <w:rPr>
                <w:rFonts w:ascii="Calibri" w:hAnsi="Calibri" w:cs="Calibri"/>
                <w:b/>
                <w:bCs/>
                <w:sz w:val="20"/>
                <w:szCs w:val="20"/>
              </w:rPr>
            </w:pPr>
            <w:bookmarkStart w:id="84" w:name="ITEM_9B_OR_INFORMATION"/>
            <w:bookmarkEnd w:id="84"/>
            <w:r>
              <w:rPr>
                <w:rFonts w:ascii="Calibri" w:hAnsi="Calibri" w:cs="Calibri"/>
                <w:b/>
                <w:bCs/>
                <w:sz w:val="20"/>
                <w:szCs w:val="20"/>
              </w:rPr>
              <w:t>Other Information</w:t>
            </w:r>
          </w:p>
        </w:tc>
      </w:tr>
    </w:tbl>
    <w:p w14:paraId="751A76B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None.</w:t>
      </w:r>
    </w:p>
    <w:p w14:paraId="134A204E" w14:textId="77777777" w:rsidR="00251D72" w:rsidRDefault="00251D72">
      <w:pPr>
        <w:pStyle w:val="a3"/>
        <w:spacing w:before="120" w:beforeAutospacing="0" w:after="0" w:afterAutospacing="0"/>
        <w:jc w:val="both"/>
      </w:pPr>
      <w:r>
        <w:t> </w:t>
      </w:r>
    </w:p>
    <w:p w14:paraId="1DC61CB1"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62</w:t>
      </w:r>
    </w:p>
    <w:p w14:paraId="5447694C" w14:textId="77777777" w:rsidR="00251D72" w:rsidRDefault="00251D72">
      <w:pPr>
        <w:rPr>
          <w:rFonts w:ascii="Times New Roman" w:eastAsia="Times New Roman" w:hAnsi="Times New Roman" w:cs="Times New Roman"/>
          <w:sz w:val="24"/>
          <w:szCs w:val="24"/>
        </w:rPr>
      </w:pPr>
      <w:r>
        <w:rPr>
          <w:rFonts w:eastAsia="Times New Roman"/>
        </w:rPr>
        <w:pict w14:anchorId="5C0F735C">
          <v:rect id="_x0000_i1088" style="width:415.3pt;height:1.5pt" o:hralign="center" o:hrstd="t" o:hr="t" fillcolor="#a0a0a0" stroked="f"/>
        </w:pict>
      </w:r>
    </w:p>
    <w:p w14:paraId="529F6EE3"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96DD1FB"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51D6A05" w14:textId="77777777" w:rsidR="00251D72" w:rsidRDefault="00251D72">
      <w:pPr>
        <w:pStyle w:val="a3"/>
        <w:spacing w:before="120" w:beforeAutospacing="0" w:after="0" w:afterAutospacing="0"/>
        <w:rPr>
          <w:sz w:val="20"/>
          <w:szCs w:val="20"/>
        </w:rPr>
      </w:pPr>
      <w:r>
        <w:rPr>
          <w:sz w:val="20"/>
          <w:szCs w:val="20"/>
        </w:rPr>
        <w:t> </w:t>
      </w:r>
    </w:p>
    <w:p w14:paraId="24790182" w14:textId="77777777" w:rsidR="00251D72" w:rsidRDefault="00251D72">
      <w:pPr>
        <w:pStyle w:val="a3"/>
        <w:spacing w:before="0" w:beforeAutospacing="0" w:after="0" w:afterAutospacing="0"/>
        <w:jc w:val="both"/>
        <w:rPr>
          <w:rFonts w:ascii="Calibri" w:hAnsi="Calibri" w:cs="Calibri"/>
          <w:b/>
          <w:bCs/>
          <w:sz w:val="20"/>
          <w:szCs w:val="20"/>
        </w:rPr>
      </w:pPr>
      <w:bookmarkStart w:id="85" w:name="_AEIOULastRenderedPageBreakAEIOU65"/>
      <w:bookmarkStart w:id="86" w:name="PART_III"/>
      <w:bookmarkEnd w:id="85"/>
      <w:bookmarkEnd w:id="86"/>
      <w:r>
        <w:rPr>
          <w:rFonts w:ascii="Calibri" w:hAnsi="Calibri" w:cs="Calibri"/>
          <w:b/>
          <w:bCs/>
          <w:sz w:val="20"/>
          <w:szCs w:val="20"/>
        </w:rPr>
        <w:t>PART III</w:t>
      </w:r>
    </w:p>
    <w:tbl>
      <w:tblPr>
        <w:tblW w:w="5000" w:type="pct"/>
        <w:tblCellMar>
          <w:left w:w="0" w:type="dxa"/>
          <w:right w:w="0" w:type="dxa"/>
        </w:tblCellMar>
        <w:tblLook w:val="04A0" w:firstRow="1" w:lastRow="0" w:firstColumn="1" w:lastColumn="0" w:noHBand="0" w:noVBand="1"/>
      </w:tblPr>
      <w:tblGrid>
        <w:gridCol w:w="688"/>
        <w:gridCol w:w="7618"/>
      </w:tblGrid>
      <w:tr w:rsidR="00251D72" w14:paraId="5694AF1D" w14:textId="77777777">
        <w:tc>
          <w:tcPr>
            <w:tcW w:w="213" w:type="pct"/>
            <w:noWrap/>
            <w:hideMark/>
          </w:tcPr>
          <w:p w14:paraId="513B9AD6"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Item 10.</w:t>
            </w:r>
          </w:p>
        </w:tc>
        <w:tc>
          <w:tcPr>
            <w:tcW w:w="0" w:type="auto"/>
            <w:hideMark/>
          </w:tcPr>
          <w:p w14:paraId="76AFEFF0" w14:textId="77777777" w:rsidR="00251D72" w:rsidRDefault="00251D72">
            <w:pPr>
              <w:pStyle w:val="a3"/>
              <w:spacing w:before="120" w:beforeAutospacing="0" w:after="0" w:afterAutospacing="0"/>
              <w:jc w:val="both"/>
              <w:rPr>
                <w:rFonts w:ascii="Calibri" w:hAnsi="Calibri" w:cs="Calibri"/>
                <w:b/>
                <w:bCs/>
                <w:sz w:val="20"/>
                <w:szCs w:val="20"/>
              </w:rPr>
            </w:pPr>
            <w:bookmarkStart w:id="87" w:name="ITEM_10_DIRECTORS_EXECUTIVE_FICERS_CORPO"/>
            <w:bookmarkEnd w:id="87"/>
            <w:r>
              <w:rPr>
                <w:rFonts w:ascii="Calibri" w:hAnsi="Calibri" w:cs="Calibri"/>
                <w:b/>
                <w:bCs/>
                <w:sz w:val="20"/>
                <w:szCs w:val="20"/>
              </w:rPr>
              <w:t>Directors, Executive Officers and Corporate Governance</w:t>
            </w:r>
          </w:p>
        </w:tc>
      </w:tr>
    </w:tbl>
    <w:p w14:paraId="210EDF2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Pursuant to General Instruction G(3) of Form 10-K, the information required by this item relating to our executive officers is included under the caption “Executive Officers of the Registrant” in Part I of this Annual Report.</w:t>
      </w:r>
    </w:p>
    <w:p w14:paraId="5293990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other information required by this Item 10 is incorporated by reference from the information contained in our Proxy Statement to be filed with the U.S. Securities and Exchange Commission in connection with the solicitation of proxies for our 2019 Annual Meeting of Stockholders (2019 Proxy Statement) under the sections entitled “Board of Directors—Nominees for Directors,” “Board of Directors—Committees, Membership and Meetings,” “Board of Directors—Committees, Membership and Meetings—The Finance and Audit Committee,” “Corporate Governance—Employee Matters—Code of Conduct,” and “Delinquent Section 16(a) Reports.”</w:t>
      </w:r>
    </w:p>
    <w:tbl>
      <w:tblPr>
        <w:tblW w:w="5000" w:type="pct"/>
        <w:tblCellMar>
          <w:left w:w="0" w:type="dxa"/>
          <w:right w:w="0" w:type="dxa"/>
        </w:tblCellMar>
        <w:tblLook w:val="04A0" w:firstRow="1" w:lastRow="0" w:firstColumn="1" w:lastColumn="0" w:noHBand="0" w:noVBand="1"/>
      </w:tblPr>
      <w:tblGrid>
        <w:gridCol w:w="688"/>
        <w:gridCol w:w="7618"/>
      </w:tblGrid>
      <w:tr w:rsidR="00251D72" w14:paraId="52EE7902" w14:textId="77777777">
        <w:tc>
          <w:tcPr>
            <w:tcW w:w="213" w:type="pct"/>
            <w:noWrap/>
            <w:hideMark/>
          </w:tcPr>
          <w:p w14:paraId="0363AFA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11.</w:t>
            </w:r>
          </w:p>
        </w:tc>
        <w:tc>
          <w:tcPr>
            <w:tcW w:w="0" w:type="auto"/>
            <w:hideMark/>
          </w:tcPr>
          <w:p w14:paraId="2255DC3B" w14:textId="77777777" w:rsidR="00251D72" w:rsidRDefault="00251D72">
            <w:pPr>
              <w:pStyle w:val="a3"/>
              <w:spacing w:before="240" w:beforeAutospacing="0" w:after="0" w:afterAutospacing="0"/>
              <w:jc w:val="both"/>
              <w:rPr>
                <w:rFonts w:ascii="Calibri" w:hAnsi="Calibri" w:cs="Calibri"/>
                <w:b/>
                <w:bCs/>
                <w:sz w:val="20"/>
                <w:szCs w:val="20"/>
              </w:rPr>
            </w:pPr>
            <w:bookmarkStart w:id="88" w:name="ITEM_11_EXECUTIVE_COMPENSATION"/>
            <w:bookmarkEnd w:id="88"/>
            <w:r>
              <w:rPr>
                <w:rFonts w:ascii="Calibri" w:hAnsi="Calibri" w:cs="Calibri"/>
                <w:b/>
                <w:bCs/>
                <w:sz w:val="20"/>
                <w:szCs w:val="20"/>
              </w:rPr>
              <w:t>Executive Compensation</w:t>
            </w:r>
          </w:p>
        </w:tc>
      </w:tr>
    </w:tbl>
    <w:p w14:paraId="21A516B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information required by this Item 11 is incorporated by reference from the information to be contained in our 2019 Proxy Statement under the sections entitled “Board of Directors—Committees, Membership and Meetings—The Compensation Committee—Compensation Committee Interlocks and Insider Participation,” “Board of Directors—Director Compensation,” and “Executive Compensation.”</w:t>
      </w:r>
    </w:p>
    <w:tbl>
      <w:tblPr>
        <w:tblW w:w="5000" w:type="pct"/>
        <w:tblCellMar>
          <w:left w:w="0" w:type="dxa"/>
          <w:right w:w="0" w:type="dxa"/>
        </w:tblCellMar>
        <w:tblLook w:val="04A0" w:firstRow="1" w:lastRow="0" w:firstColumn="1" w:lastColumn="0" w:noHBand="0" w:noVBand="1"/>
      </w:tblPr>
      <w:tblGrid>
        <w:gridCol w:w="688"/>
        <w:gridCol w:w="7618"/>
      </w:tblGrid>
      <w:tr w:rsidR="00251D72" w14:paraId="2A12B041" w14:textId="77777777">
        <w:tc>
          <w:tcPr>
            <w:tcW w:w="213" w:type="pct"/>
            <w:noWrap/>
            <w:hideMark/>
          </w:tcPr>
          <w:p w14:paraId="556483C1"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12.</w:t>
            </w:r>
          </w:p>
        </w:tc>
        <w:tc>
          <w:tcPr>
            <w:tcW w:w="0" w:type="auto"/>
            <w:hideMark/>
          </w:tcPr>
          <w:p w14:paraId="0C1F5BD5" w14:textId="77777777" w:rsidR="00251D72" w:rsidRDefault="00251D72">
            <w:pPr>
              <w:pStyle w:val="a3"/>
              <w:spacing w:before="240" w:beforeAutospacing="0" w:after="0" w:afterAutospacing="0"/>
              <w:jc w:val="both"/>
              <w:rPr>
                <w:rFonts w:ascii="Calibri" w:hAnsi="Calibri" w:cs="Calibri"/>
                <w:b/>
                <w:bCs/>
                <w:sz w:val="20"/>
                <w:szCs w:val="20"/>
              </w:rPr>
            </w:pPr>
            <w:bookmarkStart w:id="89" w:name="ITEM_12_SECURITY_OWNERSHIP_CERTAIN_BENEF"/>
            <w:r>
              <w:rPr>
                <w:rFonts w:ascii="Calibri" w:hAnsi="Calibri" w:cs="Calibri"/>
                <w:b/>
                <w:bCs/>
                <w:sz w:val="20"/>
                <w:szCs w:val="20"/>
              </w:rPr>
              <w:t>Security Ownership o</w:t>
            </w:r>
            <w:bookmarkEnd w:id="89"/>
            <w:r>
              <w:rPr>
                <w:rFonts w:ascii="Calibri" w:hAnsi="Calibri" w:cs="Calibri"/>
                <w:b/>
                <w:bCs/>
                <w:sz w:val="20"/>
                <w:szCs w:val="20"/>
              </w:rPr>
              <w:t>f Certain Beneficial Owners and Management</w:t>
            </w:r>
            <w:r>
              <w:rPr>
                <w:rFonts w:ascii="Calibri" w:hAnsi="Calibri" w:cs="Calibri"/>
                <w:sz w:val="20"/>
                <w:szCs w:val="20"/>
              </w:rPr>
              <w:t xml:space="preserve"> </w:t>
            </w:r>
            <w:r>
              <w:rPr>
                <w:rFonts w:ascii="Calibri" w:hAnsi="Calibri" w:cs="Calibri"/>
                <w:b/>
                <w:bCs/>
                <w:sz w:val="20"/>
                <w:szCs w:val="20"/>
              </w:rPr>
              <w:t>and Related Stockholder Matters</w:t>
            </w:r>
          </w:p>
        </w:tc>
      </w:tr>
    </w:tbl>
    <w:p w14:paraId="2A00781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information required by this Item 12 is incorporated herein by reference from the information to be contained in our 2019 Proxy Statement under the sections entitled “Security Ownership of Certain Beneficial Owners and Management” and “Executive Compensation—Equity Compensation Plan Information.”</w:t>
      </w:r>
    </w:p>
    <w:tbl>
      <w:tblPr>
        <w:tblW w:w="5000" w:type="pct"/>
        <w:tblCellMar>
          <w:left w:w="0" w:type="dxa"/>
          <w:right w:w="0" w:type="dxa"/>
        </w:tblCellMar>
        <w:tblLook w:val="04A0" w:firstRow="1" w:lastRow="0" w:firstColumn="1" w:lastColumn="0" w:noHBand="0" w:noVBand="1"/>
      </w:tblPr>
      <w:tblGrid>
        <w:gridCol w:w="688"/>
        <w:gridCol w:w="7618"/>
      </w:tblGrid>
      <w:tr w:rsidR="00251D72" w14:paraId="0282474D" w14:textId="77777777">
        <w:tc>
          <w:tcPr>
            <w:tcW w:w="213" w:type="pct"/>
            <w:noWrap/>
            <w:hideMark/>
          </w:tcPr>
          <w:p w14:paraId="6F0BF952"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13.</w:t>
            </w:r>
          </w:p>
        </w:tc>
        <w:tc>
          <w:tcPr>
            <w:tcW w:w="0" w:type="auto"/>
            <w:hideMark/>
          </w:tcPr>
          <w:p w14:paraId="3968BF5E" w14:textId="77777777" w:rsidR="00251D72" w:rsidRDefault="00251D72">
            <w:pPr>
              <w:pStyle w:val="a3"/>
              <w:spacing w:before="240" w:beforeAutospacing="0" w:after="0" w:afterAutospacing="0"/>
              <w:jc w:val="both"/>
              <w:rPr>
                <w:rFonts w:ascii="Calibri" w:hAnsi="Calibri" w:cs="Calibri"/>
                <w:b/>
                <w:bCs/>
                <w:sz w:val="20"/>
                <w:szCs w:val="20"/>
              </w:rPr>
            </w:pPr>
            <w:bookmarkStart w:id="90" w:name="ITEM_13_CERTAIN_RELATIONSHIPS_RELATED_TR"/>
            <w:bookmarkEnd w:id="90"/>
            <w:r>
              <w:rPr>
                <w:rFonts w:ascii="Calibri" w:hAnsi="Calibri" w:cs="Calibri"/>
                <w:b/>
                <w:bCs/>
                <w:sz w:val="20"/>
                <w:szCs w:val="20"/>
              </w:rPr>
              <w:t>Certain Relationships and Related Transactions, and Director</w:t>
            </w:r>
            <w:r>
              <w:rPr>
                <w:rFonts w:ascii="Calibri" w:hAnsi="Calibri" w:cs="Calibri"/>
                <w:sz w:val="20"/>
                <w:szCs w:val="20"/>
              </w:rPr>
              <w:t xml:space="preserve"> </w:t>
            </w:r>
            <w:r>
              <w:rPr>
                <w:rFonts w:ascii="Calibri" w:hAnsi="Calibri" w:cs="Calibri"/>
                <w:b/>
                <w:bCs/>
                <w:sz w:val="20"/>
                <w:szCs w:val="20"/>
              </w:rPr>
              <w:t>Independence</w:t>
            </w:r>
          </w:p>
        </w:tc>
      </w:tr>
    </w:tbl>
    <w:p w14:paraId="5AF619C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information required by this Item 13 is incorporated herein by reference from the information to be contained in our 2019 Proxy Statement under the sections entitled “Corporate Governance—Board of Directors and Director Independence” and “Transactions with Related Persons.”</w:t>
      </w:r>
    </w:p>
    <w:tbl>
      <w:tblPr>
        <w:tblW w:w="5000" w:type="pct"/>
        <w:tblCellMar>
          <w:left w:w="0" w:type="dxa"/>
          <w:right w:w="0" w:type="dxa"/>
        </w:tblCellMar>
        <w:tblLook w:val="04A0" w:firstRow="1" w:lastRow="0" w:firstColumn="1" w:lastColumn="0" w:noHBand="0" w:noVBand="1"/>
      </w:tblPr>
      <w:tblGrid>
        <w:gridCol w:w="688"/>
        <w:gridCol w:w="7618"/>
      </w:tblGrid>
      <w:tr w:rsidR="00251D72" w14:paraId="2BAD14FC" w14:textId="77777777">
        <w:tc>
          <w:tcPr>
            <w:tcW w:w="213" w:type="pct"/>
            <w:noWrap/>
            <w:hideMark/>
          </w:tcPr>
          <w:p w14:paraId="2E46F79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14.</w:t>
            </w:r>
          </w:p>
        </w:tc>
        <w:tc>
          <w:tcPr>
            <w:tcW w:w="0" w:type="auto"/>
            <w:hideMark/>
          </w:tcPr>
          <w:p w14:paraId="7394B9E9" w14:textId="77777777" w:rsidR="00251D72" w:rsidRDefault="00251D72">
            <w:pPr>
              <w:pStyle w:val="a3"/>
              <w:spacing w:before="240" w:beforeAutospacing="0" w:after="0" w:afterAutospacing="0"/>
              <w:jc w:val="both"/>
              <w:rPr>
                <w:rFonts w:ascii="Calibri" w:hAnsi="Calibri" w:cs="Calibri"/>
                <w:b/>
                <w:bCs/>
                <w:sz w:val="20"/>
                <w:szCs w:val="20"/>
              </w:rPr>
            </w:pPr>
            <w:bookmarkStart w:id="91" w:name="ITEM_14_PRINCIPAL_ACCOUNTING_FEES_SERVIC"/>
            <w:bookmarkEnd w:id="91"/>
            <w:r>
              <w:rPr>
                <w:rFonts w:ascii="Calibri" w:hAnsi="Calibri" w:cs="Calibri"/>
                <w:b/>
                <w:bCs/>
                <w:sz w:val="20"/>
                <w:szCs w:val="20"/>
              </w:rPr>
              <w:t>Principal Accounting Fees and Services</w:t>
            </w:r>
          </w:p>
        </w:tc>
      </w:tr>
    </w:tbl>
    <w:p w14:paraId="2A0ACC6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information required by this Item 14 is incorporated herein by reference from the information to be contained in our 2019 Proxy Statement under the section entitled “Ratification of Selection of Independent Registered Public Accounting Firm.”</w:t>
      </w:r>
    </w:p>
    <w:p w14:paraId="7B5088D8"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63</w:t>
      </w:r>
    </w:p>
    <w:p w14:paraId="5B9EC938" w14:textId="77777777" w:rsidR="00251D72" w:rsidRDefault="00251D72">
      <w:pPr>
        <w:rPr>
          <w:rFonts w:ascii="Times New Roman" w:eastAsia="Times New Roman" w:hAnsi="Times New Roman" w:cs="Times New Roman"/>
          <w:sz w:val="24"/>
          <w:szCs w:val="24"/>
        </w:rPr>
      </w:pPr>
      <w:r>
        <w:rPr>
          <w:rFonts w:eastAsia="Times New Roman"/>
        </w:rPr>
        <w:pict w14:anchorId="57C9775F">
          <v:rect id="_x0000_i1089" style="width:415.3pt;height:1.5pt" o:hralign="center" o:hrstd="t" o:hr="t" fillcolor="#a0a0a0" stroked="f"/>
        </w:pict>
      </w:r>
    </w:p>
    <w:p w14:paraId="759A41D5"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9DC7613"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9AA8DBE" w14:textId="77777777" w:rsidR="00251D72" w:rsidRDefault="00251D72">
      <w:pPr>
        <w:pStyle w:val="a3"/>
        <w:spacing w:before="120" w:beforeAutospacing="0" w:after="0" w:afterAutospacing="0"/>
        <w:rPr>
          <w:sz w:val="20"/>
          <w:szCs w:val="20"/>
        </w:rPr>
      </w:pPr>
      <w:r>
        <w:rPr>
          <w:sz w:val="20"/>
          <w:szCs w:val="20"/>
        </w:rPr>
        <w:t> </w:t>
      </w:r>
    </w:p>
    <w:p w14:paraId="7F0C9FDD" w14:textId="77777777" w:rsidR="00251D72" w:rsidRDefault="00251D72">
      <w:pPr>
        <w:pStyle w:val="a3"/>
        <w:spacing w:before="0" w:beforeAutospacing="0" w:after="0" w:afterAutospacing="0"/>
        <w:rPr>
          <w:rFonts w:ascii="Calibri" w:hAnsi="Calibri" w:cs="Calibri"/>
          <w:b/>
          <w:bCs/>
          <w:sz w:val="20"/>
          <w:szCs w:val="20"/>
        </w:rPr>
      </w:pPr>
      <w:bookmarkStart w:id="92" w:name="_AEIOULastRenderedPageBreakAEIOU66"/>
      <w:bookmarkStart w:id="93" w:name="PART_IV"/>
      <w:bookmarkEnd w:id="92"/>
      <w:bookmarkEnd w:id="93"/>
      <w:r>
        <w:rPr>
          <w:rFonts w:ascii="Calibri" w:hAnsi="Calibri" w:cs="Calibri"/>
          <w:b/>
          <w:bCs/>
          <w:sz w:val="20"/>
          <w:szCs w:val="20"/>
        </w:rPr>
        <w:t>PART IV</w:t>
      </w:r>
    </w:p>
    <w:tbl>
      <w:tblPr>
        <w:tblW w:w="5000" w:type="pct"/>
        <w:tblCellMar>
          <w:left w:w="0" w:type="dxa"/>
          <w:right w:w="0" w:type="dxa"/>
        </w:tblCellMar>
        <w:tblLook w:val="04A0" w:firstRow="1" w:lastRow="0" w:firstColumn="1" w:lastColumn="0" w:noHBand="0" w:noVBand="1"/>
      </w:tblPr>
      <w:tblGrid>
        <w:gridCol w:w="688"/>
        <w:gridCol w:w="7618"/>
      </w:tblGrid>
      <w:tr w:rsidR="00251D72" w14:paraId="327224ED" w14:textId="77777777">
        <w:tc>
          <w:tcPr>
            <w:tcW w:w="213" w:type="pct"/>
            <w:noWrap/>
            <w:hideMark/>
          </w:tcPr>
          <w:p w14:paraId="225DEC6E" w14:textId="77777777" w:rsidR="00251D72" w:rsidRDefault="00251D72">
            <w:pPr>
              <w:pStyle w:val="a3"/>
              <w:spacing w:before="120" w:beforeAutospacing="0" w:after="0" w:afterAutospacing="0"/>
              <w:rPr>
                <w:rFonts w:ascii="Calibri" w:hAnsi="Calibri" w:cs="Calibri"/>
                <w:b/>
                <w:bCs/>
                <w:sz w:val="20"/>
                <w:szCs w:val="20"/>
              </w:rPr>
            </w:pPr>
            <w:r>
              <w:rPr>
                <w:rFonts w:ascii="Calibri" w:hAnsi="Calibri" w:cs="Calibri"/>
                <w:b/>
                <w:bCs/>
                <w:sz w:val="20"/>
                <w:szCs w:val="20"/>
              </w:rPr>
              <w:t>Item 15.</w:t>
            </w:r>
          </w:p>
        </w:tc>
        <w:tc>
          <w:tcPr>
            <w:tcW w:w="0" w:type="auto"/>
            <w:hideMark/>
          </w:tcPr>
          <w:p w14:paraId="0843F747" w14:textId="77777777" w:rsidR="00251D72" w:rsidRDefault="00251D72">
            <w:pPr>
              <w:pStyle w:val="a3"/>
              <w:spacing w:before="120" w:beforeAutospacing="0" w:after="0" w:afterAutospacing="0"/>
              <w:rPr>
                <w:rFonts w:ascii="Calibri" w:hAnsi="Calibri" w:cs="Calibri"/>
                <w:b/>
                <w:bCs/>
                <w:sz w:val="20"/>
                <w:szCs w:val="20"/>
              </w:rPr>
            </w:pPr>
            <w:bookmarkStart w:id="94" w:name="ITEM_15_EXHIBITS_FINANCIAL_STATEMENT_SCH"/>
            <w:bookmarkEnd w:id="94"/>
            <w:r>
              <w:rPr>
                <w:rFonts w:ascii="Calibri" w:hAnsi="Calibri" w:cs="Calibri"/>
                <w:b/>
                <w:bCs/>
                <w:sz w:val="20"/>
                <w:szCs w:val="20"/>
              </w:rPr>
              <w:t>Exhibits and Financial Statement Schedules</w:t>
            </w:r>
          </w:p>
        </w:tc>
      </w:tr>
    </w:tbl>
    <w:p w14:paraId="5FFF7289"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224"/>
        <w:gridCol w:w="8082"/>
      </w:tblGrid>
      <w:tr w:rsidR="00251D72" w14:paraId="0A6076EA" w14:textId="77777777">
        <w:tc>
          <w:tcPr>
            <w:tcW w:w="107" w:type="pct"/>
            <w:noWrap/>
            <w:hideMark/>
          </w:tcPr>
          <w:p w14:paraId="65D9D4D3"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(a)</w:t>
            </w:r>
          </w:p>
        </w:tc>
        <w:tc>
          <w:tcPr>
            <w:tcW w:w="0" w:type="auto"/>
            <w:hideMark/>
          </w:tcPr>
          <w:p w14:paraId="70C6816F"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1. Financial Statements</w:t>
            </w:r>
          </w:p>
        </w:tc>
      </w:tr>
    </w:tbl>
    <w:p w14:paraId="31BE9E9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The following financial statements are filed as a part of this report: </w:t>
      </w:r>
    </w:p>
    <w:p w14:paraId="78D6C771" w14:textId="77777777" w:rsidR="00251D72" w:rsidRDefault="00251D72">
      <w:pPr>
        <w:pStyle w:val="a3"/>
        <w:spacing w:before="0" w:beforeAutospacing="0" w:after="0" w:afterAutospacing="0"/>
        <w:rPr>
          <w:rFonts w:ascii="Calibri" w:hAnsi="Calibri" w:cs="Calibri"/>
          <w:sz w:val="12"/>
          <w:szCs w:val="12"/>
        </w:rPr>
      </w:pPr>
      <w:r>
        <w:rPr>
          <w:rFonts w:ascii="Calibri" w:hAnsi="Calibri" w:cs="Calibri"/>
          <w:sz w:val="12"/>
          <w:szCs w:val="12"/>
        </w:rPr>
        <w:t> </w:t>
      </w:r>
    </w:p>
    <w:tbl>
      <w:tblPr>
        <w:tblW w:w="5000" w:type="pct"/>
        <w:jc w:val="center"/>
        <w:tblCellMar>
          <w:left w:w="0" w:type="dxa"/>
          <w:right w:w="0" w:type="dxa"/>
        </w:tblCellMar>
        <w:tblLook w:val="04A0" w:firstRow="1" w:lastRow="0" w:firstColumn="1" w:lastColumn="0" w:noHBand="0" w:noVBand="1"/>
      </w:tblPr>
      <w:tblGrid>
        <w:gridCol w:w="7808"/>
        <w:gridCol w:w="83"/>
        <w:gridCol w:w="415"/>
      </w:tblGrid>
      <w:tr w:rsidR="00251D72" w14:paraId="0FF4448F" w14:textId="77777777">
        <w:trPr>
          <w:divId w:val="80178648"/>
          <w:jc w:val="center"/>
        </w:trPr>
        <w:tc>
          <w:tcPr>
            <w:tcW w:w="4700" w:type="pct"/>
            <w:hideMark/>
          </w:tcPr>
          <w:p w14:paraId="62AE29EB" w14:textId="77777777" w:rsidR="00251D72" w:rsidRDefault="00251D72">
            <w:pPr>
              <w:pStyle w:val="a3"/>
              <w:spacing w:before="0" w:beforeAutospacing="0" w:after="0" w:afterAutospacing="0"/>
              <w:rPr>
                <w:rFonts w:ascii="Calibri" w:hAnsi="Calibri" w:cs="Calibri"/>
                <w:b/>
                <w:bCs/>
                <w:sz w:val="16"/>
                <w:szCs w:val="16"/>
              </w:rPr>
            </w:pPr>
            <w:r>
              <w:rPr>
                <w:rFonts w:ascii="Calibri" w:hAnsi="Calibri" w:cs="Calibri"/>
                <w:b/>
                <w:bCs/>
                <w:sz w:val="16"/>
                <w:szCs w:val="16"/>
              </w:rPr>
              <w:t> </w:t>
            </w:r>
          </w:p>
        </w:tc>
        <w:tc>
          <w:tcPr>
            <w:tcW w:w="50" w:type="pct"/>
            <w:hideMark/>
          </w:tcPr>
          <w:p w14:paraId="4E8AFD8D" w14:textId="77777777" w:rsidR="00251D72" w:rsidRDefault="00251D72">
            <w:pPr>
              <w:pStyle w:val="a3"/>
              <w:spacing w:before="0" w:beforeAutospacing="0" w:after="0" w:afterAutospacing="0"/>
              <w:rPr>
                <w:b/>
                <w:bCs/>
                <w:sz w:val="16"/>
                <w:szCs w:val="16"/>
              </w:rPr>
            </w:pPr>
            <w:r>
              <w:rPr>
                <w:b/>
                <w:bCs/>
                <w:sz w:val="16"/>
                <w:szCs w:val="16"/>
              </w:rPr>
              <w:t> </w:t>
            </w:r>
          </w:p>
        </w:tc>
        <w:tc>
          <w:tcPr>
            <w:tcW w:w="250" w:type="pct"/>
            <w:hideMark/>
          </w:tcPr>
          <w:p w14:paraId="452DFA9D"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u w:val="single"/>
              </w:rPr>
              <w:t>Page</w:t>
            </w:r>
          </w:p>
        </w:tc>
      </w:tr>
      <w:tr w:rsidR="00251D72" w14:paraId="4F7082A8" w14:textId="77777777">
        <w:trPr>
          <w:divId w:val="80178648"/>
          <w:jc w:val="center"/>
        </w:trPr>
        <w:tc>
          <w:tcPr>
            <w:tcW w:w="4700" w:type="pct"/>
            <w:hideMark/>
          </w:tcPr>
          <w:p w14:paraId="28F6EE87" w14:textId="77777777" w:rsidR="00251D72" w:rsidRDefault="00251D72">
            <w:pPr>
              <w:pStyle w:val="a3"/>
              <w:spacing w:before="0" w:beforeAutospacing="0" w:after="0" w:afterAutospacing="0"/>
              <w:rPr>
                <w:b/>
                <w:bCs/>
                <w:sz w:val="6"/>
                <w:szCs w:val="6"/>
              </w:rPr>
            </w:pPr>
            <w:r>
              <w:rPr>
                <w:b/>
                <w:bCs/>
                <w:sz w:val="6"/>
                <w:szCs w:val="6"/>
              </w:rPr>
              <w:t> </w:t>
            </w:r>
          </w:p>
        </w:tc>
        <w:tc>
          <w:tcPr>
            <w:tcW w:w="50" w:type="pct"/>
            <w:hideMark/>
          </w:tcPr>
          <w:p w14:paraId="24297CF3" w14:textId="77777777" w:rsidR="00251D72" w:rsidRDefault="00251D72">
            <w:pPr>
              <w:pStyle w:val="a3"/>
              <w:spacing w:before="0" w:beforeAutospacing="0" w:after="0" w:afterAutospacing="0"/>
              <w:rPr>
                <w:b/>
                <w:bCs/>
                <w:sz w:val="6"/>
                <w:szCs w:val="6"/>
              </w:rPr>
            </w:pPr>
            <w:r>
              <w:rPr>
                <w:b/>
                <w:bCs/>
                <w:sz w:val="6"/>
                <w:szCs w:val="6"/>
              </w:rPr>
              <w:t> </w:t>
            </w:r>
          </w:p>
        </w:tc>
        <w:tc>
          <w:tcPr>
            <w:tcW w:w="250" w:type="pct"/>
            <w:hideMark/>
          </w:tcPr>
          <w:p w14:paraId="66AB29D3" w14:textId="77777777" w:rsidR="00251D72" w:rsidRDefault="00251D72">
            <w:pPr>
              <w:pStyle w:val="a3"/>
              <w:spacing w:before="0" w:beforeAutospacing="0" w:after="0" w:afterAutospacing="0"/>
              <w:jc w:val="center"/>
              <w:rPr>
                <w:b/>
                <w:bCs/>
                <w:sz w:val="6"/>
                <w:szCs w:val="6"/>
              </w:rPr>
            </w:pPr>
            <w:r>
              <w:rPr>
                <w:b/>
                <w:bCs/>
                <w:sz w:val="6"/>
                <w:szCs w:val="6"/>
              </w:rPr>
              <w:t> </w:t>
            </w:r>
          </w:p>
        </w:tc>
      </w:tr>
      <w:tr w:rsidR="00251D72" w14:paraId="470F9B96" w14:textId="77777777">
        <w:trPr>
          <w:divId w:val="80178648"/>
          <w:jc w:val="center"/>
        </w:trPr>
        <w:tc>
          <w:tcPr>
            <w:tcW w:w="4700" w:type="pct"/>
            <w:hideMark/>
          </w:tcPr>
          <w:p w14:paraId="2A513C4D" w14:textId="77777777" w:rsidR="00251D72" w:rsidRDefault="00251D72">
            <w:pPr>
              <w:pStyle w:val="a3"/>
              <w:spacing w:before="0" w:beforeAutospacing="0" w:after="0" w:afterAutospacing="0"/>
              <w:rPr>
                <w:rFonts w:ascii="Calibri" w:hAnsi="Calibri" w:cs="Calibri"/>
                <w:sz w:val="20"/>
                <w:szCs w:val="20"/>
              </w:rPr>
            </w:pPr>
            <w:hyperlink w:anchor="REPORT_INDEPENDENT_REGISTERED_PUBLIC_AC" w:history="1">
              <w:r>
                <w:rPr>
                  <w:rStyle w:val="a4"/>
                  <w:rFonts w:ascii="Calibri" w:hAnsi="Calibri" w:cs="Calibri"/>
                  <w:sz w:val="20"/>
                  <w:szCs w:val="20"/>
                </w:rPr>
                <w:t>Reports of Independent Registered Public Accounting Firm</w:t>
              </w:r>
            </w:hyperlink>
          </w:p>
        </w:tc>
        <w:tc>
          <w:tcPr>
            <w:tcW w:w="50" w:type="pct"/>
            <w:hideMark/>
          </w:tcPr>
          <w:p w14:paraId="09832493" w14:textId="77777777" w:rsidR="00251D72" w:rsidRDefault="00251D72">
            <w:pPr>
              <w:pStyle w:val="a3"/>
              <w:spacing w:before="0" w:beforeAutospacing="0" w:after="0" w:afterAutospacing="0"/>
              <w:jc w:val="right"/>
            </w:pPr>
            <w:r>
              <w:t> </w:t>
            </w:r>
          </w:p>
        </w:tc>
        <w:tc>
          <w:tcPr>
            <w:tcW w:w="250" w:type="pct"/>
            <w:vAlign w:val="bottom"/>
            <w:hideMark/>
          </w:tcPr>
          <w:p w14:paraId="071EE3A3" w14:textId="77777777" w:rsidR="00251D72" w:rsidRDefault="00251D72">
            <w:pPr>
              <w:pStyle w:val="a3"/>
              <w:spacing w:before="0" w:beforeAutospacing="0" w:after="0" w:afterAutospacing="0"/>
              <w:jc w:val="right"/>
              <w:rPr>
                <w:rFonts w:ascii="Calibri" w:hAnsi="Calibri" w:cs="Calibri"/>
                <w:sz w:val="20"/>
                <w:szCs w:val="20"/>
              </w:rPr>
            </w:pPr>
            <w:r>
              <w:rPr>
                <w:rFonts w:ascii="Calibri" w:hAnsi="Calibri" w:cs="Calibri"/>
                <w:sz w:val="20"/>
                <w:szCs w:val="20"/>
              </w:rPr>
              <w:t>65</w:t>
            </w:r>
          </w:p>
        </w:tc>
      </w:tr>
      <w:tr w:rsidR="00251D72" w14:paraId="29631C64" w14:textId="77777777">
        <w:trPr>
          <w:divId w:val="80178648"/>
          <w:jc w:val="center"/>
        </w:trPr>
        <w:tc>
          <w:tcPr>
            <w:tcW w:w="4700" w:type="pct"/>
            <w:hideMark/>
          </w:tcPr>
          <w:p w14:paraId="3CD0AC40"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Consolidated Financial Statements:</w:t>
            </w:r>
          </w:p>
        </w:tc>
        <w:tc>
          <w:tcPr>
            <w:tcW w:w="50" w:type="pct"/>
            <w:hideMark/>
          </w:tcPr>
          <w:p w14:paraId="2C6CD62A" w14:textId="77777777" w:rsidR="00251D72" w:rsidRDefault="00251D72">
            <w:pPr>
              <w:pStyle w:val="a3"/>
              <w:spacing w:before="0" w:beforeAutospacing="0" w:after="0" w:afterAutospacing="0"/>
              <w:jc w:val="right"/>
            </w:pPr>
            <w:r>
              <w:t> </w:t>
            </w:r>
          </w:p>
        </w:tc>
        <w:tc>
          <w:tcPr>
            <w:tcW w:w="250" w:type="pct"/>
            <w:vAlign w:val="bottom"/>
            <w:hideMark/>
          </w:tcPr>
          <w:p w14:paraId="6660C499" w14:textId="77777777" w:rsidR="00251D72" w:rsidRDefault="00251D72">
            <w:pPr>
              <w:pStyle w:val="a3"/>
              <w:spacing w:before="0" w:beforeAutospacing="0" w:after="0" w:afterAutospacing="0"/>
              <w:jc w:val="right"/>
            </w:pPr>
            <w:r>
              <w:t> </w:t>
            </w:r>
          </w:p>
        </w:tc>
      </w:tr>
      <w:tr w:rsidR="00251D72" w14:paraId="653E303A" w14:textId="77777777">
        <w:trPr>
          <w:divId w:val="80178648"/>
          <w:jc w:val="center"/>
        </w:trPr>
        <w:tc>
          <w:tcPr>
            <w:tcW w:w="4700" w:type="pct"/>
            <w:hideMark/>
          </w:tcPr>
          <w:p w14:paraId="5A44F700" w14:textId="77777777" w:rsidR="00251D72" w:rsidRDefault="00251D72">
            <w:pPr>
              <w:pStyle w:val="a3"/>
              <w:spacing w:before="0" w:beforeAutospacing="0" w:after="0" w:afterAutospacing="0"/>
              <w:ind w:left="490"/>
              <w:rPr>
                <w:rFonts w:ascii="Calibri" w:hAnsi="Calibri" w:cs="Calibri"/>
                <w:sz w:val="20"/>
                <w:szCs w:val="20"/>
              </w:rPr>
            </w:pPr>
            <w:hyperlink w:anchor="CONSOLIDATED_BALANCE_SHEETS" w:history="1">
              <w:r>
                <w:rPr>
                  <w:rStyle w:val="a4"/>
                  <w:rFonts w:ascii="Calibri" w:hAnsi="Calibri" w:cs="Calibri"/>
                  <w:sz w:val="20"/>
                  <w:szCs w:val="20"/>
                </w:rPr>
                <w:t>Balance Sheets as of May 31, 2019 and 2018</w:t>
              </w:r>
            </w:hyperlink>
          </w:p>
        </w:tc>
        <w:tc>
          <w:tcPr>
            <w:tcW w:w="50" w:type="pct"/>
            <w:hideMark/>
          </w:tcPr>
          <w:p w14:paraId="22C4B091" w14:textId="77777777" w:rsidR="00251D72" w:rsidRDefault="00251D72">
            <w:pPr>
              <w:pStyle w:val="a3"/>
              <w:spacing w:before="0" w:beforeAutospacing="0" w:after="0" w:afterAutospacing="0"/>
              <w:jc w:val="right"/>
            </w:pPr>
            <w:r>
              <w:t> </w:t>
            </w:r>
          </w:p>
        </w:tc>
        <w:tc>
          <w:tcPr>
            <w:tcW w:w="250" w:type="pct"/>
            <w:vAlign w:val="bottom"/>
            <w:hideMark/>
          </w:tcPr>
          <w:p w14:paraId="6EB65DED" w14:textId="77777777" w:rsidR="00251D72" w:rsidRDefault="00251D72">
            <w:pPr>
              <w:pStyle w:val="a3"/>
              <w:spacing w:before="0" w:beforeAutospacing="0" w:after="0" w:afterAutospacing="0"/>
              <w:jc w:val="right"/>
              <w:rPr>
                <w:rFonts w:ascii="Calibri" w:hAnsi="Calibri" w:cs="Calibri"/>
                <w:sz w:val="20"/>
                <w:szCs w:val="20"/>
              </w:rPr>
            </w:pPr>
            <w:r>
              <w:rPr>
                <w:rFonts w:ascii="Calibri" w:hAnsi="Calibri" w:cs="Calibri"/>
                <w:sz w:val="20"/>
                <w:szCs w:val="20"/>
              </w:rPr>
              <w:t>67</w:t>
            </w:r>
          </w:p>
        </w:tc>
      </w:tr>
      <w:tr w:rsidR="00251D72" w14:paraId="58F14A98" w14:textId="77777777">
        <w:trPr>
          <w:divId w:val="80178648"/>
          <w:jc w:val="center"/>
        </w:trPr>
        <w:tc>
          <w:tcPr>
            <w:tcW w:w="4700" w:type="pct"/>
            <w:hideMark/>
          </w:tcPr>
          <w:p w14:paraId="1DCD06E6" w14:textId="77777777" w:rsidR="00251D72" w:rsidRDefault="00251D72">
            <w:pPr>
              <w:pStyle w:val="a3"/>
              <w:spacing w:before="0" w:beforeAutospacing="0" w:after="0" w:afterAutospacing="0"/>
              <w:ind w:left="490"/>
              <w:rPr>
                <w:rFonts w:ascii="Calibri" w:hAnsi="Calibri" w:cs="Calibri"/>
                <w:sz w:val="20"/>
                <w:szCs w:val="20"/>
              </w:rPr>
            </w:pPr>
            <w:hyperlink w:anchor="CONSOLIDATED_STATEMENTS_OPERATIONS" w:history="1">
              <w:r>
                <w:rPr>
                  <w:rStyle w:val="a4"/>
                  <w:rFonts w:ascii="Calibri" w:hAnsi="Calibri" w:cs="Calibri"/>
                  <w:sz w:val="20"/>
                  <w:szCs w:val="20"/>
                </w:rPr>
                <w:t>Statements of Operations for the years ended May 31, 2019, 2018 and 2017</w:t>
              </w:r>
            </w:hyperlink>
          </w:p>
        </w:tc>
        <w:tc>
          <w:tcPr>
            <w:tcW w:w="50" w:type="pct"/>
            <w:hideMark/>
          </w:tcPr>
          <w:p w14:paraId="5D8E799F" w14:textId="77777777" w:rsidR="00251D72" w:rsidRDefault="00251D72">
            <w:pPr>
              <w:pStyle w:val="a3"/>
              <w:spacing w:before="0" w:beforeAutospacing="0" w:after="0" w:afterAutospacing="0"/>
              <w:jc w:val="right"/>
            </w:pPr>
            <w:r>
              <w:t> </w:t>
            </w:r>
          </w:p>
        </w:tc>
        <w:tc>
          <w:tcPr>
            <w:tcW w:w="250" w:type="pct"/>
            <w:vAlign w:val="bottom"/>
            <w:hideMark/>
          </w:tcPr>
          <w:p w14:paraId="3DDCC152" w14:textId="77777777" w:rsidR="00251D72" w:rsidRDefault="00251D72">
            <w:pPr>
              <w:pStyle w:val="a3"/>
              <w:spacing w:before="0" w:beforeAutospacing="0" w:after="0" w:afterAutospacing="0"/>
              <w:jc w:val="right"/>
              <w:rPr>
                <w:rFonts w:ascii="Calibri" w:hAnsi="Calibri" w:cs="Calibri"/>
                <w:sz w:val="20"/>
                <w:szCs w:val="20"/>
              </w:rPr>
            </w:pPr>
            <w:r>
              <w:rPr>
                <w:rFonts w:ascii="Calibri" w:hAnsi="Calibri" w:cs="Calibri"/>
                <w:sz w:val="20"/>
                <w:szCs w:val="20"/>
              </w:rPr>
              <w:t>68</w:t>
            </w:r>
          </w:p>
        </w:tc>
      </w:tr>
      <w:tr w:rsidR="00251D72" w14:paraId="3C7ABD4B" w14:textId="77777777">
        <w:trPr>
          <w:divId w:val="80178648"/>
          <w:jc w:val="center"/>
        </w:trPr>
        <w:tc>
          <w:tcPr>
            <w:tcW w:w="4700" w:type="pct"/>
            <w:hideMark/>
          </w:tcPr>
          <w:p w14:paraId="3BC780F6" w14:textId="77777777" w:rsidR="00251D72" w:rsidRDefault="00251D72">
            <w:pPr>
              <w:pStyle w:val="a3"/>
              <w:spacing w:before="0" w:beforeAutospacing="0" w:after="0" w:afterAutospacing="0"/>
              <w:ind w:left="490"/>
              <w:rPr>
                <w:rFonts w:ascii="Calibri" w:hAnsi="Calibri" w:cs="Calibri"/>
                <w:sz w:val="20"/>
                <w:szCs w:val="20"/>
              </w:rPr>
            </w:pPr>
            <w:hyperlink w:anchor="CONSOLIDATED_STATEMENTS_COMPREHENSIVE_I" w:history="1">
              <w:r>
                <w:rPr>
                  <w:rStyle w:val="a4"/>
                  <w:rFonts w:ascii="Calibri" w:hAnsi="Calibri" w:cs="Calibri"/>
                  <w:sz w:val="20"/>
                  <w:szCs w:val="20"/>
                </w:rPr>
                <w:t>Statements of Comprehensive Income for the years ended May 31, 2019, 2018 and 2017</w:t>
              </w:r>
            </w:hyperlink>
          </w:p>
        </w:tc>
        <w:tc>
          <w:tcPr>
            <w:tcW w:w="50" w:type="pct"/>
            <w:hideMark/>
          </w:tcPr>
          <w:p w14:paraId="6FAB2BBD" w14:textId="77777777" w:rsidR="00251D72" w:rsidRDefault="00251D72">
            <w:pPr>
              <w:pStyle w:val="a3"/>
              <w:spacing w:before="0" w:beforeAutospacing="0" w:after="0" w:afterAutospacing="0"/>
              <w:jc w:val="right"/>
            </w:pPr>
            <w:r>
              <w:t> </w:t>
            </w:r>
          </w:p>
        </w:tc>
        <w:tc>
          <w:tcPr>
            <w:tcW w:w="250" w:type="pct"/>
            <w:vAlign w:val="bottom"/>
            <w:hideMark/>
          </w:tcPr>
          <w:p w14:paraId="14B9F1B7" w14:textId="77777777" w:rsidR="00251D72" w:rsidRDefault="00251D72">
            <w:pPr>
              <w:pStyle w:val="a3"/>
              <w:spacing w:before="0" w:beforeAutospacing="0" w:after="0" w:afterAutospacing="0"/>
              <w:jc w:val="right"/>
              <w:rPr>
                <w:rFonts w:ascii="Calibri" w:hAnsi="Calibri" w:cs="Calibri"/>
                <w:sz w:val="20"/>
                <w:szCs w:val="20"/>
              </w:rPr>
            </w:pPr>
            <w:r>
              <w:rPr>
                <w:rFonts w:ascii="Calibri" w:hAnsi="Calibri" w:cs="Calibri"/>
                <w:sz w:val="20"/>
                <w:szCs w:val="20"/>
              </w:rPr>
              <w:t>69</w:t>
            </w:r>
          </w:p>
        </w:tc>
      </w:tr>
      <w:tr w:rsidR="00251D72" w14:paraId="12297C29" w14:textId="77777777">
        <w:trPr>
          <w:divId w:val="80178648"/>
          <w:jc w:val="center"/>
        </w:trPr>
        <w:tc>
          <w:tcPr>
            <w:tcW w:w="4700" w:type="pct"/>
            <w:hideMark/>
          </w:tcPr>
          <w:p w14:paraId="4BBCA87B" w14:textId="77777777" w:rsidR="00251D72" w:rsidRDefault="00251D72">
            <w:pPr>
              <w:pStyle w:val="a3"/>
              <w:spacing w:before="0" w:beforeAutospacing="0" w:after="0" w:afterAutospacing="0"/>
              <w:ind w:left="490"/>
              <w:rPr>
                <w:rFonts w:ascii="Calibri" w:hAnsi="Calibri" w:cs="Calibri"/>
                <w:sz w:val="20"/>
                <w:szCs w:val="20"/>
              </w:rPr>
            </w:pPr>
            <w:hyperlink w:anchor="CONSOLIDATED_STATEMENTS_EQUITY" w:history="1">
              <w:r>
                <w:rPr>
                  <w:rStyle w:val="a4"/>
                  <w:rFonts w:ascii="Calibri" w:hAnsi="Calibri" w:cs="Calibri"/>
                  <w:sz w:val="20"/>
                  <w:szCs w:val="20"/>
                </w:rPr>
                <w:t>Statements of Equity for the years ended May 31, 2019, 2018 and 2017</w:t>
              </w:r>
            </w:hyperlink>
          </w:p>
        </w:tc>
        <w:tc>
          <w:tcPr>
            <w:tcW w:w="50" w:type="pct"/>
            <w:hideMark/>
          </w:tcPr>
          <w:p w14:paraId="1F986667" w14:textId="77777777" w:rsidR="00251D72" w:rsidRDefault="00251D72">
            <w:pPr>
              <w:pStyle w:val="a3"/>
              <w:spacing w:before="0" w:beforeAutospacing="0" w:after="0" w:afterAutospacing="0"/>
              <w:jc w:val="right"/>
            </w:pPr>
            <w:r>
              <w:t> </w:t>
            </w:r>
          </w:p>
        </w:tc>
        <w:tc>
          <w:tcPr>
            <w:tcW w:w="250" w:type="pct"/>
            <w:vAlign w:val="bottom"/>
            <w:hideMark/>
          </w:tcPr>
          <w:p w14:paraId="349D5097" w14:textId="77777777" w:rsidR="00251D72" w:rsidRDefault="00251D72">
            <w:pPr>
              <w:pStyle w:val="a3"/>
              <w:spacing w:before="0" w:beforeAutospacing="0" w:after="0" w:afterAutospacing="0"/>
              <w:jc w:val="right"/>
              <w:rPr>
                <w:rFonts w:ascii="Calibri" w:hAnsi="Calibri" w:cs="Calibri"/>
                <w:sz w:val="20"/>
                <w:szCs w:val="20"/>
              </w:rPr>
            </w:pPr>
            <w:r>
              <w:rPr>
                <w:rFonts w:ascii="Calibri" w:hAnsi="Calibri" w:cs="Calibri"/>
                <w:sz w:val="20"/>
                <w:szCs w:val="20"/>
              </w:rPr>
              <w:t>70</w:t>
            </w:r>
          </w:p>
        </w:tc>
      </w:tr>
      <w:tr w:rsidR="00251D72" w14:paraId="0468F270" w14:textId="77777777">
        <w:trPr>
          <w:divId w:val="80178648"/>
          <w:jc w:val="center"/>
        </w:trPr>
        <w:tc>
          <w:tcPr>
            <w:tcW w:w="4700" w:type="pct"/>
            <w:hideMark/>
          </w:tcPr>
          <w:p w14:paraId="5C8CF96C" w14:textId="77777777" w:rsidR="00251D72" w:rsidRDefault="00251D72">
            <w:pPr>
              <w:pStyle w:val="a3"/>
              <w:spacing w:before="0" w:beforeAutospacing="0" w:after="0" w:afterAutospacing="0"/>
              <w:ind w:left="490"/>
              <w:rPr>
                <w:rFonts w:ascii="Calibri" w:hAnsi="Calibri" w:cs="Calibri"/>
                <w:sz w:val="20"/>
                <w:szCs w:val="20"/>
              </w:rPr>
            </w:pPr>
            <w:hyperlink w:anchor="CONSOLIDATED_STATEMENTS_CASH_FLOWS" w:history="1">
              <w:r>
                <w:rPr>
                  <w:rStyle w:val="a4"/>
                  <w:rFonts w:ascii="Calibri" w:hAnsi="Calibri" w:cs="Calibri"/>
                  <w:sz w:val="20"/>
                  <w:szCs w:val="20"/>
                </w:rPr>
                <w:t>Statements of Cash Flows for the years ended May 31, 2019, 2018 and 2017</w:t>
              </w:r>
            </w:hyperlink>
          </w:p>
        </w:tc>
        <w:tc>
          <w:tcPr>
            <w:tcW w:w="50" w:type="pct"/>
            <w:hideMark/>
          </w:tcPr>
          <w:p w14:paraId="27499DD8" w14:textId="77777777" w:rsidR="00251D72" w:rsidRDefault="00251D72">
            <w:pPr>
              <w:pStyle w:val="a3"/>
              <w:spacing w:before="0" w:beforeAutospacing="0" w:after="0" w:afterAutospacing="0"/>
              <w:jc w:val="right"/>
            </w:pPr>
            <w:r>
              <w:t> </w:t>
            </w:r>
          </w:p>
        </w:tc>
        <w:tc>
          <w:tcPr>
            <w:tcW w:w="250" w:type="pct"/>
            <w:vAlign w:val="bottom"/>
            <w:hideMark/>
          </w:tcPr>
          <w:p w14:paraId="4E3939BD" w14:textId="77777777" w:rsidR="00251D72" w:rsidRDefault="00251D72">
            <w:pPr>
              <w:pStyle w:val="a3"/>
              <w:spacing w:before="0" w:beforeAutospacing="0" w:after="0" w:afterAutospacing="0"/>
              <w:jc w:val="right"/>
              <w:rPr>
                <w:rFonts w:ascii="Calibri" w:hAnsi="Calibri" w:cs="Calibri"/>
                <w:sz w:val="20"/>
                <w:szCs w:val="20"/>
              </w:rPr>
            </w:pPr>
            <w:r>
              <w:rPr>
                <w:rFonts w:ascii="Calibri" w:hAnsi="Calibri" w:cs="Calibri"/>
                <w:sz w:val="20"/>
                <w:szCs w:val="20"/>
              </w:rPr>
              <w:t>71</w:t>
            </w:r>
          </w:p>
        </w:tc>
      </w:tr>
      <w:tr w:rsidR="00251D72" w14:paraId="36AD0997" w14:textId="77777777">
        <w:trPr>
          <w:divId w:val="80178648"/>
          <w:jc w:val="center"/>
        </w:trPr>
        <w:tc>
          <w:tcPr>
            <w:tcW w:w="4700" w:type="pct"/>
            <w:hideMark/>
          </w:tcPr>
          <w:p w14:paraId="49295FF2" w14:textId="77777777" w:rsidR="00251D72" w:rsidRDefault="00251D72">
            <w:pPr>
              <w:pStyle w:val="a3"/>
              <w:spacing w:before="0" w:beforeAutospacing="0" w:after="0" w:afterAutospacing="0"/>
              <w:ind w:left="490"/>
              <w:rPr>
                <w:rFonts w:ascii="Calibri" w:hAnsi="Calibri" w:cs="Calibri"/>
                <w:sz w:val="20"/>
                <w:szCs w:val="20"/>
              </w:rPr>
            </w:pPr>
            <w:hyperlink w:anchor="N1_ORGANIZATION_SIGNIFICANT_ACCOUNTING_" w:history="1">
              <w:r>
                <w:rPr>
                  <w:rStyle w:val="a4"/>
                  <w:rFonts w:ascii="Calibri" w:hAnsi="Calibri" w:cs="Calibri"/>
                  <w:sz w:val="20"/>
                  <w:szCs w:val="20"/>
                </w:rPr>
                <w:t>Notes to Consolidated Financial Statements</w:t>
              </w:r>
            </w:hyperlink>
          </w:p>
        </w:tc>
        <w:tc>
          <w:tcPr>
            <w:tcW w:w="50" w:type="pct"/>
            <w:hideMark/>
          </w:tcPr>
          <w:p w14:paraId="535295AA" w14:textId="77777777" w:rsidR="00251D72" w:rsidRDefault="00251D72">
            <w:pPr>
              <w:pStyle w:val="a3"/>
              <w:spacing w:before="0" w:beforeAutospacing="0" w:after="0" w:afterAutospacing="0"/>
              <w:jc w:val="right"/>
            </w:pPr>
            <w:r>
              <w:t> </w:t>
            </w:r>
          </w:p>
        </w:tc>
        <w:tc>
          <w:tcPr>
            <w:tcW w:w="250" w:type="pct"/>
            <w:vAlign w:val="bottom"/>
            <w:hideMark/>
          </w:tcPr>
          <w:p w14:paraId="224470ED" w14:textId="77777777" w:rsidR="00251D72" w:rsidRDefault="00251D72">
            <w:pPr>
              <w:pStyle w:val="a3"/>
              <w:spacing w:before="0" w:beforeAutospacing="0" w:after="0" w:afterAutospacing="0"/>
              <w:jc w:val="right"/>
              <w:rPr>
                <w:rFonts w:ascii="Calibri" w:hAnsi="Calibri" w:cs="Calibri"/>
                <w:sz w:val="20"/>
                <w:szCs w:val="20"/>
              </w:rPr>
            </w:pPr>
            <w:r>
              <w:rPr>
                <w:rFonts w:ascii="Calibri" w:hAnsi="Calibri" w:cs="Calibri"/>
                <w:sz w:val="20"/>
                <w:szCs w:val="20"/>
              </w:rPr>
              <w:t>72</w:t>
            </w:r>
          </w:p>
        </w:tc>
      </w:tr>
    </w:tbl>
    <w:p w14:paraId="2755C95D" w14:textId="77777777" w:rsidR="00251D72" w:rsidRDefault="00251D72">
      <w:pPr>
        <w:pStyle w:val="a3"/>
        <w:spacing w:before="0" w:beforeAutospacing="0" w:after="0" w:afterAutospacing="0"/>
      </w:pPr>
      <w:r>
        <w:t> </w:t>
      </w:r>
    </w:p>
    <w:p w14:paraId="211AB0A8" w14:textId="77777777" w:rsidR="00251D72" w:rsidRDefault="00251D72">
      <w:pPr>
        <w:pStyle w:val="a3"/>
        <w:spacing w:before="40" w:beforeAutospacing="0" w:after="0" w:afterAutospacing="0"/>
        <w:ind w:left="238"/>
        <w:jc w:val="both"/>
        <w:rPr>
          <w:rFonts w:ascii="Calibri" w:hAnsi="Calibri" w:cs="Calibri"/>
          <w:b/>
          <w:bCs/>
          <w:sz w:val="20"/>
          <w:szCs w:val="20"/>
        </w:rPr>
      </w:pPr>
      <w:r>
        <w:rPr>
          <w:rFonts w:ascii="Calibri" w:hAnsi="Calibri" w:cs="Calibri"/>
          <w:b/>
          <w:bCs/>
          <w:sz w:val="20"/>
          <w:szCs w:val="20"/>
        </w:rPr>
        <w:t>2. Financial Statement Schedules</w:t>
      </w:r>
    </w:p>
    <w:p w14:paraId="17F7D58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The following financial statement schedule is filed as a part of this report: </w:t>
      </w:r>
    </w:p>
    <w:p w14:paraId="19C7743C" w14:textId="77777777" w:rsidR="00251D72" w:rsidRDefault="00251D72">
      <w:pPr>
        <w:pStyle w:val="a3"/>
        <w:spacing w:before="0" w:beforeAutospacing="0" w:after="0" w:afterAutospacing="0"/>
        <w:rPr>
          <w:rFonts w:ascii="Calibri" w:hAnsi="Calibri" w:cs="Calibri"/>
          <w:sz w:val="12"/>
          <w:szCs w:val="12"/>
        </w:rPr>
      </w:pPr>
      <w:r>
        <w:rPr>
          <w:rFonts w:ascii="Calibri" w:hAnsi="Calibri" w:cs="Calibri"/>
          <w:sz w:val="12"/>
          <w:szCs w:val="12"/>
        </w:rPr>
        <w:t> </w:t>
      </w:r>
    </w:p>
    <w:tbl>
      <w:tblPr>
        <w:tblW w:w="5000" w:type="pct"/>
        <w:jc w:val="center"/>
        <w:tblCellMar>
          <w:left w:w="0" w:type="dxa"/>
          <w:right w:w="0" w:type="dxa"/>
        </w:tblCellMar>
        <w:tblLook w:val="04A0" w:firstRow="1" w:lastRow="0" w:firstColumn="1" w:lastColumn="0" w:noHBand="0" w:noVBand="1"/>
      </w:tblPr>
      <w:tblGrid>
        <w:gridCol w:w="7808"/>
        <w:gridCol w:w="83"/>
        <w:gridCol w:w="415"/>
      </w:tblGrid>
      <w:tr w:rsidR="00251D72" w14:paraId="3806F817" w14:textId="77777777">
        <w:trPr>
          <w:divId w:val="325286268"/>
          <w:jc w:val="center"/>
        </w:trPr>
        <w:tc>
          <w:tcPr>
            <w:tcW w:w="4700" w:type="pct"/>
            <w:hideMark/>
          </w:tcPr>
          <w:p w14:paraId="13C2F39F" w14:textId="77777777" w:rsidR="00251D72" w:rsidRDefault="00251D72">
            <w:pPr>
              <w:pStyle w:val="a3"/>
              <w:spacing w:before="0" w:beforeAutospacing="0" w:after="0" w:afterAutospacing="0"/>
              <w:rPr>
                <w:rFonts w:ascii="Calibri" w:hAnsi="Calibri" w:cs="Calibri"/>
                <w:b/>
                <w:bCs/>
                <w:sz w:val="16"/>
                <w:szCs w:val="16"/>
              </w:rPr>
            </w:pPr>
            <w:r>
              <w:rPr>
                <w:rFonts w:ascii="Calibri" w:hAnsi="Calibri" w:cs="Calibri"/>
                <w:b/>
                <w:bCs/>
                <w:sz w:val="16"/>
                <w:szCs w:val="16"/>
              </w:rPr>
              <w:t> </w:t>
            </w:r>
          </w:p>
        </w:tc>
        <w:tc>
          <w:tcPr>
            <w:tcW w:w="50" w:type="pct"/>
            <w:hideMark/>
          </w:tcPr>
          <w:p w14:paraId="3908DBBA" w14:textId="77777777" w:rsidR="00251D72" w:rsidRDefault="00251D72">
            <w:pPr>
              <w:pStyle w:val="a3"/>
              <w:spacing w:before="0" w:beforeAutospacing="0" w:after="0" w:afterAutospacing="0"/>
              <w:rPr>
                <w:b/>
                <w:bCs/>
                <w:sz w:val="16"/>
                <w:szCs w:val="16"/>
              </w:rPr>
            </w:pPr>
            <w:r>
              <w:rPr>
                <w:b/>
                <w:bCs/>
                <w:sz w:val="16"/>
                <w:szCs w:val="16"/>
              </w:rPr>
              <w:t> </w:t>
            </w:r>
          </w:p>
        </w:tc>
        <w:tc>
          <w:tcPr>
            <w:tcW w:w="250" w:type="pct"/>
            <w:hideMark/>
          </w:tcPr>
          <w:p w14:paraId="23E2348E"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u w:val="single"/>
              </w:rPr>
              <w:t>Page</w:t>
            </w:r>
          </w:p>
        </w:tc>
      </w:tr>
      <w:tr w:rsidR="00251D72" w14:paraId="318BB7E1" w14:textId="77777777">
        <w:trPr>
          <w:divId w:val="325286268"/>
          <w:jc w:val="center"/>
        </w:trPr>
        <w:tc>
          <w:tcPr>
            <w:tcW w:w="4700" w:type="pct"/>
            <w:hideMark/>
          </w:tcPr>
          <w:p w14:paraId="7E684F49" w14:textId="77777777" w:rsidR="00251D72" w:rsidRDefault="00251D72">
            <w:pPr>
              <w:pStyle w:val="a3"/>
              <w:spacing w:before="0" w:beforeAutospacing="0" w:after="0" w:afterAutospacing="0"/>
              <w:rPr>
                <w:b/>
                <w:bCs/>
                <w:sz w:val="6"/>
                <w:szCs w:val="6"/>
              </w:rPr>
            </w:pPr>
            <w:r>
              <w:rPr>
                <w:b/>
                <w:bCs/>
                <w:sz w:val="6"/>
                <w:szCs w:val="6"/>
              </w:rPr>
              <w:t> </w:t>
            </w:r>
          </w:p>
        </w:tc>
        <w:tc>
          <w:tcPr>
            <w:tcW w:w="50" w:type="pct"/>
            <w:hideMark/>
          </w:tcPr>
          <w:p w14:paraId="02B6A7EC" w14:textId="77777777" w:rsidR="00251D72" w:rsidRDefault="00251D72">
            <w:pPr>
              <w:pStyle w:val="a3"/>
              <w:spacing w:before="0" w:beforeAutospacing="0" w:after="0" w:afterAutospacing="0"/>
              <w:rPr>
                <w:b/>
                <w:bCs/>
                <w:sz w:val="6"/>
                <w:szCs w:val="6"/>
              </w:rPr>
            </w:pPr>
            <w:r>
              <w:rPr>
                <w:b/>
                <w:bCs/>
                <w:sz w:val="6"/>
                <w:szCs w:val="6"/>
              </w:rPr>
              <w:t> </w:t>
            </w:r>
          </w:p>
        </w:tc>
        <w:tc>
          <w:tcPr>
            <w:tcW w:w="250" w:type="pct"/>
            <w:hideMark/>
          </w:tcPr>
          <w:p w14:paraId="3454BAB6" w14:textId="77777777" w:rsidR="00251D72" w:rsidRDefault="00251D72">
            <w:pPr>
              <w:pStyle w:val="a3"/>
              <w:spacing w:before="0" w:beforeAutospacing="0" w:after="0" w:afterAutospacing="0"/>
              <w:jc w:val="center"/>
              <w:rPr>
                <w:b/>
                <w:bCs/>
                <w:sz w:val="6"/>
                <w:szCs w:val="6"/>
              </w:rPr>
            </w:pPr>
            <w:r>
              <w:rPr>
                <w:b/>
                <w:bCs/>
                <w:sz w:val="6"/>
                <w:szCs w:val="6"/>
              </w:rPr>
              <w:t> </w:t>
            </w:r>
          </w:p>
        </w:tc>
      </w:tr>
      <w:tr w:rsidR="00251D72" w14:paraId="7940CF44" w14:textId="77777777">
        <w:trPr>
          <w:divId w:val="325286268"/>
          <w:jc w:val="center"/>
        </w:trPr>
        <w:tc>
          <w:tcPr>
            <w:tcW w:w="4700" w:type="pct"/>
            <w:hideMark/>
          </w:tcPr>
          <w:p w14:paraId="581A0276" w14:textId="77777777" w:rsidR="00251D72" w:rsidRDefault="00251D72">
            <w:pPr>
              <w:pStyle w:val="a3"/>
              <w:spacing w:before="0" w:beforeAutospacing="0" w:after="0" w:afterAutospacing="0"/>
              <w:rPr>
                <w:rFonts w:ascii="Calibri" w:hAnsi="Calibri" w:cs="Calibri"/>
                <w:sz w:val="20"/>
                <w:szCs w:val="20"/>
              </w:rPr>
            </w:pPr>
            <w:hyperlink w:anchor="SCHEDULE_II" w:history="1">
              <w:r>
                <w:rPr>
                  <w:rStyle w:val="a4"/>
                  <w:rFonts w:ascii="Calibri" w:hAnsi="Calibri" w:cs="Calibri"/>
                  <w:sz w:val="20"/>
                  <w:szCs w:val="20"/>
                </w:rPr>
                <w:t>Schedule II. Valuation and Qualifying Accounts</w:t>
              </w:r>
            </w:hyperlink>
          </w:p>
        </w:tc>
        <w:tc>
          <w:tcPr>
            <w:tcW w:w="50" w:type="pct"/>
            <w:hideMark/>
          </w:tcPr>
          <w:p w14:paraId="78DD4CE5" w14:textId="77777777" w:rsidR="00251D72" w:rsidRDefault="00251D72">
            <w:pPr>
              <w:pStyle w:val="a3"/>
              <w:spacing w:before="0" w:beforeAutospacing="0" w:after="0" w:afterAutospacing="0"/>
              <w:jc w:val="right"/>
            </w:pPr>
            <w:r>
              <w:t> </w:t>
            </w:r>
          </w:p>
        </w:tc>
        <w:tc>
          <w:tcPr>
            <w:tcW w:w="250" w:type="pct"/>
            <w:vAlign w:val="bottom"/>
            <w:hideMark/>
          </w:tcPr>
          <w:p w14:paraId="5CDBD9D6" w14:textId="77777777" w:rsidR="00251D72" w:rsidRDefault="00251D72">
            <w:pPr>
              <w:pStyle w:val="a3"/>
              <w:spacing w:before="0" w:beforeAutospacing="0" w:after="0" w:afterAutospacing="0"/>
              <w:jc w:val="right"/>
              <w:rPr>
                <w:rFonts w:ascii="Calibri" w:hAnsi="Calibri" w:cs="Calibri"/>
                <w:sz w:val="20"/>
                <w:szCs w:val="20"/>
              </w:rPr>
            </w:pPr>
            <w:r>
              <w:rPr>
                <w:rFonts w:ascii="Calibri" w:hAnsi="Calibri" w:cs="Calibri"/>
                <w:sz w:val="20"/>
                <w:szCs w:val="20"/>
              </w:rPr>
              <w:t>118</w:t>
            </w:r>
          </w:p>
        </w:tc>
      </w:tr>
    </w:tbl>
    <w:p w14:paraId="465C4C74" w14:textId="77777777" w:rsidR="00251D72" w:rsidRDefault="00251D72">
      <w:pPr>
        <w:pStyle w:val="a3"/>
        <w:spacing w:before="0" w:beforeAutospacing="0" w:after="0" w:afterAutospacing="0"/>
        <w:rPr>
          <w:sz w:val="12"/>
          <w:szCs w:val="12"/>
        </w:rPr>
      </w:pPr>
      <w:r>
        <w:rPr>
          <w:sz w:val="12"/>
          <w:szCs w:val="12"/>
        </w:rPr>
        <w:t> </w:t>
      </w:r>
    </w:p>
    <w:p w14:paraId="5DEDD595"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All other schedules are omitted because they are not required or the required information is shown in the financial statements or notes thereto.</w:t>
      </w:r>
    </w:p>
    <w:p w14:paraId="08278DFF" w14:textId="77777777" w:rsidR="00251D72" w:rsidRDefault="00251D72">
      <w:pPr>
        <w:pStyle w:val="a3"/>
        <w:spacing w:before="240" w:beforeAutospacing="0" w:after="0" w:afterAutospacing="0"/>
        <w:rPr>
          <w:rFonts w:ascii="Calibri" w:hAnsi="Calibri" w:cs="Calibri"/>
          <w:b/>
          <w:bCs/>
          <w:sz w:val="20"/>
          <w:szCs w:val="20"/>
        </w:rPr>
      </w:pPr>
      <w:r>
        <w:rPr>
          <w:rFonts w:ascii="Calibri" w:hAnsi="Calibri" w:cs="Calibri"/>
          <w:b/>
          <w:bCs/>
          <w:sz w:val="20"/>
          <w:szCs w:val="20"/>
        </w:rPr>
        <w:t xml:space="preserve">(b) Exhibits </w:t>
      </w:r>
    </w:p>
    <w:p w14:paraId="707F337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The information required by this Item is set forth in the Index of Exhibits that is after Item 16 of this Annual Report. </w:t>
      </w:r>
    </w:p>
    <w:p w14:paraId="5AE58503" w14:textId="77777777" w:rsidR="00251D72" w:rsidRDefault="00251D72">
      <w:pPr>
        <w:pStyle w:val="a3"/>
        <w:spacing w:before="120" w:beforeAutospacing="0" w:after="0" w:afterAutospacing="0"/>
        <w:jc w:val="both"/>
      </w:pPr>
      <w:r>
        <w:t> </w:t>
      </w:r>
    </w:p>
    <w:p w14:paraId="322CB3CF"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64</w:t>
      </w:r>
    </w:p>
    <w:p w14:paraId="77FADF5E" w14:textId="77777777" w:rsidR="00251D72" w:rsidRDefault="00251D72">
      <w:pPr>
        <w:rPr>
          <w:rFonts w:ascii="Times New Roman" w:eastAsia="Times New Roman" w:hAnsi="Times New Roman" w:cs="Times New Roman"/>
          <w:sz w:val="24"/>
          <w:szCs w:val="24"/>
        </w:rPr>
      </w:pPr>
      <w:r>
        <w:rPr>
          <w:rFonts w:eastAsia="Times New Roman"/>
        </w:rPr>
        <w:pict w14:anchorId="66F56761">
          <v:rect id="_x0000_i1090" style="width:415.3pt;height:1.5pt" o:hralign="center" o:hrstd="t" o:hr="t" fillcolor="#a0a0a0" stroked="f"/>
        </w:pict>
      </w:r>
    </w:p>
    <w:p w14:paraId="6E580AD0"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2A3BC88"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E8487B2" w14:textId="77777777" w:rsidR="00251D72" w:rsidRDefault="00251D72">
      <w:pPr>
        <w:pStyle w:val="a3"/>
        <w:spacing w:before="120" w:beforeAutospacing="0" w:after="0" w:afterAutospacing="0"/>
        <w:rPr>
          <w:sz w:val="20"/>
          <w:szCs w:val="20"/>
        </w:rPr>
      </w:pPr>
      <w:r>
        <w:rPr>
          <w:sz w:val="20"/>
          <w:szCs w:val="20"/>
        </w:rPr>
        <w:t> </w:t>
      </w:r>
    </w:p>
    <w:p w14:paraId="5D568CC8" w14:textId="77777777" w:rsidR="00251D72" w:rsidRDefault="00251D72">
      <w:pPr>
        <w:pStyle w:val="a3"/>
        <w:spacing w:before="0" w:beforeAutospacing="0" w:after="0" w:afterAutospacing="0"/>
        <w:jc w:val="center"/>
        <w:rPr>
          <w:rFonts w:ascii="Calibri" w:hAnsi="Calibri" w:cs="Calibri"/>
          <w:b/>
          <w:bCs/>
          <w:sz w:val="19"/>
          <w:szCs w:val="19"/>
        </w:rPr>
      </w:pPr>
      <w:bookmarkStart w:id="95" w:name="_AEIOULastRenderedPageBreakAEIOU67"/>
      <w:bookmarkStart w:id="96" w:name="REPORT_INDEPENDENT_REGISTERED_PUBLIC_ACC"/>
      <w:bookmarkEnd w:id="95"/>
      <w:r>
        <w:rPr>
          <w:rFonts w:ascii="Calibri" w:hAnsi="Calibri" w:cs="Calibri"/>
          <w:b/>
          <w:bCs/>
          <w:sz w:val="19"/>
          <w:szCs w:val="19"/>
        </w:rPr>
        <w:t>Report of Independent R</w:t>
      </w:r>
      <w:bookmarkEnd w:id="96"/>
      <w:r>
        <w:rPr>
          <w:rFonts w:ascii="Calibri" w:hAnsi="Calibri" w:cs="Calibri"/>
          <w:b/>
          <w:bCs/>
          <w:sz w:val="19"/>
          <w:szCs w:val="19"/>
        </w:rPr>
        <w:t>egistered Public Accounting Firm</w:t>
      </w:r>
    </w:p>
    <w:p w14:paraId="5C63BBAE" w14:textId="77777777" w:rsidR="00251D72" w:rsidRDefault="00251D72">
      <w:pPr>
        <w:pStyle w:val="a3"/>
        <w:spacing w:before="0" w:beforeAutospacing="0" w:after="160" w:afterAutospacing="0"/>
        <w:rPr>
          <w:rFonts w:ascii="Calibri" w:hAnsi="Calibri" w:cs="Calibri"/>
          <w:sz w:val="19"/>
          <w:szCs w:val="19"/>
        </w:rPr>
      </w:pPr>
      <w:r>
        <w:rPr>
          <w:rFonts w:ascii="Calibri" w:hAnsi="Calibri" w:cs="Calibri"/>
          <w:sz w:val="19"/>
          <w:szCs w:val="19"/>
        </w:rPr>
        <w:br/>
        <w:t>To the Stockholders and the Board of Directors of Oracle Corporation</w:t>
      </w:r>
    </w:p>
    <w:p w14:paraId="7923F90B" w14:textId="77777777" w:rsidR="00251D72" w:rsidRDefault="00251D72">
      <w:pPr>
        <w:pStyle w:val="a3"/>
        <w:spacing w:before="0" w:beforeAutospacing="0" w:after="160" w:afterAutospacing="0"/>
        <w:rPr>
          <w:rFonts w:ascii="Calibri" w:hAnsi="Calibri" w:cs="Calibri"/>
          <w:b/>
          <w:bCs/>
          <w:sz w:val="19"/>
          <w:szCs w:val="19"/>
        </w:rPr>
      </w:pPr>
      <w:r>
        <w:rPr>
          <w:rFonts w:ascii="Calibri" w:hAnsi="Calibri" w:cs="Calibri"/>
          <w:b/>
          <w:bCs/>
          <w:sz w:val="19"/>
          <w:szCs w:val="19"/>
        </w:rPr>
        <w:t xml:space="preserve">Opinion on the Financial Statements </w:t>
      </w:r>
    </w:p>
    <w:p w14:paraId="74161E58" w14:textId="77777777" w:rsidR="00251D72" w:rsidRDefault="00251D72">
      <w:pPr>
        <w:pStyle w:val="a3"/>
        <w:spacing w:before="0" w:beforeAutospacing="0" w:after="160" w:afterAutospacing="0"/>
        <w:jc w:val="both"/>
        <w:rPr>
          <w:rFonts w:ascii="Calibri" w:hAnsi="Calibri" w:cs="Calibri"/>
          <w:sz w:val="19"/>
          <w:szCs w:val="19"/>
        </w:rPr>
      </w:pPr>
      <w:r>
        <w:rPr>
          <w:rFonts w:ascii="Calibri" w:hAnsi="Calibri" w:cs="Calibri"/>
          <w:sz w:val="19"/>
          <w:szCs w:val="19"/>
        </w:rPr>
        <w:t xml:space="preserve">We have audited the accompanying consolidated balance sheets of Oracle Corporation (the Company) as of May 31, 2019 and 2018, the related consolidated statements of operations, comprehensive income, equity and cash flows for each of the three years in the period ended May 31, 2019, and the related notes and the financial statement schedule listed in the Index at Item 15(a)2 (collectively referred to as the “financial statements”). In our opinion, the financial statements present fairly, in all material respects, the consolidated financial position of the Company at May 31, 2019 and 2018, and the consolidated results of its operations and its cash flows for each of the three years in the period ended May 31, 2019, in conformity with U.S. generally accepted accounting principles. </w:t>
      </w:r>
    </w:p>
    <w:p w14:paraId="0F96FFD9" w14:textId="77777777" w:rsidR="00251D72" w:rsidRDefault="00251D72">
      <w:pPr>
        <w:pStyle w:val="a3"/>
        <w:spacing w:before="0" w:beforeAutospacing="0" w:after="160" w:afterAutospacing="0"/>
        <w:jc w:val="both"/>
        <w:rPr>
          <w:rFonts w:ascii="Calibri" w:hAnsi="Calibri" w:cs="Calibri"/>
          <w:sz w:val="19"/>
          <w:szCs w:val="19"/>
        </w:rPr>
      </w:pPr>
      <w:r>
        <w:rPr>
          <w:rFonts w:ascii="Calibri" w:hAnsi="Calibri" w:cs="Calibri"/>
          <w:sz w:val="19"/>
          <w:szCs w:val="19"/>
        </w:rPr>
        <w:t>We also have audited, in accordance with the standards of the Public Company Accounting Oversight Board (United States) (PCAOB), the Company's internal control over financial reporting as of May 31, 2019, based on criteria established in Internal Control-Integrated Framework issued by the Committee of Sponsoring Organizations of the Treadway Commission (2013 framework) and our report dated June 21, 2019 expressed an unqualified opinion thereon.</w:t>
      </w:r>
    </w:p>
    <w:p w14:paraId="2EE1CE46" w14:textId="77777777" w:rsidR="00251D72" w:rsidRDefault="00251D72">
      <w:pPr>
        <w:pStyle w:val="a3"/>
        <w:spacing w:before="160" w:beforeAutospacing="0" w:after="160" w:afterAutospacing="0"/>
        <w:jc w:val="both"/>
        <w:rPr>
          <w:rFonts w:ascii="Calibri" w:hAnsi="Calibri" w:cs="Calibri"/>
          <w:b/>
          <w:bCs/>
          <w:sz w:val="19"/>
          <w:szCs w:val="19"/>
        </w:rPr>
      </w:pPr>
      <w:r>
        <w:rPr>
          <w:rFonts w:ascii="Calibri" w:hAnsi="Calibri" w:cs="Calibri"/>
          <w:b/>
          <w:bCs/>
          <w:sz w:val="19"/>
          <w:szCs w:val="19"/>
        </w:rPr>
        <w:t>Adoption of ASU No. 2014-09</w:t>
      </w:r>
    </w:p>
    <w:p w14:paraId="27B30DE0" w14:textId="77777777" w:rsidR="00251D72" w:rsidRDefault="00251D72">
      <w:pPr>
        <w:pStyle w:val="a3"/>
        <w:spacing w:before="0" w:beforeAutospacing="0" w:after="0" w:afterAutospacing="0"/>
        <w:jc w:val="both"/>
        <w:rPr>
          <w:rFonts w:ascii="Calibri" w:hAnsi="Calibri" w:cs="Calibri"/>
          <w:sz w:val="19"/>
          <w:szCs w:val="19"/>
        </w:rPr>
      </w:pPr>
      <w:r>
        <w:rPr>
          <w:rFonts w:ascii="Calibri" w:hAnsi="Calibri" w:cs="Calibri"/>
          <w:sz w:val="19"/>
          <w:szCs w:val="19"/>
        </w:rPr>
        <w:t>As discussed in Note 1 to the consolidated financial statements, the Company changed its method of accounting for revenue from contracts with customers and for incremental costs to obtain contracts with customers in each period presented, due to the Company’s adoption of ASU No. 2014-09, </w:t>
      </w:r>
      <w:r>
        <w:rPr>
          <w:rFonts w:ascii="Calibri" w:hAnsi="Calibri" w:cs="Calibri"/>
          <w:i/>
          <w:iCs/>
          <w:sz w:val="19"/>
          <w:szCs w:val="19"/>
        </w:rPr>
        <w:t>Revenue from Contracts with Customers.</w:t>
      </w:r>
    </w:p>
    <w:p w14:paraId="1B2817EE" w14:textId="77777777" w:rsidR="00251D72" w:rsidRDefault="00251D72">
      <w:pPr>
        <w:pStyle w:val="a3"/>
        <w:spacing w:before="160" w:beforeAutospacing="0" w:after="160" w:afterAutospacing="0"/>
        <w:rPr>
          <w:rFonts w:ascii="Calibri" w:hAnsi="Calibri" w:cs="Calibri"/>
          <w:b/>
          <w:bCs/>
          <w:sz w:val="19"/>
          <w:szCs w:val="19"/>
        </w:rPr>
      </w:pPr>
      <w:r>
        <w:rPr>
          <w:rFonts w:ascii="Calibri" w:hAnsi="Calibri" w:cs="Calibri"/>
          <w:b/>
          <w:bCs/>
          <w:sz w:val="19"/>
          <w:szCs w:val="19"/>
        </w:rPr>
        <w:t xml:space="preserve">Basis for Opinion </w:t>
      </w:r>
    </w:p>
    <w:p w14:paraId="6C2AB8DC" w14:textId="77777777" w:rsidR="00251D72" w:rsidRDefault="00251D72">
      <w:pPr>
        <w:pStyle w:val="a3"/>
        <w:spacing w:before="0" w:beforeAutospacing="0" w:after="160" w:afterAutospacing="0"/>
        <w:jc w:val="both"/>
        <w:rPr>
          <w:rFonts w:ascii="Calibri" w:hAnsi="Calibri" w:cs="Calibri"/>
          <w:sz w:val="19"/>
          <w:szCs w:val="19"/>
        </w:rPr>
      </w:pPr>
      <w:r>
        <w:rPr>
          <w:rFonts w:ascii="Calibri" w:hAnsi="Calibri" w:cs="Calibri"/>
          <w:sz w:val="19"/>
          <w:szCs w:val="19"/>
        </w:rPr>
        <w:t xml:space="preserve">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 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 </w:t>
      </w:r>
    </w:p>
    <w:p w14:paraId="3E02C0FD" w14:textId="77777777" w:rsidR="00251D72" w:rsidRDefault="00251D72">
      <w:pPr>
        <w:pStyle w:val="a3"/>
        <w:shd w:val="clear" w:color="auto" w:fill="FFFFFF"/>
        <w:spacing w:before="0" w:beforeAutospacing="0" w:after="0" w:afterAutospacing="0"/>
        <w:rPr>
          <w:rFonts w:ascii="Calibri" w:hAnsi="Calibri" w:cs="Calibri"/>
          <w:color w:val="000000"/>
          <w:sz w:val="19"/>
          <w:szCs w:val="19"/>
        </w:rPr>
      </w:pPr>
      <w:r>
        <w:rPr>
          <w:rFonts w:ascii="Calibri" w:hAnsi="Calibri" w:cs="Calibri"/>
          <w:color w:val="000000"/>
          <w:sz w:val="19"/>
          <w:szCs w:val="19"/>
        </w:rPr>
        <w:t xml:space="preserve">/s/ Ernst &amp; Young LLP </w:t>
      </w:r>
    </w:p>
    <w:p w14:paraId="0AB28780" w14:textId="77777777" w:rsidR="00251D72" w:rsidRDefault="00251D72">
      <w:pPr>
        <w:pStyle w:val="a3"/>
        <w:spacing w:before="0" w:beforeAutospacing="0" w:after="160" w:afterAutospacing="0"/>
        <w:rPr>
          <w:rFonts w:ascii="Calibri" w:hAnsi="Calibri" w:cs="Calibri"/>
          <w:sz w:val="19"/>
          <w:szCs w:val="19"/>
        </w:rPr>
      </w:pPr>
      <w:r>
        <w:rPr>
          <w:rFonts w:ascii="Calibri" w:hAnsi="Calibri" w:cs="Calibri"/>
          <w:sz w:val="19"/>
          <w:szCs w:val="19"/>
        </w:rPr>
        <w:t>We have served as the Company’s auditor since 2002.</w:t>
      </w:r>
    </w:p>
    <w:p w14:paraId="7E04E7F4" w14:textId="77777777" w:rsidR="00251D72" w:rsidRDefault="00251D72">
      <w:pPr>
        <w:pStyle w:val="a3"/>
        <w:spacing w:before="80" w:beforeAutospacing="0" w:afterAutospacing="0"/>
        <w:rPr>
          <w:rFonts w:ascii="Calibri" w:hAnsi="Calibri" w:cs="Calibri"/>
          <w:sz w:val="19"/>
          <w:szCs w:val="19"/>
        </w:rPr>
      </w:pPr>
      <w:r>
        <w:rPr>
          <w:rFonts w:ascii="Calibri" w:hAnsi="Calibri" w:cs="Calibri"/>
          <w:sz w:val="19"/>
          <w:szCs w:val="19"/>
        </w:rPr>
        <w:t xml:space="preserve">San Jose, California </w:t>
      </w:r>
    </w:p>
    <w:p w14:paraId="1D436D29" w14:textId="77777777" w:rsidR="00251D72" w:rsidRDefault="00251D72">
      <w:pPr>
        <w:pStyle w:val="a3"/>
        <w:spacing w:before="0" w:beforeAutospacing="0" w:after="160" w:afterAutospacing="0"/>
        <w:rPr>
          <w:rFonts w:ascii="Calibri" w:hAnsi="Calibri" w:cs="Calibri"/>
          <w:color w:val="000000"/>
          <w:sz w:val="19"/>
          <w:szCs w:val="19"/>
        </w:rPr>
      </w:pPr>
      <w:bookmarkStart w:id="97" w:name="gaait__8"/>
      <w:r>
        <w:rPr>
          <w:rFonts w:ascii="Calibri" w:hAnsi="Calibri" w:cs="Calibri"/>
          <w:color w:val="000000"/>
          <w:sz w:val="19"/>
          <w:szCs w:val="19"/>
        </w:rPr>
        <w:t>June 21, 2019</w:t>
      </w:r>
      <w:bookmarkEnd w:id="97"/>
      <w:r>
        <w:rPr>
          <w:rFonts w:ascii="Calibri" w:hAnsi="Calibri" w:cs="Calibri"/>
          <w:color w:val="000000"/>
          <w:sz w:val="19"/>
          <w:szCs w:val="19"/>
        </w:rPr>
        <w:t xml:space="preserve"> </w:t>
      </w:r>
    </w:p>
    <w:p w14:paraId="3EBF7890" w14:textId="77777777" w:rsidR="00251D72" w:rsidRDefault="00251D72">
      <w:pPr>
        <w:pStyle w:val="a3"/>
        <w:spacing w:before="0" w:beforeAutospacing="0" w:after="0" w:afterAutospacing="0"/>
        <w:jc w:val="both"/>
        <w:rPr>
          <w:b/>
          <w:bCs/>
          <w:sz w:val="19"/>
          <w:szCs w:val="19"/>
        </w:rPr>
      </w:pPr>
      <w:r>
        <w:rPr>
          <w:b/>
          <w:bCs/>
          <w:sz w:val="19"/>
          <w:szCs w:val="19"/>
        </w:rPr>
        <w:t> </w:t>
      </w:r>
    </w:p>
    <w:p w14:paraId="52810EC4"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65</w:t>
      </w:r>
    </w:p>
    <w:p w14:paraId="3C2068F8" w14:textId="77777777" w:rsidR="00251D72" w:rsidRDefault="00251D72">
      <w:pPr>
        <w:rPr>
          <w:rFonts w:ascii="Times New Roman" w:eastAsia="Times New Roman" w:hAnsi="Times New Roman" w:cs="Times New Roman"/>
          <w:sz w:val="24"/>
          <w:szCs w:val="24"/>
        </w:rPr>
      </w:pPr>
      <w:r>
        <w:rPr>
          <w:rFonts w:eastAsia="Times New Roman"/>
        </w:rPr>
        <w:pict w14:anchorId="6F8BD558">
          <v:rect id="_x0000_i1091" style="width:415.3pt;height:1.5pt" o:hralign="center" o:hrstd="t" o:hr="t" fillcolor="#a0a0a0" stroked="f"/>
        </w:pict>
      </w:r>
    </w:p>
    <w:p w14:paraId="4267BDEC"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0EDD9AF"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FC4C4F8" w14:textId="77777777" w:rsidR="00251D72" w:rsidRDefault="00251D72">
      <w:pPr>
        <w:pStyle w:val="a3"/>
        <w:spacing w:before="120" w:beforeAutospacing="0" w:after="0" w:afterAutospacing="0"/>
        <w:rPr>
          <w:sz w:val="20"/>
          <w:szCs w:val="20"/>
        </w:rPr>
      </w:pPr>
      <w:r>
        <w:rPr>
          <w:sz w:val="20"/>
          <w:szCs w:val="20"/>
        </w:rPr>
        <w:t> </w:t>
      </w:r>
    </w:p>
    <w:p w14:paraId="1AC5595A" w14:textId="77777777" w:rsidR="00251D72" w:rsidRDefault="00251D72">
      <w:pPr>
        <w:pStyle w:val="a3"/>
        <w:spacing w:before="0" w:beforeAutospacing="0" w:after="0" w:afterAutospacing="0"/>
        <w:jc w:val="center"/>
        <w:rPr>
          <w:rFonts w:ascii="Calibri" w:hAnsi="Calibri" w:cs="Calibri"/>
          <w:b/>
          <w:bCs/>
          <w:sz w:val="19"/>
          <w:szCs w:val="19"/>
        </w:rPr>
      </w:pPr>
      <w:bookmarkStart w:id="98" w:name="_AEIOULastRenderedPageBreakAEIOU68"/>
      <w:bookmarkEnd w:id="98"/>
      <w:r>
        <w:rPr>
          <w:rFonts w:ascii="Calibri" w:hAnsi="Calibri" w:cs="Calibri"/>
          <w:b/>
          <w:bCs/>
          <w:sz w:val="19"/>
          <w:szCs w:val="19"/>
        </w:rPr>
        <w:t>Report of Independent Registered Public Accounting Firm</w:t>
      </w:r>
    </w:p>
    <w:p w14:paraId="2001A3D2" w14:textId="77777777" w:rsidR="00251D72" w:rsidRDefault="00251D72">
      <w:pPr>
        <w:pStyle w:val="a3"/>
        <w:spacing w:before="0" w:beforeAutospacing="0" w:after="0" w:afterAutospacing="0"/>
        <w:jc w:val="both"/>
        <w:rPr>
          <w:rFonts w:ascii="Calibri" w:hAnsi="Calibri" w:cs="Calibri"/>
          <w:sz w:val="19"/>
          <w:szCs w:val="19"/>
        </w:rPr>
      </w:pPr>
      <w:r>
        <w:rPr>
          <w:rFonts w:ascii="Calibri" w:hAnsi="Calibri" w:cs="Calibri"/>
          <w:sz w:val="19"/>
          <w:szCs w:val="19"/>
        </w:rPr>
        <w:t>To the Stockholders and the Board of Directors of Oracle Corporation</w:t>
      </w:r>
    </w:p>
    <w:p w14:paraId="79F665C2" w14:textId="77777777" w:rsidR="00251D72" w:rsidRDefault="00251D72">
      <w:pPr>
        <w:pStyle w:val="a3"/>
        <w:spacing w:before="160" w:beforeAutospacing="0" w:after="0" w:afterAutospacing="0"/>
        <w:jc w:val="both"/>
        <w:rPr>
          <w:rFonts w:ascii="Calibri" w:hAnsi="Calibri" w:cs="Calibri"/>
          <w:b/>
          <w:bCs/>
          <w:sz w:val="19"/>
          <w:szCs w:val="19"/>
        </w:rPr>
      </w:pPr>
      <w:r>
        <w:rPr>
          <w:rFonts w:ascii="Calibri" w:hAnsi="Calibri" w:cs="Calibri"/>
          <w:b/>
          <w:bCs/>
          <w:sz w:val="19"/>
          <w:szCs w:val="19"/>
        </w:rPr>
        <w:t xml:space="preserve">Opinion on Internal Control Over Financial Reporting </w:t>
      </w:r>
    </w:p>
    <w:p w14:paraId="7CAAC5B3" w14:textId="77777777" w:rsidR="00251D72" w:rsidRDefault="00251D72">
      <w:pPr>
        <w:pStyle w:val="a3"/>
        <w:spacing w:before="160" w:beforeAutospacing="0" w:after="0" w:afterAutospacing="0"/>
        <w:jc w:val="both"/>
        <w:rPr>
          <w:rFonts w:ascii="Calibri" w:hAnsi="Calibri" w:cs="Calibri"/>
          <w:sz w:val="19"/>
          <w:szCs w:val="19"/>
        </w:rPr>
      </w:pPr>
      <w:r>
        <w:rPr>
          <w:rFonts w:ascii="Calibri" w:hAnsi="Calibri" w:cs="Calibri"/>
          <w:sz w:val="19"/>
          <w:szCs w:val="19"/>
        </w:rPr>
        <w:t xml:space="preserve">We have audited Oracle Corporation’s internal control over financial reporting as of May 31, 2019, based on criteria established in Internal Control— Integrated Framework issued by the Committee of Sponsoring Organizations of the Treadway Commission (2013 framework)(the COSO criteria). In our opinion, Oracle Corporation (the Company) maintained, in all material respects, effective internal control over financial reporting as of May 31, 2019, based on the COSO criteria. </w:t>
      </w:r>
    </w:p>
    <w:p w14:paraId="3E6F588B" w14:textId="77777777" w:rsidR="00251D72" w:rsidRDefault="00251D72">
      <w:pPr>
        <w:pStyle w:val="a3"/>
        <w:spacing w:before="160" w:beforeAutospacing="0" w:after="0" w:afterAutospacing="0"/>
        <w:jc w:val="both"/>
        <w:rPr>
          <w:rFonts w:ascii="Calibri" w:hAnsi="Calibri" w:cs="Calibri"/>
          <w:sz w:val="19"/>
          <w:szCs w:val="19"/>
        </w:rPr>
      </w:pPr>
      <w:r>
        <w:rPr>
          <w:rFonts w:ascii="Calibri" w:hAnsi="Calibri" w:cs="Calibri"/>
          <w:sz w:val="19"/>
          <w:szCs w:val="19"/>
        </w:rPr>
        <w:t xml:space="preserve">We also have audited, in accordance with the standards of the Public Company Accounting Oversight Board (United States) (PCAOB), the consolidated balance sheets of Oracle Corporation as of May 31, 2019 and 2018, the related consolidated statements of operations, comprehensive income, equity, and cash flows for each of the three years in the period ended May 31, 2019, and the related notes and the financial statement schedule listed in the Index at Item 15(a)2 and our report June 21, 2019 expressed an unqualified opinion thereon. </w:t>
      </w:r>
    </w:p>
    <w:p w14:paraId="50A4915B" w14:textId="77777777" w:rsidR="00251D72" w:rsidRDefault="00251D72">
      <w:pPr>
        <w:pStyle w:val="a3"/>
        <w:spacing w:before="160" w:beforeAutospacing="0" w:after="0" w:afterAutospacing="0"/>
        <w:jc w:val="both"/>
        <w:rPr>
          <w:rFonts w:ascii="Calibri" w:hAnsi="Calibri" w:cs="Calibri"/>
          <w:b/>
          <w:bCs/>
          <w:sz w:val="19"/>
          <w:szCs w:val="19"/>
        </w:rPr>
      </w:pPr>
      <w:r>
        <w:rPr>
          <w:rFonts w:ascii="Calibri" w:hAnsi="Calibri" w:cs="Calibri"/>
          <w:b/>
          <w:bCs/>
          <w:sz w:val="19"/>
          <w:szCs w:val="19"/>
        </w:rPr>
        <w:t xml:space="preserve">Basis for Opinion </w:t>
      </w:r>
    </w:p>
    <w:p w14:paraId="54692720" w14:textId="77777777" w:rsidR="00251D72" w:rsidRDefault="00251D72">
      <w:pPr>
        <w:pStyle w:val="a3"/>
        <w:spacing w:before="160" w:beforeAutospacing="0" w:after="0" w:afterAutospacing="0"/>
        <w:jc w:val="both"/>
        <w:rPr>
          <w:rFonts w:ascii="Calibri" w:hAnsi="Calibri" w:cs="Calibri"/>
          <w:sz w:val="19"/>
          <w:szCs w:val="19"/>
        </w:rPr>
      </w:pPr>
      <w:r>
        <w:rPr>
          <w:rFonts w:ascii="Calibri" w:hAnsi="Calibri" w:cs="Calibri"/>
          <w:sz w:val="19"/>
          <w:szCs w:val="19"/>
        </w:rPr>
        <w:t xml:space="preserve">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14:paraId="610ED303" w14:textId="77777777" w:rsidR="00251D72" w:rsidRDefault="00251D72">
      <w:pPr>
        <w:pStyle w:val="a3"/>
        <w:spacing w:before="160" w:beforeAutospacing="0" w:after="0" w:afterAutospacing="0"/>
        <w:jc w:val="both"/>
        <w:rPr>
          <w:rFonts w:ascii="Calibri" w:hAnsi="Calibri" w:cs="Calibri"/>
          <w:sz w:val="19"/>
          <w:szCs w:val="19"/>
        </w:rPr>
      </w:pPr>
      <w:r>
        <w:rPr>
          <w:rFonts w:ascii="Calibri" w:hAnsi="Calibri" w:cs="Calibri"/>
          <w:sz w:val="19"/>
          <w:szCs w:val="19"/>
        </w:rP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w:t>
      </w:r>
    </w:p>
    <w:p w14:paraId="10C1F282" w14:textId="77777777" w:rsidR="00251D72" w:rsidRDefault="00251D72">
      <w:pPr>
        <w:pStyle w:val="a3"/>
        <w:spacing w:before="160" w:beforeAutospacing="0" w:after="0" w:afterAutospacing="0"/>
        <w:jc w:val="both"/>
        <w:rPr>
          <w:rFonts w:ascii="Calibri" w:hAnsi="Calibri" w:cs="Calibri"/>
          <w:sz w:val="19"/>
          <w:szCs w:val="19"/>
        </w:rPr>
      </w:pPr>
      <w:r>
        <w:rPr>
          <w:rFonts w:ascii="Calibri" w:hAnsi="Calibri" w:cs="Calibri"/>
          <w:sz w:val="19"/>
          <w:szCs w:val="19"/>
        </w:rPr>
        <w:t xml:space="preserve">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14:paraId="7B812596" w14:textId="77777777" w:rsidR="00251D72" w:rsidRDefault="00251D72">
      <w:pPr>
        <w:pStyle w:val="a3"/>
        <w:spacing w:before="160" w:beforeAutospacing="0" w:after="0" w:afterAutospacing="0"/>
        <w:jc w:val="both"/>
        <w:rPr>
          <w:rFonts w:ascii="Calibri" w:hAnsi="Calibri" w:cs="Calibri"/>
          <w:b/>
          <w:bCs/>
          <w:sz w:val="19"/>
          <w:szCs w:val="19"/>
        </w:rPr>
      </w:pPr>
      <w:r>
        <w:rPr>
          <w:rFonts w:ascii="Calibri" w:hAnsi="Calibri" w:cs="Calibri"/>
          <w:b/>
          <w:bCs/>
          <w:sz w:val="19"/>
          <w:szCs w:val="19"/>
        </w:rPr>
        <w:t xml:space="preserve">Definition and Limitations of Internal Control Over Financial Reporting </w:t>
      </w:r>
    </w:p>
    <w:p w14:paraId="248BECD2" w14:textId="77777777" w:rsidR="00251D72" w:rsidRDefault="00251D72">
      <w:pPr>
        <w:pStyle w:val="a3"/>
        <w:spacing w:before="160" w:beforeAutospacing="0" w:after="0" w:afterAutospacing="0"/>
        <w:jc w:val="both"/>
        <w:rPr>
          <w:rFonts w:ascii="Calibri" w:hAnsi="Calibri" w:cs="Calibri"/>
          <w:sz w:val="19"/>
          <w:szCs w:val="19"/>
        </w:rPr>
      </w:pPr>
      <w:r>
        <w:rPr>
          <w:rFonts w:ascii="Calibri" w:hAnsi="Calibri" w:cs="Calibri"/>
          <w:sz w:val="19"/>
          <w:szCs w:val="19"/>
        </w:rPr>
        <w:t xml:space="preserve">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14:paraId="2708FB8C" w14:textId="77777777" w:rsidR="00251D72" w:rsidRDefault="00251D72">
      <w:pPr>
        <w:pStyle w:val="a3"/>
        <w:spacing w:before="160" w:beforeAutospacing="0" w:after="0" w:afterAutospacing="0"/>
        <w:jc w:val="both"/>
        <w:rPr>
          <w:rFonts w:ascii="Calibri" w:hAnsi="Calibri" w:cs="Calibri"/>
          <w:sz w:val="19"/>
          <w:szCs w:val="19"/>
        </w:rPr>
      </w:pPr>
      <w:r>
        <w:rPr>
          <w:rFonts w:ascii="Calibri" w:hAnsi="Calibri" w:cs="Calibri"/>
          <w:sz w:val="19"/>
          <w:szCs w:val="19"/>
        </w:rPr>
        <w:t xml:space="preserve">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w:t>
      </w:r>
    </w:p>
    <w:p w14:paraId="1EA6F9BC" w14:textId="77777777" w:rsidR="00251D72" w:rsidRDefault="00251D72">
      <w:pPr>
        <w:pStyle w:val="a3"/>
        <w:shd w:val="clear" w:color="auto" w:fill="FFFFFF"/>
        <w:spacing w:before="160" w:beforeAutospacing="0" w:after="0" w:afterAutospacing="0"/>
        <w:rPr>
          <w:rFonts w:ascii="Calibri" w:hAnsi="Calibri" w:cs="Calibri"/>
          <w:color w:val="000000"/>
          <w:sz w:val="19"/>
          <w:szCs w:val="19"/>
        </w:rPr>
      </w:pPr>
      <w:r>
        <w:rPr>
          <w:rFonts w:ascii="Calibri" w:hAnsi="Calibri" w:cs="Calibri"/>
          <w:color w:val="000000"/>
          <w:sz w:val="19"/>
          <w:szCs w:val="19"/>
        </w:rPr>
        <w:t xml:space="preserve">/s/ Ernst &amp; Young LLP </w:t>
      </w:r>
    </w:p>
    <w:p w14:paraId="06C76CE7" w14:textId="77777777" w:rsidR="00251D72" w:rsidRDefault="00251D72">
      <w:pPr>
        <w:pStyle w:val="a3"/>
        <w:spacing w:before="160" w:beforeAutospacing="0" w:afterAutospacing="0"/>
        <w:rPr>
          <w:rFonts w:ascii="Calibri" w:hAnsi="Calibri" w:cs="Calibri"/>
          <w:sz w:val="19"/>
          <w:szCs w:val="19"/>
        </w:rPr>
      </w:pPr>
      <w:r>
        <w:rPr>
          <w:rFonts w:ascii="Calibri" w:hAnsi="Calibri" w:cs="Calibri"/>
          <w:sz w:val="19"/>
          <w:szCs w:val="19"/>
        </w:rPr>
        <w:t xml:space="preserve">San Jose, California </w:t>
      </w:r>
    </w:p>
    <w:p w14:paraId="2BA997F6" w14:textId="77777777" w:rsidR="00251D72" w:rsidRDefault="00251D72">
      <w:pPr>
        <w:pStyle w:val="a3"/>
        <w:spacing w:before="160" w:beforeAutospacing="0" w:after="160" w:afterAutospacing="0"/>
        <w:rPr>
          <w:rFonts w:ascii="Calibri" w:hAnsi="Calibri" w:cs="Calibri"/>
          <w:color w:val="000000"/>
          <w:sz w:val="19"/>
          <w:szCs w:val="19"/>
        </w:rPr>
      </w:pPr>
      <w:r>
        <w:rPr>
          <w:rFonts w:ascii="Calibri" w:hAnsi="Calibri" w:cs="Calibri"/>
          <w:color w:val="000000"/>
          <w:sz w:val="19"/>
          <w:szCs w:val="19"/>
        </w:rPr>
        <w:t>June 21, 2019</w:t>
      </w:r>
    </w:p>
    <w:p w14:paraId="24377B21"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66</w:t>
      </w:r>
    </w:p>
    <w:p w14:paraId="7F7B74C1" w14:textId="77777777" w:rsidR="00251D72" w:rsidRDefault="00251D72">
      <w:pPr>
        <w:rPr>
          <w:rFonts w:ascii="Times New Roman" w:eastAsia="Times New Roman" w:hAnsi="Times New Roman" w:cs="Times New Roman"/>
          <w:sz w:val="24"/>
          <w:szCs w:val="24"/>
        </w:rPr>
      </w:pPr>
      <w:r>
        <w:rPr>
          <w:rFonts w:eastAsia="Times New Roman"/>
        </w:rPr>
        <w:pict w14:anchorId="62847A64">
          <v:rect id="_x0000_i1092" style="width:415.3pt;height:1.5pt" o:hralign="center" o:hrstd="t" o:hr="t" fillcolor="#a0a0a0" stroked="f"/>
        </w:pict>
      </w:r>
    </w:p>
    <w:p w14:paraId="3E3B132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B5B0041"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D25C12F" w14:textId="77777777" w:rsidR="00251D72" w:rsidRDefault="00251D72">
      <w:pPr>
        <w:pStyle w:val="a3"/>
        <w:spacing w:before="120" w:beforeAutospacing="0" w:after="0" w:afterAutospacing="0"/>
        <w:rPr>
          <w:sz w:val="20"/>
          <w:szCs w:val="20"/>
        </w:rPr>
      </w:pPr>
      <w:r>
        <w:rPr>
          <w:sz w:val="20"/>
          <w:szCs w:val="20"/>
        </w:rPr>
        <w:t> </w:t>
      </w:r>
    </w:p>
    <w:p w14:paraId="5C7126C7" w14:textId="77777777" w:rsidR="00251D72" w:rsidRDefault="00251D72">
      <w:pPr>
        <w:pStyle w:val="a3"/>
        <w:spacing w:before="0" w:beforeAutospacing="0" w:after="0" w:afterAutospacing="0"/>
        <w:jc w:val="center"/>
        <w:rPr>
          <w:rFonts w:ascii="Calibri" w:hAnsi="Calibri" w:cs="Calibri"/>
          <w:b/>
          <w:bCs/>
          <w:sz w:val="20"/>
          <w:szCs w:val="20"/>
        </w:rPr>
      </w:pPr>
      <w:bookmarkStart w:id="99" w:name="_AEIOULastRenderedPageBreakAEIOU69"/>
      <w:bookmarkEnd w:id="99"/>
      <w:r>
        <w:rPr>
          <w:rFonts w:ascii="Calibri" w:hAnsi="Calibri" w:cs="Calibri"/>
          <w:b/>
          <w:bCs/>
          <w:sz w:val="20"/>
          <w:szCs w:val="20"/>
        </w:rPr>
        <w:t>ORACLE CORPORATION</w:t>
      </w:r>
    </w:p>
    <w:p w14:paraId="7BE9801F" w14:textId="77777777" w:rsidR="00251D72" w:rsidRDefault="00251D72">
      <w:pPr>
        <w:pStyle w:val="a3"/>
        <w:spacing w:before="0" w:beforeAutospacing="0" w:after="0" w:afterAutospacing="0"/>
        <w:jc w:val="center"/>
        <w:rPr>
          <w:rFonts w:ascii="Calibri" w:hAnsi="Calibri" w:cs="Calibri"/>
          <w:b/>
          <w:bCs/>
          <w:sz w:val="20"/>
          <w:szCs w:val="20"/>
        </w:rPr>
      </w:pPr>
      <w:bookmarkStart w:id="100" w:name="CONSOLIDATED_BALANCE_SHEETS"/>
      <w:bookmarkEnd w:id="100"/>
      <w:r>
        <w:rPr>
          <w:rFonts w:ascii="Calibri" w:hAnsi="Calibri" w:cs="Calibri"/>
          <w:b/>
          <w:bCs/>
          <w:sz w:val="20"/>
          <w:szCs w:val="20"/>
        </w:rPr>
        <w:t>CONSOLIDATED BALANCE SHEETS</w:t>
      </w:r>
    </w:p>
    <w:p w14:paraId="47E531AD" w14:textId="77777777" w:rsidR="00251D72" w:rsidRDefault="00251D72">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As of May 31, 2019 and 2018</w:t>
      </w:r>
    </w:p>
    <w:p w14:paraId="3EAFA2F9" w14:textId="77777777" w:rsidR="00251D72" w:rsidRDefault="00251D7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904"/>
        <w:gridCol w:w="131"/>
        <w:gridCol w:w="107"/>
        <w:gridCol w:w="885"/>
        <w:gridCol w:w="76"/>
        <w:gridCol w:w="131"/>
        <w:gridCol w:w="107"/>
        <w:gridCol w:w="888"/>
        <w:gridCol w:w="77"/>
      </w:tblGrid>
      <w:tr w:rsidR="00251D72" w14:paraId="07C0A9C0" w14:textId="77777777">
        <w:trPr>
          <w:divId w:val="1361055914"/>
          <w:jc w:val="center"/>
        </w:trPr>
        <w:tc>
          <w:tcPr>
            <w:tcW w:w="3557" w:type="pct"/>
            <w:shd w:val="clear" w:color="auto" w:fill="FFFFFF"/>
            <w:tcMar>
              <w:top w:w="15" w:type="dxa"/>
              <w:left w:w="0" w:type="dxa"/>
              <w:bottom w:w="0" w:type="dxa"/>
              <w:right w:w="15" w:type="dxa"/>
            </w:tcMar>
            <w:vAlign w:val="bottom"/>
            <w:hideMark/>
          </w:tcPr>
          <w:p w14:paraId="730BFE39" w14:textId="77777777" w:rsidR="00251D72" w:rsidRDefault="00251D72">
            <w:pPr>
              <w:pStyle w:val="a3"/>
              <w:spacing w:before="0" w:beforeAutospacing="0" w:after="0" w:afterAutospacing="0"/>
              <w:rPr>
                <w:sz w:val="15"/>
                <w:szCs w:val="15"/>
              </w:rPr>
            </w:pPr>
            <w:r>
              <w:rPr>
                <w:sz w:val="15"/>
                <w:szCs w:val="15"/>
              </w:rPr>
              <w:t> </w:t>
            </w:r>
          </w:p>
        </w:tc>
        <w:tc>
          <w:tcPr>
            <w:tcW w:w="83" w:type="pct"/>
            <w:shd w:val="clear" w:color="auto" w:fill="FFFFFF"/>
            <w:tcMar>
              <w:top w:w="15" w:type="dxa"/>
              <w:left w:w="0" w:type="dxa"/>
              <w:bottom w:w="0" w:type="dxa"/>
              <w:right w:w="15" w:type="dxa"/>
            </w:tcMar>
            <w:vAlign w:val="bottom"/>
            <w:hideMark/>
          </w:tcPr>
          <w:p w14:paraId="2E24D3C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309" w:type="pct"/>
            <w:gridSpan w:val="6"/>
            <w:tcBorders>
              <w:bottom w:val="single" w:sz="6" w:space="0" w:color="000000"/>
            </w:tcBorders>
            <w:shd w:val="clear" w:color="auto" w:fill="FFFFFF"/>
            <w:tcMar>
              <w:top w:w="15" w:type="dxa"/>
              <w:left w:w="0" w:type="dxa"/>
              <w:bottom w:w="0" w:type="dxa"/>
              <w:right w:w="15" w:type="dxa"/>
            </w:tcMar>
            <w:vAlign w:val="bottom"/>
            <w:hideMark/>
          </w:tcPr>
          <w:p w14:paraId="55DC877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left w:w="0" w:type="dxa"/>
              <w:bottom w:w="0" w:type="dxa"/>
              <w:right w:w="15" w:type="dxa"/>
            </w:tcMar>
            <w:vAlign w:val="bottom"/>
            <w:hideMark/>
          </w:tcPr>
          <w:p w14:paraId="0846308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158AB17" w14:textId="77777777">
        <w:trPr>
          <w:divId w:val="1361055914"/>
          <w:jc w:val="center"/>
        </w:trPr>
        <w:tc>
          <w:tcPr>
            <w:tcW w:w="3557" w:type="pct"/>
            <w:tcBorders>
              <w:bottom w:val="single" w:sz="6" w:space="0" w:color="000000"/>
            </w:tcBorders>
            <w:shd w:val="clear" w:color="auto" w:fill="FFFFFF"/>
            <w:tcMar>
              <w:top w:w="15" w:type="dxa"/>
              <w:left w:w="0" w:type="dxa"/>
              <w:bottom w:w="0" w:type="dxa"/>
              <w:right w:w="15" w:type="dxa"/>
            </w:tcMar>
            <w:vAlign w:val="bottom"/>
            <w:hideMark/>
          </w:tcPr>
          <w:p w14:paraId="053CE42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3" w:type="pct"/>
            <w:shd w:val="clear" w:color="auto" w:fill="FFFFFF"/>
            <w:tcMar>
              <w:top w:w="15" w:type="dxa"/>
              <w:left w:w="0" w:type="dxa"/>
              <w:bottom w:w="0" w:type="dxa"/>
              <w:right w:w="15" w:type="dxa"/>
            </w:tcMar>
            <w:vAlign w:val="bottom"/>
            <w:hideMark/>
          </w:tcPr>
          <w:p w14:paraId="0C093E8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B087C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455A2C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4451883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8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6E2EE5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ADD281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F05EEF5" w14:textId="77777777">
        <w:trPr>
          <w:divId w:val="1361055914"/>
          <w:jc w:val="center"/>
        </w:trPr>
        <w:tc>
          <w:tcPr>
            <w:tcW w:w="3557" w:type="pct"/>
            <w:tcBorders>
              <w:top w:val="single" w:sz="6" w:space="0" w:color="000000"/>
            </w:tcBorders>
            <w:shd w:val="clear" w:color="auto" w:fill="CFF0FC"/>
            <w:tcMar>
              <w:top w:w="15" w:type="dxa"/>
              <w:left w:w="0" w:type="dxa"/>
              <w:bottom w:w="0" w:type="dxa"/>
              <w:right w:w="15" w:type="dxa"/>
            </w:tcMar>
            <w:hideMark/>
          </w:tcPr>
          <w:p w14:paraId="61A860ED" w14:textId="77777777" w:rsidR="00251D72" w:rsidRDefault="00251D72">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ASSETS</w:t>
            </w:r>
          </w:p>
        </w:tc>
        <w:tc>
          <w:tcPr>
            <w:tcW w:w="83" w:type="pct"/>
            <w:shd w:val="clear" w:color="auto" w:fill="CFF0FC"/>
            <w:tcMar>
              <w:top w:w="15" w:type="dxa"/>
              <w:left w:w="0" w:type="dxa"/>
              <w:bottom w:w="0" w:type="dxa"/>
              <w:right w:w="15" w:type="dxa"/>
            </w:tcMar>
            <w:vAlign w:val="bottom"/>
            <w:hideMark/>
          </w:tcPr>
          <w:p w14:paraId="139B608E"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AD3F61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tcBorders>
            <w:shd w:val="clear" w:color="auto" w:fill="CFF0FC"/>
            <w:noWrap/>
            <w:tcMar>
              <w:top w:w="15" w:type="dxa"/>
              <w:left w:w="0" w:type="dxa"/>
              <w:bottom w:w="0" w:type="dxa"/>
              <w:right w:w="15" w:type="dxa"/>
            </w:tcMar>
            <w:vAlign w:val="bottom"/>
            <w:hideMark/>
          </w:tcPr>
          <w:p w14:paraId="409577C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121AEF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44421C1D"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73D4AF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tcBorders>
            <w:shd w:val="clear" w:color="auto" w:fill="CFF0FC"/>
            <w:noWrap/>
            <w:tcMar>
              <w:top w:w="15" w:type="dxa"/>
              <w:left w:w="0" w:type="dxa"/>
              <w:bottom w:w="0" w:type="dxa"/>
              <w:right w:w="15" w:type="dxa"/>
            </w:tcMar>
            <w:vAlign w:val="bottom"/>
            <w:hideMark/>
          </w:tcPr>
          <w:p w14:paraId="4571DC0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C13649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66BF5C8" w14:textId="77777777">
        <w:trPr>
          <w:divId w:val="1361055914"/>
          <w:jc w:val="center"/>
        </w:trPr>
        <w:tc>
          <w:tcPr>
            <w:tcW w:w="3557" w:type="pct"/>
            <w:shd w:val="clear" w:color="auto" w:fill="FFFFFF"/>
            <w:tcMar>
              <w:top w:w="15" w:type="dxa"/>
              <w:left w:w="0" w:type="dxa"/>
              <w:bottom w:w="0" w:type="dxa"/>
              <w:right w:w="15" w:type="dxa"/>
            </w:tcMar>
            <w:hideMark/>
          </w:tcPr>
          <w:p w14:paraId="31AD168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Current assets:</w:t>
            </w:r>
          </w:p>
        </w:tc>
        <w:tc>
          <w:tcPr>
            <w:tcW w:w="83" w:type="pct"/>
            <w:shd w:val="clear" w:color="auto" w:fill="FFFFFF"/>
            <w:tcMar>
              <w:top w:w="15" w:type="dxa"/>
              <w:left w:w="0" w:type="dxa"/>
              <w:bottom w:w="0" w:type="dxa"/>
              <w:right w:w="15" w:type="dxa"/>
            </w:tcMar>
            <w:vAlign w:val="bottom"/>
            <w:hideMark/>
          </w:tcPr>
          <w:p w14:paraId="5845231C"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F60D79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713C983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A7A13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05E16A5E"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3BA5D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0F9D4C2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7F159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5FADE11" w14:textId="77777777">
        <w:trPr>
          <w:divId w:val="1361055914"/>
          <w:jc w:val="center"/>
        </w:trPr>
        <w:tc>
          <w:tcPr>
            <w:tcW w:w="3557" w:type="pct"/>
            <w:shd w:val="clear" w:color="auto" w:fill="CFF0FC"/>
            <w:tcMar>
              <w:top w:w="15" w:type="dxa"/>
              <w:left w:w="0" w:type="dxa"/>
              <w:bottom w:w="0" w:type="dxa"/>
              <w:right w:w="15" w:type="dxa"/>
            </w:tcMar>
            <w:hideMark/>
          </w:tcPr>
          <w:p w14:paraId="36C0CEC7"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Cash and cash equivalents</w:t>
            </w:r>
          </w:p>
        </w:tc>
        <w:tc>
          <w:tcPr>
            <w:tcW w:w="83" w:type="pct"/>
            <w:shd w:val="clear" w:color="auto" w:fill="CFF0FC"/>
            <w:tcMar>
              <w:top w:w="15" w:type="dxa"/>
              <w:left w:w="0" w:type="dxa"/>
              <w:bottom w:w="0" w:type="dxa"/>
              <w:right w:w="15" w:type="dxa"/>
            </w:tcMar>
            <w:vAlign w:val="bottom"/>
            <w:hideMark/>
          </w:tcPr>
          <w:p w14:paraId="1DC968F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2CC4F7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7" w:type="pct"/>
            <w:shd w:val="clear" w:color="auto" w:fill="CFF0FC"/>
            <w:noWrap/>
            <w:tcMar>
              <w:top w:w="15" w:type="dxa"/>
              <w:left w:w="0" w:type="dxa"/>
              <w:bottom w:w="0" w:type="dxa"/>
              <w:right w:w="15" w:type="dxa"/>
            </w:tcMar>
            <w:vAlign w:val="bottom"/>
            <w:hideMark/>
          </w:tcPr>
          <w:p w14:paraId="0311D84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20,514</w:t>
            </w:r>
          </w:p>
        </w:tc>
        <w:tc>
          <w:tcPr>
            <w:tcW w:w="50" w:type="pct"/>
            <w:shd w:val="clear" w:color="auto" w:fill="CFF0FC"/>
            <w:noWrap/>
            <w:tcMar>
              <w:top w:w="15" w:type="dxa"/>
              <w:left w:w="0" w:type="dxa"/>
              <w:bottom w:w="0" w:type="dxa"/>
              <w:right w:w="15" w:type="dxa"/>
            </w:tcMar>
            <w:vAlign w:val="bottom"/>
            <w:hideMark/>
          </w:tcPr>
          <w:p w14:paraId="5EA4122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57588E7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B5EACE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7" w:type="pct"/>
            <w:shd w:val="clear" w:color="auto" w:fill="CFF0FC"/>
            <w:noWrap/>
            <w:tcMar>
              <w:top w:w="15" w:type="dxa"/>
              <w:left w:w="0" w:type="dxa"/>
              <w:bottom w:w="0" w:type="dxa"/>
              <w:right w:w="15" w:type="dxa"/>
            </w:tcMar>
            <w:vAlign w:val="bottom"/>
            <w:hideMark/>
          </w:tcPr>
          <w:p w14:paraId="7A1CA1F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21,620</w:t>
            </w:r>
          </w:p>
        </w:tc>
        <w:tc>
          <w:tcPr>
            <w:tcW w:w="50" w:type="pct"/>
            <w:shd w:val="clear" w:color="auto" w:fill="CFF0FC"/>
            <w:noWrap/>
            <w:tcMar>
              <w:top w:w="15" w:type="dxa"/>
              <w:left w:w="0" w:type="dxa"/>
              <w:bottom w:w="0" w:type="dxa"/>
              <w:right w:w="15" w:type="dxa"/>
            </w:tcMar>
            <w:vAlign w:val="bottom"/>
            <w:hideMark/>
          </w:tcPr>
          <w:p w14:paraId="377E5E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8856144" w14:textId="77777777">
        <w:trPr>
          <w:divId w:val="1361055914"/>
          <w:jc w:val="center"/>
        </w:trPr>
        <w:tc>
          <w:tcPr>
            <w:tcW w:w="3557" w:type="pct"/>
            <w:shd w:val="clear" w:color="auto" w:fill="FFFFFF"/>
            <w:tcMar>
              <w:top w:w="15" w:type="dxa"/>
              <w:left w:w="0" w:type="dxa"/>
              <w:bottom w:w="0" w:type="dxa"/>
              <w:right w:w="15" w:type="dxa"/>
            </w:tcMar>
            <w:hideMark/>
          </w:tcPr>
          <w:p w14:paraId="0425D5B2"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Marketable securities</w:t>
            </w:r>
          </w:p>
        </w:tc>
        <w:tc>
          <w:tcPr>
            <w:tcW w:w="83" w:type="pct"/>
            <w:shd w:val="clear" w:color="auto" w:fill="FFFFFF"/>
            <w:tcMar>
              <w:top w:w="15" w:type="dxa"/>
              <w:left w:w="0" w:type="dxa"/>
              <w:bottom w:w="0" w:type="dxa"/>
              <w:right w:w="15" w:type="dxa"/>
            </w:tcMar>
            <w:vAlign w:val="bottom"/>
            <w:hideMark/>
          </w:tcPr>
          <w:p w14:paraId="3A83C4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C250D4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647B74A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17,313</w:t>
            </w:r>
          </w:p>
        </w:tc>
        <w:tc>
          <w:tcPr>
            <w:tcW w:w="50" w:type="pct"/>
            <w:shd w:val="clear" w:color="auto" w:fill="FFFFFF"/>
            <w:noWrap/>
            <w:tcMar>
              <w:top w:w="15" w:type="dxa"/>
              <w:left w:w="0" w:type="dxa"/>
              <w:bottom w:w="0" w:type="dxa"/>
              <w:right w:w="15" w:type="dxa"/>
            </w:tcMar>
            <w:vAlign w:val="bottom"/>
            <w:hideMark/>
          </w:tcPr>
          <w:p w14:paraId="6F37CB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4A87696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7E3AEB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04B1BC6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45,641</w:t>
            </w:r>
          </w:p>
        </w:tc>
        <w:tc>
          <w:tcPr>
            <w:tcW w:w="50" w:type="pct"/>
            <w:shd w:val="clear" w:color="auto" w:fill="FFFFFF"/>
            <w:noWrap/>
            <w:tcMar>
              <w:top w:w="15" w:type="dxa"/>
              <w:left w:w="0" w:type="dxa"/>
              <w:bottom w:w="0" w:type="dxa"/>
              <w:right w:w="15" w:type="dxa"/>
            </w:tcMar>
            <w:vAlign w:val="bottom"/>
            <w:hideMark/>
          </w:tcPr>
          <w:p w14:paraId="319692A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AC4AC9F" w14:textId="77777777">
        <w:trPr>
          <w:divId w:val="1361055914"/>
          <w:jc w:val="center"/>
        </w:trPr>
        <w:tc>
          <w:tcPr>
            <w:tcW w:w="3557" w:type="pct"/>
            <w:shd w:val="clear" w:color="auto" w:fill="CFF0FC"/>
            <w:tcMar>
              <w:top w:w="15" w:type="dxa"/>
              <w:left w:w="0" w:type="dxa"/>
              <w:bottom w:w="0" w:type="dxa"/>
              <w:right w:w="15" w:type="dxa"/>
            </w:tcMar>
            <w:hideMark/>
          </w:tcPr>
          <w:p w14:paraId="2FF161EB" w14:textId="77777777" w:rsidR="00251D72" w:rsidRDefault="00251D72">
            <w:pPr>
              <w:pStyle w:val="a3"/>
              <w:spacing w:before="0" w:beforeAutospacing="0" w:after="0" w:afterAutospacing="0"/>
              <w:ind w:left="552" w:hanging="142"/>
              <w:rPr>
                <w:rFonts w:ascii="Calibri" w:hAnsi="Calibri" w:cs="Calibri"/>
                <w:color w:val="000000"/>
                <w:sz w:val="18"/>
                <w:szCs w:val="18"/>
              </w:rPr>
            </w:pPr>
            <w:r>
              <w:rPr>
                <w:rFonts w:ascii="Calibri" w:hAnsi="Calibri" w:cs="Calibri"/>
                <w:color w:val="000000"/>
                <w:sz w:val="18"/>
                <w:szCs w:val="18"/>
              </w:rPr>
              <w:t>Trade receivables, net of allowances for doubtful accounts of $371 and $370 as of May 31, 2019 and May 31, 2018, respectively</w:t>
            </w:r>
          </w:p>
        </w:tc>
        <w:tc>
          <w:tcPr>
            <w:tcW w:w="83" w:type="pct"/>
            <w:shd w:val="clear" w:color="auto" w:fill="CFF0FC"/>
            <w:tcMar>
              <w:top w:w="15" w:type="dxa"/>
              <w:left w:w="0" w:type="dxa"/>
              <w:bottom w:w="0" w:type="dxa"/>
              <w:right w:w="15" w:type="dxa"/>
            </w:tcMar>
            <w:vAlign w:val="bottom"/>
            <w:hideMark/>
          </w:tcPr>
          <w:p w14:paraId="5A4643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4A0D1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388DEA9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5,134</w:t>
            </w:r>
          </w:p>
        </w:tc>
        <w:tc>
          <w:tcPr>
            <w:tcW w:w="50" w:type="pct"/>
            <w:shd w:val="clear" w:color="auto" w:fill="CFF0FC"/>
            <w:noWrap/>
            <w:tcMar>
              <w:top w:w="15" w:type="dxa"/>
              <w:left w:w="0" w:type="dxa"/>
              <w:bottom w:w="0" w:type="dxa"/>
              <w:right w:w="15" w:type="dxa"/>
            </w:tcMar>
            <w:vAlign w:val="bottom"/>
            <w:hideMark/>
          </w:tcPr>
          <w:p w14:paraId="376D164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6EFC1B1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8A96E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76F1760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5,136</w:t>
            </w:r>
          </w:p>
        </w:tc>
        <w:tc>
          <w:tcPr>
            <w:tcW w:w="50" w:type="pct"/>
            <w:shd w:val="clear" w:color="auto" w:fill="CFF0FC"/>
            <w:noWrap/>
            <w:tcMar>
              <w:top w:w="15" w:type="dxa"/>
              <w:left w:w="0" w:type="dxa"/>
              <w:bottom w:w="0" w:type="dxa"/>
              <w:right w:w="15" w:type="dxa"/>
            </w:tcMar>
            <w:vAlign w:val="bottom"/>
            <w:hideMark/>
          </w:tcPr>
          <w:p w14:paraId="284A705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75D7994" w14:textId="77777777">
        <w:trPr>
          <w:divId w:val="1361055914"/>
          <w:jc w:val="center"/>
        </w:trPr>
        <w:tc>
          <w:tcPr>
            <w:tcW w:w="3557" w:type="pct"/>
            <w:shd w:val="clear" w:color="auto" w:fill="FFFFFF"/>
            <w:tcMar>
              <w:top w:w="15" w:type="dxa"/>
              <w:left w:w="0" w:type="dxa"/>
              <w:bottom w:w="0" w:type="dxa"/>
              <w:right w:w="15" w:type="dxa"/>
            </w:tcMar>
            <w:hideMark/>
          </w:tcPr>
          <w:p w14:paraId="761F22A1"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Prepaid expenses and other current assets</w:t>
            </w:r>
          </w:p>
        </w:tc>
        <w:tc>
          <w:tcPr>
            <w:tcW w:w="83" w:type="pct"/>
            <w:shd w:val="clear" w:color="auto" w:fill="FFFFFF"/>
            <w:tcMar>
              <w:top w:w="15" w:type="dxa"/>
              <w:left w:w="0" w:type="dxa"/>
              <w:bottom w:w="0" w:type="dxa"/>
              <w:right w:w="15" w:type="dxa"/>
            </w:tcMar>
            <w:vAlign w:val="bottom"/>
            <w:hideMark/>
          </w:tcPr>
          <w:p w14:paraId="238076A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254710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FFFFFF"/>
            <w:noWrap/>
            <w:tcMar>
              <w:top w:w="15" w:type="dxa"/>
              <w:left w:w="0" w:type="dxa"/>
              <w:bottom w:w="0" w:type="dxa"/>
              <w:right w:w="15" w:type="dxa"/>
            </w:tcMar>
            <w:vAlign w:val="bottom"/>
            <w:hideMark/>
          </w:tcPr>
          <w:p w14:paraId="4C81189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3,425</w:t>
            </w:r>
          </w:p>
        </w:tc>
        <w:tc>
          <w:tcPr>
            <w:tcW w:w="50" w:type="pct"/>
            <w:shd w:val="clear" w:color="auto" w:fill="FFFFFF"/>
            <w:noWrap/>
            <w:tcMar>
              <w:top w:w="15" w:type="dxa"/>
              <w:left w:w="0" w:type="dxa"/>
              <w:bottom w:w="0" w:type="dxa"/>
              <w:right w:w="15" w:type="dxa"/>
            </w:tcMar>
            <w:vAlign w:val="bottom"/>
            <w:hideMark/>
          </w:tcPr>
          <w:p w14:paraId="0F9A68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3194927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BC4414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FFFFFF"/>
            <w:noWrap/>
            <w:tcMar>
              <w:top w:w="15" w:type="dxa"/>
              <w:left w:w="0" w:type="dxa"/>
              <w:bottom w:w="0" w:type="dxa"/>
              <w:right w:w="15" w:type="dxa"/>
            </w:tcMar>
            <w:vAlign w:val="bottom"/>
            <w:hideMark/>
          </w:tcPr>
          <w:p w14:paraId="23098E1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3,762</w:t>
            </w:r>
          </w:p>
        </w:tc>
        <w:tc>
          <w:tcPr>
            <w:tcW w:w="50" w:type="pct"/>
            <w:shd w:val="clear" w:color="auto" w:fill="FFFFFF"/>
            <w:noWrap/>
            <w:tcMar>
              <w:top w:w="15" w:type="dxa"/>
              <w:left w:w="0" w:type="dxa"/>
              <w:bottom w:w="0" w:type="dxa"/>
              <w:right w:w="15" w:type="dxa"/>
            </w:tcMar>
            <w:vAlign w:val="bottom"/>
            <w:hideMark/>
          </w:tcPr>
          <w:p w14:paraId="409D233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ED2D20B" w14:textId="77777777">
        <w:trPr>
          <w:divId w:val="1361055914"/>
          <w:jc w:val="center"/>
        </w:trPr>
        <w:tc>
          <w:tcPr>
            <w:tcW w:w="3557" w:type="pct"/>
            <w:shd w:val="clear" w:color="auto" w:fill="CFF0FC"/>
            <w:tcMar>
              <w:top w:w="15" w:type="dxa"/>
              <w:left w:w="0" w:type="dxa"/>
              <w:bottom w:w="0" w:type="dxa"/>
              <w:right w:w="15" w:type="dxa"/>
            </w:tcMar>
            <w:hideMark/>
          </w:tcPr>
          <w:p w14:paraId="080E193B" w14:textId="77777777" w:rsidR="00251D72" w:rsidRDefault="00251D72">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current assets</w:t>
            </w:r>
          </w:p>
        </w:tc>
        <w:tc>
          <w:tcPr>
            <w:tcW w:w="83" w:type="pct"/>
            <w:shd w:val="clear" w:color="auto" w:fill="CFF0FC"/>
            <w:tcMar>
              <w:top w:w="15" w:type="dxa"/>
              <w:left w:w="0" w:type="dxa"/>
              <w:bottom w:w="0" w:type="dxa"/>
              <w:right w:w="15" w:type="dxa"/>
            </w:tcMar>
            <w:vAlign w:val="bottom"/>
            <w:hideMark/>
          </w:tcPr>
          <w:p w14:paraId="1FEAA695"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80553C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6CF01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46,386</w:t>
            </w:r>
          </w:p>
        </w:tc>
        <w:tc>
          <w:tcPr>
            <w:tcW w:w="50" w:type="pct"/>
            <w:shd w:val="clear" w:color="auto" w:fill="CFF0FC"/>
            <w:noWrap/>
            <w:tcMar>
              <w:top w:w="15" w:type="dxa"/>
              <w:left w:w="0" w:type="dxa"/>
              <w:bottom w:w="0" w:type="dxa"/>
              <w:right w:w="15" w:type="dxa"/>
            </w:tcMar>
            <w:vAlign w:val="bottom"/>
            <w:hideMark/>
          </w:tcPr>
          <w:p w14:paraId="214345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2CC27AC3"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BEC5E6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5EDC3B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76,159</w:t>
            </w:r>
          </w:p>
        </w:tc>
        <w:tc>
          <w:tcPr>
            <w:tcW w:w="50" w:type="pct"/>
            <w:shd w:val="clear" w:color="auto" w:fill="CFF0FC"/>
            <w:noWrap/>
            <w:tcMar>
              <w:top w:w="15" w:type="dxa"/>
              <w:left w:w="0" w:type="dxa"/>
              <w:bottom w:w="0" w:type="dxa"/>
              <w:right w:w="15" w:type="dxa"/>
            </w:tcMar>
            <w:vAlign w:val="bottom"/>
            <w:hideMark/>
          </w:tcPr>
          <w:p w14:paraId="3D7B50A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048EA97" w14:textId="77777777">
        <w:trPr>
          <w:divId w:val="1361055914"/>
          <w:jc w:val="center"/>
        </w:trPr>
        <w:tc>
          <w:tcPr>
            <w:tcW w:w="3557" w:type="pct"/>
            <w:shd w:val="clear" w:color="auto" w:fill="FFFFFF"/>
            <w:tcMar>
              <w:top w:w="15" w:type="dxa"/>
              <w:left w:w="0" w:type="dxa"/>
              <w:bottom w:w="0" w:type="dxa"/>
              <w:right w:w="15" w:type="dxa"/>
            </w:tcMar>
            <w:hideMark/>
          </w:tcPr>
          <w:p w14:paraId="38D0B7A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Non-current assets:</w:t>
            </w:r>
          </w:p>
        </w:tc>
        <w:tc>
          <w:tcPr>
            <w:tcW w:w="83" w:type="pct"/>
            <w:shd w:val="clear" w:color="auto" w:fill="FFFFFF"/>
            <w:tcMar>
              <w:top w:w="15" w:type="dxa"/>
              <w:left w:w="0" w:type="dxa"/>
              <w:bottom w:w="0" w:type="dxa"/>
              <w:right w:w="15" w:type="dxa"/>
            </w:tcMar>
            <w:vAlign w:val="bottom"/>
            <w:hideMark/>
          </w:tcPr>
          <w:p w14:paraId="3A2167D7"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E99807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tcBorders>
            <w:shd w:val="clear" w:color="auto" w:fill="FFFFFF"/>
            <w:noWrap/>
            <w:tcMar>
              <w:top w:w="15" w:type="dxa"/>
              <w:left w:w="0" w:type="dxa"/>
              <w:bottom w:w="0" w:type="dxa"/>
              <w:right w:w="15" w:type="dxa"/>
            </w:tcMar>
            <w:vAlign w:val="bottom"/>
            <w:hideMark/>
          </w:tcPr>
          <w:p w14:paraId="51E23B8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F11C1B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174275DC"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BB038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tcBorders>
            <w:shd w:val="clear" w:color="auto" w:fill="FFFFFF"/>
            <w:noWrap/>
            <w:tcMar>
              <w:top w:w="15" w:type="dxa"/>
              <w:left w:w="0" w:type="dxa"/>
              <w:bottom w:w="0" w:type="dxa"/>
              <w:right w:w="15" w:type="dxa"/>
            </w:tcMar>
            <w:vAlign w:val="bottom"/>
            <w:hideMark/>
          </w:tcPr>
          <w:p w14:paraId="627B818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7248D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1A544EA" w14:textId="77777777">
        <w:trPr>
          <w:divId w:val="1361055914"/>
          <w:jc w:val="center"/>
        </w:trPr>
        <w:tc>
          <w:tcPr>
            <w:tcW w:w="3557" w:type="pct"/>
            <w:shd w:val="clear" w:color="auto" w:fill="CFF0FC"/>
            <w:tcMar>
              <w:top w:w="15" w:type="dxa"/>
              <w:left w:w="0" w:type="dxa"/>
              <w:bottom w:w="0" w:type="dxa"/>
              <w:right w:w="15" w:type="dxa"/>
            </w:tcMar>
            <w:hideMark/>
          </w:tcPr>
          <w:p w14:paraId="585C6444"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Property, plant and equipment, net</w:t>
            </w:r>
          </w:p>
        </w:tc>
        <w:tc>
          <w:tcPr>
            <w:tcW w:w="83" w:type="pct"/>
            <w:shd w:val="clear" w:color="auto" w:fill="CFF0FC"/>
            <w:tcMar>
              <w:top w:w="15" w:type="dxa"/>
              <w:left w:w="0" w:type="dxa"/>
              <w:bottom w:w="0" w:type="dxa"/>
              <w:right w:w="15" w:type="dxa"/>
            </w:tcMar>
            <w:vAlign w:val="bottom"/>
            <w:hideMark/>
          </w:tcPr>
          <w:p w14:paraId="6B7F747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3A506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3CEE990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6,252</w:t>
            </w:r>
          </w:p>
        </w:tc>
        <w:tc>
          <w:tcPr>
            <w:tcW w:w="50" w:type="pct"/>
            <w:shd w:val="clear" w:color="auto" w:fill="CFF0FC"/>
            <w:noWrap/>
            <w:tcMar>
              <w:top w:w="15" w:type="dxa"/>
              <w:left w:w="0" w:type="dxa"/>
              <w:bottom w:w="0" w:type="dxa"/>
              <w:right w:w="15" w:type="dxa"/>
            </w:tcMar>
            <w:vAlign w:val="bottom"/>
            <w:hideMark/>
          </w:tcPr>
          <w:p w14:paraId="287257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4597542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985737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6FABF87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5,897</w:t>
            </w:r>
          </w:p>
        </w:tc>
        <w:tc>
          <w:tcPr>
            <w:tcW w:w="50" w:type="pct"/>
            <w:shd w:val="clear" w:color="auto" w:fill="CFF0FC"/>
            <w:noWrap/>
            <w:tcMar>
              <w:top w:w="15" w:type="dxa"/>
              <w:left w:w="0" w:type="dxa"/>
              <w:bottom w:w="0" w:type="dxa"/>
              <w:right w:w="15" w:type="dxa"/>
            </w:tcMar>
            <w:vAlign w:val="bottom"/>
            <w:hideMark/>
          </w:tcPr>
          <w:p w14:paraId="3367012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FF539ED" w14:textId="77777777">
        <w:trPr>
          <w:divId w:val="1361055914"/>
          <w:jc w:val="center"/>
        </w:trPr>
        <w:tc>
          <w:tcPr>
            <w:tcW w:w="3557" w:type="pct"/>
            <w:shd w:val="clear" w:color="auto" w:fill="FFFFFF"/>
            <w:tcMar>
              <w:top w:w="15" w:type="dxa"/>
              <w:left w:w="0" w:type="dxa"/>
              <w:bottom w:w="0" w:type="dxa"/>
              <w:right w:w="15" w:type="dxa"/>
            </w:tcMar>
            <w:hideMark/>
          </w:tcPr>
          <w:p w14:paraId="0C517A83"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Intangible assets, net</w:t>
            </w:r>
          </w:p>
        </w:tc>
        <w:tc>
          <w:tcPr>
            <w:tcW w:w="83" w:type="pct"/>
            <w:shd w:val="clear" w:color="auto" w:fill="FFFFFF"/>
            <w:tcMar>
              <w:top w:w="15" w:type="dxa"/>
              <w:left w:w="0" w:type="dxa"/>
              <w:bottom w:w="0" w:type="dxa"/>
              <w:right w:w="15" w:type="dxa"/>
            </w:tcMar>
            <w:vAlign w:val="bottom"/>
            <w:hideMark/>
          </w:tcPr>
          <w:p w14:paraId="2CD59B3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9B0DD4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3125EB7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5,279</w:t>
            </w:r>
          </w:p>
        </w:tc>
        <w:tc>
          <w:tcPr>
            <w:tcW w:w="50" w:type="pct"/>
            <w:shd w:val="clear" w:color="auto" w:fill="FFFFFF"/>
            <w:noWrap/>
            <w:tcMar>
              <w:top w:w="15" w:type="dxa"/>
              <w:left w:w="0" w:type="dxa"/>
              <w:bottom w:w="0" w:type="dxa"/>
              <w:right w:w="15" w:type="dxa"/>
            </w:tcMar>
            <w:vAlign w:val="bottom"/>
            <w:hideMark/>
          </w:tcPr>
          <w:p w14:paraId="16C846E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1C549E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548D08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0574908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6,670</w:t>
            </w:r>
          </w:p>
        </w:tc>
        <w:tc>
          <w:tcPr>
            <w:tcW w:w="50" w:type="pct"/>
            <w:shd w:val="clear" w:color="auto" w:fill="FFFFFF"/>
            <w:noWrap/>
            <w:tcMar>
              <w:top w:w="15" w:type="dxa"/>
              <w:left w:w="0" w:type="dxa"/>
              <w:bottom w:w="0" w:type="dxa"/>
              <w:right w:w="15" w:type="dxa"/>
            </w:tcMar>
            <w:vAlign w:val="bottom"/>
            <w:hideMark/>
          </w:tcPr>
          <w:p w14:paraId="63D867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A5671D6" w14:textId="77777777">
        <w:trPr>
          <w:divId w:val="1361055914"/>
          <w:jc w:val="center"/>
        </w:trPr>
        <w:tc>
          <w:tcPr>
            <w:tcW w:w="3557" w:type="pct"/>
            <w:shd w:val="clear" w:color="auto" w:fill="CFF0FC"/>
            <w:tcMar>
              <w:top w:w="15" w:type="dxa"/>
              <w:left w:w="0" w:type="dxa"/>
              <w:bottom w:w="0" w:type="dxa"/>
              <w:right w:w="15" w:type="dxa"/>
            </w:tcMar>
            <w:hideMark/>
          </w:tcPr>
          <w:p w14:paraId="7DBC36C0"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Goodwill, net</w:t>
            </w:r>
          </w:p>
        </w:tc>
        <w:tc>
          <w:tcPr>
            <w:tcW w:w="83" w:type="pct"/>
            <w:shd w:val="clear" w:color="auto" w:fill="CFF0FC"/>
            <w:tcMar>
              <w:top w:w="15" w:type="dxa"/>
              <w:left w:w="0" w:type="dxa"/>
              <w:bottom w:w="0" w:type="dxa"/>
              <w:right w:w="15" w:type="dxa"/>
            </w:tcMar>
            <w:vAlign w:val="bottom"/>
            <w:hideMark/>
          </w:tcPr>
          <w:p w14:paraId="388D551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10732F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2C3C24F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43,779</w:t>
            </w:r>
          </w:p>
        </w:tc>
        <w:tc>
          <w:tcPr>
            <w:tcW w:w="50" w:type="pct"/>
            <w:shd w:val="clear" w:color="auto" w:fill="CFF0FC"/>
            <w:noWrap/>
            <w:tcMar>
              <w:top w:w="15" w:type="dxa"/>
              <w:left w:w="0" w:type="dxa"/>
              <w:bottom w:w="0" w:type="dxa"/>
              <w:right w:w="15" w:type="dxa"/>
            </w:tcMar>
            <w:vAlign w:val="bottom"/>
            <w:hideMark/>
          </w:tcPr>
          <w:p w14:paraId="1A63311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6A5FD20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909C5C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06F5AF6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43,755</w:t>
            </w:r>
          </w:p>
        </w:tc>
        <w:tc>
          <w:tcPr>
            <w:tcW w:w="50" w:type="pct"/>
            <w:shd w:val="clear" w:color="auto" w:fill="CFF0FC"/>
            <w:noWrap/>
            <w:tcMar>
              <w:top w:w="15" w:type="dxa"/>
              <w:left w:w="0" w:type="dxa"/>
              <w:bottom w:w="0" w:type="dxa"/>
              <w:right w:w="15" w:type="dxa"/>
            </w:tcMar>
            <w:vAlign w:val="bottom"/>
            <w:hideMark/>
          </w:tcPr>
          <w:p w14:paraId="1A56ADC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BE57E2F" w14:textId="77777777">
        <w:trPr>
          <w:divId w:val="1361055914"/>
          <w:jc w:val="center"/>
        </w:trPr>
        <w:tc>
          <w:tcPr>
            <w:tcW w:w="3557" w:type="pct"/>
            <w:shd w:val="clear" w:color="auto" w:fill="FFFFFF"/>
            <w:tcMar>
              <w:top w:w="15" w:type="dxa"/>
              <w:left w:w="0" w:type="dxa"/>
              <w:bottom w:w="0" w:type="dxa"/>
              <w:right w:w="15" w:type="dxa"/>
            </w:tcMar>
            <w:hideMark/>
          </w:tcPr>
          <w:p w14:paraId="3159C27C"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Deferred tax assets</w:t>
            </w:r>
          </w:p>
        </w:tc>
        <w:tc>
          <w:tcPr>
            <w:tcW w:w="83" w:type="pct"/>
            <w:shd w:val="clear" w:color="auto" w:fill="FFFFFF"/>
            <w:tcMar>
              <w:top w:w="15" w:type="dxa"/>
              <w:left w:w="0" w:type="dxa"/>
              <w:bottom w:w="0" w:type="dxa"/>
              <w:right w:w="15" w:type="dxa"/>
            </w:tcMar>
            <w:vAlign w:val="bottom"/>
            <w:hideMark/>
          </w:tcPr>
          <w:p w14:paraId="5B86DB2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F9315C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28B84C1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2,696</w:t>
            </w:r>
          </w:p>
        </w:tc>
        <w:tc>
          <w:tcPr>
            <w:tcW w:w="50" w:type="pct"/>
            <w:shd w:val="clear" w:color="auto" w:fill="FFFFFF"/>
            <w:noWrap/>
            <w:tcMar>
              <w:top w:w="15" w:type="dxa"/>
              <w:left w:w="0" w:type="dxa"/>
              <w:bottom w:w="0" w:type="dxa"/>
              <w:right w:w="15" w:type="dxa"/>
            </w:tcMar>
            <w:vAlign w:val="bottom"/>
            <w:hideMark/>
          </w:tcPr>
          <w:p w14:paraId="414CCAE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3A11D07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8786F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1F51DA2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1,395</w:t>
            </w:r>
          </w:p>
        </w:tc>
        <w:tc>
          <w:tcPr>
            <w:tcW w:w="50" w:type="pct"/>
            <w:shd w:val="clear" w:color="auto" w:fill="FFFFFF"/>
            <w:noWrap/>
            <w:tcMar>
              <w:top w:w="15" w:type="dxa"/>
              <w:left w:w="0" w:type="dxa"/>
              <w:bottom w:w="0" w:type="dxa"/>
              <w:right w:w="15" w:type="dxa"/>
            </w:tcMar>
            <w:vAlign w:val="bottom"/>
            <w:hideMark/>
          </w:tcPr>
          <w:p w14:paraId="222AB8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DA3E9E0" w14:textId="77777777">
        <w:trPr>
          <w:divId w:val="1361055914"/>
          <w:jc w:val="center"/>
        </w:trPr>
        <w:tc>
          <w:tcPr>
            <w:tcW w:w="3557" w:type="pct"/>
            <w:shd w:val="clear" w:color="auto" w:fill="CFF0FC"/>
            <w:tcMar>
              <w:top w:w="15" w:type="dxa"/>
              <w:left w:w="0" w:type="dxa"/>
              <w:bottom w:w="0" w:type="dxa"/>
              <w:right w:w="15" w:type="dxa"/>
            </w:tcMar>
            <w:hideMark/>
          </w:tcPr>
          <w:p w14:paraId="0E26A885"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Other non-current assets</w:t>
            </w:r>
          </w:p>
        </w:tc>
        <w:tc>
          <w:tcPr>
            <w:tcW w:w="83" w:type="pct"/>
            <w:shd w:val="clear" w:color="auto" w:fill="CFF0FC"/>
            <w:tcMar>
              <w:top w:w="15" w:type="dxa"/>
              <w:left w:w="0" w:type="dxa"/>
              <w:bottom w:w="0" w:type="dxa"/>
              <w:right w:w="15" w:type="dxa"/>
            </w:tcMar>
            <w:vAlign w:val="bottom"/>
            <w:hideMark/>
          </w:tcPr>
          <w:p w14:paraId="7C1BA8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C28441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CFF0FC"/>
            <w:noWrap/>
            <w:tcMar>
              <w:top w:w="15" w:type="dxa"/>
              <w:left w:w="0" w:type="dxa"/>
              <w:bottom w:w="0" w:type="dxa"/>
              <w:right w:w="15" w:type="dxa"/>
            </w:tcMar>
            <w:vAlign w:val="bottom"/>
            <w:hideMark/>
          </w:tcPr>
          <w:p w14:paraId="3FC95BC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4,317</w:t>
            </w:r>
          </w:p>
        </w:tc>
        <w:tc>
          <w:tcPr>
            <w:tcW w:w="50" w:type="pct"/>
            <w:shd w:val="clear" w:color="auto" w:fill="CFF0FC"/>
            <w:noWrap/>
            <w:tcMar>
              <w:top w:w="15" w:type="dxa"/>
              <w:left w:w="0" w:type="dxa"/>
              <w:bottom w:w="0" w:type="dxa"/>
              <w:right w:w="15" w:type="dxa"/>
            </w:tcMar>
            <w:vAlign w:val="bottom"/>
            <w:hideMark/>
          </w:tcPr>
          <w:p w14:paraId="2AD1F1C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5336148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CBE245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CFF0FC"/>
            <w:noWrap/>
            <w:tcMar>
              <w:top w:w="15" w:type="dxa"/>
              <w:left w:w="0" w:type="dxa"/>
              <w:bottom w:w="0" w:type="dxa"/>
              <w:right w:w="15" w:type="dxa"/>
            </w:tcMar>
            <w:vAlign w:val="bottom"/>
            <w:hideMark/>
          </w:tcPr>
          <w:p w14:paraId="0585A26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3,975</w:t>
            </w:r>
          </w:p>
        </w:tc>
        <w:tc>
          <w:tcPr>
            <w:tcW w:w="50" w:type="pct"/>
            <w:shd w:val="clear" w:color="auto" w:fill="CFF0FC"/>
            <w:noWrap/>
            <w:tcMar>
              <w:top w:w="15" w:type="dxa"/>
              <w:left w:w="0" w:type="dxa"/>
              <w:bottom w:w="0" w:type="dxa"/>
              <w:right w:w="15" w:type="dxa"/>
            </w:tcMar>
            <w:vAlign w:val="bottom"/>
            <w:hideMark/>
          </w:tcPr>
          <w:p w14:paraId="72B53AF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52E2435" w14:textId="77777777">
        <w:trPr>
          <w:divId w:val="1361055914"/>
          <w:jc w:val="center"/>
        </w:trPr>
        <w:tc>
          <w:tcPr>
            <w:tcW w:w="3557" w:type="pct"/>
            <w:shd w:val="clear" w:color="auto" w:fill="FFFFFF"/>
            <w:tcMar>
              <w:top w:w="15" w:type="dxa"/>
              <w:left w:w="0" w:type="dxa"/>
              <w:bottom w:w="0" w:type="dxa"/>
              <w:right w:w="15" w:type="dxa"/>
            </w:tcMar>
            <w:hideMark/>
          </w:tcPr>
          <w:p w14:paraId="04500F9E" w14:textId="77777777" w:rsidR="00251D72" w:rsidRDefault="00251D72">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non-current assets</w:t>
            </w:r>
          </w:p>
        </w:tc>
        <w:tc>
          <w:tcPr>
            <w:tcW w:w="83" w:type="pct"/>
            <w:shd w:val="clear" w:color="auto" w:fill="FFFFFF"/>
            <w:tcMar>
              <w:top w:w="15" w:type="dxa"/>
              <w:left w:w="0" w:type="dxa"/>
              <w:bottom w:w="0" w:type="dxa"/>
              <w:right w:w="15" w:type="dxa"/>
            </w:tcMar>
            <w:vAlign w:val="bottom"/>
            <w:hideMark/>
          </w:tcPr>
          <w:p w14:paraId="0E73E0B1"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E7F93E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F5B030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62,323</w:t>
            </w:r>
          </w:p>
        </w:tc>
        <w:tc>
          <w:tcPr>
            <w:tcW w:w="50" w:type="pct"/>
            <w:shd w:val="clear" w:color="auto" w:fill="FFFFFF"/>
            <w:noWrap/>
            <w:tcMar>
              <w:top w:w="15" w:type="dxa"/>
              <w:left w:w="0" w:type="dxa"/>
              <w:bottom w:w="0" w:type="dxa"/>
              <w:right w:w="15" w:type="dxa"/>
            </w:tcMar>
            <w:vAlign w:val="bottom"/>
            <w:hideMark/>
          </w:tcPr>
          <w:p w14:paraId="7190F1A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609344AB"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CBE4C8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B8AD34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61,692</w:t>
            </w:r>
          </w:p>
        </w:tc>
        <w:tc>
          <w:tcPr>
            <w:tcW w:w="50" w:type="pct"/>
            <w:shd w:val="clear" w:color="auto" w:fill="FFFFFF"/>
            <w:noWrap/>
            <w:tcMar>
              <w:top w:w="15" w:type="dxa"/>
              <w:left w:w="0" w:type="dxa"/>
              <w:bottom w:w="0" w:type="dxa"/>
              <w:right w:w="15" w:type="dxa"/>
            </w:tcMar>
            <w:vAlign w:val="bottom"/>
            <w:hideMark/>
          </w:tcPr>
          <w:p w14:paraId="17D804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9D34759" w14:textId="77777777">
        <w:trPr>
          <w:divId w:val="1361055914"/>
          <w:jc w:val="center"/>
        </w:trPr>
        <w:tc>
          <w:tcPr>
            <w:tcW w:w="3557" w:type="pct"/>
            <w:shd w:val="clear" w:color="auto" w:fill="CFF0FC"/>
            <w:tcMar>
              <w:top w:w="15" w:type="dxa"/>
              <w:left w:w="0" w:type="dxa"/>
              <w:bottom w:w="0" w:type="dxa"/>
              <w:right w:w="15" w:type="dxa"/>
            </w:tcMar>
            <w:hideMark/>
          </w:tcPr>
          <w:p w14:paraId="662FECF4" w14:textId="77777777" w:rsidR="00251D72" w:rsidRDefault="00251D72">
            <w:pPr>
              <w:pStyle w:val="a3"/>
              <w:spacing w:before="0" w:beforeAutospacing="0" w:after="0" w:afterAutospacing="0"/>
              <w:ind w:left="958"/>
              <w:rPr>
                <w:rFonts w:ascii="Calibri" w:hAnsi="Calibri" w:cs="Calibri"/>
                <w:color w:val="000000"/>
                <w:sz w:val="18"/>
                <w:szCs w:val="18"/>
              </w:rPr>
            </w:pPr>
            <w:r>
              <w:rPr>
                <w:rFonts w:ascii="Calibri" w:hAnsi="Calibri" w:cs="Calibri"/>
                <w:color w:val="000000"/>
                <w:sz w:val="18"/>
                <w:szCs w:val="18"/>
              </w:rPr>
              <w:t>Total assets</w:t>
            </w:r>
          </w:p>
        </w:tc>
        <w:tc>
          <w:tcPr>
            <w:tcW w:w="83" w:type="pct"/>
            <w:shd w:val="clear" w:color="auto" w:fill="CFF0FC"/>
            <w:tcMar>
              <w:top w:w="15" w:type="dxa"/>
              <w:left w:w="0" w:type="dxa"/>
              <w:bottom w:w="0" w:type="dxa"/>
              <w:right w:w="15" w:type="dxa"/>
            </w:tcMar>
            <w:vAlign w:val="bottom"/>
            <w:hideMark/>
          </w:tcPr>
          <w:p w14:paraId="57A235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4E9F47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554C9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108,709</w:t>
            </w:r>
          </w:p>
        </w:tc>
        <w:tc>
          <w:tcPr>
            <w:tcW w:w="50" w:type="pct"/>
            <w:shd w:val="clear" w:color="auto" w:fill="CFF0FC"/>
            <w:noWrap/>
            <w:tcMar>
              <w:top w:w="15" w:type="dxa"/>
              <w:left w:w="0" w:type="dxa"/>
              <w:bottom w:w="0" w:type="dxa"/>
              <w:right w:w="15" w:type="dxa"/>
            </w:tcMar>
            <w:vAlign w:val="bottom"/>
            <w:hideMark/>
          </w:tcPr>
          <w:p w14:paraId="4967BC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2BB977E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53A2E2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409D92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137,851</w:t>
            </w:r>
          </w:p>
        </w:tc>
        <w:tc>
          <w:tcPr>
            <w:tcW w:w="50" w:type="pct"/>
            <w:shd w:val="clear" w:color="auto" w:fill="CFF0FC"/>
            <w:noWrap/>
            <w:tcMar>
              <w:top w:w="15" w:type="dxa"/>
              <w:left w:w="0" w:type="dxa"/>
              <w:bottom w:w="0" w:type="dxa"/>
              <w:right w:w="15" w:type="dxa"/>
            </w:tcMar>
            <w:vAlign w:val="bottom"/>
            <w:hideMark/>
          </w:tcPr>
          <w:p w14:paraId="28DC631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3022467" w14:textId="77777777">
        <w:trPr>
          <w:divId w:val="1361055914"/>
          <w:jc w:val="center"/>
        </w:trPr>
        <w:tc>
          <w:tcPr>
            <w:tcW w:w="3557" w:type="pct"/>
            <w:shd w:val="clear" w:color="auto" w:fill="FFFFFF"/>
            <w:tcMar>
              <w:top w:w="15" w:type="dxa"/>
              <w:left w:w="0" w:type="dxa"/>
              <w:bottom w:w="0" w:type="dxa"/>
              <w:right w:w="15" w:type="dxa"/>
            </w:tcMar>
            <w:vAlign w:val="bottom"/>
            <w:hideMark/>
          </w:tcPr>
          <w:p w14:paraId="2964E5D1" w14:textId="77777777" w:rsidR="00251D72" w:rsidRDefault="00251D72">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LIABILITIES AND EQUITY</w:t>
            </w:r>
          </w:p>
        </w:tc>
        <w:tc>
          <w:tcPr>
            <w:tcW w:w="83" w:type="pct"/>
            <w:shd w:val="clear" w:color="auto" w:fill="FFFFFF"/>
            <w:tcMar>
              <w:top w:w="15" w:type="dxa"/>
              <w:left w:w="0" w:type="dxa"/>
              <w:bottom w:w="0" w:type="dxa"/>
              <w:right w:w="15" w:type="dxa"/>
            </w:tcMar>
            <w:vAlign w:val="bottom"/>
            <w:hideMark/>
          </w:tcPr>
          <w:p w14:paraId="1ED15D84"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0FD5B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double" w:sz="6" w:space="0" w:color="000000"/>
            </w:tcBorders>
            <w:shd w:val="clear" w:color="auto" w:fill="FFFFFF"/>
            <w:noWrap/>
            <w:tcMar>
              <w:top w:w="15" w:type="dxa"/>
              <w:left w:w="0" w:type="dxa"/>
              <w:bottom w:w="0" w:type="dxa"/>
              <w:right w:w="15" w:type="dxa"/>
            </w:tcMar>
            <w:vAlign w:val="bottom"/>
            <w:hideMark/>
          </w:tcPr>
          <w:p w14:paraId="72AF39A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7444D7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225C508E"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A8B234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double" w:sz="6" w:space="0" w:color="000000"/>
            </w:tcBorders>
            <w:shd w:val="clear" w:color="auto" w:fill="FFFFFF"/>
            <w:noWrap/>
            <w:tcMar>
              <w:top w:w="15" w:type="dxa"/>
              <w:left w:w="0" w:type="dxa"/>
              <w:bottom w:w="0" w:type="dxa"/>
              <w:right w:w="15" w:type="dxa"/>
            </w:tcMar>
            <w:vAlign w:val="bottom"/>
            <w:hideMark/>
          </w:tcPr>
          <w:p w14:paraId="56D4ACB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7F2A71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96B7C80" w14:textId="77777777">
        <w:trPr>
          <w:divId w:val="1361055914"/>
          <w:jc w:val="center"/>
        </w:trPr>
        <w:tc>
          <w:tcPr>
            <w:tcW w:w="3557" w:type="pct"/>
            <w:shd w:val="clear" w:color="auto" w:fill="CFF0FC"/>
            <w:tcMar>
              <w:top w:w="15" w:type="dxa"/>
              <w:left w:w="0" w:type="dxa"/>
              <w:bottom w:w="0" w:type="dxa"/>
              <w:right w:w="15" w:type="dxa"/>
            </w:tcMar>
            <w:hideMark/>
          </w:tcPr>
          <w:p w14:paraId="343B82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Current liabilities:</w:t>
            </w:r>
          </w:p>
        </w:tc>
        <w:tc>
          <w:tcPr>
            <w:tcW w:w="83" w:type="pct"/>
            <w:shd w:val="clear" w:color="auto" w:fill="CFF0FC"/>
            <w:tcMar>
              <w:top w:w="15" w:type="dxa"/>
              <w:left w:w="0" w:type="dxa"/>
              <w:bottom w:w="0" w:type="dxa"/>
              <w:right w:w="15" w:type="dxa"/>
            </w:tcMar>
            <w:vAlign w:val="bottom"/>
            <w:hideMark/>
          </w:tcPr>
          <w:p w14:paraId="6A1B5DBF"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6E84E7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091607A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D30CA9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43D8E7C9"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340D73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198C767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CA8F9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4C83E84" w14:textId="77777777">
        <w:trPr>
          <w:divId w:val="1361055914"/>
          <w:jc w:val="center"/>
        </w:trPr>
        <w:tc>
          <w:tcPr>
            <w:tcW w:w="3557" w:type="pct"/>
            <w:shd w:val="clear" w:color="auto" w:fill="FFFFFF"/>
            <w:tcMar>
              <w:top w:w="15" w:type="dxa"/>
              <w:left w:w="0" w:type="dxa"/>
              <w:bottom w:w="0" w:type="dxa"/>
              <w:right w:w="15" w:type="dxa"/>
            </w:tcMar>
            <w:hideMark/>
          </w:tcPr>
          <w:p w14:paraId="6B9415D6"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Notes payable and other borrowings, current</w:t>
            </w:r>
          </w:p>
        </w:tc>
        <w:tc>
          <w:tcPr>
            <w:tcW w:w="83" w:type="pct"/>
            <w:shd w:val="clear" w:color="auto" w:fill="FFFFFF"/>
            <w:tcMar>
              <w:top w:w="15" w:type="dxa"/>
              <w:left w:w="0" w:type="dxa"/>
              <w:bottom w:w="0" w:type="dxa"/>
              <w:right w:w="15" w:type="dxa"/>
            </w:tcMar>
            <w:vAlign w:val="bottom"/>
            <w:hideMark/>
          </w:tcPr>
          <w:p w14:paraId="2B169CB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D86062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7" w:type="pct"/>
            <w:shd w:val="clear" w:color="auto" w:fill="FFFFFF"/>
            <w:noWrap/>
            <w:tcMar>
              <w:top w:w="15" w:type="dxa"/>
              <w:left w:w="0" w:type="dxa"/>
              <w:bottom w:w="0" w:type="dxa"/>
              <w:right w:w="15" w:type="dxa"/>
            </w:tcMar>
            <w:vAlign w:val="bottom"/>
            <w:hideMark/>
          </w:tcPr>
          <w:p w14:paraId="39A69D1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4,494</w:t>
            </w:r>
          </w:p>
        </w:tc>
        <w:tc>
          <w:tcPr>
            <w:tcW w:w="50" w:type="pct"/>
            <w:shd w:val="clear" w:color="auto" w:fill="FFFFFF"/>
            <w:noWrap/>
            <w:tcMar>
              <w:top w:w="15" w:type="dxa"/>
              <w:left w:w="0" w:type="dxa"/>
              <w:bottom w:w="0" w:type="dxa"/>
              <w:right w:w="15" w:type="dxa"/>
            </w:tcMar>
            <w:vAlign w:val="bottom"/>
            <w:hideMark/>
          </w:tcPr>
          <w:p w14:paraId="47E591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4D1A88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DE366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7" w:type="pct"/>
            <w:shd w:val="clear" w:color="auto" w:fill="FFFFFF"/>
            <w:noWrap/>
            <w:tcMar>
              <w:top w:w="15" w:type="dxa"/>
              <w:left w:w="0" w:type="dxa"/>
              <w:bottom w:w="0" w:type="dxa"/>
              <w:right w:w="15" w:type="dxa"/>
            </w:tcMar>
            <w:vAlign w:val="bottom"/>
            <w:hideMark/>
          </w:tcPr>
          <w:p w14:paraId="67E2B9D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4,491</w:t>
            </w:r>
          </w:p>
        </w:tc>
        <w:tc>
          <w:tcPr>
            <w:tcW w:w="50" w:type="pct"/>
            <w:shd w:val="clear" w:color="auto" w:fill="FFFFFF"/>
            <w:noWrap/>
            <w:tcMar>
              <w:top w:w="15" w:type="dxa"/>
              <w:left w:w="0" w:type="dxa"/>
              <w:bottom w:w="0" w:type="dxa"/>
              <w:right w:w="15" w:type="dxa"/>
            </w:tcMar>
            <w:vAlign w:val="bottom"/>
            <w:hideMark/>
          </w:tcPr>
          <w:p w14:paraId="7FFF6B6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0B4B6BB" w14:textId="77777777">
        <w:trPr>
          <w:divId w:val="1361055914"/>
          <w:jc w:val="center"/>
        </w:trPr>
        <w:tc>
          <w:tcPr>
            <w:tcW w:w="3557" w:type="pct"/>
            <w:shd w:val="clear" w:color="auto" w:fill="CFF0FC"/>
            <w:tcMar>
              <w:top w:w="15" w:type="dxa"/>
              <w:left w:w="0" w:type="dxa"/>
              <w:bottom w:w="0" w:type="dxa"/>
              <w:right w:w="15" w:type="dxa"/>
            </w:tcMar>
            <w:hideMark/>
          </w:tcPr>
          <w:p w14:paraId="1112F73E"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Accounts payable</w:t>
            </w:r>
          </w:p>
        </w:tc>
        <w:tc>
          <w:tcPr>
            <w:tcW w:w="83" w:type="pct"/>
            <w:shd w:val="clear" w:color="auto" w:fill="CFF0FC"/>
            <w:tcMar>
              <w:top w:w="15" w:type="dxa"/>
              <w:left w:w="0" w:type="dxa"/>
              <w:bottom w:w="0" w:type="dxa"/>
              <w:right w:w="15" w:type="dxa"/>
            </w:tcMar>
            <w:vAlign w:val="bottom"/>
            <w:hideMark/>
          </w:tcPr>
          <w:p w14:paraId="1FA3BC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778A11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19C9972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580</w:t>
            </w:r>
          </w:p>
        </w:tc>
        <w:tc>
          <w:tcPr>
            <w:tcW w:w="50" w:type="pct"/>
            <w:shd w:val="clear" w:color="auto" w:fill="CFF0FC"/>
            <w:noWrap/>
            <w:tcMar>
              <w:top w:w="15" w:type="dxa"/>
              <w:left w:w="0" w:type="dxa"/>
              <w:bottom w:w="0" w:type="dxa"/>
              <w:right w:w="15" w:type="dxa"/>
            </w:tcMar>
            <w:vAlign w:val="bottom"/>
            <w:hideMark/>
          </w:tcPr>
          <w:p w14:paraId="65B9515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1171849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AF776F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129C5FE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529</w:t>
            </w:r>
          </w:p>
        </w:tc>
        <w:tc>
          <w:tcPr>
            <w:tcW w:w="50" w:type="pct"/>
            <w:shd w:val="clear" w:color="auto" w:fill="CFF0FC"/>
            <w:noWrap/>
            <w:tcMar>
              <w:top w:w="15" w:type="dxa"/>
              <w:left w:w="0" w:type="dxa"/>
              <w:bottom w:w="0" w:type="dxa"/>
              <w:right w:w="15" w:type="dxa"/>
            </w:tcMar>
            <w:vAlign w:val="bottom"/>
            <w:hideMark/>
          </w:tcPr>
          <w:p w14:paraId="141766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0A021EE" w14:textId="77777777">
        <w:trPr>
          <w:divId w:val="1361055914"/>
          <w:jc w:val="center"/>
        </w:trPr>
        <w:tc>
          <w:tcPr>
            <w:tcW w:w="3557" w:type="pct"/>
            <w:shd w:val="clear" w:color="auto" w:fill="FFFFFF"/>
            <w:tcMar>
              <w:top w:w="15" w:type="dxa"/>
              <w:left w:w="0" w:type="dxa"/>
              <w:bottom w:w="0" w:type="dxa"/>
              <w:right w:w="15" w:type="dxa"/>
            </w:tcMar>
            <w:hideMark/>
          </w:tcPr>
          <w:p w14:paraId="0FD3021F"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Accrued compensation and related benefits</w:t>
            </w:r>
          </w:p>
        </w:tc>
        <w:tc>
          <w:tcPr>
            <w:tcW w:w="83" w:type="pct"/>
            <w:shd w:val="clear" w:color="auto" w:fill="FFFFFF"/>
            <w:tcMar>
              <w:top w:w="15" w:type="dxa"/>
              <w:left w:w="0" w:type="dxa"/>
              <w:bottom w:w="0" w:type="dxa"/>
              <w:right w:w="15" w:type="dxa"/>
            </w:tcMar>
            <w:vAlign w:val="bottom"/>
            <w:hideMark/>
          </w:tcPr>
          <w:p w14:paraId="2D051F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886F8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2D0B0C3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1,628</w:t>
            </w:r>
          </w:p>
        </w:tc>
        <w:tc>
          <w:tcPr>
            <w:tcW w:w="50" w:type="pct"/>
            <w:shd w:val="clear" w:color="auto" w:fill="FFFFFF"/>
            <w:noWrap/>
            <w:tcMar>
              <w:top w:w="15" w:type="dxa"/>
              <w:left w:w="0" w:type="dxa"/>
              <w:bottom w:w="0" w:type="dxa"/>
              <w:right w:w="15" w:type="dxa"/>
            </w:tcMar>
            <w:vAlign w:val="bottom"/>
            <w:hideMark/>
          </w:tcPr>
          <w:p w14:paraId="1BE0F2C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1FCD75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830398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5D1C463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1,806</w:t>
            </w:r>
          </w:p>
        </w:tc>
        <w:tc>
          <w:tcPr>
            <w:tcW w:w="50" w:type="pct"/>
            <w:shd w:val="clear" w:color="auto" w:fill="FFFFFF"/>
            <w:noWrap/>
            <w:tcMar>
              <w:top w:w="15" w:type="dxa"/>
              <w:left w:w="0" w:type="dxa"/>
              <w:bottom w:w="0" w:type="dxa"/>
              <w:right w:w="15" w:type="dxa"/>
            </w:tcMar>
            <w:vAlign w:val="bottom"/>
            <w:hideMark/>
          </w:tcPr>
          <w:p w14:paraId="20BD7E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86A5DCC" w14:textId="77777777">
        <w:trPr>
          <w:divId w:val="1361055914"/>
          <w:jc w:val="center"/>
        </w:trPr>
        <w:tc>
          <w:tcPr>
            <w:tcW w:w="3557" w:type="pct"/>
            <w:shd w:val="clear" w:color="auto" w:fill="CFF0FC"/>
            <w:tcMar>
              <w:top w:w="15" w:type="dxa"/>
              <w:left w:w="0" w:type="dxa"/>
              <w:bottom w:w="0" w:type="dxa"/>
              <w:right w:w="15" w:type="dxa"/>
            </w:tcMar>
            <w:hideMark/>
          </w:tcPr>
          <w:p w14:paraId="3A427D68"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Deferred revenues</w:t>
            </w:r>
          </w:p>
        </w:tc>
        <w:tc>
          <w:tcPr>
            <w:tcW w:w="83" w:type="pct"/>
            <w:shd w:val="clear" w:color="auto" w:fill="CFF0FC"/>
            <w:tcMar>
              <w:top w:w="15" w:type="dxa"/>
              <w:left w:w="0" w:type="dxa"/>
              <w:bottom w:w="0" w:type="dxa"/>
              <w:right w:w="15" w:type="dxa"/>
            </w:tcMar>
            <w:vAlign w:val="bottom"/>
            <w:hideMark/>
          </w:tcPr>
          <w:p w14:paraId="23D1BF5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0A7690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71749F8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8,374</w:t>
            </w:r>
          </w:p>
        </w:tc>
        <w:tc>
          <w:tcPr>
            <w:tcW w:w="50" w:type="pct"/>
            <w:shd w:val="clear" w:color="auto" w:fill="CFF0FC"/>
            <w:noWrap/>
            <w:tcMar>
              <w:top w:w="15" w:type="dxa"/>
              <w:left w:w="0" w:type="dxa"/>
              <w:bottom w:w="0" w:type="dxa"/>
              <w:right w:w="15" w:type="dxa"/>
            </w:tcMar>
            <w:vAlign w:val="bottom"/>
            <w:hideMark/>
          </w:tcPr>
          <w:p w14:paraId="221A1A6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5E729E3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E2D10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51E2D59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8,341</w:t>
            </w:r>
          </w:p>
        </w:tc>
        <w:tc>
          <w:tcPr>
            <w:tcW w:w="50" w:type="pct"/>
            <w:shd w:val="clear" w:color="auto" w:fill="CFF0FC"/>
            <w:noWrap/>
            <w:tcMar>
              <w:top w:w="15" w:type="dxa"/>
              <w:left w:w="0" w:type="dxa"/>
              <w:bottom w:w="0" w:type="dxa"/>
              <w:right w:w="15" w:type="dxa"/>
            </w:tcMar>
            <w:vAlign w:val="bottom"/>
            <w:hideMark/>
          </w:tcPr>
          <w:p w14:paraId="0629B0A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59843AE" w14:textId="77777777">
        <w:trPr>
          <w:divId w:val="1361055914"/>
          <w:jc w:val="center"/>
        </w:trPr>
        <w:tc>
          <w:tcPr>
            <w:tcW w:w="3557" w:type="pct"/>
            <w:shd w:val="clear" w:color="auto" w:fill="FFFFFF"/>
            <w:tcMar>
              <w:top w:w="15" w:type="dxa"/>
              <w:left w:w="0" w:type="dxa"/>
              <w:bottom w:w="0" w:type="dxa"/>
              <w:right w:w="15" w:type="dxa"/>
            </w:tcMar>
            <w:hideMark/>
          </w:tcPr>
          <w:p w14:paraId="739D02E5"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Other current liabilities</w:t>
            </w:r>
          </w:p>
        </w:tc>
        <w:tc>
          <w:tcPr>
            <w:tcW w:w="83" w:type="pct"/>
            <w:shd w:val="clear" w:color="auto" w:fill="FFFFFF"/>
            <w:tcMar>
              <w:top w:w="15" w:type="dxa"/>
              <w:left w:w="0" w:type="dxa"/>
              <w:bottom w:w="0" w:type="dxa"/>
              <w:right w:w="15" w:type="dxa"/>
            </w:tcMar>
            <w:vAlign w:val="bottom"/>
            <w:hideMark/>
          </w:tcPr>
          <w:p w14:paraId="6984F65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CEB37D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FFFFFF"/>
            <w:noWrap/>
            <w:tcMar>
              <w:top w:w="15" w:type="dxa"/>
              <w:left w:w="0" w:type="dxa"/>
              <w:bottom w:w="0" w:type="dxa"/>
              <w:right w:w="15" w:type="dxa"/>
            </w:tcMar>
            <w:vAlign w:val="bottom"/>
            <w:hideMark/>
          </w:tcPr>
          <w:p w14:paraId="56CA94A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3,554</w:t>
            </w:r>
          </w:p>
        </w:tc>
        <w:tc>
          <w:tcPr>
            <w:tcW w:w="50" w:type="pct"/>
            <w:shd w:val="clear" w:color="auto" w:fill="FFFFFF"/>
            <w:noWrap/>
            <w:tcMar>
              <w:top w:w="15" w:type="dxa"/>
              <w:left w:w="0" w:type="dxa"/>
              <w:bottom w:w="0" w:type="dxa"/>
              <w:right w:w="15" w:type="dxa"/>
            </w:tcMar>
            <w:vAlign w:val="bottom"/>
            <w:hideMark/>
          </w:tcPr>
          <w:p w14:paraId="34B5276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24B478E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A8DEB8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FFFFFF"/>
            <w:noWrap/>
            <w:tcMar>
              <w:top w:w="15" w:type="dxa"/>
              <w:left w:w="0" w:type="dxa"/>
              <w:bottom w:w="0" w:type="dxa"/>
              <w:right w:w="15" w:type="dxa"/>
            </w:tcMar>
            <w:vAlign w:val="bottom"/>
            <w:hideMark/>
          </w:tcPr>
          <w:p w14:paraId="7191CF8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3,957</w:t>
            </w:r>
          </w:p>
        </w:tc>
        <w:tc>
          <w:tcPr>
            <w:tcW w:w="50" w:type="pct"/>
            <w:shd w:val="clear" w:color="auto" w:fill="FFFFFF"/>
            <w:noWrap/>
            <w:tcMar>
              <w:top w:w="15" w:type="dxa"/>
              <w:left w:w="0" w:type="dxa"/>
              <w:bottom w:w="0" w:type="dxa"/>
              <w:right w:w="15" w:type="dxa"/>
            </w:tcMar>
            <w:vAlign w:val="bottom"/>
            <w:hideMark/>
          </w:tcPr>
          <w:p w14:paraId="01D2F89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8CBA9C9" w14:textId="77777777">
        <w:trPr>
          <w:divId w:val="1361055914"/>
          <w:jc w:val="center"/>
        </w:trPr>
        <w:tc>
          <w:tcPr>
            <w:tcW w:w="3557" w:type="pct"/>
            <w:shd w:val="clear" w:color="auto" w:fill="CFF0FC"/>
            <w:tcMar>
              <w:top w:w="15" w:type="dxa"/>
              <w:left w:w="0" w:type="dxa"/>
              <w:bottom w:w="0" w:type="dxa"/>
              <w:right w:w="15" w:type="dxa"/>
            </w:tcMar>
            <w:hideMark/>
          </w:tcPr>
          <w:p w14:paraId="0D6916E0" w14:textId="77777777" w:rsidR="00251D72" w:rsidRDefault="00251D72">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current liabilities</w:t>
            </w:r>
          </w:p>
        </w:tc>
        <w:tc>
          <w:tcPr>
            <w:tcW w:w="83" w:type="pct"/>
            <w:shd w:val="clear" w:color="auto" w:fill="CFF0FC"/>
            <w:tcMar>
              <w:top w:w="15" w:type="dxa"/>
              <w:left w:w="0" w:type="dxa"/>
              <w:bottom w:w="0" w:type="dxa"/>
              <w:right w:w="15" w:type="dxa"/>
            </w:tcMar>
            <w:vAlign w:val="bottom"/>
            <w:hideMark/>
          </w:tcPr>
          <w:p w14:paraId="139F3D62"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F02A0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2CCCA0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18,630</w:t>
            </w:r>
          </w:p>
        </w:tc>
        <w:tc>
          <w:tcPr>
            <w:tcW w:w="50" w:type="pct"/>
            <w:shd w:val="clear" w:color="auto" w:fill="CFF0FC"/>
            <w:noWrap/>
            <w:tcMar>
              <w:top w:w="15" w:type="dxa"/>
              <w:left w:w="0" w:type="dxa"/>
              <w:bottom w:w="0" w:type="dxa"/>
              <w:right w:w="15" w:type="dxa"/>
            </w:tcMar>
            <w:vAlign w:val="bottom"/>
            <w:hideMark/>
          </w:tcPr>
          <w:p w14:paraId="056EFB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0DA22EBE"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1E7F3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A7B009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19,124</w:t>
            </w:r>
          </w:p>
        </w:tc>
        <w:tc>
          <w:tcPr>
            <w:tcW w:w="50" w:type="pct"/>
            <w:shd w:val="clear" w:color="auto" w:fill="CFF0FC"/>
            <w:noWrap/>
            <w:tcMar>
              <w:top w:w="15" w:type="dxa"/>
              <w:left w:w="0" w:type="dxa"/>
              <w:bottom w:w="0" w:type="dxa"/>
              <w:right w:w="15" w:type="dxa"/>
            </w:tcMar>
            <w:vAlign w:val="bottom"/>
            <w:hideMark/>
          </w:tcPr>
          <w:p w14:paraId="3BD22B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809D98E" w14:textId="77777777">
        <w:trPr>
          <w:divId w:val="1361055914"/>
          <w:jc w:val="center"/>
        </w:trPr>
        <w:tc>
          <w:tcPr>
            <w:tcW w:w="3557" w:type="pct"/>
            <w:shd w:val="clear" w:color="auto" w:fill="FFFFFF"/>
            <w:tcMar>
              <w:top w:w="15" w:type="dxa"/>
              <w:left w:w="0" w:type="dxa"/>
              <w:bottom w:w="0" w:type="dxa"/>
              <w:right w:w="15" w:type="dxa"/>
            </w:tcMar>
            <w:hideMark/>
          </w:tcPr>
          <w:p w14:paraId="083D3FB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Non-current liabilities:</w:t>
            </w:r>
          </w:p>
        </w:tc>
        <w:tc>
          <w:tcPr>
            <w:tcW w:w="83" w:type="pct"/>
            <w:shd w:val="clear" w:color="auto" w:fill="FFFFFF"/>
            <w:tcMar>
              <w:top w:w="15" w:type="dxa"/>
              <w:left w:w="0" w:type="dxa"/>
              <w:bottom w:w="0" w:type="dxa"/>
              <w:right w:w="15" w:type="dxa"/>
            </w:tcMar>
            <w:vAlign w:val="bottom"/>
            <w:hideMark/>
          </w:tcPr>
          <w:p w14:paraId="30C30695"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4E0629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tcBorders>
            <w:shd w:val="clear" w:color="auto" w:fill="FFFFFF"/>
            <w:noWrap/>
            <w:tcMar>
              <w:top w:w="15" w:type="dxa"/>
              <w:left w:w="0" w:type="dxa"/>
              <w:bottom w:w="0" w:type="dxa"/>
              <w:right w:w="15" w:type="dxa"/>
            </w:tcMar>
            <w:vAlign w:val="bottom"/>
            <w:hideMark/>
          </w:tcPr>
          <w:p w14:paraId="6F31FF6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C1F40F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060C595E"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2CD149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tcBorders>
            <w:shd w:val="clear" w:color="auto" w:fill="FFFFFF"/>
            <w:noWrap/>
            <w:tcMar>
              <w:top w:w="15" w:type="dxa"/>
              <w:left w:w="0" w:type="dxa"/>
              <w:bottom w:w="0" w:type="dxa"/>
              <w:right w:w="15" w:type="dxa"/>
            </w:tcMar>
            <w:vAlign w:val="bottom"/>
            <w:hideMark/>
          </w:tcPr>
          <w:p w14:paraId="309B832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024B2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1E437BB" w14:textId="77777777">
        <w:trPr>
          <w:divId w:val="1361055914"/>
          <w:jc w:val="center"/>
        </w:trPr>
        <w:tc>
          <w:tcPr>
            <w:tcW w:w="3557" w:type="pct"/>
            <w:shd w:val="clear" w:color="auto" w:fill="CFF0FC"/>
            <w:tcMar>
              <w:top w:w="15" w:type="dxa"/>
              <w:left w:w="0" w:type="dxa"/>
              <w:bottom w:w="0" w:type="dxa"/>
              <w:right w:w="15" w:type="dxa"/>
            </w:tcMar>
            <w:hideMark/>
          </w:tcPr>
          <w:p w14:paraId="3CEBF3E1"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Notes payable and other borrowings, non-current</w:t>
            </w:r>
          </w:p>
        </w:tc>
        <w:tc>
          <w:tcPr>
            <w:tcW w:w="83" w:type="pct"/>
            <w:shd w:val="clear" w:color="auto" w:fill="CFF0FC"/>
            <w:tcMar>
              <w:top w:w="15" w:type="dxa"/>
              <w:left w:w="0" w:type="dxa"/>
              <w:bottom w:w="0" w:type="dxa"/>
              <w:right w:w="15" w:type="dxa"/>
            </w:tcMar>
            <w:vAlign w:val="bottom"/>
            <w:hideMark/>
          </w:tcPr>
          <w:p w14:paraId="42F7C9A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700712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27028CD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51,673</w:t>
            </w:r>
          </w:p>
        </w:tc>
        <w:tc>
          <w:tcPr>
            <w:tcW w:w="50" w:type="pct"/>
            <w:shd w:val="clear" w:color="auto" w:fill="CFF0FC"/>
            <w:noWrap/>
            <w:tcMar>
              <w:top w:w="15" w:type="dxa"/>
              <w:left w:w="0" w:type="dxa"/>
              <w:bottom w:w="0" w:type="dxa"/>
              <w:right w:w="15" w:type="dxa"/>
            </w:tcMar>
            <w:vAlign w:val="bottom"/>
            <w:hideMark/>
          </w:tcPr>
          <w:p w14:paraId="27E1BE2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1A48411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0F623A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5DC20FF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56,128</w:t>
            </w:r>
          </w:p>
        </w:tc>
        <w:tc>
          <w:tcPr>
            <w:tcW w:w="50" w:type="pct"/>
            <w:shd w:val="clear" w:color="auto" w:fill="CFF0FC"/>
            <w:noWrap/>
            <w:tcMar>
              <w:top w:w="15" w:type="dxa"/>
              <w:left w:w="0" w:type="dxa"/>
              <w:bottom w:w="0" w:type="dxa"/>
              <w:right w:w="15" w:type="dxa"/>
            </w:tcMar>
            <w:vAlign w:val="bottom"/>
            <w:hideMark/>
          </w:tcPr>
          <w:p w14:paraId="78EB31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3B86BD2" w14:textId="77777777">
        <w:trPr>
          <w:divId w:val="1361055914"/>
          <w:jc w:val="center"/>
        </w:trPr>
        <w:tc>
          <w:tcPr>
            <w:tcW w:w="3557" w:type="pct"/>
            <w:shd w:val="clear" w:color="auto" w:fill="FFFFFF"/>
            <w:tcMar>
              <w:top w:w="15" w:type="dxa"/>
              <w:left w:w="0" w:type="dxa"/>
              <w:bottom w:w="0" w:type="dxa"/>
              <w:right w:w="15" w:type="dxa"/>
            </w:tcMar>
            <w:hideMark/>
          </w:tcPr>
          <w:p w14:paraId="5B3B0255"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Income taxes payable</w:t>
            </w:r>
          </w:p>
        </w:tc>
        <w:tc>
          <w:tcPr>
            <w:tcW w:w="83" w:type="pct"/>
            <w:shd w:val="clear" w:color="auto" w:fill="FFFFFF"/>
            <w:tcMar>
              <w:top w:w="15" w:type="dxa"/>
              <w:left w:w="0" w:type="dxa"/>
              <w:bottom w:w="0" w:type="dxa"/>
              <w:right w:w="15" w:type="dxa"/>
            </w:tcMar>
            <w:vAlign w:val="bottom"/>
            <w:hideMark/>
          </w:tcPr>
          <w:p w14:paraId="01D56B6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385C67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6E1C066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13,295</w:t>
            </w:r>
          </w:p>
        </w:tc>
        <w:tc>
          <w:tcPr>
            <w:tcW w:w="50" w:type="pct"/>
            <w:shd w:val="clear" w:color="auto" w:fill="FFFFFF"/>
            <w:noWrap/>
            <w:tcMar>
              <w:top w:w="15" w:type="dxa"/>
              <w:left w:w="0" w:type="dxa"/>
              <w:bottom w:w="0" w:type="dxa"/>
              <w:right w:w="15" w:type="dxa"/>
            </w:tcMar>
            <w:vAlign w:val="bottom"/>
            <w:hideMark/>
          </w:tcPr>
          <w:p w14:paraId="442F2E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611334A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8D7B6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467B395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13,429</w:t>
            </w:r>
          </w:p>
        </w:tc>
        <w:tc>
          <w:tcPr>
            <w:tcW w:w="50" w:type="pct"/>
            <w:shd w:val="clear" w:color="auto" w:fill="FFFFFF"/>
            <w:noWrap/>
            <w:tcMar>
              <w:top w:w="15" w:type="dxa"/>
              <w:left w:w="0" w:type="dxa"/>
              <w:bottom w:w="0" w:type="dxa"/>
              <w:right w:w="15" w:type="dxa"/>
            </w:tcMar>
            <w:vAlign w:val="bottom"/>
            <w:hideMark/>
          </w:tcPr>
          <w:p w14:paraId="0053A39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5F28373" w14:textId="77777777">
        <w:trPr>
          <w:divId w:val="1361055914"/>
          <w:jc w:val="center"/>
        </w:trPr>
        <w:tc>
          <w:tcPr>
            <w:tcW w:w="3557" w:type="pct"/>
            <w:shd w:val="clear" w:color="auto" w:fill="CFF0FC"/>
            <w:tcMar>
              <w:top w:w="15" w:type="dxa"/>
              <w:left w:w="0" w:type="dxa"/>
              <w:bottom w:w="0" w:type="dxa"/>
              <w:right w:w="15" w:type="dxa"/>
            </w:tcMar>
            <w:hideMark/>
          </w:tcPr>
          <w:p w14:paraId="750D0A17"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Other non-current liabilities</w:t>
            </w:r>
          </w:p>
        </w:tc>
        <w:tc>
          <w:tcPr>
            <w:tcW w:w="83" w:type="pct"/>
            <w:shd w:val="clear" w:color="auto" w:fill="CFF0FC"/>
            <w:tcMar>
              <w:top w:w="15" w:type="dxa"/>
              <w:left w:w="0" w:type="dxa"/>
              <w:bottom w:w="0" w:type="dxa"/>
              <w:right w:w="15" w:type="dxa"/>
            </w:tcMar>
            <w:vAlign w:val="bottom"/>
            <w:hideMark/>
          </w:tcPr>
          <w:p w14:paraId="1049026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BEEE2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CFF0FC"/>
            <w:noWrap/>
            <w:tcMar>
              <w:top w:w="15" w:type="dxa"/>
              <w:left w:w="0" w:type="dxa"/>
              <w:bottom w:w="0" w:type="dxa"/>
              <w:right w:w="15" w:type="dxa"/>
            </w:tcMar>
            <w:vAlign w:val="bottom"/>
            <w:hideMark/>
          </w:tcPr>
          <w:p w14:paraId="76870A7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2,748</w:t>
            </w:r>
          </w:p>
        </w:tc>
        <w:tc>
          <w:tcPr>
            <w:tcW w:w="50" w:type="pct"/>
            <w:shd w:val="clear" w:color="auto" w:fill="CFF0FC"/>
            <w:noWrap/>
            <w:tcMar>
              <w:top w:w="15" w:type="dxa"/>
              <w:left w:w="0" w:type="dxa"/>
              <w:bottom w:w="0" w:type="dxa"/>
              <w:right w:w="15" w:type="dxa"/>
            </w:tcMar>
            <w:vAlign w:val="bottom"/>
            <w:hideMark/>
          </w:tcPr>
          <w:p w14:paraId="35A9F33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53E459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A47794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CFF0FC"/>
            <w:noWrap/>
            <w:tcMar>
              <w:top w:w="15" w:type="dxa"/>
              <w:left w:w="0" w:type="dxa"/>
              <w:bottom w:w="0" w:type="dxa"/>
              <w:right w:w="15" w:type="dxa"/>
            </w:tcMar>
            <w:vAlign w:val="bottom"/>
            <w:hideMark/>
          </w:tcPr>
          <w:p w14:paraId="230441A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2,297</w:t>
            </w:r>
          </w:p>
        </w:tc>
        <w:tc>
          <w:tcPr>
            <w:tcW w:w="50" w:type="pct"/>
            <w:shd w:val="clear" w:color="auto" w:fill="CFF0FC"/>
            <w:noWrap/>
            <w:tcMar>
              <w:top w:w="15" w:type="dxa"/>
              <w:left w:w="0" w:type="dxa"/>
              <w:bottom w:w="0" w:type="dxa"/>
              <w:right w:w="15" w:type="dxa"/>
            </w:tcMar>
            <w:vAlign w:val="bottom"/>
            <w:hideMark/>
          </w:tcPr>
          <w:p w14:paraId="7556972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F718BDB" w14:textId="77777777">
        <w:trPr>
          <w:divId w:val="1361055914"/>
          <w:jc w:val="center"/>
        </w:trPr>
        <w:tc>
          <w:tcPr>
            <w:tcW w:w="3557" w:type="pct"/>
            <w:shd w:val="clear" w:color="auto" w:fill="FFFFFF"/>
            <w:tcMar>
              <w:top w:w="15" w:type="dxa"/>
              <w:left w:w="0" w:type="dxa"/>
              <w:bottom w:w="0" w:type="dxa"/>
              <w:right w:w="15" w:type="dxa"/>
            </w:tcMar>
            <w:hideMark/>
          </w:tcPr>
          <w:p w14:paraId="13A98E0C" w14:textId="77777777" w:rsidR="00251D72" w:rsidRDefault="00251D72">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non-current liabilities</w:t>
            </w:r>
          </w:p>
        </w:tc>
        <w:tc>
          <w:tcPr>
            <w:tcW w:w="83" w:type="pct"/>
            <w:shd w:val="clear" w:color="auto" w:fill="FFFFFF"/>
            <w:tcMar>
              <w:top w:w="15" w:type="dxa"/>
              <w:left w:w="0" w:type="dxa"/>
              <w:bottom w:w="0" w:type="dxa"/>
              <w:right w:w="15" w:type="dxa"/>
            </w:tcMar>
            <w:vAlign w:val="bottom"/>
            <w:hideMark/>
          </w:tcPr>
          <w:p w14:paraId="6ABB2FD5"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A26F78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3F337F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67,716</w:t>
            </w:r>
          </w:p>
        </w:tc>
        <w:tc>
          <w:tcPr>
            <w:tcW w:w="50" w:type="pct"/>
            <w:shd w:val="clear" w:color="auto" w:fill="FFFFFF"/>
            <w:noWrap/>
            <w:tcMar>
              <w:top w:w="15" w:type="dxa"/>
              <w:left w:w="0" w:type="dxa"/>
              <w:bottom w:w="0" w:type="dxa"/>
              <w:right w:w="15" w:type="dxa"/>
            </w:tcMar>
            <w:vAlign w:val="bottom"/>
            <w:hideMark/>
          </w:tcPr>
          <w:p w14:paraId="14B68F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3A9E2973"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0A904A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F247FB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71,854</w:t>
            </w:r>
          </w:p>
        </w:tc>
        <w:tc>
          <w:tcPr>
            <w:tcW w:w="50" w:type="pct"/>
            <w:shd w:val="clear" w:color="auto" w:fill="FFFFFF"/>
            <w:noWrap/>
            <w:tcMar>
              <w:top w:w="15" w:type="dxa"/>
              <w:left w:w="0" w:type="dxa"/>
              <w:bottom w:w="0" w:type="dxa"/>
              <w:right w:w="15" w:type="dxa"/>
            </w:tcMar>
            <w:vAlign w:val="bottom"/>
            <w:hideMark/>
          </w:tcPr>
          <w:p w14:paraId="464566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7403DC8" w14:textId="77777777">
        <w:trPr>
          <w:divId w:val="1361055914"/>
          <w:jc w:val="center"/>
        </w:trPr>
        <w:tc>
          <w:tcPr>
            <w:tcW w:w="3557" w:type="pct"/>
            <w:shd w:val="clear" w:color="auto" w:fill="CFF0FC"/>
            <w:tcMar>
              <w:top w:w="15" w:type="dxa"/>
              <w:left w:w="0" w:type="dxa"/>
              <w:bottom w:w="0" w:type="dxa"/>
              <w:right w:w="15" w:type="dxa"/>
            </w:tcMar>
            <w:hideMark/>
          </w:tcPr>
          <w:p w14:paraId="720F372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Commitments and contingencies</w:t>
            </w:r>
          </w:p>
        </w:tc>
        <w:tc>
          <w:tcPr>
            <w:tcW w:w="83" w:type="pct"/>
            <w:shd w:val="clear" w:color="auto" w:fill="CFF0FC"/>
            <w:tcMar>
              <w:top w:w="15" w:type="dxa"/>
              <w:left w:w="0" w:type="dxa"/>
              <w:bottom w:w="0" w:type="dxa"/>
              <w:right w:w="15" w:type="dxa"/>
            </w:tcMar>
            <w:vAlign w:val="bottom"/>
            <w:hideMark/>
          </w:tcPr>
          <w:p w14:paraId="4CC306D1"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E9565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tcBorders>
            <w:shd w:val="clear" w:color="auto" w:fill="CFF0FC"/>
            <w:noWrap/>
            <w:tcMar>
              <w:top w:w="15" w:type="dxa"/>
              <w:left w:w="0" w:type="dxa"/>
              <w:bottom w:w="0" w:type="dxa"/>
              <w:right w:w="15" w:type="dxa"/>
            </w:tcMar>
            <w:vAlign w:val="bottom"/>
            <w:hideMark/>
          </w:tcPr>
          <w:p w14:paraId="42A14BD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0E6B4C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6DB2B319"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B8DC0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tcBorders>
            <w:shd w:val="clear" w:color="auto" w:fill="CFF0FC"/>
            <w:noWrap/>
            <w:tcMar>
              <w:top w:w="15" w:type="dxa"/>
              <w:left w:w="0" w:type="dxa"/>
              <w:bottom w:w="0" w:type="dxa"/>
              <w:right w:w="15" w:type="dxa"/>
            </w:tcMar>
            <w:vAlign w:val="bottom"/>
            <w:hideMark/>
          </w:tcPr>
          <w:p w14:paraId="0827F9D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0A865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3BB10A0" w14:textId="77777777">
        <w:trPr>
          <w:divId w:val="1361055914"/>
          <w:jc w:val="center"/>
        </w:trPr>
        <w:tc>
          <w:tcPr>
            <w:tcW w:w="3557" w:type="pct"/>
            <w:shd w:val="clear" w:color="auto" w:fill="FFFFFF"/>
            <w:tcMar>
              <w:top w:w="15" w:type="dxa"/>
              <w:left w:w="0" w:type="dxa"/>
              <w:bottom w:w="0" w:type="dxa"/>
              <w:right w:w="15" w:type="dxa"/>
            </w:tcMar>
            <w:hideMark/>
          </w:tcPr>
          <w:p w14:paraId="568F08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Oracle Corporation stockholders' equity:</w:t>
            </w:r>
          </w:p>
        </w:tc>
        <w:tc>
          <w:tcPr>
            <w:tcW w:w="83" w:type="pct"/>
            <w:shd w:val="clear" w:color="auto" w:fill="FFFFFF"/>
            <w:tcMar>
              <w:top w:w="15" w:type="dxa"/>
              <w:left w:w="0" w:type="dxa"/>
              <w:bottom w:w="0" w:type="dxa"/>
              <w:right w:w="15" w:type="dxa"/>
            </w:tcMar>
            <w:vAlign w:val="bottom"/>
            <w:hideMark/>
          </w:tcPr>
          <w:p w14:paraId="4835FE8C"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A73106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0B4A486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BC8FF6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28FAAD52"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3D7DE4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7B77528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BA63E9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272922C" w14:textId="77777777">
        <w:trPr>
          <w:divId w:val="1361055914"/>
          <w:jc w:val="center"/>
        </w:trPr>
        <w:tc>
          <w:tcPr>
            <w:tcW w:w="3557" w:type="pct"/>
            <w:shd w:val="clear" w:color="auto" w:fill="CFF0FC"/>
            <w:tcMar>
              <w:top w:w="15" w:type="dxa"/>
              <w:left w:w="0" w:type="dxa"/>
              <w:bottom w:w="0" w:type="dxa"/>
              <w:right w:w="15" w:type="dxa"/>
            </w:tcMar>
            <w:hideMark/>
          </w:tcPr>
          <w:p w14:paraId="5A799CB2"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Preferred stock, $0.01 par value—authorized: 1.0 shares; outstanding: none</w:t>
            </w:r>
          </w:p>
        </w:tc>
        <w:tc>
          <w:tcPr>
            <w:tcW w:w="83" w:type="pct"/>
            <w:shd w:val="clear" w:color="auto" w:fill="CFF0FC"/>
            <w:tcMar>
              <w:top w:w="15" w:type="dxa"/>
              <w:left w:w="0" w:type="dxa"/>
              <w:bottom w:w="0" w:type="dxa"/>
              <w:right w:w="15" w:type="dxa"/>
            </w:tcMar>
            <w:vAlign w:val="bottom"/>
            <w:hideMark/>
          </w:tcPr>
          <w:p w14:paraId="067D38F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FE856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1B5103C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E09F19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2E84CAC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762EC6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6913542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58F386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C990A38" w14:textId="77777777">
        <w:trPr>
          <w:divId w:val="1361055914"/>
          <w:jc w:val="center"/>
        </w:trPr>
        <w:tc>
          <w:tcPr>
            <w:tcW w:w="3557" w:type="pct"/>
            <w:shd w:val="clear" w:color="auto" w:fill="FFFFFF"/>
            <w:tcMar>
              <w:top w:w="15" w:type="dxa"/>
              <w:left w:w="0" w:type="dxa"/>
              <w:bottom w:w="0" w:type="dxa"/>
              <w:right w:w="15" w:type="dxa"/>
            </w:tcMar>
            <w:hideMark/>
          </w:tcPr>
          <w:p w14:paraId="005E468E" w14:textId="77777777" w:rsidR="00251D72" w:rsidRDefault="00251D72">
            <w:pPr>
              <w:pStyle w:val="a3"/>
              <w:spacing w:before="0" w:beforeAutospacing="0" w:after="0" w:afterAutospacing="0"/>
              <w:ind w:left="552" w:hanging="142"/>
              <w:rPr>
                <w:rFonts w:ascii="Calibri" w:hAnsi="Calibri" w:cs="Calibri"/>
                <w:color w:val="000000"/>
                <w:sz w:val="18"/>
                <w:szCs w:val="18"/>
              </w:rPr>
            </w:pPr>
            <w:r>
              <w:rPr>
                <w:rFonts w:ascii="Calibri" w:hAnsi="Calibri" w:cs="Calibri"/>
                <w:color w:val="000000"/>
                <w:sz w:val="18"/>
                <w:szCs w:val="18"/>
              </w:rPr>
              <w:t>Common stock, $0.01 par value and additional paid in capital—authorized: 11,000 shares; outstanding: 3,359 shares and 3,997 shares as of May 31, 2019 and May 31, 2018, respectively</w:t>
            </w:r>
          </w:p>
        </w:tc>
        <w:tc>
          <w:tcPr>
            <w:tcW w:w="83" w:type="pct"/>
            <w:shd w:val="clear" w:color="auto" w:fill="FFFFFF"/>
            <w:tcMar>
              <w:top w:w="15" w:type="dxa"/>
              <w:left w:w="0" w:type="dxa"/>
              <w:bottom w:w="0" w:type="dxa"/>
              <w:right w:w="15" w:type="dxa"/>
            </w:tcMar>
            <w:vAlign w:val="bottom"/>
            <w:hideMark/>
          </w:tcPr>
          <w:p w14:paraId="3BC55B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D4B8B4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762B003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26,909</w:t>
            </w:r>
          </w:p>
        </w:tc>
        <w:tc>
          <w:tcPr>
            <w:tcW w:w="50" w:type="pct"/>
            <w:shd w:val="clear" w:color="auto" w:fill="FFFFFF"/>
            <w:noWrap/>
            <w:tcMar>
              <w:top w:w="15" w:type="dxa"/>
              <w:left w:w="0" w:type="dxa"/>
              <w:bottom w:w="0" w:type="dxa"/>
              <w:right w:w="15" w:type="dxa"/>
            </w:tcMar>
            <w:vAlign w:val="bottom"/>
            <w:hideMark/>
          </w:tcPr>
          <w:p w14:paraId="6AB49E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2E2A5CF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A3D843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FFFFFF"/>
            <w:noWrap/>
            <w:tcMar>
              <w:top w:w="15" w:type="dxa"/>
              <w:left w:w="0" w:type="dxa"/>
              <w:bottom w:w="0" w:type="dxa"/>
              <w:right w:w="15" w:type="dxa"/>
            </w:tcMar>
            <w:vAlign w:val="bottom"/>
            <w:hideMark/>
          </w:tcPr>
          <w:p w14:paraId="1506F27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28,950</w:t>
            </w:r>
          </w:p>
        </w:tc>
        <w:tc>
          <w:tcPr>
            <w:tcW w:w="50" w:type="pct"/>
            <w:shd w:val="clear" w:color="auto" w:fill="FFFFFF"/>
            <w:noWrap/>
            <w:tcMar>
              <w:top w:w="15" w:type="dxa"/>
              <w:left w:w="0" w:type="dxa"/>
              <w:bottom w:w="0" w:type="dxa"/>
              <w:right w:w="15" w:type="dxa"/>
            </w:tcMar>
            <w:vAlign w:val="bottom"/>
            <w:hideMark/>
          </w:tcPr>
          <w:p w14:paraId="468FFAE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82CDB24" w14:textId="77777777">
        <w:trPr>
          <w:divId w:val="1361055914"/>
          <w:jc w:val="center"/>
        </w:trPr>
        <w:tc>
          <w:tcPr>
            <w:tcW w:w="3557" w:type="pct"/>
            <w:shd w:val="clear" w:color="auto" w:fill="CFF0FC"/>
            <w:tcMar>
              <w:top w:w="15" w:type="dxa"/>
              <w:left w:w="0" w:type="dxa"/>
              <w:bottom w:w="0" w:type="dxa"/>
              <w:right w:w="15" w:type="dxa"/>
            </w:tcMar>
            <w:hideMark/>
          </w:tcPr>
          <w:p w14:paraId="3629D6D1"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(Accumulated deficit) retained earnings</w:t>
            </w:r>
          </w:p>
        </w:tc>
        <w:tc>
          <w:tcPr>
            <w:tcW w:w="83" w:type="pct"/>
            <w:shd w:val="clear" w:color="auto" w:fill="CFF0FC"/>
            <w:tcMar>
              <w:top w:w="15" w:type="dxa"/>
              <w:left w:w="0" w:type="dxa"/>
              <w:bottom w:w="0" w:type="dxa"/>
              <w:right w:w="15" w:type="dxa"/>
            </w:tcMar>
            <w:vAlign w:val="bottom"/>
            <w:hideMark/>
          </w:tcPr>
          <w:p w14:paraId="7E22ECE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CE7907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7A9D2B2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(3,496</w:t>
            </w:r>
          </w:p>
        </w:tc>
        <w:tc>
          <w:tcPr>
            <w:tcW w:w="50" w:type="pct"/>
            <w:shd w:val="clear" w:color="auto" w:fill="CFF0FC"/>
            <w:noWrap/>
            <w:tcMar>
              <w:top w:w="15" w:type="dxa"/>
              <w:left w:w="0" w:type="dxa"/>
              <w:bottom w:w="0" w:type="dxa"/>
              <w:right w:w="15" w:type="dxa"/>
            </w:tcMar>
            <w:vAlign w:val="bottom"/>
            <w:hideMark/>
          </w:tcPr>
          <w:p w14:paraId="7A8E14F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3" w:type="pct"/>
            <w:shd w:val="clear" w:color="auto" w:fill="CFF0FC"/>
            <w:tcMar>
              <w:top w:w="15" w:type="dxa"/>
              <w:left w:w="0" w:type="dxa"/>
              <w:bottom w:w="0" w:type="dxa"/>
              <w:right w:w="15" w:type="dxa"/>
            </w:tcMar>
            <w:vAlign w:val="bottom"/>
            <w:hideMark/>
          </w:tcPr>
          <w:p w14:paraId="37C6595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5F095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shd w:val="clear" w:color="auto" w:fill="CFF0FC"/>
            <w:noWrap/>
            <w:tcMar>
              <w:top w:w="15" w:type="dxa"/>
              <w:left w:w="0" w:type="dxa"/>
              <w:bottom w:w="0" w:type="dxa"/>
              <w:right w:w="15" w:type="dxa"/>
            </w:tcMar>
            <w:vAlign w:val="bottom"/>
            <w:hideMark/>
          </w:tcPr>
          <w:p w14:paraId="0BF6568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19,111</w:t>
            </w:r>
          </w:p>
        </w:tc>
        <w:tc>
          <w:tcPr>
            <w:tcW w:w="50" w:type="pct"/>
            <w:shd w:val="clear" w:color="auto" w:fill="CFF0FC"/>
            <w:noWrap/>
            <w:tcMar>
              <w:top w:w="15" w:type="dxa"/>
              <w:left w:w="0" w:type="dxa"/>
              <w:bottom w:w="0" w:type="dxa"/>
              <w:right w:w="15" w:type="dxa"/>
            </w:tcMar>
            <w:vAlign w:val="bottom"/>
            <w:hideMark/>
          </w:tcPr>
          <w:p w14:paraId="04623F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4A05A01" w14:textId="77777777">
        <w:trPr>
          <w:divId w:val="1361055914"/>
          <w:jc w:val="center"/>
        </w:trPr>
        <w:tc>
          <w:tcPr>
            <w:tcW w:w="3557" w:type="pct"/>
            <w:shd w:val="clear" w:color="auto" w:fill="FFFFFF"/>
            <w:tcMar>
              <w:top w:w="15" w:type="dxa"/>
              <w:left w:w="0" w:type="dxa"/>
              <w:bottom w:w="0" w:type="dxa"/>
              <w:right w:w="15" w:type="dxa"/>
            </w:tcMar>
            <w:hideMark/>
          </w:tcPr>
          <w:p w14:paraId="7BDFC286"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Accumulated other comprehensive loss</w:t>
            </w:r>
          </w:p>
        </w:tc>
        <w:tc>
          <w:tcPr>
            <w:tcW w:w="83" w:type="pct"/>
            <w:shd w:val="clear" w:color="auto" w:fill="FFFFFF"/>
            <w:tcMar>
              <w:top w:w="15" w:type="dxa"/>
              <w:left w:w="0" w:type="dxa"/>
              <w:bottom w:w="0" w:type="dxa"/>
              <w:right w:w="15" w:type="dxa"/>
            </w:tcMar>
            <w:vAlign w:val="bottom"/>
            <w:hideMark/>
          </w:tcPr>
          <w:p w14:paraId="523695B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319DA2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FFFFFF"/>
            <w:noWrap/>
            <w:tcMar>
              <w:top w:w="15" w:type="dxa"/>
              <w:left w:w="0" w:type="dxa"/>
              <w:bottom w:w="0" w:type="dxa"/>
              <w:right w:w="15" w:type="dxa"/>
            </w:tcMar>
            <w:vAlign w:val="bottom"/>
            <w:hideMark/>
          </w:tcPr>
          <w:p w14:paraId="61D2FA1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(1,628</w:t>
            </w:r>
          </w:p>
        </w:tc>
        <w:tc>
          <w:tcPr>
            <w:tcW w:w="50" w:type="pct"/>
            <w:shd w:val="clear" w:color="auto" w:fill="FFFFFF"/>
            <w:noWrap/>
            <w:tcMar>
              <w:top w:w="15" w:type="dxa"/>
              <w:left w:w="0" w:type="dxa"/>
              <w:bottom w:w="0" w:type="dxa"/>
              <w:right w:w="15" w:type="dxa"/>
            </w:tcMar>
            <w:vAlign w:val="bottom"/>
            <w:hideMark/>
          </w:tcPr>
          <w:p w14:paraId="75D1EC3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3" w:type="pct"/>
            <w:shd w:val="clear" w:color="auto" w:fill="FFFFFF"/>
            <w:tcMar>
              <w:top w:w="15" w:type="dxa"/>
              <w:left w:w="0" w:type="dxa"/>
              <w:bottom w:w="0" w:type="dxa"/>
              <w:right w:w="15" w:type="dxa"/>
            </w:tcMar>
            <w:vAlign w:val="bottom"/>
            <w:hideMark/>
          </w:tcPr>
          <w:p w14:paraId="1161123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403AB7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FFFFFF"/>
            <w:noWrap/>
            <w:tcMar>
              <w:top w:w="15" w:type="dxa"/>
              <w:left w:w="0" w:type="dxa"/>
              <w:bottom w:w="0" w:type="dxa"/>
              <w:right w:w="15" w:type="dxa"/>
            </w:tcMar>
            <w:vAlign w:val="bottom"/>
            <w:hideMark/>
          </w:tcPr>
          <w:p w14:paraId="2BD5703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(1,689</w:t>
            </w:r>
          </w:p>
        </w:tc>
        <w:tc>
          <w:tcPr>
            <w:tcW w:w="50" w:type="pct"/>
            <w:shd w:val="clear" w:color="auto" w:fill="FFFFFF"/>
            <w:noWrap/>
            <w:tcMar>
              <w:top w:w="15" w:type="dxa"/>
              <w:left w:w="0" w:type="dxa"/>
              <w:bottom w:w="0" w:type="dxa"/>
              <w:right w:w="15" w:type="dxa"/>
            </w:tcMar>
            <w:vAlign w:val="bottom"/>
            <w:hideMark/>
          </w:tcPr>
          <w:p w14:paraId="363D9C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74786E92" w14:textId="77777777">
        <w:trPr>
          <w:divId w:val="1361055914"/>
          <w:jc w:val="center"/>
        </w:trPr>
        <w:tc>
          <w:tcPr>
            <w:tcW w:w="3557" w:type="pct"/>
            <w:shd w:val="clear" w:color="auto" w:fill="CFF0FC"/>
            <w:tcMar>
              <w:top w:w="15" w:type="dxa"/>
              <w:left w:w="0" w:type="dxa"/>
              <w:bottom w:w="0" w:type="dxa"/>
              <w:right w:w="15" w:type="dxa"/>
            </w:tcMar>
            <w:hideMark/>
          </w:tcPr>
          <w:p w14:paraId="46A9C3E3" w14:textId="77777777" w:rsidR="00251D72" w:rsidRDefault="00251D72">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Oracle Corporation stockholders' equity</w:t>
            </w:r>
          </w:p>
        </w:tc>
        <w:tc>
          <w:tcPr>
            <w:tcW w:w="83" w:type="pct"/>
            <w:shd w:val="clear" w:color="auto" w:fill="CFF0FC"/>
            <w:tcMar>
              <w:top w:w="15" w:type="dxa"/>
              <w:left w:w="0" w:type="dxa"/>
              <w:bottom w:w="0" w:type="dxa"/>
              <w:right w:w="15" w:type="dxa"/>
            </w:tcMar>
            <w:vAlign w:val="bottom"/>
            <w:hideMark/>
          </w:tcPr>
          <w:p w14:paraId="79CCA81D"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5A59C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tcBorders>
            <w:shd w:val="clear" w:color="auto" w:fill="CFF0FC"/>
            <w:noWrap/>
            <w:tcMar>
              <w:top w:w="15" w:type="dxa"/>
              <w:left w:w="0" w:type="dxa"/>
              <w:bottom w:w="0" w:type="dxa"/>
              <w:right w:w="15" w:type="dxa"/>
            </w:tcMar>
            <w:vAlign w:val="bottom"/>
            <w:hideMark/>
          </w:tcPr>
          <w:p w14:paraId="1432B08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21,785</w:t>
            </w:r>
          </w:p>
        </w:tc>
        <w:tc>
          <w:tcPr>
            <w:tcW w:w="50" w:type="pct"/>
            <w:shd w:val="clear" w:color="auto" w:fill="CFF0FC"/>
            <w:noWrap/>
            <w:tcMar>
              <w:top w:w="15" w:type="dxa"/>
              <w:left w:w="0" w:type="dxa"/>
              <w:bottom w:w="0" w:type="dxa"/>
              <w:right w:w="15" w:type="dxa"/>
            </w:tcMar>
            <w:vAlign w:val="bottom"/>
            <w:hideMark/>
          </w:tcPr>
          <w:p w14:paraId="77AA522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5C1F7837"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53B72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tcBorders>
            <w:shd w:val="clear" w:color="auto" w:fill="CFF0FC"/>
            <w:noWrap/>
            <w:tcMar>
              <w:top w:w="15" w:type="dxa"/>
              <w:left w:w="0" w:type="dxa"/>
              <w:bottom w:w="0" w:type="dxa"/>
              <w:right w:w="15" w:type="dxa"/>
            </w:tcMar>
            <w:vAlign w:val="bottom"/>
            <w:hideMark/>
          </w:tcPr>
          <w:p w14:paraId="2CA6904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46,372</w:t>
            </w:r>
          </w:p>
        </w:tc>
        <w:tc>
          <w:tcPr>
            <w:tcW w:w="50" w:type="pct"/>
            <w:shd w:val="clear" w:color="auto" w:fill="CFF0FC"/>
            <w:noWrap/>
            <w:tcMar>
              <w:top w:w="15" w:type="dxa"/>
              <w:left w:w="0" w:type="dxa"/>
              <w:bottom w:w="0" w:type="dxa"/>
              <w:right w:w="15" w:type="dxa"/>
            </w:tcMar>
            <w:vAlign w:val="bottom"/>
            <w:hideMark/>
          </w:tcPr>
          <w:p w14:paraId="0CFA2C0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BC84210" w14:textId="77777777">
        <w:trPr>
          <w:divId w:val="1361055914"/>
          <w:jc w:val="center"/>
        </w:trPr>
        <w:tc>
          <w:tcPr>
            <w:tcW w:w="3557" w:type="pct"/>
            <w:shd w:val="clear" w:color="auto" w:fill="FFFFFF"/>
            <w:tcMar>
              <w:top w:w="15" w:type="dxa"/>
              <w:left w:w="0" w:type="dxa"/>
              <w:bottom w:w="0" w:type="dxa"/>
              <w:right w:w="15" w:type="dxa"/>
            </w:tcMar>
            <w:hideMark/>
          </w:tcPr>
          <w:p w14:paraId="4B36C9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Noncontrolling interests</w:t>
            </w:r>
          </w:p>
        </w:tc>
        <w:tc>
          <w:tcPr>
            <w:tcW w:w="83" w:type="pct"/>
            <w:shd w:val="clear" w:color="auto" w:fill="FFFFFF"/>
            <w:tcMar>
              <w:top w:w="15" w:type="dxa"/>
              <w:left w:w="0" w:type="dxa"/>
              <w:bottom w:w="0" w:type="dxa"/>
              <w:right w:w="15" w:type="dxa"/>
            </w:tcMar>
            <w:vAlign w:val="bottom"/>
            <w:hideMark/>
          </w:tcPr>
          <w:p w14:paraId="0FD58F54"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EE842C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FFFFFF"/>
            <w:noWrap/>
            <w:tcMar>
              <w:top w:w="15" w:type="dxa"/>
              <w:left w:w="0" w:type="dxa"/>
              <w:bottom w:w="0" w:type="dxa"/>
              <w:right w:w="15" w:type="dxa"/>
            </w:tcMar>
            <w:vAlign w:val="bottom"/>
            <w:hideMark/>
          </w:tcPr>
          <w:p w14:paraId="7F5603F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578</w:t>
            </w:r>
          </w:p>
        </w:tc>
        <w:tc>
          <w:tcPr>
            <w:tcW w:w="50" w:type="pct"/>
            <w:shd w:val="clear" w:color="auto" w:fill="FFFFFF"/>
            <w:noWrap/>
            <w:tcMar>
              <w:top w:w="15" w:type="dxa"/>
              <w:left w:w="0" w:type="dxa"/>
              <w:bottom w:w="0" w:type="dxa"/>
              <w:right w:w="15" w:type="dxa"/>
            </w:tcMar>
            <w:vAlign w:val="bottom"/>
            <w:hideMark/>
          </w:tcPr>
          <w:p w14:paraId="21E3CF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3BAAFC53"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99ED3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bottom w:val="single" w:sz="6" w:space="0" w:color="000000"/>
            </w:tcBorders>
            <w:shd w:val="clear" w:color="auto" w:fill="FFFFFF"/>
            <w:noWrap/>
            <w:tcMar>
              <w:top w:w="15" w:type="dxa"/>
              <w:left w:w="0" w:type="dxa"/>
              <w:bottom w:w="0" w:type="dxa"/>
              <w:right w:w="15" w:type="dxa"/>
            </w:tcMar>
            <w:vAlign w:val="bottom"/>
            <w:hideMark/>
          </w:tcPr>
          <w:p w14:paraId="4D19E7B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501</w:t>
            </w:r>
          </w:p>
        </w:tc>
        <w:tc>
          <w:tcPr>
            <w:tcW w:w="50" w:type="pct"/>
            <w:shd w:val="clear" w:color="auto" w:fill="FFFFFF"/>
            <w:noWrap/>
            <w:tcMar>
              <w:top w:w="15" w:type="dxa"/>
              <w:left w:w="0" w:type="dxa"/>
              <w:bottom w:w="0" w:type="dxa"/>
              <w:right w:w="15" w:type="dxa"/>
            </w:tcMar>
            <w:vAlign w:val="bottom"/>
            <w:hideMark/>
          </w:tcPr>
          <w:p w14:paraId="75DBC9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CB5776A" w14:textId="77777777">
        <w:trPr>
          <w:divId w:val="1361055914"/>
          <w:jc w:val="center"/>
        </w:trPr>
        <w:tc>
          <w:tcPr>
            <w:tcW w:w="3557" w:type="pct"/>
            <w:shd w:val="clear" w:color="auto" w:fill="CFF0FC"/>
            <w:tcMar>
              <w:top w:w="15" w:type="dxa"/>
              <w:left w:w="0" w:type="dxa"/>
              <w:bottom w:w="0" w:type="dxa"/>
              <w:right w:w="15" w:type="dxa"/>
            </w:tcMar>
            <w:hideMark/>
          </w:tcPr>
          <w:p w14:paraId="1C9B147D" w14:textId="77777777" w:rsidR="00251D72" w:rsidRDefault="00251D72">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equity</w:t>
            </w:r>
          </w:p>
        </w:tc>
        <w:tc>
          <w:tcPr>
            <w:tcW w:w="83" w:type="pct"/>
            <w:shd w:val="clear" w:color="auto" w:fill="CFF0FC"/>
            <w:tcMar>
              <w:top w:w="15" w:type="dxa"/>
              <w:left w:w="0" w:type="dxa"/>
              <w:bottom w:w="0" w:type="dxa"/>
              <w:right w:w="15" w:type="dxa"/>
            </w:tcMar>
            <w:vAlign w:val="bottom"/>
            <w:hideMark/>
          </w:tcPr>
          <w:p w14:paraId="046DCD7D"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370F2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F096F4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22,363</w:t>
            </w:r>
          </w:p>
        </w:tc>
        <w:tc>
          <w:tcPr>
            <w:tcW w:w="50" w:type="pct"/>
            <w:shd w:val="clear" w:color="auto" w:fill="CFF0FC"/>
            <w:noWrap/>
            <w:tcMar>
              <w:top w:w="15" w:type="dxa"/>
              <w:left w:w="0" w:type="dxa"/>
              <w:bottom w:w="0" w:type="dxa"/>
              <w:right w:w="15" w:type="dxa"/>
            </w:tcMar>
            <w:vAlign w:val="bottom"/>
            <w:hideMark/>
          </w:tcPr>
          <w:p w14:paraId="47FF4A0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CFF0FC"/>
            <w:tcMar>
              <w:top w:w="15" w:type="dxa"/>
              <w:left w:w="0" w:type="dxa"/>
              <w:bottom w:w="0" w:type="dxa"/>
              <w:right w:w="15" w:type="dxa"/>
            </w:tcMar>
            <w:vAlign w:val="bottom"/>
            <w:hideMark/>
          </w:tcPr>
          <w:p w14:paraId="27C75704"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5620C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D97673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46,873</w:t>
            </w:r>
          </w:p>
        </w:tc>
        <w:tc>
          <w:tcPr>
            <w:tcW w:w="50" w:type="pct"/>
            <w:shd w:val="clear" w:color="auto" w:fill="CFF0FC"/>
            <w:noWrap/>
            <w:tcMar>
              <w:top w:w="15" w:type="dxa"/>
              <w:left w:w="0" w:type="dxa"/>
              <w:bottom w:w="0" w:type="dxa"/>
              <w:right w:w="15" w:type="dxa"/>
            </w:tcMar>
            <w:vAlign w:val="bottom"/>
            <w:hideMark/>
          </w:tcPr>
          <w:p w14:paraId="7460B2B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0032992" w14:textId="77777777">
        <w:trPr>
          <w:divId w:val="1361055914"/>
          <w:jc w:val="center"/>
        </w:trPr>
        <w:tc>
          <w:tcPr>
            <w:tcW w:w="3557" w:type="pct"/>
            <w:shd w:val="clear" w:color="auto" w:fill="FFFFFF"/>
            <w:tcMar>
              <w:top w:w="15" w:type="dxa"/>
              <w:left w:w="0" w:type="dxa"/>
              <w:bottom w:w="0" w:type="dxa"/>
              <w:right w:w="15" w:type="dxa"/>
            </w:tcMar>
            <w:hideMark/>
          </w:tcPr>
          <w:p w14:paraId="18B30270" w14:textId="77777777" w:rsidR="00251D72" w:rsidRDefault="00251D72">
            <w:pPr>
              <w:pStyle w:val="a3"/>
              <w:spacing w:before="0" w:beforeAutospacing="0" w:after="0" w:afterAutospacing="0"/>
              <w:ind w:left="958"/>
              <w:rPr>
                <w:rFonts w:ascii="Calibri" w:hAnsi="Calibri" w:cs="Calibri"/>
                <w:color w:val="000000"/>
                <w:sz w:val="18"/>
                <w:szCs w:val="18"/>
              </w:rPr>
            </w:pPr>
            <w:r>
              <w:rPr>
                <w:rFonts w:ascii="Calibri" w:hAnsi="Calibri" w:cs="Calibri"/>
                <w:color w:val="000000"/>
                <w:sz w:val="18"/>
                <w:szCs w:val="18"/>
              </w:rPr>
              <w:t>Total liabilities and equity</w:t>
            </w:r>
          </w:p>
        </w:tc>
        <w:tc>
          <w:tcPr>
            <w:tcW w:w="83" w:type="pct"/>
            <w:shd w:val="clear" w:color="auto" w:fill="FFFFFF"/>
            <w:tcMar>
              <w:top w:w="15" w:type="dxa"/>
              <w:left w:w="0" w:type="dxa"/>
              <w:bottom w:w="0" w:type="dxa"/>
              <w:right w:w="15" w:type="dxa"/>
            </w:tcMar>
            <w:vAlign w:val="bottom"/>
            <w:hideMark/>
          </w:tcPr>
          <w:p w14:paraId="26714FD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11AE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62F65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108,709</w:t>
            </w:r>
          </w:p>
        </w:tc>
        <w:tc>
          <w:tcPr>
            <w:tcW w:w="50" w:type="pct"/>
            <w:shd w:val="clear" w:color="auto" w:fill="FFFFFF"/>
            <w:noWrap/>
            <w:tcMar>
              <w:top w:w="15" w:type="dxa"/>
              <w:left w:w="0" w:type="dxa"/>
              <w:bottom w:w="0" w:type="dxa"/>
              <w:right w:w="15" w:type="dxa"/>
            </w:tcMar>
            <w:vAlign w:val="bottom"/>
            <w:hideMark/>
          </w:tcPr>
          <w:p w14:paraId="10918FF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3" w:type="pct"/>
            <w:shd w:val="clear" w:color="auto" w:fill="FFFFFF"/>
            <w:tcMar>
              <w:top w:w="15" w:type="dxa"/>
              <w:left w:w="0" w:type="dxa"/>
              <w:bottom w:w="0" w:type="dxa"/>
              <w:right w:w="15" w:type="dxa"/>
            </w:tcMar>
            <w:vAlign w:val="bottom"/>
            <w:hideMark/>
          </w:tcPr>
          <w:p w14:paraId="3B4CFC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8196C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82E75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137,851</w:t>
            </w:r>
          </w:p>
        </w:tc>
        <w:tc>
          <w:tcPr>
            <w:tcW w:w="50" w:type="pct"/>
            <w:shd w:val="clear" w:color="auto" w:fill="FFFFFF"/>
            <w:noWrap/>
            <w:tcMar>
              <w:top w:w="15" w:type="dxa"/>
              <w:left w:w="0" w:type="dxa"/>
              <w:bottom w:w="0" w:type="dxa"/>
              <w:right w:w="15" w:type="dxa"/>
            </w:tcMar>
            <w:vAlign w:val="bottom"/>
            <w:hideMark/>
          </w:tcPr>
          <w:p w14:paraId="51F1457A"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45E8E20" w14:textId="77777777" w:rsidR="00251D72" w:rsidRDefault="00251D72">
      <w:pPr>
        <w:pStyle w:val="a3"/>
        <w:spacing w:before="0" w:beforeAutospacing="0" w:after="0" w:afterAutospacing="0"/>
      </w:pPr>
      <w:r>
        <w:t> </w:t>
      </w:r>
    </w:p>
    <w:p w14:paraId="3A7F0B10" w14:textId="77777777" w:rsidR="00251D72" w:rsidRDefault="00251D72">
      <w:pPr>
        <w:pStyle w:val="a3"/>
        <w:spacing w:before="0" w:beforeAutospacing="0" w:after="0" w:afterAutospacing="0"/>
      </w:pPr>
      <w:r>
        <w:t> </w:t>
      </w:r>
    </w:p>
    <w:p w14:paraId="36D82973"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See notes to consolidated financial statements.</w:t>
      </w:r>
    </w:p>
    <w:p w14:paraId="1DBAE2F1" w14:textId="77777777" w:rsidR="00251D72" w:rsidRDefault="00251D72">
      <w:pPr>
        <w:pStyle w:val="a3"/>
        <w:spacing w:before="0" w:beforeAutospacing="0" w:after="0" w:afterAutospacing="0"/>
        <w:rPr>
          <w:sz w:val="20"/>
          <w:szCs w:val="20"/>
        </w:rPr>
      </w:pPr>
      <w:r>
        <w:rPr>
          <w:sz w:val="20"/>
          <w:szCs w:val="20"/>
        </w:rPr>
        <w:t> </w:t>
      </w:r>
    </w:p>
    <w:p w14:paraId="25A0F9F0"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67</w:t>
      </w:r>
    </w:p>
    <w:p w14:paraId="2BA1437B" w14:textId="77777777" w:rsidR="00251D72" w:rsidRDefault="00251D72">
      <w:pPr>
        <w:rPr>
          <w:rFonts w:ascii="Times New Roman" w:eastAsia="Times New Roman" w:hAnsi="Times New Roman" w:cs="Times New Roman"/>
          <w:sz w:val="24"/>
          <w:szCs w:val="24"/>
        </w:rPr>
      </w:pPr>
      <w:r>
        <w:rPr>
          <w:rFonts w:eastAsia="Times New Roman"/>
        </w:rPr>
        <w:pict w14:anchorId="0F583E0D">
          <v:rect id="_x0000_i1093" style="width:415.3pt;height:1.5pt" o:hralign="center" o:hrstd="t" o:hr="t" fillcolor="#a0a0a0" stroked="f"/>
        </w:pict>
      </w:r>
    </w:p>
    <w:p w14:paraId="64A6909C"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6506A316"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4AAB6AD8" w14:textId="77777777" w:rsidR="00251D72" w:rsidRDefault="00251D72">
      <w:pPr>
        <w:pStyle w:val="a3"/>
        <w:spacing w:before="120" w:beforeAutospacing="0" w:after="0" w:afterAutospacing="0"/>
        <w:rPr>
          <w:sz w:val="20"/>
          <w:szCs w:val="20"/>
        </w:rPr>
      </w:pPr>
      <w:r>
        <w:rPr>
          <w:sz w:val="20"/>
          <w:szCs w:val="20"/>
        </w:rPr>
        <w:t> </w:t>
      </w:r>
    </w:p>
    <w:p w14:paraId="2D2EB0DE" w14:textId="77777777" w:rsidR="00251D72" w:rsidRDefault="00251D72">
      <w:pPr>
        <w:pStyle w:val="a3"/>
        <w:spacing w:before="0" w:beforeAutospacing="0" w:after="0" w:afterAutospacing="0"/>
        <w:jc w:val="center"/>
        <w:rPr>
          <w:rFonts w:ascii="Calibri" w:hAnsi="Calibri" w:cs="Calibri"/>
          <w:b/>
          <w:bCs/>
          <w:sz w:val="20"/>
          <w:szCs w:val="20"/>
        </w:rPr>
      </w:pPr>
      <w:bookmarkStart w:id="101" w:name="_AEIOULastRenderedPageBreakAEIOU70"/>
      <w:bookmarkEnd w:id="101"/>
      <w:r>
        <w:rPr>
          <w:rFonts w:ascii="Calibri" w:hAnsi="Calibri" w:cs="Calibri"/>
          <w:b/>
          <w:bCs/>
          <w:sz w:val="20"/>
          <w:szCs w:val="20"/>
        </w:rPr>
        <w:t>ORACLE CORPORATION</w:t>
      </w:r>
    </w:p>
    <w:p w14:paraId="73440AAA" w14:textId="77777777" w:rsidR="00251D72" w:rsidRDefault="00251D72">
      <w:pPr>
        <w:pStyle w:val="a3"/>
        <w:spacing w:before="0" w:beforeAutospacing="0" w:after="0" w:afterAutospacing="0"/>
        <w:jc w:val="center"/>
        <w:rPr>
          <w:rFonts w:ascii="Calibri" w:hAnsi="Calibri" w:cs="Calibri"/>
          <w:b/>
          <w:bCs/>
          <w:sz w:val="20"/>
          <w:szCs w:val="20"/>
        </w:rPr>
      </w:pPr>
      <w:bookmarkStart w:id="102" w:name="CONSOLIDATED_STATEMENTS_OPERATIONS"/>
      <w:bookmarkEnd w:id="102"/>
      <w:r>
        <w:rPr>
          <w:rFonts w:ascii="Calibri" w:hAnsi="Calibri" w:cs="Calibri"/>
          <w:b/>
          <w:bCs/>
          <w:sz w:val="20"/>
          <w:szCs w:val="20"/>
        </w:rPr>
        <w:t>CONSOLIDATED STATEMENTS OF OPERATIONS</w:t>
      </w:r>
    </w:p>
    <w:p w14:paraId="145A09AE" w14:textId="77777777" w:rsidR="00251D72" w:rsidRDefault="00251D72">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For the Years Ended May 31, 2019, 2018 and 2017</w:t>
      </w:r>
    </w:p>
    <w:p w14:paraId="5D321DAB" w14:textId="77777777" w:rsidR="00251D72" w:rsidRDefault="00251D7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779"/>
        <w:gridCol w:w="104"/>
        <w:gridCol w:w="107"/>
        <w:gridCol w:w="887"/>
        <w:gridCol w:w="76"/>
        <w:gridCol w:w="104"/>
        <w:gridCol w:w="107"/>
        <w:gridCol w:w="887"/>
        <w:gridCol w:w="76"/>
        <w:gridCol w:w="104"/>
        <w:gridCol w:w="107"/>
        <w:gridCol w:w="892"/>
        <w:gridCol w:w="76"/>
      </w:tblGrid>
      <w:tr w:rsidR="00251D72" w14:paraId="66C4C07C" w14:textId="77777777">
        <w:trPr>
          <w:divId w:val="822237102"/>
          <w:jc w:val="center"/>
        </w:trPr>
        <w:tc>
          <w:tcPr>
            <w:tcW w:w="2880" w:type="pct"/>
            <w:shd w:val="clear" w:color="auto" w:fill="FFFFFF"/>
            <w:tcMar>
              <w:top w:w="15" w:type="dxa"/>
              <w:left w:w="0" w:type="dxa"/>
              <w:bottom w:w="0" w:type="dxa"/>
              <w:right w:w="15" w:type="dxa"/>
            </w:tcMar>
            <w:vAlign w:val="bottom"/>
            <w:hideMark/>
          </w:tcPr>
          <w:p w14:paraId="66A9119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7" w:type="pct"/>
            <w:shd w:val="clear" w:color="auto" w:fill="FFFFFF"/>
            <w:tcMar>
              <w:top w:w="15" w:type="dxa"/>
              <w:left w:w="0" w:type="dxa"/>
              <w:bottom w:w="0" w:type="dxa"/>
              <w:right w:w="15" w:type="dxa"/>
            </w:tcMar>
            <w:vAlign w:val="bottom"/>
            <w:hideMark/>
          </w:tcPr>
          <w:p w14:paraId="7F13EFD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001" w:type="pct"/>
            <w:gridSpan w:val="10"/>
            <w:tcBorders>
              <w:bottom w:val="single" w:sz="6" w:space="0" w:color="000000"/>
            </w:tcBorders>
            <w:shd w:val="clear" w:color="auto" w:fill="FFFFFF"/>
            <w:tcMar>
              <w:top w:w="15" w:type="dxa"/>
              <w:left w:w="0" w:type="dxa"/>
              <w:bottom w:w="0" w:type="dxa"/>
              <w:right w:w="15" w:type="dxa"/>
            </w:tcMar>
            <w:vAlign w:val="bottom"/>
            <w:hideMark/>
          </w:tcPr>
          <w:p w14:paraId="3AE426B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5DAD91F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2C1CCE4" w14:textId="77777777">
        <w:trPr>
          <w:divId w:val="822237102"/>
          <w:jc w:val="center"/>
        </w:trPr>
        <w:tc>
          <w:tcPr>
            <w:tcW w:w="2880" w:type="pct"/>
            <w:tcBorders>
              <w:bottom w:val="single" w:sz="6" w:space="0" w:color="000000"/>
            </w:tcBorders>
            <w:shd w:val="clear" w:color="auto" w:fill="FFFFFF"/>
            <w:tcMar>
              <w:top w:w="15" w:type="dxa"/>
              <w:left w:w="0" w:type="dxa"/>
              <w:bottom w:w="0" w:type="dxa"/>
              <w:right w:w="15" w:type="dxa"/>
            </w:tcMar>
            <w:vAlign w:val="bottom"/>
            <w:hideMark/>
          </w:tcPr>
          <w:p w14:paraId="2519518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7" w:type="pct"/>
            <w:shd w:val="clear" w:color="auto" w:fill="FFFFFF"/>
            <w:tcMar>
              <w:top w:w="15" w:type="dxa"/>
              <w:left w:w="0" w:type="dxa"/>
              <w:bottom w:w="0" w:type="dxa"/>
              <w:right w:w="15" w:type="dxa"/>
            </w:tcMar>
            <w:vAlign w:val="bottom"/>
            <w:hideMark/>
          </w:tcPr>
          <w:p w14:paraId="5758906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BA80D9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91E3BB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17E597A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F78FB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D52876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62222FC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4907EC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465D423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027AC46" w14:textId="77777777">
        <w:trPr>
          <w:divId w:val="822237102"/>
          <w:jc w:val="center"/>
        </w:trPr>
        <w:tc>
          <w:tcPr>
            <w:tcW w:w="2880" w:type="pct"/>
            <w:tcBorders>
              <w:top w:val="single" w:sz="6" w:space="0" w:color="000000"/>
            </w:tcBorders>
            <w:shd w:val="clear" w:color="auto" w:fill="CFF0FC"/>
            <w:tcMar>
              <w:top w:w="15" w:type="dxa"/>
              <w:left w:w="0" w:type="dxa"/>
              <w:bottom w:w="0" w:type="dxa"/>
              <w:right w:w="15" w:type="dxa"/>
            </w:tcMar>
            <w:hideMark/>
          </w:tcPr>
          <w:p w14:paraId="5FDDEDF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Revenues:</w:t>
            </w:r>
          </w:p>
        </w:tc>
        <w:tc>
          <w:tcPr>
            <w:tcW w:w="67" w:type="pct"/>
            <w:shd w:val="clear" w:color="auto" w:fill="CFF0FC"/>
            <w:tcMar>
              <w:top w:w="15" w:type="dxa"/>
              <w:left w:w="0" w:type="dxa"/>
              <w:bottom w:w="0" w:type="dxa"/>
              <w:right w:w="15" w:type="dxa"/>
            </w:tcMar>
            <w:vAlign w:val="bottom"/>
            <w:hideMark/>
          </w:tcPr>
          <w:p w14:paraId="5FFE09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B981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7A9CD5F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C936E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5B4D05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EB269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3C34D98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28A0C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1508994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5ED4F0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7BFD7A4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6492B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4456FBE" w14:textId="77777777">
        <w:trPr>
          <w:divId w:val="822237102"/>
          <w:jc w:val="center"/>
        </w:trPr>
        <w:tc>
          <w:tcPr>
            <w:tcW w:w="2880" w:type="pct"/>
            <w:shd w:val="clear" w:color="auto" w:fill="FFFFFF"/>
            <w:tcMar>
              <w:top w:w="15" w:type="dxa"/>
              <w:left w:w="0" w:type="dxa"/>
              <w:bottom w:w="0" w:type="dxa"/>
              <w:right w:w="15" w:type="dxa"/>
            </w:tcMar>
            <w:hideMark/>
          </w:tcPr>
          <w:p w14:paraId="0D08A63E"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67" w:type="pct"/>
            <w:shd w:val="clear" w:color="auto" w:fill="FFFFFF"/>
            <w:tcMar>
              <w:top w:w="15" w:type="dxa"/>
              <w:left w:w="0" w:type="dxa"/>
              <w:bottom w:w="0" w:type="dxa"/>
              <w:right w:w="15" w:type="dxa"/>
            </w:tcMar>
            <w:vAlign w:val="bottom"/>
            <w:hideMark/>
          </w:tcPr>
          <w:p w14:paraId="1FDE3D7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BE8D52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FFFFFF"/>
            <w:noWrap/>
            <w:tcMar>
              <w:top w:w="15" w:type="dxa"/>
              <w:left w:w="0" w:type="dxa"/>
              <w:bottom w:w="0" w:type="dxa"/>
              <w:right w:w="15" w:type="dxa"/>
            </w:tcMar>
            <w:vAlign w:val="bottom"/>
            <w:hideMark/>
          </w:tcPr>
          <w:p w14:paraId="1E45854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26,707</w:t>
            </w:r>
          </w:p>
        </w:tc>
        <w:tc>
          <w:tcPr>
            <w:tcW w:w="50" w:type="pct"/>
            <w:shd w:val="clear" w:color="auto" w:fill="FFFFFF"/>
            <w:noWrap/>
            <w:tcMar>
              <w:top w:w="15" w:type="dxa"/>
              <w:left w:w="0" w:type="dxa"/>
              <w:bottom w:w="0" w:type="dxa"/>
              <w:right w:w="15" w:type="dxa"/>
            </w:tcMar>
            <w:vAlign w:val="bottom"/>
            <w:hideMark/>
          </w:tcPr>
          <w:p w14:paraId="6C16EA0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461C8F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0B093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FFFFFF"/>
            <w:noWrap/>
            <w:tcMar>
              <w:top w:w="15" w:type="dxa"/>
              <w:left w:w="0" w:type="dxa"/>
              <w:bottom w:w="0" w:type="dxa"/>
              <w:right w:w="15" w:type="dxa"/>
            </w:tcMar>
            <w:vAlign w:val="bottom"/>
            <w:hideMark/>
          </w:tcPr>
          <w:p w14:paraId="2109C6D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26,222</w:t>
            </w:r>
          </w:p>
        </w:tc>
        <w:tc>
          <w:tcPr>
            <w:tcW w:w="50" w:type="pct"/>
            <w:shd w:val="clear" w:color="auto" w:fill="FFFFFF"/>
            <w:noWrap/>
            <w:tcMar>
              <w:top w:w="15" w:type="dxa"/>
              <w:left w:w="0" w:type="dxa"/>
              <w:bottom w:w="0" w:type="dxa"/>
              <w:right w:w="15" w:type="dxa"/>
            </w:tcMar>
            <w:vAlign w:val="bottom"/>
            <w:hideMark/>
          </w:tcPr>
          <w:p w14:paraId="0F1CE1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61FAE76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18B9A3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FFFFFF"/>
            <w:noWrap/>
            <w:tcMar>
              <w:top w:w="15" w:type="dxa"/>
              <w:left w:w="0" w:type="dxa"/>
              <w:bottom w:w="0" w:type="dxa"/>
              <w:right w:w="15" w:type="dxa"/>
            </w:tcMar>
            <w:vAlign w:val="bottom"/>
            <w:hideMark/>
          </w:tcPr>
          <w:p w14:paraId="13A7A38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23,758</w:t>
            </w:r>
          </w:p>
        </w:tc>
        <w:tc>
          <w:tcPr>
            <w:tcW w:w="50" w:type="pct"/>
            <w:shd w:val="clear" w:color="auto" w:fill="FFFFFF"/>
            <w:noWrap/>
            <w:tcMar>
              <w:top w:w="15" w:type="dxa"/>
              <w:left w:w="0" w:type="dxa"/>
              <w:bottom w:w="0" w:type="dxa"/>
              <w:right w:w="15" w:type="dxa"/>
            </w:tcMar>
            <w:vAlign w:val="bottom"/>
            <w:hideMark/>
          </w:tcPr>
          <w:p w14:paraId="2139DFA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8CD9A9C" w14:textId="77777777">
        <w:trPr>
          <w:divId w:val="822237102"/>
          <w:jc w:val="center"/>
        </w:trPr>
        <w:tc>
          <w:tcPr>
            <w:tcW w:w="2880" w:type="pct"/>
            <w:shd w:val="clear" w:color="auto" w:fill="CFF0FC"/>
            <w:tcMar>
              <w:top w:w="15" w:type="dxa"/>
              <w:left w:w="0" w:type="dxa"/>
              <w:bottom w:w="0" w:type="dxa"/>
              <w:right w:w="15" w:type="dxa"/>
            </w:tcMar>
            <w:hideMark/>
          </w:tcPr>
          <w:p w14:paraId="36DCABB5"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Cloud license and on-premise license</w:t>
            </w:r>
          </w:p>
        </w:tc>
        <w:tc>
          <w:tcPr>
            <w:tcW w:w="67" w:type="pct"/>
            <w:shd w:val="clear" w:color="auto" w:fill="CFF0FC"/>
            <w:tcMar>
              <w:top w:w="15" w:type="dxa"/>
              <w:left w:w="0" w:type="dxa"/>
              <w:bottom w:w="0" w:type="dxa"/>
              <w:right w:w="15" w:type="dxa"/>
            </w:tcMar>
            <w:vAlign w:val="bottom"/>
            <w:hideMark/>
          </w:tcPr>
          <w:p w14:paraId="4AB416D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9DE33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5C7890B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5,855</w:t>
            </w:r>
          </w:p>
        </w:tc>
        <w:tc>
          <w:tcPr>
            <w:tcW w:w="50" w:type="pct"/>
            <w:shd w:val="clear" w:color="auto" w:fill="CFF0FC"/>
            <w:noWrap/>
            <w:tcMar>
              <w:top w:w="15" w:type="dxa"/>
              <w:left w:w="0" w:type="dxa"/>
              <w:bottom w:w="0" w:type="dxa"/>
              <w:right w:w="15" w:type="dxa"/>
            </w:tcMar>
            <w:vAlign w:val="bottom"/>
            <w:hideMark/>
          </w:tcPr>
          <w:p w14:paraId="185542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19D3F10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2D32A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2A184BF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5,772</w:t>
            </w:r>
          </w:p>
        </w:tc>
        <w:tc>
          <w:tcPr>
            <w:tcW w:w="50" w:type="pct"/>
            <w:shd w:val="clear" w:color="auto" w:fill="CFF0FC"/>
            <w:noWrap/>
            <w:tcMar>
              <w:top w:w="15" w:type="dxa"/>
              <w:left w:w="0" w:type="dxa"/>
              <w:bottom w:w="0" w:type="dxa"/>
              <w:right w:w="15" w:type="dxa"/>
            </w:tcMar>
            <w:vAlign w:val="bottom"/>
            <w:hideMark/>
          </w:tcPr>
          <w:p w14:paraId="01263F6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335A5C7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C9AB8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469C0F6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6,523</w:t>
            </w:r>
          </w:p>
        </w:tc>
        <w:tc>
          <w:tcPr>
            <w:tcW w:w="50" w:type="pct"/>
            <w:shd w:val="clear" w:color="auto" w:fill="CFF0FC"/>
            <w:noWrap/>
            <w:tcMar>
              <w:top w:w="15" w:type="dxa"/>
              <w:left w:w="0" w:type="dxa"/>
              <w:bottom w:w="0" w:type="dxa"/>
              <w:right w:w="15" w:type="dxa"/>
            </w:tcMar>
            <w:vAlign w:val="bottom"/>
            <w:hideMark/>
          </w:tcPr>
          <w:p w14:paraId="6C0722C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AAAC8FB" w14:textId="77777777">
        <w:trPr>
          <w:divId w:val="822237102"/>
          <w:jc w:val="center"/>
        </w:trPr>
        <w:tc>
          <w:tcPr>
            <w:tcW w:w="2880" w:type="pct"/>
            <w:shd w:val="clear" w:color="auto" w:fill="FFFFFF"/>
            <w:tcMar>
              <w:top w:w="15" w:type="dxa"/>
              <w:left w:w="0" w:type="dxa"/>
              <w:bottom w:w="0" w:type="dxa"/>
              <w:right w:w="15" w:type="dxa"/>
            </w:tcMar>
            <w:hideMark/>
          </w:tcPr>
          <w:p w14:paraId="32B1319B"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Hardware</w:t>
            </w:r>
          </w:p>
        </w:tc>
        <w:tc>
          <w:tcPr>
            <w:tcW w:w="67" w:type="pct"/>
            <w:shd w:val="clear" w:color="auto" w:fill="FFFFFF"/>
            <w:tcMar>
              <w:top w:w="15" w:type="dxa"/>
              <w:left w:w="0" w:type="dxa"/>
              <w:bottom w:w="0" w:type="dxa"/>
              <w:right w:w="15" w:type="dxa"/>
            </w:tcMar>
            <w:vAlign w:val="bottom"/>
            <w:hideMark/>
          </w:tcPr>
          <w:p w14:paraId="52C8E6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03E574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72A7BFF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3,704</w:t>
            </w:r>
          </w:p>
        </w:tc>
        <w:tc>
          <w:tcPr>
            <w:tcW w:w="50" w:type="pct"/>
            <w:shd w:val="clear" w:color="auto" w:fill="FFFFFF"/>
            <w:noWrap/>
            <w:tcMar>
              <w:top w:w="15" w:type="dxa"/>
              <w:left w:w="0" w:type="dxa"/>
              <w:bottom w:w="0" w:type="dxa"/>
              <w:right w:w="15" w:type="dxa"/>
            </w:tcMar>
            <w:vAlign w:val="bottom"/>
            <w:hideMark/>
          </w:tcPr>
          <w:p w14:paraId="287B8FB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274632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B07A29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7EF504D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3,994</w:t>
            </w:r>
          </w:p>
        </w:tc>
        <w:tc>
          <w:tcPr>
            <w:tcW w:w="50" w:type="pct"/>
            <w:shd w:val="clear" w:color="auto" w:fill="FFFFFF"/>
            <w:noWrap/>
            <w:tcMar>
              <w:top w:w="15" w:type="dxa"/>
              <w:left w:w="0" w:type="dxa"/>
              <w:bottom w:w="0" w:type="dxa"/>
              <w:right w:w="15" w:type="dxa"/>
            </w:tcMar>
            <w:vAlign w:val="bottom"/>
            <w:hideMark/>
          </w:tcPr>
          <w:p w14:paraId="18C6CC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1D94873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612FAE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013142A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4,152</w:t>
            </w:r>
          </w:p>
        </w:tc>
        <w:tc>
          <w:tcPr>
            <w:tcW w:w="50" w:type="pct"/>
            <w:shd w:val="clear" w:color="auto" w:fill="FFFFFF"/>
            <w:noWrap/>
            <w:tcMar>
              <w:top w:w="15" w:type="dxa"/>
              <w:left w:w="0" w:type="dxa"/>
              <w:bottom w:w="0" w:type="dxa"/>
              <w:right w:w="15" w:type="dxa"/>
            </w:tcMar>
            <w:vAlign w:val="bottom"/>
            <w:hideMark/>
          </w:tcPr>
          <w:p w14:paraId="59D77B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9394277" w14:textId="77777777">
        <w:trPr>
          <w:divId w:val="822237102"/>
          <w:jc w:val="center"/>
        </w:trPr>
        <w:tc>
          <w:tcPr>
            <w:tcW w:w="2880" w:type="pct"/>
            <w:shd w:val="clear" w:color="auto" w:fill="CFF0FC"/>
            <w:tcMar>
              <w:top w:w="15" w:type="dxa"/>
              <w:left w:w="0" w:type="dxa"/>
              <w:bottom w:w="0" w:type="dxa"/>
              <w:right w:w="15" w:type="dxa"/>
            </w:tcMar>
            <w:hideMark/>
          </w:tcPr>
          <w:p w14:paraId="44ED0971"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Services</w:t>
            </w:r>
          </w:p>
        </w:tc>
        <w:tc>
          <w:tcPr>
            <w:tcW w:w="67" w:type="pct"/>
            <w:shd w:val="clear" w:color="auto" w:fill="CFF0FC"/>
            <w:tcMar>
              <w:top w:w="15" w:type="dxa"/>
              <w:left w:w="0" w:type="dxa"/>
              <w:bottom w:w="0" w:type="dxa"/>
              <w:right w:w="15" w:type="dxa"/>
            </w:tcMar>
            <w:vAlign w:val="bottom"/>
            <w:hideMark/>
          </w:tcPr>
          <w:p w14:paraId="5490201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82C361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13234C5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3,240</w:t>
            </w:r>
          </w:p>
        </w:tc>
        <w:tc>
          <w:tcPr>
            <w:tcW w:w="50" w:type="pct"/>
            <w:shd w:val="clear" w:color="auto" w:fill="CFF0FC"/>
            <w:noWrap/>
            <w:tcMar>
              <w:top w:w="15" w:type="dxa"/>
              <w:left w:w="0" w:type="dxa"/>
              <w:bottom w:w="0" w:type="dxa"/>
              <w:right w:w="15" w:type="dxa"/>
            </w:tcMar>
            <w:vAlign w:val="bottom"/>
            <w:hideMark/>
          </w:tcPr>
          <w:p w14:paraId="4C33C2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78B2D0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EF5C35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3554091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3,395</w:t>
            </w:r>
          </w:p>
        </w:tc>
        <w:tc>
          <w:tcPr>
            <w:tcW w:w="50" w:type="pct"/>
            <w:shd w:val="clear" w:color="auto" w:fill="CFF0FC"/>
            <w:noWrap/>
            <w:tcMar>
              <w:top w:w="15" w:type="dxa"/>
              <w:left w:w="0" w:type="dxa"/>
              <w:bottom w:w="0" w:type="dxa"/>
              <w:right w:w="15" w:type="dxa"/>
            </w:tcMar>
            <w:vAlign w:val="bottom"/>
            <w:hideMark/>
          </w:tcPr>
          <w:p w14:paraId="73EEB15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27174B7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B64E9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14:paraId="43F30D6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3,359</w:t>
            </w:r>
          </w:p>
        </w:tc>
        <w:tc>
          <w:tcPr>
            <w:tcW w:w="50" w:type="pct"/>
            <w:shd w:val="clear" w:color="auto" w:fill="CFF0FC"/>
            <w:noWrap/>
            <w:tcMar>
              <w:top w:w="15" w:type="dxa"/>
              <w:left w:w="0" w:type="dxa"/>
              <w:bottom w:w="0" w:type="dxa"/>
              <w:right w:w="15" w:type="dxa"/>
            </w:tcMar>
            <w:vAlign w:val="bottom"/>
            <w:hideMark/>
          </w:tcPr>
          <w:p w14:paraId="5E568BA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FAC0102" w14:textId="77777777">
        <w:trPr>
          <w:divId w:val="822237102"/>
          <w:jc w:val="center"/>
        </w:trPr>
        <w:tc>
          <w:tcPr>
            <w:tcW w:w="2880" w:type="pct"/>
            <w:shd w:val="clear" w:color="auto" w:fill="FFFFFF"/>
            <w:tcMar>
              <w:top w:w="15" w:type="dxa"/>
              <w:left w:w="0" w:type="dxa"/>
              <w:bottom w:w="0" w:type="dxa"/>
              <w:right w:w="15" w:type="dxa"/>
            </w:tcMar>
            <w:hideMark/>
          </w:tcPr>
          <w:p w14:paraId="64B7A82B" w14:textId="77777777" w:rsidR="00251D72" w:rsidRDefault="00251D72">
            <w:pPr>
              <w:pStyle w:val="a3"/>
              <w:spacing w:before="0" w:beforeAutospacing="0" w:after="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67" w:type="pct"/>
            <w:shd w:val="clear" w:color="auto" w:fill="FFFFFF"/>
            <w:tcMar>
              <w:top w:w="15" w:type="dxa"/>
              <w:left w:w="0" w:type="dxa"/>
              <w:bottom w:w="0" w:type="dxa"/>
              <w:right w:w="15" w:type="dxa"/>
            </w:tcMar>
            <w:vAlign w:val="bottom"/>
            <w:hideMark/>
          </w:tcPr>
          <w:p w14:paraId="74BB6AC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4FB9F5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41BD69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FFFFFF"/>
            <w:noWrap/>
            <w:tcMar>
              <w:top w:w="15" w:type="dxa"/>
              <w:left w:w="0" w:type="dxa"/>
              <w:bottom w:w="0" w:type="dxa"/>
              <w:right w:w="15" w:type="dxa"/>
            </w:tcMar>
            <w:vAlign w:val="bottom"/>
            <w:hideMark/>
          </w:tcPr>
          <w:p w14:paraId="4B045BD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0143F9B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7CE795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712562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39,383</w:t>
            </w:r>
          </w:p>
        </w:tc>
        <w:tc>
          <w:tcPr>
            <w:tcW w:w="50" w:type="pct"/>
            <w:shd w:val="clear" w:color="auto" w:fill="FFFFFF"/>
            <w:noWrap/>
            <w:tcMar>
              <w:top w:w="15" w:type="dxa"/>
              <w:left w:w="0" w:type="dxa"/>
              <w:bottom w:w="0" w:type="dxa"/>
              <w:right w:w="15" w:type="dxa"/>
            </w:tcMar>
            <w:vAlign w:val="bottom"/>
            <w:hideMark/>
          </w:tcPr>
          <w:p w14:paraId="5580D1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49F4F9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60248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9E712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37,792</w:t>
            </w:r>
          </w:p>
        </w:tc>
        <w:tc>
          <w:tcPr>
            <w:tcW w:w="50" w:type="pct"/>
            <w:shd w:val="clear" w:color="auto" w:fill="FFFFFF"/>
            <w:noWrap/>
            <w:tcMar>
              <w:top w:w="15" w:type="dxa"/>
              <w:left w:w="0" w:type="dxa"/>
              <w:bottom w:w="0" w:type="dxa"/>
              <w:right w:w="15" w:type="dxa"/>
            </w:tcMar>
            <w:vAlign w:val="bottom"/>
            <w:hideMark/>
          </w:tcPr>
          <w:p w14:paraId="4966969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1BF3953" w14:textId="77777777">
        <w:trPr>
          <w:divId w:val="822237102"/>
          <w:jc w:val="center"/>
        </w:trPr>
        <w:tc>
          <w:tcPr>
            <w:tcW w:w="2880" w:type="pct"/>
            <w:shd w:val="clear" w:color="auto" w:fill="CFF0FC"/>
            <w:tcMar>
              <w:top w:w="15" w:type="dxa"/>
              <w:left w:w="0" w:type="dxa"/>
              <w:bottom w:w="0" w:type="dxa"/>
              <w:right w:w="15" w:type="dxa"/>
            </w:tcMar>
            <w:hideMark/>
          </w:tcPr>
          <w:p w14:paraId="04AFA7F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Operating expenses:</w:t>
            </w:r>
          </w:p>
        </w:tc>
        <w:tc>
          <w:tcPr>
            <w:tcW w:w="67" w:type="pct"/>
            <w:shd w:val="clear" w:color="auto" w:fill="CFF0FC"/>
            <w:tcMar>
              <w:top w:w="15" w:type="dxa"/>
              <w:left w:w="0" w:type="dxa"/>
              <w:bottom w:w="0" w:type="dxa"/>
              <w:right w:w="15" w:type="dxa"/>
            </w:tcMar>
            <w:vAlign w:val="bottom"/>
            <w:hideMark/>
          </w:tcPr>
          <w:p w14:paraId="61CC24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FA3CD7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7A0DC1D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CD33C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4ECBFA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246093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53DC5A0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7775AC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48E140C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7FFC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3D066FE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B009E2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703E051" w14:textId="77777777">
        <w:trPr>
          <w:divId w:val="822237102"/>
          <w:jc w:val="center"/>
        </w:trPr>
        <w:tc>
          <w:tcPr>
            <w:tcW w:w="2880" w:type="pct"/>
            <w:shd w:val="clear" w:color="auto" w:fill="FFFFFF"/>
            <w:tcMar>
              <w:top w:w="15" w:type="dxa"/>
              <w:left w:w="0" w:type="dxa"/>
              <w:bottom w:w="0" w:type="dxa"/>
              <w:right w:w="15" w:type="dxa"/>
            </w:tcMar>
            <w:hideMark/>
          </w:tcPr>
          <w:p w14:paraId="4006D6C1"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vertAlign w:val="superscript"/>
              </w:rPr>
              <w:t>(1)</w:t>
            </w:r>
          </w:p>
        </w:tc>
        <w:tc>
          <w:tcPr>
            <w:tcW w:w="67" w:type="pct"/>
            <w:shd w:val="clear" w:color="auto" w:fill="FFFFFF"/>
            <w:tcMar>
              <w:top w:w="15" w:type="dxa"/>
              <w:left w:w="0" w:type="dxa"/>
              <w:bottom w:w="0" w:type="dxa"/>
              <w:right w:w="15" w:type="dxa"/>
            </w:tcMar>
            <w:vAlign w:val="bottom"/>
            <w:hideMark/>
          </w:tcPr>
          <w:p w14:paraId="61698D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962290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35CC69A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3,782</w:t>
            </w:r>
          </w:p>
        </w:tc>
        <w:tc>
          <w:tcPr>
            <w:tcW w:w="50" w:type="pct"/>
            <w:shd w:val="clear" w:color="auto" w:fill="FFFFFF"/>
            <w:noWrap/>
            <w:tcMar>
              <w:top w:w="15" w:type="dxa"/>
              <w:left w:w="0" w:type="dxa"/>
              <w:bottom w:w="0" w:type="dxa"/>
              <w:right w:w="15" w:type="dxa"/>
            </w:tcMar>
            <w:vAlign w:val="bottom"/>
            <w:hideMark/>
          </w:tcPr>
          <w:p w14:paraId="7DFEE8E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373A35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F1F3C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7C549E6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3,606</w:t>
            </w:r>
          </w:p>
        </w:tc>
        <w:tc>
          <w:tcPr>
            <w:tcW w:w="50" w:type="pct"/>
            <w:shd w:val="clear" w:color="auto" w:fill="FFFFFF"/>
            <w:noWrap/>
            <w:tcMar>
              <w:top w:w="15" w:type="dxa"/>
              <w:left w:w="0" w:type="dxa"/>
              <w:bottom w:w="0" w:type="dxa"/>
              <w:right w:w="15" w:type="dxa"/>
            </w:tcMar>
            <w:vAlign w:val="bottom"/>
            <w:hideMark/>
          </w:tcPr>
          <w:p w14:paraId="554DD29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25960B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4AFDF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3FFD817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3,011</w:t>
            </w:r>
          </w:p>
        </w:tc>
        <w:tc>
          <w:tcPr>
            <w:tcW w:w="50" w:type="pct"/>
            <w:shd w:val="clear" w:color="auto" w:fill="FFFFFF"/>
            <w:noWrap/>
            <w:tcMar>
              <w:top w:w="15" w:type="dxa"/>
              <w:left w:w="0" w:type="dxa"/>
              <w:bottom w:w="0" w:type="dxa"/>
              <w:right w:w="15" w:type="dxa"/>
            </w:tcMar>
            <w:vAlign w:val="bottom"/>
            <w:hideMark/>
          </w:tcPr>
          <w:p w14:paraId="7B5D57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C14F03C" w14:textId="77777777">
        <w:trPr>
          <w:divId w:val="822237102"/>
          <w:jc w:val="center"/>
        </w:trPr>
        <w:tc>
          <w:tcPr>
            <w:tcW w:w="2880" w:type="pct"/>
            <w:shd w:val="clear" w:color="auto" w:fill="CFF0FC"/>
            <w:tcMar>
              <w:top w:w="15" w:type="dxa"/>
              <w:left w:w="0" w:type="dxa"/>
              <w:bottom w:w="0" w:type="dxa"/>
              <w:right w:w="15" w:type="dxa"/>
            </w:tcMar>
            <w:hideMark/>
          </w:tcPr>
          <w:p w14:paraId="7AC15193"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Hardware</w:t>
            </w:r>
            <w:r>
              <w:rPr>
                <w:rFonts w:ascii="Calibri" w:hAnsi="Calibri" w:cs="Calibri"/>
                <w:color w:val="000000"/>
                <w:sz w:val="15"/>
                <w:szCs w:val="15"/>
                <w:vertAlign w:val="superscript"/>
              </w:rPr>
              <w:t>(1)</w:t>
            </w:r>
          </w:p>
        </w:tc>
        <w:tc>
          <w:tcPr>
            <w:tcW w:w="67" w:type="pct"/>
            <w:shd w:val="clear" w:color="auto" w:fill="CFF0FC"/>
            <w:tcMar>
              <w:top w:w="15" w:type="dxa"/>
              <w:left w:w="0" w:type="dxa"/>
              <w:bottom w:w="0" w:type="dxa"/>
              <w:right w:w="15" w:type="dxa"/>
            </w:tcMar>
            <w:vAlign w:val="bottom"/>
            <w:hideMark/>
          </w:tcPr>
          <w:p w14:paraId="65635F8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055747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59620E0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1,360</w:t>
            </w:r>
          </w:p>
        </w:tc>
        <w:tc>
          <w:tcPr>
            <w:tcW w:w="50" w:type="pct"/>
            <w:shd w:val="clear" w:color="auto" w:fill="CFF0FC"/>
            <w:noWrap/>
            <w:tcMar>
              <w:top w:w="15" w:type="dxa"/>
              <w:left w:w="0" w:type="dxa"/>
              <w:bottom w:w="0" w:type="dxa"/>
              <w:right w:w="15" w:type="dxa"/>
            </w:tcMar>
            <w:vAlign w:val="bottom"/>
            <w:hideMark/>
          </w:tcPr>
          <w:p w14:paraId="21C1656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135D17F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56CFA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70D3F5C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1,576</w:t>
            </w:r>
          </w:p>
        </w:tc>
        <w:tc>
          <w:tcPr>
            <w:tcW w:w="50" w:type="pct"/>
            <w:shd w:val="clear" w:color="auto" w:fill="CFF0FC"/>
            <w:noWrap/>
            <w:tcMar>
              <w:top w:w="15" w:type="dxa"/>
              <w:left w:w="0" w:type="dxa"/>
              <w:bottom w:w="0" w:type="dxa"/>
              <w:right w:w="15" w:type="dxa"/>
            </w:tcMar>
            <w:vAlign w:val="bottom"/>
            <w:hideMark/>
          </w:tcPr>
          <w:p w14:paraId="0E89443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4309BE6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7D95A0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185F2FE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1,648</w:t>
            </w:r>
          </w:p>
        </w:tc>
        <w:tc>
          <w:tcPr>
            <w:tcW w:w="50" w:type="pct"/>
            <w:shd w:val="clear" w:color="auto" w:fill="CFF0FC"/>
            <w:noWrap/>
            <w:tcMar>
              <w:top w:w="15" w:type="dxa"/>
              <w:left w:w="0" w:type="dxa"/>
              <w:bottom w:w="0" w:type="dxa"/>
              <w:right w:w="15" w:type="dxa"/>
            </w:tcMar>
            <w:vAlign w:val="bottom"/>
            <w:hideMark/>
          </w:tcPr>
          <w:p w14:paraId="16BEAD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98F9578" w14:textId="77777777">
        <w:trPr>
          <w:divId w:val="822237102"/>
          <w:jc w:val="center"/>
        </w:trPr>
        <w:tc>
          <w:tcPr>
            <w:tcW w:w="2880" w:type="pct"/>
            <w:shd w:val="clear" w:color="auto" w:fill="FFFFFF"/>
            <w:tcMar>
              <w:top w:w="15" w:type="dxa"/>
              <w:left w:w="0" w:type="dxa"/>
              <w:bottom w:w="0" w:type="dxa"/>
              <w:right w:w="15" w:type="dxa"/>
            </w:tcMar>
            <w:hideMark/>
          </w:tcPr>
          <w:p w14:paraId="3A510ADC"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Services</w:t>
            </w:r>
            <w:r>
              <w:rPr>
                <w:rFonts w:ascii="Calibri" w:hAnsi="Calibri" w:cs="Calibri"/>
                <w:color w:val="000000"/>
                <w:sz w:val="15"/>
                <w:szCs w:val="15"/>
                <w:vertAlign w:val="superscript"/>
              </w:rPr>
              <w:t>(1)</w:t>
            </w:r>
          </w:p>
        </w:tc>
        <w:tc>
          <w:tcPr>
            <w:tcW w:w="67" w:type="pct"/>
            <w:shd w:val="clear" w:color="auto" w:fill="FFFFFF"/>
            <w:tcMar>
              <w:top w:w="15" w:type="dxa"/>
              <w:left w:w="0" w:type="dxa"/>
              <w:bottom w:w="0" w:type="dxa"/>
              <w:right w:w="15" w:type="dxa"/>
            </w:tcMar>
            <w:vAlign w:val="bottom"/>
            <w:hideMark/>
          </w:tcPr>
          <w:p w14:paraId="521A64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87AC2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44E4328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2,853</w:t>
            </w:r>
          </w:p>
        </w:tc>
        <w:tc>
          <w:tcPr>
            <w:tcW w:w="50" w:type="pct"/>
            <w:shd w:val="clear" w:color="auto" w:fill="FFFFFF"/>
            <w:noWrap/>
            <w:tcMar>
              <w:top w:w="15" w:type="dxa"/>
              <w:left w:w="0" w:type="dxa"/>
              <w:bottom w:w="0" w:type="dxa"/>
              <w:right w:w="15" w:type="dxa"/>
            </w:tcMar>
            <w:vAlign w:val="bottom"/>
            <w:hideMark/>
          </w:tcPr>
          <w:p w14:paraId="01724CA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18F2F7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1C7DC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2C1331F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2,878</w:t>
            </w:r>
          </w:p>
        </w:tc>
        <w:tc>
          <w:tcPr>
            <w:tcW w:w="50" w:type="pct"/>
            <w:shd w:val="clear" w:color="auto" w:fill="FFFFFF"/>
            <w:noWrap/>
            <w:tcMar>
              <w:top w:w="15" w:type="dxa"/>
              <w:left w:w="0" w:type="dxa"/>
              <w:bottom w:w="0" w:type="dxa"/>
              <w:right w:w="15" w:type="dxa"/>
            </w:tcMar>
            <w:vAlign w:val="bottom"/>
            <w:hideMark/>
          </w:tcPr>
          <w:p w14:paraId="7770EF6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429E1DD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EC65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75EF6AA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2,793</w:t>
            </w:r>
          </w:p>
        </w:tc>
        <w:tc>
          <w:tcPr>
            <w:tcW w:w="50" w:type="pct"/>
            <w:shd w:val="clear" w:color="auto" w:fill="FFFFFF"/>
            <w:noWrap/>
            <w:tcMar>
              <w:top w:w="15" w:type="dxa"/>
              <w:left w:w="0" w:type="dxa"/>
              <w:bottom w:w="0" w:type="dxa"/>
              <w:right w:w="15" w:type="dxa"/>
            </w:tcMar>
            <w:vAlign w:val="bottom"/>
            <w:hideMark/>
          </w:tcPr>
          <w:p w14:paraId="7CDBDB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DB5D721" w14:textId="77777777">
        <w:trPr>
          <w:divId w:val="822237102"/>
          <w:jc w:val="center"/>
        </w:trPr>
        <w:tc>
          <w:tcPr>
            <w:tcW w:w="2880" w:type="pct"/>
            <w:shd w:val="clear" w:color="auto" w:fill="CFF0FC"/>
            <w:tcMar>
              <w:top w:w="15" w:type="dxa"/>
              <w:left w:w="0" w:type="dxa"/>
              <w:bottom w:w="0" w:type="dxa"/>
              <w:right w:w="15" w:type="dxa"/>
            </w:tcMar>
            <w:hideMark/>
          </w:tcPr>
          <w:p w14:paraId="3465D5C4"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Sales and marketing</w:t>
            </w:r>
            <w:r>
              <w:rPr>
                <w:rFonts w:ascii="Calibri" w:hAnsi="Calibri" w:cs="Calibri"/>
                <w:color w:val="000000"/>
                <w:sz w:val="15"/>
                <w:szCs w:val="15"/>
                <w:vertAlign w:val="superscript"/>
              </w:rPr>
              <w:t>(1)</w:t>
            </w:r>
          </w:p>
        </w:tc>
        <w:tc>
          <w:tcPr>
            <w:tcW w:w="67" w:type="pct"/>
            <w:shd w:val="clear" w:color="auto" w:fill="CFF0FC"/>
            <w:tcMar>
              <w:top w:w="15" w:type="dxa"/>
              <w:left w:w="0" w:type="dxa"/>
              <w:bottom w:w="0" w:type="dxa"/>
              <w:right w:w="15" w:type="dxa"/>
            </w:tcMar>
            <w:vAlign w:val="bottom"/>
            <w:hideMark/>
          </w:tcPr>
          <w:p w14:paraId="41C68A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8B7A4B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38362B5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8,509</w:t>
            </w:r>
          </w:p>
        </w:tc>
        <w:tc>
          <w:tcPr>
            <w:tcW w:w="50" w:type="pct"/>
            <w:shd w:val="clear" w:color="auto" w:fill="CFF0FC"/>
            <w:noWrap/>
            <w:tcMar>
              <w:top w:w="15" w:type="dxa"/>
              <w:left w:w="0" w:type="dxa"/>
              <w:bottom w:w="0" w:type="dxa"/>
              <w:right w:w="15" w:type="dxa"/>
            </w:tcMar>
            <w:vAlign w:val="bottom"/>
            <w:hideMark/>
          </w:tcPr>
          <w:p w14:paraId="112A5B7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2102AA8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E5605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4527230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8,433</w:t>
            </w:r>
          </w:p>
        </w:tc>
        <w:tc>
          <w:tcPr>
            <w:tcW w:w="50" w:type="pct"/>
            <w:shd w:val="clear" w:color="auto" w:fill="CFF0FC"/>
            <w:noWrap/>
            <w:tcMar>
              <w:top w:w="15" w:type="dxa"/>
              <w:left w:w="0" w:type="dxa"/>
              <w:bottom w:w="0" w:type="dxa"/>
              <w:right w:w="15" w:type="dxa"/>
            </w:tcMar>
            <w:vAlign w:val="bottom"/>
            <w:hideMark/>
          </w:tcPr>
          <w:p w14:paraId="097808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5CE6519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AD524B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2DED401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8,085</w:t>
            </w:r>
          </w:p>
        </w:tc>
        <w:tc>
          <w:tcPr>
            <w:tcW w:w="50" w:type="pct"/>
            <w:shd w:val="clear" w:color="auto" w:fill="CFF0FC"/>
            <w:noWrap/>
            <w:tcMar>
              <w:top w:w="15" w:type="dxa"/>
              <w:left w:w="0" w:type="dxa"/>
              <w:bottom w:w="0" w:type="dxa"/>
              <w:right w:w="15" w:type="dxa"/>
            </w:tcMar>
            <w:vAlign w:val="bottom"/>
            <w:hideMark/>
          </w:tcPr>
          <w:p w14:paraId="01BF94A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AF43700" w14:textId="77777777">
        <w:trPr>
          <w:divId w:val="822237102"/>
          <w:jc w:val="center"/>
        </w:trPr>
        <w:tc>
          <w:tcPr>
            <w:tcW w:w="2880" w:type="pct"/>
            <w:shd w:val="clear" w:color="auto" w:fill="FFFFFF"/>
            <w:tcMar>
              <w:top w:w="15" w:type="dxa"/>
              <w:left w:w="0" w:type="dxa"/>
              <w:bottom w:w="0" w:type="dxa"/>
              <w:right w:w="15" w:type="dxa"/>
            </w:tcMar>
            <w:hideMark/>
          </w:tcPr>
          <w:p w14:paraId="340AE362"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Research and development</w:t>
            </w:r>
          </w:p>
        </w:tc>
        <w:tc>
          <w:tcPr>
            <w:tcW w:w="67" w:type="pct"/>
            <w:shd w:val="clear" w:color="auto" w:fill="FFFFFF"/>
            <w:tcMar>
              <w:top w:w="15" w:type="dxa"/>
              <w:left w:w="0" w:type="dxa"/>
              <w:bottom w:w="0" w:type="dxa"/>
              <w:right w:w="15" w:type="dxa"/>
            </w:tcMar>
            <w:vAlign w:val="bottom"/>
            <w:hideMark/>
          </w:tcPr>
          <w:p w14:paraId="20C201A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DC5BE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362FF0D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6,026</w:t>
            </w:r>
          </w:p>
        </w:tc>
        <w:tc>
          <w:tcPr>
            <w:tcW w:w="50" w:type="pct"/>
            <w:shd w:val="clear" w:color="auto" w:fill="FFFFFF"/>
            <w:noWrap/>
            <w:tcMar>
              <w:top w:w="15" w:type="dxa"/>
              <w:left w:w="0" w:type="dxa"/>
              <w:bottom w:w="0" w:type="dxa"/>
              <w:right w:w="15" w:type="dxa"/>
            </w:tcMar>
            <w:vAlign w:val="bottom"/>
            <w:hideMark/>
          </w:tcPr>
          <w:p w14:paraId="6837890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359197D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D7B881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7721E5C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6,084</w:t>
            </w:r>
          </w:p>
        </w:tc>
        <w:tc>
          <w:tcPr>
            <w:tcW w:w="50" w:type="pct"/>
            <w:shd w:val="clear" w:color="auto" w:fill="FFFFFF"/>
            <w:noWrap/>
            <w:tcMar>
              <w:top w:w="15" w:type="dxa"/>
              <w:left w:w="0" w:type="dxa"/>
              <w:bottom w:w="0" w:type="dxa"/>
              <w:right w:w="15" w:type="dxa"/>
            </w:tcMar>
            <w:vAlign w:val="bottom"/>
            <w:hideMark/>
          </w:tcPr>
          <w:p w14:paraId="6A77E47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1483C0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D736B7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6FEE4C4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6,153</w:t>
            </w:r>
          </w:p>
        </w:tc>
        <w:tc>
          <w:tcPr>
            <w:tcW w:w="50" w:type="pct"/>
            <w:shd w:val="clear" w:color="auto" w:fill="FFFFFF"/>
            <w:noWrap/>
            <w:tcMar>
              <w:top w:w="15" w:type="dxa"/>
              <w:left w:w="0" w:type="dxa"/>
              <w:bottom w:w="0" w:type="dxa"/>
              <w:right w:w="15" w:type="dxa"/>
            </w:tcMar>
            <w:vAlign w:val="bottom"/>
            <w:hideMark/>
          </w:tcPr>
          <w:p w14:paraId="23F14BC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55177EB" w14:textId="77777777">
        <w:trPr>
          <w:divId w:val="822237102"/>
          <w:jc w:val="center"/>
        </w:trPr>
        <w:tc>
          <w:tcPr>
            <w:tcW w:w="2880" w:type="pct"/>
            <w:shd w:val="clear" w:color="auto" w:fill="CFF0FC"/>
            <w:tcMar>
              <w:top w:w="15" w:type="dxa"/>
              <w:left w:w="0" w:type="dxa"/>
              <w:bottom w:w="0" w:type="dxa"/>
              <w:right w:w="15" w:type="dxa"/>
            </w:tcMar>
            <w:hideMark/>
          </w:tcPr>
          <w:p w14:paraId="05EEFFED"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General and administrative</w:t>
            </w:r>
          </w:p>
        </w:tc>
        <w:tc>
          <w:tcPr>
            <w:tcW w:w="67" w:type="pct"/>
            <w:shd w:val="clear" w:color="auto" w:fill="CFF0FC"/>
            <w:tcMar>
              <w:top w:w="15" w:type="dxa"/>
              <w:left w:w="0" w:type="dxa"/>
              <w:bottom w:w="0" w:type="dxa"/>
              <w:right w:w="15" w:type="dxa"/>
            </w:tcMar>
            <w:vAlign w:val="bottom"/>
            <w:hideMark/>
          </w:tcPr>
          <w:p w14:paraId="3CDCE39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112FB8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5049542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1,265</w:t>
            </w:r>
          </w:p>
        </w:tc>
        <w:tc>
          <w:tcPr>
            <w:tcW w:w="50" w:type="pct"/>
            <w:shd w:val="clear" w:color="auto" w:fill="CFF0FC"/>
            <w:noWrap/>
            <w:tcMar>
              <w:top w:w="15" w:type="dxa"/>
              <w:left w:w="0" w:type="dxa"/>
              <w:bottom w:w="0" w:type="dxa"/>
              <w:right w:w="15" w:type="dxa"/>
            </w:tcMar>
            <w:vAlign w:val="bottom"/>
            <w:hideMark/>
          </w:tcPr>
          <w:p w14:paraId="282EF0C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2BD8E57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AE76C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5B2A2C6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1,282</w:t>
            </w:r>
          </w:p>
        </w:tc>
        <w:tc>
          <w:tcPr>
            <w:tcW w:w="50" w:type="pct"/>
            <w:shd w:val="clear" w:color="auto" w:fill="CFF0FC"/>
            <w:noWrap/>
            <w:tcMar>
              <w:top w:w="15" w:type="dxa"/>
              <w:left w:w="0" w:type="dxa"/>
              <w:bottom w:w="0" w:type="dxa"/>
              <w:right w:w="15" w:type="dxa"/>
            </w:tcMar>
            <w:vAlign w:val="bottom"/>
            <w:hideMark/>
          </w:tcPr>
          <w:p w14:paraId="7BF676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3923B2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732C3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42730A8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1,172</w:t>
            </w:r>
          </w:p>
        </w:tc>
        <w:tc>
          <w:tcPr>
            <w:tcW w:w="50" w:type="pct"/>
            <w:shd w:val="clear" w:color="auto" w:fill="CFF0FC"/>
            <w:noWrap/>
            <w:tcMar>
              <w:top w:w="15" w:type="dxa"/>
              <w:left w:w="0" w:type="dxa"/>
              <w:bottom w:w="0" w:type="dxa"/>
              <w:right w:w="15" w:type="dxa"/>
            </w:tcMar>
            <w:vAlign w:val="bottom"/>
            <w:hideMark/>
          </w:tcPr>
          <w:p w14:paraId="52669AE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F4538E2" w14:textId="77777777">
        <w:trPr>
          <w:divId w:val="822237102"/>
          <w:jc w:val="center"/>
        </w:trPr>
        <w:tc>
          <w:tcPr>
            <w:tcW w:w="2880" w:type="pct"/>
            <w:shd w:val="clear" w:color="auto" w:fill="FFFFFF"/>
            <w:tcMar>
              <w:top w:w="15" w:type="dxa"/>
              <w:left w:w="0" w:type="dxa"/>
              <w:bottom w:w="0" w:type="dxa"/>
              <w:right w:w="15" w:type="dxa"/>
            </w:tcMar>
            <w:hideMark/>
          </w:tcPr>
          <w:p w14:paraId="617250B4"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Amortization of intangible assets</w:t>
            </w:r>
          </w:p>
        </w:tc>
        <w:tc>
          <w:tcPr>
            <w:tcW w:w="67" w:type="pct"/>
            <w:shd w:val="clear" w:color="auto" w:fill="FFFFFF"/>
            <w:tcMar>
              <w:top w:w="15" w:type="dxa"/>
              <w:left w:w="0" w:type="dxa"/>
              <w:bottom w:w="0" w:type="dxa"/>
              <w:right w:w="15" w:type="dxa"/>
            </w:tcMar>
            <w:vAlign w:val="bottom"/>
            <w:hideMark/>
          </w:tcPr>
          <w:p w14:paraId="798EFD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DA112B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2757B4E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1,689</w:t>
            </w:r>
          </w:p>
        </w:tc>
        <w:tc>
          <w:tcPr>
            <w:tcW w:w="50" w:type="pct"/>
            <w:shd w:val="clear" w:color="auto" w:fill="FFFFFF"/>
            <w:noWrap/>
            <w:tcMar>
              <w:top w:w="15" w:type="dxa"/>
              <w:left w:w="0" w:type="dxa"/>
              <w:bottom w:w="0" w:type="dxa"/>
              <w:right w:w="15" w:type="dxa"/>
            </w:tcMar>
            <w:vAlign w:val="bottom"/>
            <w:hideMark/>
          </w:tcPr>
          <w:p w14:paraId="6AC39AD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6D19232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8661CE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006EC6D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1,620</w:t>
            </w:r>
          </w:p>
        </w:tc>
        <w:tc>
          <w:tcPr>
            <w:tcW w:w="50" w:type="pct"/>
            <w:shd w:val="clear" w:color="auto" w:fill="FFFFFF"/>
            <w:noWrap/>
            <w:tcMar>
              <w:top w:w="15" w:type="dxa"/>
              <w:left w:w="0" w:type="dxa"/>
              <w:bottom w:w="0" w:type="dxa"/>
              <w:right w:w="15" w:type="dxa"/>
            </w:tcMar>
            <w:vAlign w:val="bottom"/>
            <w:hideMark/>
          </w:tcPr>
          <w:p w14:paraId="34D0187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2E47D4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4ABDE0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left w:w="0" w:type="dxa"/>
              <w:bottom w:w="0" w:type="dxa"/>
              <w:right w:w="15" w:type="dxa"/>
            </w:tcMar>
            <w:vAlign w:val="bottom"/>
            <w:hideMark/>
          </w:tcPr>
          <w:p w14:paraId="20717EA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1,451</w:t>
            </w:r>
          </w:p>
        </w:tc>
        <w:tc>
          <w:tcPr>
            <w:tcW w:w="50" w:type="pct"/>
            <w:shd w:val="clear" w:color="auto" w:fill="FFFFFF"/>
            <w:noWrap/>
            <w:tcMar>
              <w:top w:w="15" w:type="dxa"/>
              <w:left w:w="0" w:type="dxa"/>
              <w:bottom w:w="0" w:type="dxa"/>
              <w:right w:w="15" w:type="dxa"/>
            </w:tcMar>
            <w:vAlign w:val="bottom"/>
            <w:hideMark/>
          </w:tcPr>
          <w:p w14:paraId="3D13E50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A0F9FF2" w14:textId="77777777">
        <w:trPr>
          <w:divId w:val="822237102"/>
          <w:jc w:val="center"/>
        </w:trPr>
        <w:tc>
          <w:tcPr>
            <w:tcW w:w="2880" w:type="pct"/>
            <w:shd w:val="clear" w:color="auto" w:fill="CFF0FC"/>
            <w:tcMar>
              <w:top w:w="15" w:type="dxa"/>
              <w:left w:w="0" w:type="dxa"/>
              <w:bottom w:w="0" w:type="dxa"/>
              <w:right w:w="15" w:type="dxa"/>
            </w:tcMar>
            <w:hideMark/>
          </w:tcPr>
          <w:p w14:paraId="5DA40C45"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Acquisition related and other</w:t>
            </w:r>
          </w:p>
        </w:tc>
        <w:tc>
          <w:tcPr>
            <w:tcW w:w="67" w:type="pct"/>
            <w:shd w:val="clear" w:color="auto" w:fill="CFF0FC"/>
            <w:tcMar>
              <w:top w:w="15" w:type="dxa"/>
              <w:left w:w="0" w:type="dxa"/>
              <w:bottom w:w="0" w:type="dxa"/>
              <w:right w:w="15" w:type="dxa"/>
            </w:tcMar>
            <w:vAlign w:val="bottom"/>
            <w:hideMark/>
          </w:tcPr>
          <w:p w14:paraId="797788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9BEB97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24DD796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CFF0FC"/>
            <w:noWrap/>
            <w:tcMar>
              <w:top w:w="15" w:type="dxa"/>
              <w:left w:w="0" w:type="dxa"/>
              <w:bottom w:w="0" w:type="dxa"/>
              <w:right w:w="15" w:type="dxa"/>
            </w:tcMar>
            <w:vAlign w:val="bottom"/>
            <w:hideMark/>
          </w:tcPr>
          <w:p w14:paraId="5F86107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3531C4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14F09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601D122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w:t>
            </w:r>
          </w:p>
        </w:tc>
        <w:tc>
          <w:tcPr>
            <w:tcW w:w="50" w:type="pct"/>
            <w:shd w:val="clear" w:color="auto" w:fill="CFF0FC"/>
            <w:noWrap/>
            <w:tcMar>
              <w:top w:w="15" w:type="dxa"/>
              <w:left w:w="0" w:type="dxa"/>
              <w:bottom w:w="0" w:type="dxa"/>
              <w:right w:w="15" w:type="dxa"/>
            </w:tcMar>
            <w:vAlign w:val="bottom"/>
            <w:hideMark/>
          </w:tcPr>
          <w:p w14:paraId="564DFE4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092054F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8684E8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left w:w="0" w:type="dxa"/>
              <w:bottom w:w="0" w:type="dxa"/>
              <w:right w:w="15" w:type="dxa"/>
            </w:tcMar>
            <w:vAlign w:val="bottom"/>
            <w:hideMark/>
          </w:tcPr>
          <w:p w14:paraId="1499D09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103</w:t>
            </w:r>
          </w:p>
        </w:tc>
        <w:tc>
          <w:tcPr>
            <w:tcW w:w="50" w:type="pct"/>
            <w:shd w:val="clear" w:color="auto" w:fill="CFF0FC"/>
            <w:noWrap/>
            <w:tcMar>
              <w:top w:w="15" w:type="dxa"/>
              <w:left w:w="0" w:type="dxa"/>
              <w:bottom w:w="0" w:type="dxa"/>
              <w:right w:w="15" w:type="dxa"/>
            </w:tcMar>
            <w:vAlign w:val="bottom"/>
            <w:hideMark/>
          </w:tcPr>
          <w:p w14:paraId="6BE2E2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D598436" w14:textId="77777777">
        <w:trPr>
          <w:divId w:val="822237102"/>
          <w:jc w:val="center"/>
        </w:trPr>
        <w:tc>
          <w:tcPr>
            <w:tcW w:w="2880" w:type="pct"/>
            <w:shd w:val="clear" w:color="auto" w:fill="FFFFFF"/>
            <w:tcMar>
              <w:top w:w="15" w:type="dxa"/>
              <w:left w:w="0" w:type="dxa"/>
              <w:bottom w:w="0" w:type="dxa"/>
              <w:right w:w="15" w:type="dxa"/>
            </w:tcMar>
            <w:hideMark/>
          </w:tcPr>
          <w:p w14:paraId="44780551"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Restructuring</w:t>
            </w:r>
          </w:p>
        </w:tc>
        <w:tc>
          <w:tcPr>
            <w:tcW w:w="67" w:type="pct"/>
            <w:shd w:val="clear" w:color="auto" w:fill="FFFFFF"/>
            <w:tcMar>
              <w:top w:w="15" w:type="dxa"/>
              <w:left w:w="0" w:type="dxa"/>
              <w:bottom w:w="0" w:type="dxa"/>
              <w:right w:w="15" w:type="dxa"/>
            </w:tcMar>
            <w:vAlign w:val="bottom"/>
            <w:hideMark/>
          </w:tcPr>
          <w:p w14:paraId="4B70DEC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41E3BE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56EDB43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443</w:t>
            </w:r>
          </w:p>
        </w:tc>
        <w:tc>
          <w:tcPr>
            <w:tcW w:w="50" w:type="pct"/>
            <w:shd w:val="clear" w:color="auto" w:fill="FFFFFF"/>
            <w:noWrap/>
            <w:tcMar>
              <w:top w:w="15" w:type="dxa"/>
              <w:left w:w="0" w:type="dxa"/>
              <w:bottom w:w="0" w:type="dxa"/>
              <w:right w:w="15" w:type="dxa"/>
            </w:tcMar>
            <w:vAlign w:val="bottom"/>
            <w:hideMark/>
          </w:tcPr>
          <w:p w14:paraId="78274F8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172325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A5E597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509A6EB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588</w:t>
            </w:r>
          </w:p>
        </w:tc>
        <w:tc>
          <w:tcPr>
            <w:tcW w:w="50" w:type="pct"/>
            <w:shd w:val="clear" w:color="auto" w:fill="FFFFFF"/>
            <w:noWrap/>
            <w:tcMar>
              <w:top w:w="15" w:type="dxa"/>
              <w:left w:w="0" w:type="dxa"/>
              <w:bottom w:w="0" w:type="dxa"/>
              <w:right w:w="15" w:type="dxa"/>
            </w:tcMar>
            <w:vAlign w:val="bottom"/>
            <w:hideMark/>
          </w:tcPr>
          <w:p w14:paraId="4F9719F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72CBA8E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A1BFBD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6E99310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463</w:t>
            </w:r>
          </w:p>
        </w:tc>
        <w:tc>
          <w:tcPr>
            <w:tcW w:w="50" w:type="pct"/>
            <w:shd w:val="clear" w:color="auto" w:fill="FFFFFF"/>
            <w:noWrap/>
            <w:tcMar>
              <w:top w:w="15" w:type="dxa"/>
              <w:left w:w="0" w:type="dxa"/>
              <w:bottom w:w="0" w:type="dxa"/>
              <w:right w:w="15" w:type="dxa"/>
            </w:tcMar>
            <w:vAlign w:val="bottom"/>
            <w:hideMark/>
          </w:tcPr>
          <w:p w14:paraId="05FBF10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3272EF7" w14:textId="77777777">
        <w:trPr>
          <w:divId w:val="822237102"/>
          <w:jc w:val="center"/>
        </w:trPr>
        <w:tc>
          <w:tcPr>
            <w:tcW w:w="2880" w:type="pct"/>
            <w:shd w:val="clear" w:color="auto" w:fill="CFF0FC"/>
            <w:tcMar>
              <w:top w:w="15" w:type="dxa"/>
              <w:left w:w="0" w:type="dxa"/>
              <w:bottom w:w="0" w:type="dxa"/>
              <w:right w:w="15" w:type="dxa"/>
            </w:tcMar>
            <w:vAlign w:val="bottom"/>
            <w:hideMark/>
          </w:tcPr>
          <w:p w14:paraId="5E31E514" w14:textId="77777777" w:rsidR="00251D72" w:rsidRDefault="00251D72">
            <w:pPr>
              <w:pStyle w:val="a3"/>
              <w:spacing w:before="0" w:beforeAutospacing="0" w:after="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67" w:type="pct"/>
            <w:shd w:val="clear" w:color="auto" w:fill="CFF0FC"/>
            <w:tcMar>
              <w:top w:w="15" w:type="dxa"/>
              <w:left w:w="0" w:type="dxa"/>
              <w:bottom w:w="0" w:type="dxa"/>
              <w:right w:w="15" w:type="dxa"/>
            </w:tcMar>
            <w:vAlign w:val="bottom"/>
            <w:hideMark/>
          </w:tcPr>
          <w:p w14:paraId="3B2E2BD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554054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35B8DD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25,971</w:t>
            </w:r>
          </w:p>
        </w:tc>
        <w:tc>
          <w:tcPr>
            <w:tcW w:w="50" w:type="pct"/>
            <w:shd w:val="clear" w:color="auto" w:fill="CFF0FC"/>
            <w:noWrap/>
            <w:tcMar>
              <w:top w:w="15" w:type="dxa"/>
              <w:left w:w="0" w:type="dxa"/>
              <w:bottom w:w="0" w:type="dxa"/>
              <w:right w:w="15" w:type="dxa"/>
            </w:tcMar>
            <w:vAlign w:val="bottom"/>
            <w:hideMark/>
          </w:tcPr>
          <w:p w14:paraId="5A5E817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7698DFA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1C929C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D550AA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26,119</w:t>
            </w:r>
          </w:p>
        </w:tc>
        <w:tc>
          <w:tcPr>
            <w:tcW w:w="50" w:type="pct"/>
            <w:shd w:val="clear" w:color="auto" w:fill="CFF0FC"/>
            <w:noWrap/>
            <w:tcMar>
              <w:top w:w="15" w:type="dxa"/>
              <w:left w:w="0" w:type="dxa"/>
              <w:bottom w:w="0" w:type="dxa"/>
              <w:right w:w="15" w:type="dxa"/>
            </w:tcMar>
            <w:vAlign w:val="bottom"/>
            <w:hideMark/>
          </w:tcPr>
          <w:p w14:paraId="428705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50E185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6C0CA2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D1809F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24,879</w:t>
            </w:r>
          </w:p>
        </w:tc>
        <w:tc>
          <w:tcPr>
            <w:tcW w:w="50" w:type="pct"/>
            <w:shd w:val="clear" w:color="auto" w:fill="CFF0FC"/>
            <w:noWrap/>
            <w:tcMar>
              <w:top w:w="15" w:type="dxa"/>
              <w:left w:w="0" w:type="dxa"/>
              <w:bottom w:w="0" w:type="dxa"/>
              <w:right w:w="15" w:type="dxa"/>
            </w:tcMar>
            <w:vAlign w:val="bottom"/>
            <w:hideMark/>
          </w:tcPr>
          <w:p w14:paraId="7E4333C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D8684E6" w14:textId="77777777">
        <w:trPr>
          <w:divId w:val="822237102"/>
          <w:jc w:val="center"/>
        </w:trPr>
        <w:tc>
          <w:tcPr>
            <w:tcW w:w="2880" w:type="pct"/>
            <w:shd w:val="clear" w:color="auto" w:fill="FFFFFF"/>
            <w:tcMar>
              <w:top w:w="15" w:type="dxa"/>
              <w:left w:w="0" w:type="dxa"/>
              <w:bottom w:w="0" w:type="dxa"/>
              <w:right w:w="15" w:type="dxa"/>
            </w:tcMar>
            <w:hideMark/>
          </w:tcPr>
          <w:p w14:paraId="41419E5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Operating income</w:t>
            </w:r>
          </w:p>
        </w:tc>
        <w:tc>
          <w:tcPr>
            <w:tcW w:w="67" w:type="pct"/>
            <w:shd w:val="clear" w:color="auto" w:fill="FFFFFF"/>
            <w:tcMar>
              <w:top w:w="15" w:type="dxa"/>
              <w:left w:w="0" w:type="dxa"/>
              <w:bottom w:w="0" w:type="dxa"/>
              <w:right w:w="15" w:type="dxa"/>
            </w:tcMar>
            <w:vAlign w:val="bottom"/>
            <w:hideMark/>
          </w:tcPr>
          <w:p w14:paraId="0D65072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7D0A4A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A48B48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13,535</w:t>
            </w:r>
          </w:p>
        </w:tc>
        <w:tc>
          <w:tcPr>
            <w:tcW w:w="50" w:type="pct"/>
            <w:shd w:val="clear" w:color="auto" w:fill="FFFFFF"/>
            <w:noWrap/>
            <w:tcMar>
              <w:top w:w="15" w:type="dxa"/>
              <w:left w:w="0" w:type="dxa"/>
              <w:bottom w:w="0" w:type="dxa"/>
              <w:right w:w="15" w:type="dxa"/>
            </w:tcMar>
            <w:vAlign w:val="bottom"/>
            <w:hideMark/>
          </w:tcPr>
          <w:p w14:paraId="7242FC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0ED624F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853D48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0DABA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13,264</w:t>
            </w:r>
          </w:p>
        </w:tc>
        <w:tc>
          <w:tcPr>
            <w:tcW w:w="50" w:type="pct"/>
            <w:shd w:val="clear" w:color="auto" w:fill="FFFFFF"/>
            <w:noWrap/>
            <w:tcMar>
              <w:top w:w="15" w:type="dxa"/>
              <w:left w:w="0" w:type="dxa"/>
              <w:bottom w:w="0" w:type="dxa"/>
              <w:right w:w="15" w:type="dxa"/>
            </w:tcMar>
            <w:vAlign w:val="bottom"/>
            <w:hideMark/>
          </w:tcPr>
          <w:p w14:paraId="4E7F8A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0DEE402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81F053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918A11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12,913</w:t>
            </w:r>
          </w:p>
        </w:tc>
        <w:tc>
          <w:tcPr>
            <w:tcW w:w="50" w:type="pct"/>
            <w:shd w:val="clear" w:color="auto" w:fill="FFFFFF"/>
            <w:noWrap/>
            <w:tcMar>
              <w:top w:w="15" w:type="dxa"/>
              <w:left w:w="0" w:type="dxa"/>
              <w:bottom w:w="0" w:type="dxa"/>
              <w:right w:w="15" w:type="dxa"/>
            </w:tcMar>
            <w:vAlign w:val="bottom"/>
            <w:hideMark/>
          </w:tcPr>
          <w:p w14:paraId="30E7F3F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22FDAF8" w14:textId="77777777">
        <w:trPr>
          <w:divId w:val="822237102"/>
          <w:jc w:val="center"/>
        </w:trPr>
        <w:tc>
          <w:tcPr>
            <w:tcW w:w="2880" w:type="pct"/>
            <w:shd w:val="clear" w:color="auto" w:fill="CFF0FC"/>
            <w:tcMar>
              <w:top w:w="15" w:type="dxa"/>
              <w:left w:w="0" w:type="dxa"/>
              <w:bottom w:w="0" w:type="dxa"/>
              <w:right w:w="15" w:type="dxa"/>
            </w:tcMar>
            <w:hideMark/>
          </w:tcPr>
          <w:p w14:paraId="3CA53A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Interest expense</w:t>
            </w:r>
          </w:p>
        </w:tc>
        <w:tc>
          <w:tcPr>
            <w:tcW w:w="67" w:type="pct"/>
            <w:shd w:val="clear" w:color="auto" w:fill="CFF0FC"/>
            <w:tcMar>
              <w:top w:w="15" w:type="dxa"/>
              <w:left w:w="0" w:type="dxa"/>
              <w:bottom w:w="0" w:type="dxa"/>
              <w:right w:w="15" w:type="dxa"/>
            </w:tcMar>
            <w:vAlign w:val="bottom"/>
            <w:hideMark/>
          </w:tcPr>
          <w:p w14:paraId="29BA988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679625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29BF209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(2,082</w:t>
            </w:r>
          </w:p>
        </w:tc>
        <w:tc>
          <w:tcPr>
            <w:tcW w:w="50" w:type="pct"/>
            <w:shd w:val="clear" w:color="auto" w:fill="CFF0FC"/>
            <w:noWrap/>
            <w:tcMar>
              <w:top w:w="15" w:type="dxa"/>
              <w:left w:w="0" w:type="dxa"/>
              <w:bottom w:w="0" w:type="dxa"/>
              <w:right w:w="15" w:type="dxa"/>
            </w:tcMar>
            <w:vAlign w:val="bottom"/>
            <w:hideMark/>
          </w:tcPr>
          <w:p w14:paraId="2451168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left w:w="0" w:type="dxa"/>
              <w:bottom w:w="0" w:type="dxa"/>
              <w:right w:w="15" w:type="dxa"/>
            </w:tcMar>
            <w:vAlign w:val="bottom"/>
            <w:hideMark/>
          </w:tcPr>
          <w:p w14:paraId="55DAB15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D2C84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4E59111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(2,025</w:t>
            </w:r>
          </w:p>
        </w:tc>
        <w:tc>
          <w:tcPr>
            <w:tcW w:w="50" w:type="pct"/>
            <w:shd w:val="clear" w:color="auto" w:fill="CFF0FC"/>
            <w:noWrap/>
            <w:tcMar>
              <w:top w:w="15" w:type="dxa"/>
              <w:left w:w="0" w:type="dxa"/>
              <w:bottom w:w="0" w:type="dxa"/>
              <w:right w:w="15" w:type="dxa"/>
            </w:tcMar>
            <w:vAlign w:val="bottom"/>
            <w:hideMark/>
          </w:tcPr>
          <w:p w14:paraId="49F0C6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7" w:type="pct"/>
            <w:shd w:val="clear" w:color="auto" w:fill="CFF0FC"/>
            <w:tcMar>
              <w:top w:w="15" w:type="dxa"/>
              <w:left w:w="0" w:type="dxa"/>
              <w:bottom w:w="0" w:type="dxa"/>
              <w:right w:w="15" w:type="dxa"/>
            </w:tcMar>
            <w:vAlign w:val="bottom"/>
            <w:hideMark/>
          </w:tcPr>
          <w:p w14:paraId="3509F8A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942B5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015006F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(1,798</w:t>
            </w:r>
          </w:p>
        </w:tc>
        <w:tc>
          <w:tcPr>
            <w:tcW w:w="50" w:type="pct"/>
            <w:shd w:val="clear" w:color="auto" w:fill="CFF0FC"/>
            <w:noWrap/>
            <w:tcMar>
              <w:top w:w="15" w:type="dxa"/>
              <w:left w:w="0" w:type="dxa"/>
              <w:bottom w:w="0" w:type="dxa"/>
              <w:right w:w="15" w:type="dxa"/>
            </w:tcMar>
            <w:vAlign w:val="bottom"/>
            <w:hideMark/>
          </w:tcPr>
          <w:p w14:paraId="76291C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24D0AEFD" w14:textId="77777777">
        <w:trPr>
          <w:divId w:val="822237102"/>
          <w:jc w:val="center"/>
        </w:trPr>
        <w:tc>
          <w:tcPr>
            <w:tcW w:w="2880" w:type="pct"/>
            <w:shd w:val="clear" w:color="auto" w:fill="FFFFFF"/>
            <w:tcMar>
              <w:top w:w="15" w:type="dxa"/>
              <w:left w:w="0" w:type="dxa"/>
              <w:bottom w:w="0" w:type="dxa"/>
              <w:right w:w="15" w:type="dxa"/>
            </w:tcMar>
            <w:hideMark/>
          </w:tcPr>
          <w:p w14:paraId="20F01A1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Non-operating income, net</w:t>
            </w:r>
          </w:p>
        </w:tc>
        <w:tc>
          <w:tcPr>
            <w:tcW w:w="67" w:type="pct"/>
            <w:shd w:val="clear" w:color="auto" w:fill="FFFFFF"/>
            <w:tcMar>
              <w:top w:w="15" w:type="dxa"/>
              <w:left w:w="0" w:type="dxa"/>
              <w:bottom w:w="0" w:type="dxa"/>
              <w:right w:w="15" w:type="dxa"/>
            </w:tcMar>
            <w:vAlign w:val="bottom"/>
            <w:hideMark/>
          </w:tcPr>
          <w:p w14:paraId="3624939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43F79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021975D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815</w:t>
            </w:r>
          </w:p>
        </w:tc>
        <w:tc>
          <w:tcPr>
            <w:tcW w:w="50" w:type="pct"/>
            <w:shd w:val="clear" w:color="auto" w:fill="FFFFFF"/>
            <w:noWrap/>
            <w:tcMar>
              <w:top w:w="15" w:type="dxa"/>
              <w:left w:w="0" w:type="dxa"/>
              <w:bottom w:w="0" w:type="dxa"/>
              <w:right w:w="15" w:type="dxa"/>
            </w:tcMar>
            <w:vAlign w:val="bottom"/>
            <w:hideMark/>
          </w:tcPr>
          <w:p w14:paraId="25CA8A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66322E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1E5A2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5D748BE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1,185</w:t>
            </w:r>
          </w:p>
        </w:tc>
        <w:tc>
          <w:tcPr>
            <w:tcW w:w="50" w:type="pct"/>
            <w:shd w:val="clear" w:color="auto" w:fill="FFFFFF"/>
            <w:noWrap/>
            <w:tcMar>
              <w:top w:w="15" w:type="dxa"/>
              <w:left w:w="0" w:type="dxa"/>
              <w:bottom w:w="0" w:type="dxa"/>
              <w:right w:w="15" w:type="dxa"/>
            </w:tcMar>
            <w:vAlign w:val="bottom"/>
            <w:hideMark/>
          </w:tcPr>
          <w:p w14:paraId="5B28675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38129F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D8836D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2DAD7E2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565</w:t>
            </w:r>
          </w:p>
        </w:tc>
        <w:tc>
          <w:tcPr>
            <w:tcW w:w="50" w:type="pct"/>
            <w:shd w:val="clear" w:color="auto" w:fill="FFFFFF"/>
            <w:noWrap/>
            <w:tcMar>
              <w:top w:w="15" w:type="dxa"/>
              <w:left w:w="0" w:type="dxa"/>
              <w:bottom w:w="0" w:type="dxa"/>
              <w:right w:w="15" w:type="dxa"/>
            </w:tcMar>
            <w:vAlign w:val="bottom"/>
            <w:hideMark/>
          </w:tcPr>
          <w:p w14:paraId="73CD44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58B6DCA" w14:textId="77777777">
        <w:trPr>
          <w:divId w:val="822237102"/>
          <w:jc w:val="center"/>
        </w:trPr>
        <w:tc>
          <w:tcPr>
            <w:tcW w:w="2880" w:type="pct"/>
            <w:shd w:val="clear" w:color="auto" w:fill="CFF0FC"/>
            <w:tcMar>
              <w:top w:w="15" w:type="dxa"/>
              <w:left w:w="0" w:type="dxa"/>
              <w:bottom w:w="0" w:type="dxa"/>
              <w:right w:w="15" w:type="dxa"/>
            </w:tcMar>
            <w:hideMark/>
          </w:tcPr>
          <w:p w14:paraId="74D5E96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Income before provision for income taxes</w:t>
            </w:r>
          </w:p>
        </w:tc>
        <w:tc>
          <w:tcPr>
            <w:tcW w:w="67" w:type="pct"/>
            <w:shd w:val="clear" w:color="auto" w:fill="CFF0FC"/>
            <w:tcMar>
              <w:top w:w="15" w:type="dxa"/>
              <w:left w:w="0" w:type="dxa"/>
              <w:bottom w:w="0" w:type="dxa"/>
              <w:right w:w="15" w:type="dxa"/>
            </w:tcMar>
            <w:vAlign w:val="bottom"/>
            <w:hideMark/>
          </w:tcPr>
          <w:p w14:paraId="4D68689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982387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3BCD02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12,268</w:t>
            </w:r>
          </w:p>
        </w:tc>
        <w:tc>
          <w:tcPr>
            <w:tcW w:w="50" w:type="pct"/>
            <w:shd w:val="clear" w:color="auto" w:fill="CFF0FC"/>
            <w:noWrap/>
            <w:tcMar>
              <w:top w:w="15" w:type="dxa"/>
              <w:left w:w="0" w:type="dxa"/>
              <w:bottom w:w="0" w:type="dxa"/>
              <w:right w:w="15" w:type="dxa"/>
            </w:tcMar>
            <w:vAlign w:val="bottom"/>
            <w:hideMark/>
          </w:tcPr>
          <w:p w14:paraId="0D8A0E0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0448322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0B8CA5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C36A8E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12,424</w:t>
            </w:r>
          </w:p>
        </w:tc>
        <w:tc>
          <w:tcPr>
            <w:tcW w:w="50" w:type="pct"/>
            <w:shd w:val="clear" w:color="auto" w:fill="CFF0FC"/>
            <w:noWrap/>
            <w:tcMar>
              <w:top w:w="15" w:type="dxa"/>
              <w:left w:w="0" w:type="dxa"/>
              <w:bottom w:w="0" w:type="dxa"/>
              <w:right w:w="15" w:type="dxa"/>
            </w:tcMar>
            <w:vAlign w:val="bottom"/>
            <w:hideMark/>
          </w:tcPr>
          <w:p w14:paraId="47FB263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08F727C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CBE2F4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7276CE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11,680</w:t>
            </w:r>
          </w:p>
        </w:tc>
        <w:tc>
          <w:tcPr>
            <w:tcW w:w="50" w:type="pct"/>
            <w:shd w:val="clear" w:color="auto" w:fill="CFF0FC"/>
            <w:noWrap/>
            <w:tcMar>
              <w:top w:w="15" w:type="dxa"/>
              <w:left w:w="0" w:type="dxa"/>
              <w:bottom w:w="0" w:type="dxa"/>
              <w:right w:w="15" w:type="dxa"/>
            </w:tcMar>
            <w:vAlign w:val="bottom"/>
            <w:hideMark/>
          </w:tcPr>
          <w:p w14:paraId="3E8AFFF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BFF7CA1" w14:textId="77777777">
        <w:trPr>
          <w:divId w:val="822237102"/>
          <w:jc w:val="center"/>
        </w:trPr>
        <w:tc>
          <w:tcPr>
            <w:tcW w:w="2880" w:type="pct"/>
            <w:shd w:val="clear" w:color="auto" w:fill="FFFFFF"/>
            <w:tcMar>
              <w:top w:w="15" w:type="dxa"/>
              <w:left w:w="0" w:type="dxa"/>
              <w:bottom w:w="0" w:type="dxa"/>
              <w:right w:w="15" w:type="dxa"/>
            </w:tcMar>
            <w:hideMark/>
          </w:tcPr>
          <w:p w14:paraId="00FFD94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Provision for income taxes</w:t>
            </w:r>
          </w:p>
        </w:tc>
        <w:tc>
          <w:tcPr>
            <w:tcW w:w="67" w:type="pct"/>
            <w:shd w:val="clear" w:color="auto" w:fill="FFFFFF"/>
            <w:tcMar>
              <w:top w:w="15" w:type="dxa"/>
              <w:left w:w="0" w:type="dxa"/>
              <w:bottom w:w="0" w:type="dxa"/>
              <w:right w:w="15" w:type="dxa"/>
            </w:tcMar>
            <w:vAlign w:val="bottom"/>
            <w:hideMark/>
          </w:tcPr>
          <w:p w14:paraId="723EDB5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071B06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48991A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1,185</w:t>
            </w:r>
          </w:p>
        </w:tc>
        <w:tc>
          <w:tcPr>
            <w:tcW w:w="50" w:type="pct"/>
            <w:shd w:val="clear" w:color="auto" w:fill="FFFFFF"/>
            <w:noWrap/>
            <w:tcMar>
              <w:top w:w="15" w:type="dxa"/>
              <w:left w:w="0" w:type="dxa"/>
              <w:bottom w:w="0" w:type="dxa"/>
              <w:right w:w="15" w:type="dxa"/>
            </w:tcMar>
            <w:vAlign w:val="bottom"/>
            <w:hideMark/>
          </w:tcPr>
          <w:p w14:paraId="3CA6521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53A9328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D05030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452A33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8,837</w:t>
            </w:r>
          </w:p>
        </w:tc>
        <w:tc>
          <w:tcPr>
            <w:tcW w:w="50" w:type="pct"/>
            <w:shd w:val="clear" w:color="auto" w:fill="FFFFFF"/>
            <w:noWrap/>
            <w:tcMar>
              <w:top w:w="15" w:type="dxa"/>
              <w:left w:w="0" w:type="dxa"/>
              <w:bottom w:w="0" w:type="dxa"/>
              <w:right w:w="15" w:type="dxa"/>
            </w:tcMar>
            <w:vAlign w:val="bottom"/>
            <w:hideMark/>
          </w:tcPr>
          <w:p w14:paraId="514BAC1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5F1538D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C330F3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DC5D4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2,228</w:t>
            </w:r>
          </w:p>
        </w:tc>
        <w:tc>
          <w:tcPr>
            <w:tcW w:w="50" w:type="pct"/>
            <w:shd w:val="clear" w:color="auto" w:fill="FFFFFF"/>
            <w:noWrap/>
            <w:tcMar>
              <w:top w:w="15" w:type="dxa"/>
              <w:left w:w="0" w:type="dxa"/>
              <w:bottom w:w="0" w:type="dxa"/>
              <w:right w:w="15" w:type="dxa"/>
            </w:tcMar>
            <w:vAlign w:val="bottom"/>
            <w:hideMark/>
          </w:tcPr>
          <w:p w14:paraId="69F3E0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29B1C28" w14:textId="77777777">
        <w:trPr>
          <w:divId w:val="822237102"/>
          <w:jc w:val="center"/>
        </w:trPr>
        <w:tc>
          <w:tcPr>
            <w:tcW w:w="2880" w:type="pct"/>
            <w:shd w:val="clear" w:color="auto" w:fill="CFF0FC"/>
            <w:tcMar>
              <w:top w:w="15" w:type="dxa"/>
              <w:left w:w="0" w:type="dxa"/>
              <w:bottom w:w="0" w:type="dxa"/>
              <w:right w:w="15" w:type="dxa"/>
            </w:tcMar>
            <w:hideMark/>
          </w:tcPr>
          <w:p w14:paraId="235D0B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Net income</w:t>
            </w:r>
          </w:p>
        </w:tc>
        <w:tc>
          <w:tcPr>
            <w:tcW w:w="67" w:type="pct"/>
            <w:shd w:val="clear" w:color="auto" w:fill="CFF0FC"/>
            <w:tcMar>
              <w:top w:w="15" w:type="dxa"/>
              <w:left w:w="0" w:type="dxa"/>
              <w:bottom w:w="0" w:type="dxa"/>
              <w:right w:w="15" w:type="dxa"/>
            </w:tcMar>
            <w:vAlign w:val="bottom"/>
            <w:hideMark/>
          </w:tcPr>
          <w:p w14:paraId="43864D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25DD59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4D8A8A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11,083</w:t>
            </w:r>
          </w:p>
        </w:tc>
        <w:tc>
          <w:tcPr>
            <w:tcW w:w="50" w:type="pct"/>
            <w:shd w:val="clear" w:color="auto" w:fill="CFF0FC"/>
            <w:noWrap/>
            <w:tcMar>
              <w:top w:w="15" w:type="dxa"/>
              <w:left w:w="0" w:type="dxa"/>
              <w:bottom w:w="0" w:type="dxa"/>
              <w:right w:w="15" w:type="dxa"/>
            </w:tcMar>
            <w:vAlign w:val="bottom"/>
            <w:hideMark/>
          </w:tcPr>
          <w:p w14:paraId="76C9CB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3695C0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0A70A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90333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3,587</w:t>
            </w:r>
          </w:p>
        </w:tc>
        <w:tc>
          <w:tcPr>
            <w:tcW w:w="50" w:type="pct"/>
            <w:shd w:val="clear" w:color="auto" w:fill="CFF0FC"/>
            <w:noWrap/>
            <w:tcMar>
              <w:top w:w="15" w:type="dxa"/>
              <w:left w:w="0" w:type="dxa"/>
              <w:bottom w:w="0" w:type="dxa"/>
              <w:right w:w="15" w:type="dxa"/>
            </w:tcMar>
            <w:vAlign w:val="bottom"/>
            <w:hideMark/>
          </w:tcPr>
          <w:p w14:paraId="5009DDE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259303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3EC71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CD9A5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9,452</w:t>
            </w:r>
          </w:p>
        </w:tc>
        <w:tc>
          <w:tcPr>
            <w:tcW w:w="50" w:type="pct"/>
            <w:shd w:val="clear" w:color="auto" w:fill="CFF0FC"/>
            <w:noWrap/>
            <w:tcMar>
              <w:top w:w="15" w:type="dxa"/>
              <w:left w:w="0" w:type="dxa"/>
              <w:bottom w:w="0" w:type="dxa"/>
              <w:right w:w="15" w:type="dxa"/>
            </w:tcMar>
            <w:vAlign w:val="bottom"/>
            <w:hideMark/>
          </w:tcPr>
          <w:p w14:paraId="1AA623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331A50C" w14:textId="77777777">
        <w:trPr>
          <w:divId w:val="822237102"/>
          <w:jc w:val="center"/>
        </w:trPr>
        <w:tc>
          <w:tcPr>
            <w:tcW w:w="2880" w:type="pct"/>
            <w:shd w:val="clear" w:color="auto" w:fill="FFFFFF"/>
            <w:tcMar>
              <w:top w:w="15" w:type="dxa"/>
              <w:left w:w="0" w:type="dxa"/>
              <w:bottom w:w="0" w:type="dxa"/>
              <w:right w:w="15" w:type="dxa"/>
            </w:tcMar>
            <w:hideMark/>
          </w:tcPr>
          <w:p w14:paraId="43942F7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Earnings per share:</w:t>
            </w:r>
          </w:p>
        </w:tc>
        <w:tc>
          <w:tcPr>
            <w:tcW w:w="67" w:type="pct"/>
            <w:shd w:val="clear" w:color="auto" w:fill="FFFFFF"/>
            <w:tcMar>
              <w:top w:w="15" w:type="dxa"/>
              <w:left w:w="0" w:type="dxa"/>
              <w:bottom w:w="0" w:type="dxa"/>
              <w:right w:w="15" w:type="dxa"/>
            </w:tcMar>
            <w:vAlign w:val="bottom"/>
            <w:hideMark/>
          </w:tcPr>
          <w:p w14:paraId="26ED57F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A54B55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14:paraId="1EBD81D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2A76E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63209AC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4DE2E0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14:paraId="0A99118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D41034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3227F2A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1955A3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14:paraId="19B2F6D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1B4E13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40EBA98" w14:textId="77777777">
        <w:trPr>
          <w:divId w:val="822237102"/>
          <w:jc w:val="center"/>
        </w:trPr>
        <w:tc>
          <w:tcPr>
            <w:tcW w:w="2880" w:type="pct"/>
            <w:shd w:val="clear" w:color="auto" w:fill="CFF0FC"/>
            <w:tcMar>
              <w:top w:w="15" w:type="dxa"/>
              <w:left w:w="0" w:type="dxa"/>
              <w:bottom w:w="0" w:type="dxa"/>
              <w:right w:w="15" w:type="dxa"/>
            </w:tcMar>
            <w:hideMark/>
          </w:tcPr>
          <w:p w14:paraId="72958690"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Basic</w:t>
            </w:r>
          </w:p>
        </w:tc>
        <w:tc>
          <w:tcPr>
            <w:tcW w:w="67" w:type="pct"/>
            <w:shd w:val="clear" w:color="auto" w:fill="CFF0FC"/>
            <w:tcMar>
              <w:top w:w="15" w:type="dxa"/>
              <w:left w:w="0" w:type="dxa"/>
              <w:bottom w:w="0" w:type="dxa"/>
              <w:right w:w="15" w:type="dxa"/>
            </w:tcMar>
            <w:vAlign w:val="bottom"/>
            <w:hideMark/>
          </w:tcPr>
          <w:p w14:paraId="6D5844E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6E588F8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14:paraId="568856F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3.05</w:t>
            </w:r>
          </w:p>
        </w:tc>
        <w:tc>
          <w:tcPr>
            <w:tcW w:w="50" w:type="pct"/>
            <w:shd w:val="clear" w:color="auto" w:fill="CFF0FC"/>
            <w:noWrap/>
            <w:tcMar>
              <w:top w:w="15" w:type="dxa"/>
              <w:left w:w="0" w:type="dxa"/>
              <w:bottom w:w="0" w:type="dxa"/>
              <w:right w:w="15" w:type="dxa"/>
            </w:tcMar>
            <w:vAlign w:val="bottom"/>
            <w:hideMark/>
          </w:tcPr>
          <w:p w14:paraId="477CF88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20563E3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279E67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14:paraId="02FC369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0.87</w:t>
            </w:r>
          </w:p>
        </w:tc>
        <w:tc>
          <w:tcPr>
            <w:tcW w:w="50" w:type="pct"/>
            <w:shd w:val="clear" w:color="auto" w:fill="CFF0FC"/>
            <w:noWrap/>
            <w:tcMar>
              <w:top w:w="15" w:type="dxa"/>
              <w:left w:w="0" w:type="dxa"/>
              <w:bottom w:w="0" w:type="dxa"/>
              <w:right w:w="15" w:type="dxa"/>
            </w:tcMar>
            <w:vAlign w:val="bottom"/>
            <w:hideMark/>
          </w:tcPr>
          <w:p w14:paraId="20C5D63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60B762F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765C283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14:paraId="487FD6A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2.30</w:t>
            </w:r>
          </w:p>
        </w:tc>
        <w:tc>
          <w:tcPr>
            <w:tcW w:w="50" w:type="pct"/>
            <w:shd w:val="clear" w:color="auto" w:fill="CFF0FC"/>
            <w:noWrap/>
            <w:tcMar>
              <w:top w:w="15" w:type="dxa"/>
              <w:left w:w="0" w:type="dxa"/>
              <w:bottom w:w="0" w:type="dxa"/>
              <w:right w:w="15" w:type="dxa"/>
            </w:tcMar>
            <w:vAlign w:val="bottom"/>
            <w:hideMark/>
          </w:tcPr>
          <w:p w14:paraId="6B5B2E5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072D658" w14:textId="77777777">
        <w:trPr>
          <w:divId w:val="822237102"/>
          <w:jc w:val="center"/>
        </w:trPr>
        <w:tc>
          <w:tcPr>
            <w:tcW w:w="2880" w:type="pct"/>
            <w:shd w:val="clear" w:color="auto" w:fill="FFFFFF"/>
            <w:tcMar>
              <w:top w:w="15" w:type="dxa"/>
              <w:left w:w="0" w:type="dxa"/>
              <w:bottom w:w="0" w:type="dxa"/>
              <w:right w:w="15" w:type="dxa"/>
            </w:tcMar>
            <w:hideMark/>
          </w:tcPr>
          <w:p w14:paraId="6419292A"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7" w:type="pct"/>
            <w:shd w:val="clear" w:color="auto" w:fill="FFFFFF"/>
            <w:tcMar>
              <w:top w:w="15" w:type="dxa"/>
              <w:left w:w="0" w:type="dxa"/>
              <w:bottom w:w="0" w:type="dxa"/>
              <w:right w:w="15" w:type="dxa"/>
            </w:tcMar>
            <w:vAlign w:val="bottom"/>
            <w:hideMark/>
          </w:tcPr>
          <w:p w14:paraId="344D293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F321D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092982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2.97</w:t>
            </w:r>
          </w:p>
        </w:tc>
        <w:tc>
          <w:tcPr>
            <w:tcW w:w="50" w:type="pct"/>
            <w:shd w:val="clear" w:color="auto" w:fill="FFFFFF"/>
            <w:noWrap/>
            <w:tcMar>
              <w:top w:w="15" w:type="dxa"/>
              <w:left w:w="0" w:type="dxa"/>
              <w:bottom w:w="0" w:type="dxa"/>
              <w:right w:w="15" w:type="dxa"/>
            </w:tcMar>
            <w:vAlign w:val="bottom"/>
            <w:hideMark/>
          </w:tcPr>
          <w:p w14:paraId="62E2FA3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38A6BE3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FDD205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12DD4C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0.85</w:t>
            </w:r>
          </w:p>
        </w:tc>
        <w:tc>
          <w:tcPr>
            <w:tcW w:w="50" w:type="pct"/>
            <w:shd w:val="clear" w:color="auto" w:fill="FFFFFF"/>
            <w:noWrap/>
            <w:tcMar>
              <w:top w:w="15" w:type="dxa"/>
              <w:left w:w="0" w:type="dxa"/>
              <w:bottom w:w="0" w:type="dxa"/>
              <w:right w:w="15" w:type="dxa"/>
            </w:tcMar>
            <w:vAlign w:val="bottom"/>
            <w:hideMark/>
          </w:tcPr>
          <w:p w14:paraId="26490B8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5B4CBC3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9DE94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AE773A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2.24</w:t>
            </w:r>
          </w:p>
        </w:tc>
        <w:tc>
          <w:tcPr>
            <w:tcW w:w="50" w:type="pct"/>
            <w:shd w:val="clear" w:color="auto" w:fill="FFFFFF"/>
            <w:noWrap/>
            <w:tcMar>
              <w:top w:w="15" w:type="dxa"/>
              <w:left w:w="0" w:type="dxa"/>
              <w:bottom w:w="0" w:type="dxa"/>
              <w:right w:w="15" w:type="dxa"/>
            </w:tcMar>
            <w:vAlign w:val="bottom"/>
            <w:hideMark/>
          </w:tcPr>
          <w:p w14:paraId="7C4C26A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2C74E21" w14:textId="77777777">
        <w:trPr>
          <w:divId w:val="822237102"/>
          <w:jc w:val="center"/>
        </w:trPr>
        <w:tc>
          <w:tcPr>
            <w:tcW w:w="2880" w:type="pct"/>
            <w:shd w:val="clear" w:color="auto" w:fill="CFF0FC"/>
            <w:tcMar>
              <w:top w:w="15" w:type="dxa"/>
              <w:left w:w="0" w:type="dxa"/>
              <w:bottom w:w="0" w:type="dxa"/>
              <w:right w:w="15" w:type="dxa"/>
            </w:tcMar>
            <w:hideMark/>
          </w:tcPr>
          <w:p w14:paraId="2095982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67" w:type="pct"/>
            <w:shd w:val="clear" w:color="auto" w:fill="CFF0FC"/>
            <w:tcMar>
              <w:top w:w="15" w:type="dxa"/>
              <w:left w:w="0" w:type="dxa"/>
              <w:bottom w:w="0" w:type="dxa"/>
              <w:right w:w="15" w:type="dxa"/>
            </w:tcMar>
            <w:vAlign w:val="bottom"/>
            <w:hideMark/>
          </w:tcPr>
          <w:p w14:paraId="25FAF42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7742EF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14:paraId="2F3999A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C9A90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0665BB2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7C959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14:paraId="5270D74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E002E3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77F8CE6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F129BD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14:paraId="27F11B9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7BB2D5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2227C3E" w14:textId="77777777">
        <w:trPr>
          <w:divId w:val="822237102"/>
          <w:jc w:val="center"/>
        </w:trPr>
        <w:tc>
          <w:tcPr>
            <w:tcW w:w="2880" w:type="pct"/>
            <w:shd w:val="clear" w:color="auto" w:fill="FFFFFF"/>
            <w:tcMar>
              <w:top w:w="15" w:type="dxa"/>
              <w:left w:w="0" w:type="dxa"/>
              <w:bottom w:w="0" w:type="dxa"/>
              <w:right w:w="15" w:type="dxa"/>
            </w:tcMar>
            <w:hideMark/>
          </w:tcPr>
          <w:p w14:paraId="030D1492"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Basic</w:t>
            </w:r>
          </w:p>
        </w:tc>
        <w:tc>
          <w:tcPr>
            <w:tcW w:w="67" w:type="pct"/>
            <w:shd w:val="clear" w:color="auto" w:fill="FFFFFF"/>
            <w:tcMar>
              <w:top w:w="15" w:type="dxa"/>
              <w:left w:w="0" w:type="dxa"/>
              <w:bottom w:w="0" w:type="dxa"/>
              <w:right w:w="15" w:type="dxa"/>
            </w:tcMar>
            <w:vAlign w:val="bottom"/>
            <w:hideMark/>
          </w:tcPr>
          <w:p w14:paraId="27DACA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0F9A69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double" w:sz="6" w:space="0" w:color="000000"/>
            </w:tcBorders>
            <w:shd w:val="clear" w:color="auto" w:fill="FFFFFF"/>
            <w:noWrap/>
            <w:tcMar>
              <w:top w:w="15" w:type="dxa"/>
              <w:left w:w="0" w:type="dxa"/>
              <w:bottom w:w="0" w:type="dxa"/>
              <w:right w:w="15" w:type="dxa"/>
            </w:tcMar>
            <w:vAlign w:val="bottom"/>
            <w:hideMark/>
          </w:tcPr>
          <w:p w14:paraId="31D527D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3,634</w:t>
            </w:r>
          </w:p>
        </w:tc>
        <w:tc>
          <w:tcPr>
            <w:tcW w:w="50" w:type="pct"/>
            <w:shd w:val="clear" w:color="auto" w:fill="FFFFFF"/>
            <w:noWrap/>
            <w:tcMar>
              <w:top w:w="15" w:type="dxa"/>
              <w:left w:w="0" w:type="dxa"/>
              <w:bottom w:w="0" w:type="dxa"/>
              <w:right w:w="15" w:type="dxa"/>
            </w:tcMar>
            <w:vAlign w:val="bottom"/>
            <w:hideMark/>
          </w:tcPr>
          <w:p w14:paraId="5966C8C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5730B04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01E6E8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double" w:sz="6" w:space="0" w:color="000000"/>
            </w:tcBorders>
            <w:shd w:val="clear" w:color="auto" w:fill="FFFFFF"/>
            <w:noWrap/>
            <w:tcMar>
              <w:top w:w="15" w:type="dxa"/>
              <w:left w:w="0" w:type="dxa"/>
              <w:bottom w:w="0" w:type="dxa"/>
              <w:right w:w="15" w:type="dxa"/>
            </w:tcMar>
            <w:vAlign w:val="bottom"/>
            <w:hideMark/>
          </w:tcPr>
          <w:p w14:paraId="128016B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4,121</w:t>
            </w:r>
          </w:p>
        </w:tc>
        <w:tc>
          <w:tcPr>
            <w:tcW w:w="50" w:type="pct"/>
            <w:shd w:val="clear" w:color="auto" w:fill="FFFFFF"/>
            <w:noWrap/>
            <w:tcMar>
              <w:top w:w="15" w:type="dxa"/>
              <w:left w:w="0" w:type="dxa"/>
              <w:bottom w:w="0" w:type="dxa"/>
              <w:right w:w="15" w:type="dxa"/>
            </w:tcMar>
            <w:vAlign w:val="bottom"/>
            <w:hideMark/>
          </w:tcPr>
          <w:p w14:paraId="56F344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FFFFFF"/>
            <w:tcMar>
              <w:top w:w="15" w:type="dxa"/>
              <w:left w:w="0" w:type="dxa"/>
              <w:bottom w:w="0" w:type="dxa"/>
              <w:right w:w="15" w:type="dxa"/>
            </w:tcMar>
            <w:vAlign w:val="bottom"/>
            <w:hideMark/>
          </w:tcPr>
          <w:p w14:paraId="4DA3DF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22C0B4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double" w:sz="6" w:space="0" w:color="000000"/>
            </w:tcBorders>
            <w:shd w:val="clear" w:color="auto" w:fill="FFFFFF"/>
            <w:noWrap/>
            <w:tcMar>
              <w:top w:w="15" w:type="dxa"/>
              <w:left w:w="0" w:type="dxa"/>
              <w:bottom w:w="0" w:type="dxa"/>
              <w:right w:w="15" w:type="dxa"/>
            </w:tcMar>
            <w:vAlign w:val="bottom"/>
            <w:hideMark/>
          </w:tcPr>
          <w:p w14:paraId="55D54A3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4,115</w:t>
            </w:r>
          </w:p>
        </w:tc>
        <w:tc>
          <w:tcPr>
            <w:tcW w:w="50" w:type="pct"/>
            <w:shd w:val="clear" w:color="auto" w:fill="FFFFFF"/>
            <w:noWrap/>
            <w:tcMar>
              <w:top w:w="15" w:type="dxa"/>
              <w:left w:w="0" w:type="dxa"/>
              <w:bottom w:w="0" w:type="dxa"/>
              <w:right w:w="15" w:type="dxa"/>
            </w:tcMar>
            <w:vAlign w:val="bottom"/>
            <w:hideMark/>
          </w:tcPr>
          <w:p w14:paraId="728C799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3ED271E" w14:textId="77777777">
        <w:trPr>
          <w:divId w:val="822237102"/>
          <w:jc w:val="center"/>
        </w:trPr>
        <w:tc>
          <w:tcPr>
            <w:tcW w:w="2880" w:type="pct"/>
            <w:shd w:val="clear" w:color="auto" w:fill="CFF0FC"/>
            <w:tcMar>
              <w:top w:w="15" w:type="dxa"/>
              <w:left w:w="0" w:type="dxa"/>
              <w:bottom w:w="0" w:type="dxa"/>
              <w:right w:w="15" w:type="dxa"/>
            </w:tcMar>
            <w:hideMark/>
          </w:tcPr>
          <w:p w14:paraId="500501E8"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7" w:type="pct"/>
            <w:shd w:val="clear" w:color="auto" w:fill="CFF0FC"/>
            <w:tcMar>
              <w:top w:w="15" w:type="dxa"/>
              <w:left w:w="0" w:type="dxa"/>
              <w:bottom w:w="0" w:type="dxa"/>
              <w:right w:w="15" w:type="dxa"/>
            </w:tcMar>
            <w:vAlign w:val="bottom"/>
            <w:hideMark/>
          </w:tcPr>
          <w:p w14:paraId="6B2701A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276BA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FE497C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3,732</w:t>
            </w:r>
          </w:p>
        </w:tc>
        <w:tc>
          <w:tcPr>
            <w:tcW w:w="50" w:type="pct"/>
            <w:shd w:val="clear" w:color="auto" w:fill="CFF0FC"/>
            <w:noWrap/>
            <w:tcMar>
              <w:top w:w="15" w:type="dxa"/>
              <w:left w:w="0" w:type="dxa"/>
              <w:bottom w:w="0" w:type="dxa"/>
              <w:right w:w="15" w:type="dxa"/>
            </w:tcMar>
            <w:vAlign w:val="bottom"/>
            <w:hideMark/>
          </w:tcPr>
          <w:p w14:paraId="6F9F7CB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548067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CFC41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476C2F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4,238</w:t>
            </w:r>
          </w:p>
        </w:tc>
        <w:tc>
          <w:tcPr>
            <w:tcW w:w="50" w:type="pct"/>
            <w:shd w:val="clear" w:color="auto" w:fill="CFF0FC"/>
            <w:noWrap/>
            <w:tcMar>
              <w:top w:w="15" w:type="dxa"/>
              <w:left w:w="0" w:type="dxa"/>
              <w:bottom w:w="0" w:type="dxa"/>
              <w:right w:w="15" w:type="dxa"/>
            </w:tcMar>
            <w:vAlign w:val="bottom"/>
            <w:hideMark/>
          </w:tcPr>
          <w:p w14:paraId="6B21C90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7" w:type="pct"/>
            <w:shd w:val="clear" w:color="auto" w:fill="CFF0FC"/>
            <w:tcMar>
              <w:top w:w="15" w:type="dxa"/>
              <w:left w:w="0" w:type="dxa"/>
              <w:bottom w:w="0" w:type="dxa"/>
              <w:right w:w="15" w:type="dxa"/>
            </w:tcMar>
            <w:vAlign w:val="bottom"/>
            <w:hideMark/>
          </w:tcPr>
          <w:p w14:paraId="0A2B03B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F395C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69D1FC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4,217</w:t>
            </w:r>
          </w:p>
        </w:tc>
        <w:tc>
          <w:tcPr>
            <w:tcW w:w="50" w:type="pct"/>
            <w:shd w:val="clear" w:color="auto" w:fill="CFF0FC"/>
            <w:noWrap/>
            <w:tcMar>
              <w:top w:w="15" w:type="dxa"/>
              <w:left w:w="0" w:type="dxa"/>
              <w:bottom w:w="0" w:type="dxa"/>
              <w:right w:w="15" w:type="dxa"/>
            </w:tcMar>
            <w:vAlign w:val="bottom"/>
            <w:hideMark/>
          </w:tcPr>
          <w:p w14:paraId="14D96B11"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C028FB9" w14:textId="77777777" w:rsidR="00251D72" w:rsidRDefault="00251D72">
      <w:pPr>
        <w:pStyle w:val="a3"/>
        <w:pBdr>
          <w:bottom w:val="single" w:sz="8"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251D72" w14:paraId="57E7E07F" w14:textId="77777777">
        <w:tc>
          <w:tcPr>
            <w:tcW w:w="262" w:type="pct"/>
            <w:noWrap/>
            <w:hideMark/>
          </w:tcPr>
          <w:p w14:paraId="3950A6B7" w14:textId="77777777" w:rsidR="00251D72" w:rsidRDefault="00251D72">
            <w:pPr>
              <w:pStyle w:val="a3"/>
              <w:spacing w:before="40" w:beforeAutospacing="0" w:after="0" w:afterAutospacing="0"/>
              <w:jc w:val="both"/>
              <w:rPr>
                <w:rFonts w:ascii="Calibri" w:hAnsi="Calibri" w:cs="Calibri"/>
                <w:color w:val="000000"/>
                <w:sz w:val="15"/>
                <w:szCs w:val="15"/>
              </w:rPr>
            </w:pPr>
            <w:r>
              <w:rPr>
                <w:rFonts w:ascii="Calibri" w:hAnsi="Calibri" w:cs="Calibri"/>
                <w:color w:val="000000"/>
                <w:sz w:val="13"/>
                <w:szCs w:val="13"/>
                <w:vertAlign w:val="superscript"/>
              </w:rPr>
              <w:t>(1)</w:t>
            </w:r>
          </w:p>
        </w:tc>
        <w:tc>
          <w:tcPr>
            <w:tcW w:w="0" w:type="auto"/>
            <w:hideMark/>
          </w:tcPr>
          <w:p w14:paraId="661893B8" w14:textId="77777777" w:rsidR="00251D72" w:rsidRDefault="00251D72">
            <w:pPr>
              <w:pStyle w:val="a3"/>
              <w:spacing w:before="40" w:beforeAutospacing="0" w:after="0" w:afterAutospacing="0"/>
              <w:jc w:val="both"/>
              <w:rPr>
                <w:rFonts w:ascii="Calibri" w:hAnsi="Calibri" w:cs="Calibri"/>
                <w:color w:val="000000"/>
                <w:sz w:val="17"/>
                <w:szCs w:val="17"/>
              </w:rPr>
            </w:pPr>
            <w:r>
              <w:rPr>
                <w:rFonts w:ascii="Calibri" w:hAnsi="Calibri" w:cs="Calibri"/>
                <w:color w:val="000000"/>
                <w:sz w:val="15"/>
                <w:szCs w:val="15"/>
              </w:rPr>
              <w:t>Exclusive of amortization of intangible assets, which is shown separately.</w:t>
            </w:r>
          </w:p>
        </w:tc>
      </w:tr>
    </w:tbl>
    <w:p w14:paraId="759C3C21" w14:textId="77777777" w:rsidR="00251D72" w:rsidRDefault="00251D72">
      <w:pPr>
        <w:pStyle w:val="a3"/>
        <w:spacing w:before="0" w:beforeAutospacing="0" w:after="0" w:afterAutospacing="0"/>
      </w:pPr>
      <w:r>
        <w:t> </w:t>
      </w:r>
    </w:p>
    <w:p w14:paraId="05BBAF95" w14:textId="77777777" w:rsidR="00251D72" w:rsidRDefault="00251D72">
      <w:pPr>
        <w:pStyle w:val="a3"/>
        <w:spacing w:before="0" w:beforeAutospacing="0" w:after="0" w:afterAutospacing="0"/>
      </w:pPr>
      <w:r>
        <w:t> </w:t>
      </w:r>
    </w:p>
    <w:p w14:paraId="0C4BA8B2"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See notes to consolidated financial statements.</w:t>
      </w:r>
    </w:p>
    <w:p w14:paraId="4D9365AB"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68</w:t>
      </w:r>
    </w:p>
    <w:p w14:paraId="2AB02305" w14:textId="77777777" w:rsidR="00251D72" w:rsidRDefault="00251D72">
      <w:pPr>
        <w:rPr>
          <w:rFonts w:ascii="Times New Roman" w:eastAsia="Times New Roman" w:hAnsi="Times New Roman" w:cs="Times New Roman"/>
          <w:sz w:val="24"/>
          <w:szCs w:val="24"/>
        </w:rPr>
      </w:pPr>
      <w:r>
        <w:rPr>
          <w:rFonts w:eastAsia="Times New Roman"/>
        </w:rPr>
        <w:pict w14:anchorId="47512588">
          <v:rect id="_x0000_i1094" style="width:415.3pt;height:1.5pt" o:hralign="center" o:hrstd="t" o:hr="t" fillcolor="#a0a0a0" stroked="f"/>
        </w:pict>
      </w:r>
    </w:p>
    <w:p w14:paraId="423C3EBF"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1C400D9D"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0570CE9" w14:textId="77777777" w:rsidR="00251D72" w:rsidRDefault="00251D72">
      <w:pPr>
        <w:pStyle w:val="a3"/>
        <w:spacing w:before="120" w:beforeAutospacing="0" w:after="0" w:afterAutospacing="0"/>
        <w:rPr>
          <w:sz w:val="20"/>
          <w:szCs w:val="20"/>
        </w:rPr>
      </w:pPr>
      <w:r>
        <w:rPr>
          <w:sz w:val="20"/>
          <w:szCs w:val="20"/>
        </w:rPr>
        <w:t> </w:t>
      </w:r>
    </w:p>
    <w:p w14:paraId="06972E6D" w14:textId="77777777" w:rsidR="00251D72" w:rsidRDefault="00251D72">
      <w:pPr>
        <w:pStyle w:val="a3"/>
        <w:spacing w:before="0" w:beforeAutospacing="0" w:after="0" w:afterAutospacing="0"/>
        <w:jc w:val="center"/>
        <w:rPr>
          <w:rFonts w:ascii="Calibri" w:hAnsi="Calibri" w:cs="Calibri"/>
          <w:b/>
          <w:bCs/>
          <w:sz w:val="20"/>
          <w:szCs w:val="20"/>
        </w:rPr>
      </w:pPr>
      <w:bookmarkStart w:id="103" w:name="_AEIOULastRenderedPageBreakAEIOU71"/>
      <w:bookmarkEnd w:id="103"/>
      <w:r>
        <w:rPr>
          <w:rFonts w:ascii="Calibri" w:hAnsi="Calibri" w:cs="Calibri"/>
          <w:b/>
          <w:bCs/>
          <w:sz w:val="20"/>
          <w:szCs w:val="20"/>
        </w:rPr>
        <w:t>ORACLE CORPORATION</w:t>
      </w:r>
    </w:p>
    <w:p w14:paraId="70DCAEA9" w14:textId="77777777" w:rsidR="00251D72" w:rsidRDefault="00251D72">
      <w:pPr>
        <w:pStyle w:val="a3"/>
        <w:spacing w:before="0" w:beforeAutospacing="0" w:after="0" w:afterAutospacing="0"/>
        <w:jc w:val="center"/>
        <w:rPr>
          <w:rFonts w:ascii="Calibri" w:hAnsi="Calibri" w:cs="Calibri"/>
          <w:b/>
          <w:bCs/>
          <w:sz w:val="20"/>
          <w:szCs w:val="20"/>
        </w:rPr>
      </w:pPr>
      <w:bookmarkStart w:id="104" w:name="CONSOLIDATED_STATEMENTS_COMPREHENSIVE_IN"/>
      <w:bookmarkEnd w:id="104"/>
      <w:r>
        <w:rPr>
          <w:rFonts w:ascii="Calibri" w:hAnsi="Calibri" w:cs="Calibri"/>
          <w:b/>
          <w:bCs/>
          <w:sz w:val="20"/>
          <w:szCs w:val="20"/>
        </w:rPr>
        <w:t>CONSOLIDATED STATEMENTS OF COMPREHENSIVE INCOME</w:t>
      </w:r>
    </w:p>
    <w:p w14:paraId="5D2589E5" w14:textId="77777777" w:rsidR="00251D72" w:rsidRDefault="00251D72">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For the Years Ended May 31, 2019, 2018 and 2017</w:t>
      </w:r>
    </w:p>
    <w:p w14:paraId="042803D1" w14:textId="77777777" w:rsidR="00251D72" w:rsidRDefault="00251D7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889"/>
        <w:gridCol w:w="103"/>
        <w:gridCol w:w="117"/>
        <w:gridCol w:w="843"/>
        <w:gridCol w:w="76"/>
        <w:gridCol w:w="102"/>
        <w:gridCol w:w="117"/>
        <w:gridCol w:w="844"/>
        <w:gridCol w:w="76"/>
        <w:gridCol w:w="102"/>
        <w:gridCol w:w="117"/>
        <w:gridCol w:w="844"/>
        <w:gridCol w:w="76"/>
      </w:tblGrid>
      <w:tr w:rsidR="00251D72" w14:paraId="61800BB6" w14:textId="77777777">
        <w:trPr>
          <w:divId w:val="657266066"/>
          <w:jc w:val="center"/>
        </w:trPr>
        <w:tc>
          <w:tcPr>
            <w:tcW w:w="2949" w:type="pct"/>
            <w:shd w:val="clear" w:color="auto" w:fill="FFFFFF"/>
            <w:tcMar>
              <w:top w:w="15" w:type="dxa"/>
              <w:left w:w="0" w:type="dxa"/>
              <w:bottom w:w="0" w:type="dxa"/>
              <w:right w:w="15" w:type="dxa"/>
            </w:tcMar>
            <w:vAlign w:val="bottom"/>
            <w:hideMark/>
          </w:tcPr>
          <w:p w14:paraId="0E271270" w14:textId="77777777" w:rsidR="00251D72" w:rsidRDefault="00251D72">
            <w:pPr>
              <w:pStyle w:val="a3"/>
              <w:spacing w:before="0" w:beforeAutospacing="0" w:after="0" w:afterAutospacing="0"/>
              <w:jc w:val="center"/>
              <w:rPr>
                <w:sz w:val="15"/>
                <w:szCs w:val="15"/>
              </w:rPr>
            </w:pPr>
            <w:r>
              <w:rPr>
                <w:sz w:val="15"/>
                <w:szCs w:val="15"/>
              </w:rPr>
              <w:t> </w:t>
            </w:r>
          </w:p>
        </w:tc>
        <w:tc>
          <w:tcPr>
            <w:tcW w:w="69" w:type="pct"/>
            <w:shd w:val="clear" w:color="auto" w:fill="FFFFFF"/>
            <w:tcMar>
              <w:top w:w="15" w:type="dxa"/>
              <w:left w:w="0" w:type="dxa"/>
              <w:bottom w:w="0" w:type="dxa"/>
              <w:right w:w="15" w:type="dxa"/>
            </w:tcMar>
            <w:vAlign w:val="bottom"/>
            <w:hideMark/>
          </w:tcPr>
          <w:p w14:paraId="0BFB1E4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930" w:type="pct"/>
            <w:gridSpan w:val="10"/>
            <w:tcBorders>
              <w:bottom w:val="single" w:sz="6" w:space="0" w:color="000000"/>
            </w:tcBorders>
            <w:shd w:val="clear" w:color="auto" w:fill="FFFFFF"/>
            <w:tcMar>
              <w:top w:w="15" w:type="dxa"/>
              <w:left w:w="0" w:type="dxa"/>
              <w:bottom w:w="0" w:type="dxa"/>
              <w:right w:w="15" w:type="dxa"/>
            </w:tcMar>
            <w:vAlign w:val="bottom"/>
            <w:hideMark/>
          </w:tcPr>
          <w:p w14:paraId="3BC5E14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316096A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579D281" w14:textId="77777777">
        <w:trPr>
          <w:divId w:val="657266066"/>
          <w:jc w:val="center"/>
        </w:trPr>
        <w:tc>
          <w:tcPr>
            <w:tcW w:w="2949" w:type="pct"/>
            <w:tcBorders>
              <w:bottom w:val="single" w:sz="6" w:space="0" w:color="000000"/>
            </w:tcBorders>
            <w:shd w:val="clear" w:color="auto" w:fill="FFFFFF"/>
            <w:tcMar>
              <w:top w:w="15" w:type="dxa"/>
              <w:left w:w="0" w:type="dxa"/>
              <w:bottom w:w="0" w:type="dxa"/>
              <w:right w:w="15" w:type="dxa"/>
            </w:tcMar>
            <w:vAlign w:val="bottom"/>
            <w:hideMark/>
          </w:tcPr>
          <w:p w14:paraId="084E21C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9" w:type="pct"/>
            <w:shd w:val="clear" w:color="auto" w:fill="FFFFFF"/>
            <w:tcMar>
              <w:top w:w="15" w:type="dxa"/>
              <w:left w:w="0" w:type="dxa"/>
              <w:bottom w:w="0" w:type="dxa"/>
              <w:right w:w="15" w:type="dxa"/>
            </w:tcMar>
            <w:vAlign w:val="bottom"/>
            <w:hideMark/>
          </w:tcPr>
          <w:p w14:paraId="3873A9C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844741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0526261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23901FB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B1E784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AF8A40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7FB9FDA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44F0B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78D2AE6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86102DD" w14:textId="77777777">
        <w:trPr>
          <w:divId w:val="657266066"/>
          <w:jc w:val="center"/>
        </w:trPr>
        <w:tc>
          <w:tcPr>
            <w:tcW w:w="2949" w:type="pct"/>
            <w:tcBorders>
              <w:top w:val="single" w:sz="6" w:space="0" w:color="000000"/>
            </w:tcBorders>
            <w:shd w:val="clear" w:color="auto" w:fill="CFF0FC"/>
            <w:tcMar>
              <w:top w:w="15" w:type="dxa"/>
              <w:left w:w="0" w:type="dxa"/>
              <w:bottom w:w="0" w:type="dxa"/>
              <w:right w:w="15" w:type="dxa"/>
            </w:tcMar>
            <w:hideMark/>
          </w:tcPr>
          <w:p w14:paraId="6D8D691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income</w:t>
            </w:r>
          </w:p>
        </w:tc>
        <w:tc>
          <w:tcPr>
            <w:tcW w:w="69" w:type="pct"/>
            <w:shd w:val="clear" w:color="auto" w:fill="CFF0FC"/>
            <w:tcMar>
              <w:top w:w="15" w:type="dxa"/>
              <w:left w:w="0" w:type="dxa"/>
              <w:bottom w:w="0" w:type="dxa"/>
              <w:right w:w="15" w:type="dxa"/>
            </w:tcMar>
            <w:vAlign w:val="bottom"/>
            <w:hideMark/>
          </w:tcPr>
          <w:p w14:paraId="65067DF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1B2D1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14" w:type="pct"/>
            <w:tcBorders>
              <w:top w:val="single" w:sz="6" w:space="0" w:color="000000"/>
            </w:tcBorders>
            <w:shd w:val="clear" w:color="auto" w:fill="CFF0FC"/>
            <w:noWrap/>
            <w:tcMar>
              <w:top w:w="15" w:type="dxa"/>
              <w:left w:w="0" w:type="dxa"/>
              <w:bottom w:w="0" w:type="dxa"/>
              <w:right w:w="15" w:type="dxa"/>
            </w:tcMar>
            <w:vAlign w:val="bottom"/>
            <w:hideMark/>
          </w:tcPr>
          <w:p w14:paraId="3E9DCCA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11,083</w:t>
            </w:r>
          </w:p>
        </w:tc>
        <w:tc>
          <w:tcPr>
            <w:tcW w:w="50" w:type="pct"/>
            <w:shd w:val="clear" w:color="auto" w:fill="CFF0FC"/>
            <w:noWrap/>
            <w:tcMar>
              <w:top w:w="15" w:type="dxa"/>
              <w:left w:w="0" w:type="dxa"/>
              <w:bottom w:w="0" w:type="dxa"/>
              <w:right w:w="15" w:type="dxa"/>
            </w:tcMar>
            <w:vAlign w:val="bottom"/>
            <w:hideMark/>
          </w:tcPr>
          <w:p w14:paraId="46C21CA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1FD3278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29FA07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14" w:type="pct"/>
            <w:tcBorders>
              <w:top w:val="single" w:sz="6" w:space="0" w:color="000000"/>
            </w:tcBorders>
            <w:shd w:val="clear" w:color="auto" w:fill="CFF0FC"/>
            <w:noWrap/>
            <w:tcMar>
              <w:top w:w="15" w:type="dxa"/>
              <w:left w:w="0" w:type="dxa"/>
              <w:bottom w:w="0" w:type="dxa"/>
              <w:right w:w="15" w:type="dxa"/>
            </w:tcMar>
            <w:vAlign w:val="bottom"/>
            <w:hideMark/>
          </w:tcPr>
          <w:p w14:paraId="40DAA5F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3,587</w:t>
            </w:r>
          </w:p>
        </w:tc>
        <w:tc>
          <w:tcPr>
            <w:tcW w:w="50" w:type="pct"/>
            <w:shd w:val="clear" w:color="auto" w:fill="CFF0FC"/>
            <w:noWrap/>
            <w:tcMar>
              <w:top w:w="15" w:type="dxa"/>
              <w:left w:w="0" w:type="dxa"/>
              <w:bottom w:w="0" w:type="dxa"/>
              <w:right w:w="15" w:type="dxa"/>
            </w:tcMar>
            <w:vAlign w:val="bottom"/>
            <w:hideMark/>
          </w:tcPr>
          <w:p w14:paraId="1F1E57F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6A22728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909B4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14" w:type="pct"/>
            <w:tcBorders>
              <w:top w:val="single" w:sz="6" w:space="0" w:color="000000"/>
            </w:tcBorders>
            <w:shd w:val="clear" w:color="auto" w:fill="CFF0FC"/>
            <w:noWrap/>
            <w:tcMar>
              <w:top w:w="15" w:type="dxa"/>
              <w:left w:w="0" w:type="dxa"/>
              <w:bottom w:w="0" w:type="dxa"/>
              <w:right w:w="15" w:type="dxa"/>
            </w:tcMar>
            <w:vAlign w:val="bottom"/>
            <w:hideMark/>
          </w:tcPr>
          <w:p w14:paraId="34A1E4C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9,452</w:t>
            </w:r>
          </w:p>
        </w:tc>
        <w:tc>
          <w:tcPr>
            <w:tcW w:w="50" w:type="pct"/>
            <w:shd w:val="clear" w:color="auto" w:fill="CFF0FC"/>
            <w:noWrap/>
            <w:tcMar>
              <w:top w:w="15" w:type="dxa"/>
              <w:left w:w="0" w:type="dxa"/>
              <w:bottom w:w="0" w:type="dxa"/>
              <w:right w:w="15" w:type="dxa"/>
            </w:tcMar>
            <w:vAlign w:val="bottom"/>
            <w:hideMark/>
          </w:tcPr>
          <w:p w14:paraId="41D1CAE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AB8EA57" w14:textId="77777777">
        <w:trPr>
          <w:divId w:val="657266066"/>
          <w:jc w:val="center"/>
        </w:trPr>
        <w:tc>
          <w:tcPr>
            <w:tcW w:w="2949" w:type="pct"/>
            <w:shd w:val="clear" w:color="auto" w:fill="FFFFFF"/>
            <w:tcMar>
              <w:top w:w="15" w:type="dxa"/>
              <w:left w:w="0" w:type="dxa"/>
              <w:bottom w:w="0" w:type="dxa"/>
              <w:right w:w="15" w:type="dxa"/>
            </w:tcMar>
            <w:hideMark/>
          </w:tcPr>
          <w:p w14:paraId="2CB7AC0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Other comprehensive income (loss), net of tax:</w:t>
            </w:r>
          </w:p>
        </w:tc>
        <w:tc>
          <w:tcPr>
            <w:tcW w:w="69" w:type="pct"/>
            <w:shd w:val="clear" w:color="auto" w:fill="FFFFFF"/>
            <w:tcMar>
              <w:top w:w="15" w:type="dxa"/>
              <w:left w:w="0" w:type="dxa"/>
              <w:bottom w:w="0" w:type="dxa"/>
              <w:right w:w="15" w:type="dxa"/>
            </w:tcMar>
            <w:vAlign w:val="bottom"/>
            <w:hideMark/>
          </w:tcPr>
          <w:p w14:paraId="1D5071C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22986D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FFFFFF"/>
            <w:noWrap/>
            <w:tcMar>
              <w:top w:w="15" w:type="dxa"/>
              <w:left w:w="0" w:type="dxa"/>
              <w:bottom w:w="0" w:type="dxa"/>
              <w:right w:w="15" w:type="dxa"/>
            </w:tcMar>
            <w:vAlign w:val="bottom"/>
            <w:hideMark/>
          </w:tcPr>
          <w:p w14:paraId="7E2755C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1375E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73A0315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92609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FFFFFF"/>
            <w:noWrap/>
            <w:tcMar>
              <w:top w:w="15" w:type="dxa"/>
              <w:left w:w="0" w:type="dxa"/>
              <w:bottom w:w="0" w:type="dxa"/>
              <w:right w:w="15" w:type="dxa"/>
            </w:tcMar>
            <w:vAlign w:val="bottom"/>
            <w:hideMark/>
          </w:tcPr>
          <w:p w14:paraId="0190C73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36751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06361E5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35C2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FFFFFF"/>
            <w:noWrap/>
            <w:tcMar>
              <w:top w:w="15" w:type="dxa"/>
              <w:left w:w="0" w:type="dxa"/>
              <w:bottom w:w="0" w:type="dxa"/>
              <w:right w:w="15" w:type="dxa"/>
            </w:tcMar>
            <w:vAlign w:val="bottom"/>
            <w:hideMark/>
          </w:tcPr>
          <w:p w14:paraId="5A67627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39929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DB0F7FD" w14:textId="77777777">
        <w:trPr>
          <w:divId w:val="657266066"/>
          <w:jc w:val="center"/>
        </w:trPr>
        <w:tc>
          <w:tcPr>
            <w:tcW w:w="2949" w:type="pct"/>
            <w:shd w:val="clear" w:color="auto" w:fill="CFF0FC"/>
            <w:tcMar>
              <w:top w:w="15" w:type="dxa"/>
              <w:left w:w="0" w:type="dxa"/>
              <w:bottom w:w="0" w:type="dxa"/>
              <w:right w:w="15" w:type="dxa"/>
            </w:tcMar>
            <w:hideMark/>
          </w:tcPr>
          <w:p w14:paraId="2302FCC0"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Net foreign currency translation (losses) gains</w:t>
            </w:r>
          </w:p>
        </w:tc>
        <w:tc>
          <w:tcPr>
            <w:tcW w:w="69" w:type="pct"/>
            <w:shd w:val="clear" w:color="auto" w:fill="CFF0FC"/>
            <w:tcMar>
              <w:top w:w="15" w:type="dxa"/>
              <w:left w:w="0" w:type="dxa"/>
              <w:bottom w:w="0" w:type="dxa"/>
              <w:right w:w="15" w:type="dxa"/>
            </w:tcMar>
            <w:vAlign w:val="bottom"/>
            <w:hideMark/>
          </w:tcPr>
          <w:p w14:paraId="44A7100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1E411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CFF0FC"/>
            <w:noWrap/>
            <w:tcMar>
              <w:top w:w="15" w:type="dxa"/>
              <w:left w:w="0" w:type="dxa"/>
              <w:bottom w:w="0" w:type="dxa"/>
              <w:right w:w="15" w:type="dxa"/>
            </w:tcMar>
            <w:vAlign w:val="bottom"/>
            <w:hideMark/>
          </w:tcPr>
          <w:p w14:paraId="1BB509A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(149</w:t>
            </w:r>
          </w:p>
        </w:tc>
        <w:tc>
          <w:tcPr>
            <w:tcW w:w="50" w:type="pct"/>
            <w:shd w:val="clear" w:color="auto" w:fill="CFF0FC"/>
            <w:noWrap/>
            <w:tcMar>
              <w:top w:w="15" w:type="dxa"/>
              <w:left w:w="0" w:type="dxa"/>
              <w:bottom w:w="0" w:type="dxa"/>
              <w:right w:w="15" w:type="dxa"/>
            </w:tcMar>
            <w:vAlign w:val="bottom"/>
            <w:hideMark/>
          </w:tcPr>
          <w:p w14:paraId="0B40C2E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left w:w="0" w:type="dxa"/>
              <w:bottom w:w="0" w:type="dxa"/>
              <w:right w:w="15" w:type="dxa"/>
            </w:tcMar>
            <w:vAlign w:val="bottom"/>
            <w:hideMark/>
          </w:tcPr>
          <w:p w14:paraId="4E830E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C4063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CFF0FC"/>
            <w:noWrap/>
            <w:tcMar>
              <w:top w:w="15" w:type="dxa"/>
              <w:left w:w="0" w:type="dxa"/>
              <w:bottom w:w="0" w:type="dxa"/>
              <w:right w:w="15" w:type="dxa"/>
            </w:tcMar>
            <w:vAlign w:val="bottom"/>
            <w:hideMark/>
          </w:tcPr>
          <w:p w14:paraId="3F2FC12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(291</w:t>
            </w:r>
          </w:p>
        </w:tc>
        <w:tc>
          <w:tcPr>
            <w:tcW w:w="50" w:type="pct"/>
            <w:shd w:val="clear" w:color="auto" w:fill="CFF0FC"/>
            <w:noWrap/>
            <w:tcMar>
              <w:top w:w="15" w:type="dxa"/>
              <w:left w:w="0" w:type="dxa"/>
              <w:bottom w:w="0" w:type="dxa"/>
              <w:right w:w="15" w:type="dxa"/>
            </w:tcMar>
            <w:vAlign w:val="bottom"/>
            <w:hideMark/>
          </w:tcPr>
          <w:p w14:paraId="2611C61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left w:w="0" w:type="dxa"/>
              <w:bottom w:w="0" w:type="dxa"/>
              <w:right w:w="15" w:type="dxa"/>
            </w:tcMar>
            <w:vAlign w:val="bottom"/>
            <w:hideMark/>
          </w:tcPr>
          <w:p w14:paraId="12E940C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96756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CFF0FC"/>
            <w:noWrap/>
            <w:tcMar>
              <w:top w:w="15" w:type="dxa"/>
              <w:left w:w="0" w:type="dxa"/>
              <w:bottom w:w="0" w:type="dxa"/>
              <w:right w:w="15" w:type="dxa"/>
            </w:tcMar>
            <w:vAlign w:val="bottom"/>
            <w:hideMark/>
          </w:tcPr>
          <w:p w14:paraId="2C6C8E8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85</w:t>
            </w:r>
          </w:p>
        </w:tc>
        <w:tc>
          <w:tcPr>
            <w:tcW w:w="50" w:type="pct"/>
            <w:shd w:val="clear" w:color="auto" w:fill="CFF0FC"/>
            <w:noWrap/>
            <w:tcMar>
              <w:top w:w="15" w:type="dxa"/>
              <w:left w:w="0" w:type="dxa"/>
              <w:bottom w:w="0" w:type="dxa"/>
              <w:right w:w="15" w:type="dxa"/>
            </w:tcMar>
            <w:vAlign w:val="bottom"/>
            <w:hideMark/>
          </w:tcPr>
          <w:p w14:paraId="5BA4006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27E3408" w14:textId="77777777">
        <w:trPr>
          <w:divId w:val="657266066"/>
          <w:jc w:val="center"/>
        </w:trPr>
        <w:tc>
          <w:tcPr>
            <w:tcW w:w="2949" w:type="pct"/>
            <w:shd w:val="clear" w:color="auto" w:fill="FFFFFF"/>
            <w:tcMar>
              <w:top w:w="15" w:type="dxa"/>
              <w:left w:w="0" w:type="dxa"/>
              <w:bottom w:w="0" w:type="dxa"/>
              <w:right w:w="15" w:type="dxa"/>
            </w:tcMar>
            <w:hideMark/>
          </w:tcPr>
          <w:p w14:paraId="49268D0F"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Net unrealized (losses) gains on defined benefit plans</w:t>
            </w:r>
          </w:p>
        </w:tc>
        <w:tc>
          <w:tcPr>
            <w:tcW w:w="69" w:type="pct"/>
            <w:shd w:val="clear" w:color="auto" w:fill="FFFFFF"/>
            <w:tcMar>
              <w:top w:w="15" w:type="dxa"/>
              <w:left w:w="0" w:type="dxa"/>
              <w:bottom w:w="0" w:type="dxa"/>
              <w:right w:w="15" w:type="dxa"/>
            </w:tcMar>
            <w:vAlign w:val="bottom"/>
            <w:hideMark/>
          </w:tcPr>
          <w:p w14:paraId="66FE64B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6AD2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FFFFFF"/>
            <w:noWrap/>
            <w:tcMar>
              <w:top w:w="15" w:type="dxa"/>
              <w:left w:w="0" w:type="dxa"/>
              <w:bottom w:w="0" w:type="dxa"/>
              <w:right w:w="15" w:type="dxa"/>
            </w:tcMar>
            <w:vAlign w:val="bottom"/>
            <w:hideMark/>
          </w:tcPr>
          <w:p w14:paraId="45238C1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(70</w:t>
            </w:r>
          </w:p>
        </w:tc>
        <w:tc>
          <w:tcPr>
            <w:tcW w:w="50" w:type="pct"/>
            <w:shd w:val="clear" w:color="auto" w:fill="FFFFFF"/>
            <w:noWrap/>
            <w:tcMar>
              <w:top w:w="15" w:type="dxa"/>
              <w:left w:w="0" w:type="dxa"/>
              <w:bottom w:w="0" w:type="dxa"/>
              <w:right w:w="15" w:type="dxa"/>
            </w:tcMar>
            <w:vAlign w:val="bottom"/>
            <w:hideMark/>
          </w:tcPr>
          <w:p w14:paraId="7FC1B8E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left w:w="0" w:type="dxa"/>
              <w:bottom w:w="0" w:type="dxa"/>
              <w:right w:w="15" w:type="dxa"/>
            </w:tcMar>
            <w:vAlign w:val="bottom"/>
            <w:hideMark/>
          </w:tcPr>
          <w:p w14:paraId="45E037E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CCC69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FFFFFF"/>
            <w:noWrap/>
            <w:tcMar>
              <w:top w:w="15" w:type="dxa"/>
              <w:left w:w="0" w:type="dxa"/>
              <w:bottom w:w="0" w:type="dxa"/>
              <w:right w:w="15" w:type="dxa"/>
            </w:tcMar>
            <w:vAlign w:val="bottom"/>
            <w:hideMark/>
          </w:tcPr>
          <w:p w14:paraId="5BEAB75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34</w:t>
            </w:r>
          </w:p>
        </w:tc>
        <w:tc>
          <w:tcPr>
            <w:tcW w:w="50" w:type="pct"/>
            <w:shd w:val="clear" w:color="auto" w:fill="FFFFFF"/>
            <w:noWrap/>
            <w:tcMar>
              <w:top w:w="15" w:type="dxa"/>
              <w:left w:w="0" w:type="dxa"/>
              <w:bottom w:w="0" w:type="dxa"/>
              <w:right w:w="15" w:type="dxa"/>
            </w:tcMar>
            <w:vAlign w:val="bottom"/>
            <w:hideMark/>
          </w:tcPr>
          <w:p w14:paraId="5688587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47B6176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ADC7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FFFFFF"/>
            <w:noWrap/>
            <w:tcMar>
              <w:top w:w="15" w:type="dxa"/>
              <w:left w:w="0" w:type="dxa"/>
              <w:bottom w:w="0" w:type="dxa"/>
              <w:right w:w="15" w:type="dxa"/>
            </w:tcMar>
            <w:vAlign w:val="bottom"/>
            <w:hideMark/>
          </w:tcPr>
          <w:p w14:paraId="38BD139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(102</w:t>
            </w:r>
          </w:p>
        </w:tc>
        <w:tc>
          <w:tcPr>
            <w:tcW w:w="50" w:type="pct"/>
            <w:shd w:val="clear" w:color="auto" w:fill="FFFFFF"/>
            <w:noWrap/>
            <w:tcMar>
              <w:top w:w="15" w:type="dxa"/>
              <w:left w:w="0" w:type="dxa"/>
              <w:bottom w:w="0" w:type="dxa"/>
              <w:right w:w="15" w:type="dxa"/>
            </w:tcMar>
            <w:vAlign w:val="bottom"/>
            <w:hideMark/>
          </w:tcPr>
          <w:p w14:paraId="48A5FA4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09E9DCA8" w14:textId="77777777">
        <w:trPr>
          <w:divId w:val="657266066"/>
          <w:jc w:val="center"/>
        </w:trPr>
        <w:tc>
          <w:tcPr>
            <w:tcW w:w="2949" w:type="pct"/>
            <w:shd w:val="clear" w:color="auto" w:fill="CFF0FC"/>
            <w:tcMar>
              <w:top w:w="15" w:type="dxa"/>
              <w:left w:w="0" w:type="dxa"/>
              <w:bottom w:w="0" w:type="dxa"/>
              <w:right w:w="15" w:type="dxa"/>
            </w:tcMar>
            <w:hideMark/>
          </w:tcPr>
          <w:p w14:paraId="5E9ED505"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Net unrealized gains (losses) on marketable securities</w:t>
            </w:r>
          </w:p>
        </w:tc>
        <w:tc>
          <w:tcPr>
            <w:tcW w:w="69" w:type="pct"/>
            <w:shd w:val="clear" w:color="auto" w:fill="CFF0FC"/>
            <w:tcMar>
              <w:top w:w="15" w:type="dxa"/>
              <w:left w:w="0" w:type="dxa"/>
              <w:bottom w:w="0" w:type="dxa"/>
              <w:right w:w="15" w:type="dxa"/>
            </w:tcMar>
            <w:vAlign w:val="bottom"/>
            <w:hideMark/>
          </w:tcPr>
          <w:p w14:paraId="0E5F10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188A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CFF0FC"/>
            <w:noWrap/>
            <w:tcMar>
              <w:top w:w="15" w:type="dxa"/>
              <w:left w:w="0" w:type="dxa"/>
              <w:bottom w:w="0" w:type="dxa"/>
              <w:right w:w="15" w:type="dxa"/>
            </w:tcMar>
            <w:vAlign w:val="bottom"/>
            <w:hideMark/>
          </w:tcPr>
          <w:p w14:paraId="787E3C4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332</w:t>
            </w:r>
          </w:p>
        </w:tc>
        <w:tc>
          <w:tcPr>
            <w:tcW w:w="50" w:type="pct"/>
            <w:shd w:val="clear" w:color="auto" w:fill="CFF0FC"/>
            <w:noWrap/>
            <w:tcMar>
              <w:top w:w="15" w:type="dxa"/>
              <w:left w:w="0" w:type="dxa"/>
              <w:bottom w:w="0" w:type="dxa"/>
              <w:right w:w="15" w:type="dxa"/>
            </w:tcMar>
            <w:vAlign w:val="bottom"/>
            <w:hideMark/>
          </w:tcPr>
          <w:p w14:paraId="1DDC6D4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2C58264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C0B56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CFF0FC"/>
            <w:noWrap/>
            <w:tcMar>
              <w:top w:w="15" w:type="dxa"/>
              <w:left w:w="0" w:type="dxa"/>
              <w:bottom w:w="0" w:type="dxa"/>
              <w:right w:w="15" w:type="dxa"/>
            </w:tcMar>
            <w:vAlign w:val="bottom"/>
            <w:hideMark/>
          </w:tcPr>
          <w:p w14:paraId="17FBFAD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(609</w:t>
            </w:r>
          </w:p>
        </w:tc>
        <w:tc>
          <w:tcPr>
            <w:tcW w:w="50" w:type="pct"/>
            <w:shd w:val="clear" w:color="auto" w:fill="CFF0FC"/>
            <w:noWrap/>
            <w:tcMar>
              <w:top w:w="15" w:type="dxa"/>
              <w:left w:w="0" w:type="dxa"/>
              <w:bottom w:w="0" w:type="dxa"/>
              <w:right w:w="15" w:type="dxa"/>
            </w:tcMar>
            <w:vAlign w:val="bottom"/>
            <w:hideMark/>
          </w:tcPr>
          <w:p w14:paraId="38D232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left w:w="0" w:type="dxa"/>
              <w:bottom w:w="0" w:type="dxa"/>
              <w:right w:w="15" w:type="dxa"/>
            </w:tcMar>
            <w:vAlign w:val="bottom"/>
            <w:hideMark/>
          </w:tcPr>
          <w:p w14:paraId="72E01F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B1A751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shd w:val="clear" w:color="auto" w:fill="CFF0FC"/>
            <w:noWrap/>
            <w:tcMar>
              <w:top w:w="15" w:type="dxa"/>
              <w:left w:w="0" w:type="dxa"/>
              <w:bottom w:w="0" w:type="dxa"/>
              <w:right w:w="15" w:type="dxa"/>
            </w:tcMar>
            <w:vAlign w:val="bottom"/>
            <w:hideMark/>
          </w:tcPr>
          <w:p w14:paraId="610BEEB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CFF0FC"/>
            <w:noWrap/>
            <w:tcMar>
              <w:top w:w="15" w:type="dxa"/>
              <w:left w:w="0" w:type="dxa"/>
              <w:bottom w:w="0" w:type="dxa"/>
              <w:right w:w="15" w:type="dxa"/>
            </w:tcMar>
            <w:vAlign w:val="bottom"/>
            <w:hideMark/>
          </w:tcPr>
          <w:p w14:paraId="21D1D51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759BA628" w14:textId="77777777">
        <w:trPr>
          <w:divId w:val="657266066"/>
          <w:jc w:val="center"/>
        </w:trPr>
        <w:tc>
          <w:tcPr>
            <w:tcW w:w="2949" w:type="pct"/>
            <w:shd w:val="clear" w:color="auto" w:fill="FFFFFF"/>
            <w:tcMar>
              <w:top w:w="15" w:type="dxa"/>
              <w:left w:w="0" w:type="dxa"/>
              <w:bottom w:w="0" w:type="dxa"/>
              <w:right w:w="15" w:type="dxa"/>
            </w:tcMar>
            <w:hideMark/>
          </w:tcPr>
          <w:p w14:paraId="6BC2DD10"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Net unrealized (losses) gains on cash flow hedges</w:t>
            </w:r>
          </w:p>
        </w:tc>
        <w:tc>
          <w:tcPr>
            <w:tcW w:w="69" w:type="pct"/>
            <w:shd w:val="clear" w:color="auto" w:fill="FFFFFF"/>
            <w:tcMar>
              <w:top w:w="15" w:type="dxa"/>
              <w:left w:w="0" w:type="dxa"/>
              <w:bottom w:w="0" w:type="dxa"/>
              <w:right w:w="15" w:type="dxa"/>
            </w:tcMar>
            <w:vAlign w:val="bottom"/>
            <w:hideMark/>
          </w:tcPr>
          <w:p w14:paraId="2DA7AC5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48A82D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tcBorders>
              <w:bottom w:val="single" w:sz="6" w:space="0" w:color="000000"/>
            </w:tcBorders>
            <w:shd w:val="clear" w:color="auto" w:fill="FFFFFF"/>
            <w:noWrap/>
            <w:tcMar>
              <w:top w:w="15" w:type="dxa"/>
              <w:left w:w="0" w:type="dxa"/>
              <w:bottom w:w="0" w:type="dxa"/>
              <w:right w:w="15" w:type="dxa"/>
            </w:tcMar>
            <w:vAlign w:val="bottom"/>
            <w:hideMark/>
          </w:tcPr>
          <w:p w14:paraId="20CAE6D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w:t>
            </w:r>
          </w:p>
        </w:tc>
        <w:tc>
          <w:tcPr>
            <w:tcW w:w="50" w:type="pct"/>
            <w:shd w:val="clear" w:color="auto" w:fill="FFFFFF"/>
            <w:noWrap/>
            <w:tcMar>
              <w:top w:w="15" w:type="dxa"/>
              <w:left w:w="0" w:type="dxa"/>
              <w:bottom w:w="0" w:type="dxa"/>
              <w:right w:w="15" w:type="dxa"/>
            </w:tcMar>
            <w:vAlign w:val="bottom"/>
            <w:hideMark/>
          </w:tcPr>
          <w:p w14:paraId="2305E94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left w:w="0" w:type="dxa"/>
              <w:bottom w:w="0" w:type="dxa"/>
              <w:right w:w="15" w:type="dxa"/>
            </w:tcMar>
            <w:vAlign w:val="bottom"/>
            <w:hideMark/>
          </w:tcPr>
          <w:p w14:paraId="34D2D3E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7175A7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tcBorders>
              <w:bottom w:val="single" w:sz="6" w:space="0" w:color="000000"/>
            </w:tcBorders>
            <w:shd w:val="clear" w:color="auto" w:fill="FFFFFF"/>
            <w:noWrap/>
            <w:tcMar>
              <w:top w:w="15" w:type="dxa"/>
              <w:left w:w="0" w:type="dxa"/>
              <w:bottom w:w="0" w:type="dxa"/>
              <w:right w:w="15" w:type="dxa"/>
            </w:tcMar>
            <w:vAlign w:val="bottom"/>
            <w:hideMark/>
          </w:tcPr>
          <w:p w14:paraId="75F59CF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FFFFFF"/>
            <w:noWrap/>
            <w:tcMar>
              <w:top w:w="15" w:type="dxa"/>
              <w:left w:w="0" w:type="dxa"/>
              <w:bottom w:w="0" w:type="dxa"/>
              <w:right w:w="15" w:type="dxa"/>
            </w:tcMar>
            <w:vAlign w:val="bottom"/>
            <w:hideMark/>
          </w:tcPr>
          <w:p w14:paraId="6A9433A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528E92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28C2E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tcBorders>
              <w:bottom w:val="single" w:sz="6" w:space="0" w:color="000000"/>
            </w:tcBorders>
            <w:shd w:val="clear" w:color="auto" w:fill="FFFFFF"/>
            <w:noWrap/>
            <w:tcMar>
              <w:top w:w="15" w:type="dxa"/>
              <w:left w:w="0" w:type="dxa"/>
              <w:bottom w:w="0" w:type="dxa"/>
              <w:right w:w="15" w:type="dxa"/>
            </w:tcMar>
            <w:vAlign w:val="bottom"/>
            <w:hideMark/>
          </w:tcPr>
          <w:p w14:paraId="16D491A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w:t>
            </w:r>
          </w:p>
        </w:tc>
        <w:tc>
          <w:tcPr>
            <w:tcW w:w="50" w:type="pct"/>
            <w:shd w:val="clear" w:color="auto" w:fill="FFFFFF"/>
            <w:noWrap/>
            <w:tcMar>
              <w:top w:w="15" w:type="dxa"/>
              <w:left w:w="0" w:type="dxa"/>
              <w:bottom w:w="0" w:type="dxa"/>
              <w:right w:w="15" w:type="dxa"/>
            </w:tcMar>
            <w:vAlign w:val="bottom"/>
            <w:hideMark/>
          </w:tcPr>
          <w:p w14:paraId="73E364B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E3CA023" w14:textId="77777777">
        <w:trPr>
          <w:divId w:val="657266066"/>
          <w:jc w:val="center"/>
        </w:trPr>
        <w:tc>
          <w:tcPr>
            <w:tcW w:w="2949" w:type="pct"/>
            <w:shd w:val="clear" w:color="auto" w:fill="CFF0FC"/>
            <w:tcMar>
              <w:top w:w="15" w:type="dxa"/>
              <w:left w:w="0" w:type="dxa"/>
              <w:bottom w:w="0" w:type="dxa"/>
              <w:right w:w="15" w:type="dxa"/>
            </w:tcMar>
            <w:hideMark/>
          </w:tcPr>
          <w:p w14:paraId="6F42391A" w14:textId="77777777" w:rsidR="00251D72" w:rsidRDefault="00251D72">
            <w:pPr>
              <w:pStyle w:val="a3"/>
              <w:spacing w:before="0" w:beforeAutospacing="0" w:after="0" w:afterAutospacing="0"/>
              <w:ind w:left="684"/>
              <w:rPr>
                <w:rFonts w:ascii="Calibri" w:hAnsi="Calibri" w:cs="Calibri"/>
                <w:color w:val="000000"/>
                <w:sz w:val="20"/>
                <w:szCs w:val="20"/>
              </w:rPr>
            </w:pPr>
            <w:r>
              <w:rPr>
                <w:rFonts w:ascii="Calibri" w:hAnsi="Calibri" w:cs="Calibri"/>
                <w:color w:val="000000"/>
                <w:sz w:val="20"/>
                <w:szCs w:val="20"/>
              </w:rPr>
              <w:t>Total other comprehensive income (loss), net</w:t>
            </w:r>
          </w:p>
        </w:tc>
        <w:tc>
          <w:tcPr>
            <w:tcW w:w="69" w:type="pct"/>
            <w:shd w:val="clear" w:color="auto" w:fill="CFF0FC"/>
            <w:tcMar>
              <w:top w:w="15" w:type="dxa"/>
              <w:left w:w="0" w:type="dxa"/>
              <w:bottom w:w="0" w:type="dxa"/>
              <w:right w:w="15" w:type="dxa"/>
            </w:tcMar>
            <w:vAlign w:val="bottom"/>
            <w:hideMark/>
          </w:tcPr>
          <w:p w14:paraId="5A957BE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3C0191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8ECFE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61</w:t>
            </w:r>
          </w:p>
        </w:tc>
        <w:tc>
          <w:tcPr>
            <w:tcW w:w="50" w:type="pct"/>
            <w:shd w:val="clear" w:color="auto" w:fill="CFF0FC"/>
            <w:noWrap/>
            <w:tcMar>
              <w:top w:w="15" w:type="dxa"/>
              <w:left w:w="0" w:type="dxa"/>
              <w:bottom w:w="0" w:type="dxa"/>
              <w:right w:w="15" w:type="dxa"/>
            </w:tcMar>
            <w:vAlign w:val="bottom"/>
            <w:hideMark/>
          </w:tcPr>
          <w:p w14:paraId="60CAE79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6323BD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1E984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9C4EFE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(829</w:t>
            </w:r>
          </w:p>
        </w:tc>
        <w:tc>
          <w:tcPr>
            <w:tcW w:w="50" w:type="pct"/>
            <w:shd w:val="clear" w:color="auto" w:fill="CFF0FC"/>
            <w:noWrap/>
            <w:tcMar>
              <w:top w:w="15" w:type="dxa"/>
              <w:left w:w="0" w:type="dxa"/>
              <w:bottom w:w="0" w:type="dxa"/>
              <w:right w:w="15" w:type="dxa"/>
            </w:tcMar>
            <w:vAlign w:val="bottom"/>
            <w:hideMark/>
          </w:tcPr>
          <w:p w14:paraId="233534F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left w:w="0" w:type="dxa"/>
              <w:bottom w:w="0" w:type="dxa"/>
              <w:right w:w="15" w:type="dxa"/>
            </w:tcMar>
            <w:vAlign w:val="bottom"/>
            <w:hideMark/>
          </w:tcPr>
          <w:p w14:paraId="4B3E71E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A37F6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5B9B3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415F409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0ACD6E1A" w14:textId="77777777">
        <w:trPr>
          <w:divId w:val="657266066"/>
          <w:jc w:val="center"/>
        </w:trPr>
        <w:tc>
          <w:tcPr>
            <w:tcW w:w="2949" w:type="pct"/>
            <w:shd w:val="clear" w:color="auto" w:fill="FFFFFF"/>
            <w:tcMar>
              <w:top w:w="15" w:type="dxa"/>
              <w:left w:w="0" w:type="dxa"/>
              <w:bottom w:w="0" w:type="dxa"/>
              <w:right w:w="15" w:type="dxa"/>
            </w:tcMar>
            <w:hideMark/>
          </w:tcPr>
          <w:p w14:paraId="76D8580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Comprehensive income</w:t>
            </w:r>
          </w:p>
        </w:tc>
        <w:tc>
          <w:tcPr>
            <w:tcW w:w="69" w:type="pct"/>
            <w:shd w:val="clear" w:color="auto" w:fill="FFFFFF"/>
            <w:tcMar>
              <w:top w:w="15" w:type="dxa"/>
              <w:left w:w="0" w:type="dxa"/>
              <w:bottom w:w="0" w:type="dxa"/>
              <w:right w:w="15" w:type="dxa"/>
            </w:tcMar>
            <w:vAlign w:val="bottom"/>
            <w:hideMark/>
          </w:tcPr>
          <w:p w14:paraId="64B5BB0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D4646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1C254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11,144</w:t>
            </w:r>
          </w:p>
        </w:tc>
        <w:tc>
          <w:tcPr>
            <w:tcW w:w="50" w:type="pct"/>
            <w:shd w:val="clear" w:color="auto" w:fill="FFFFFF"/>
            <w:noWrap/>
            <w:tcMar>
              <w:top w:w="15" w:type="dxa"/>
              <w:left w:w="0" w:type="dxa"/>
              <w:bottom w:w="0" w:type="dxa"/>
              <w:right w:w="15" w:type="dxa"/>
            </w:tcMar>
            <w:vAlign w:val="bottom"/>
            <w:hideMark/>
          </w:tcPr>
          <w:p w14:paraId="1FCFADB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7D4784B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BC494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5359E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2,758</w:t>
            </w:r>
          </w:p>
        </w:tc>
        <w:tc>
          <w:tcPr>
            <w:tcW w:w="50" w:type="pct"/>
            <w:shd w:val="clear" w:color="auto" w:fill="FFFFFF"/>
            <w:noWrap/>
            <w:tcMar>
              <w:top w:w="15" w:type="dxa"/>
              <w:left w:w="0" w:type="dxa"/>
              <w:bottom w:w="0" w:type="dxa"/>
              <w:right w:w="15" w:type="dxa"/>
            </w:tcMar>
            <w:vAlign w:val="bottom"/>
            <w:hideMark/>
          </w:tcPr>
          <w:p w14:paraId="35AC75C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342EB64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F1450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1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530FF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9,451</w:t>
            </w:r>
          </w:p>
        </w:tc>
        <w:tc>
          <w:tcPr>
            <w:tcW w:w="50" w:type="pct"/>
            <w:shd w:val="clear" w:color="auto" w:fill="FFFFFF"/>
            <w:noWrap/>
            <w:tcMar>
              <w:top w:w="15" w:type="dxa"/>
              <w:left w:w="0" w:type="dxa"/>
              <w:bottom w:w="0" w:type="dxa"/>
              <w:right w:w="15" w:type="dxa"/>
            </w:tcMar>
            <w:vAlign w:val="bottom"/>
            <w:hideMark/>
          </w:tcPr>
          <w:p w14:paraId="1298CBC1"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6059DC3" w14:textId="77777777" w:rsidR="00251D72" w:rsidRDefault="00251D72">
      <w:pPr>
        <w:pStyle w:val="a3"/>
        <w:spacing w:before="0" w:beforeAutospacing="0" w:after="0" w:afterAutospacing="0"/>
        <w:rPr>
          <w:sz w:val="20"/>
          <w:szCs w:val="20"/>
        </w:rPr>
      </w:pPr>
      <w:r>
        <w:rPr>
          <w:sz w:val="20"/>
          <w:szCs w:val="20"/>
        </w:rPr>
        <w:t> </w:t>
      </w:r>
    </w:p>
    <w:p w14:paraId="2081EBCD" w14:textId="77777777" w:rsidR="00251D72" w:rsidRDefault="00251D72">
      <w:pPr>
        <w:pStyle w:val="a3"/>
        <w:spacing w:before="0" w:beforeAutospacing="0" w:after="0" w:afterAutospacing="0"/>
      </w:pPr>
      <w:r>
        <w:t> </w:t>
      </w:r>
    </w:p>
    <w:p w14:paraId="333FE686"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See notes to consolidated financial statements.</w:t>
      </w:r>
    </w:p>
    <w:p w14:paraId="357B6E5C" w14:textId="77777777" w:rsidR="00251D72" w:rsidRDefault="00251D72">
      <w:pPr>
        <w:pStyle w:val="a3"/>
        <w:spacing w:before="0" w:beforeAutospacing="0" w:after="0" w:afterAutospacing="0"/>
        <w:rPr>
          <w:sz w:val="20"/>
          <w:szCs w:val="20"/>
        </w:rPr>
      </w:pPr>
      <w:r>
        <w:rPr>
          <w:sz w:val="20"/>
          <w:szCs w:val="20"/>
        </w:rPr>
        <w:t> </w:t>
      </w:r>
    </w:p>
    <w:p w14:paraId="5B45846E" w14:textId="77777777" w:rsidR="00251D72" w:rsidRDefault="00251D72">
      <w:pPr>
        <w:pStyle w:val="a3"/>
        <w:spacing w:before="0" w:beforeAutospacing="0" w:after="0" w:afterAutospacing="0"/>
        <w:rPr>
          <w:sz w:val="10"/>
          <w:szCs w:val="10"/>
        </w:rPr>
      </w:pPr>
      <w:r>
        <w:rPr>
          <w:sz w:val="10"/>
          <w:szCs w:val="10"/>
        </w:rPr>
        <w:t> </w:t>
      </w:r>
    </w:p>
    <w:p w14:paraId="14F654F8"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69</w:t>
      </w:r>
    </w:p>
    <w:p w14:paraId="49265BE0" w14:textId="77777777" w:rsidR="00251D72" w:rsidRDefault="00251D72">
      <w:pPr>
        <w:rPr>
          <w:rFonts w:ascii="Times New Roman" w:eastAsia="Times New Roman" w:hAnsi="Times New Roman" w:cs="Times New Roman"/>
          <w:sz w:val="24"/>
          <w:szCs w:val="24"/>
        </w:rPr>
      </w:pPr>
      <w:r>
        <w:rPr>
          <w:rFonts w:eastAsia="Times New Roman"/>
        </w:rPr>
        <w:pict w14:anchorId="0F199DB6">
          <v:rect id="_x0000_i1095" style="width:415.3pt;height:1.5pt" o:hralign="center" o:hrstd="t" o:hr="t" fillcolor="#a0a0a0" stroked="f"/>
        </w:pict>
      </w:r>
    </w:p>
    <w:p w14:paraId="5F9F798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40682D2"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8D5640C" w14:textId="77777777" w:rsidR="00251D72" w:rsidRDefault="00251D72">
      <w:pPr>
        <w:pStyle w:val="a3"/>
        <w:spacing w:before="120" w:beforeAutospacing="0" w:after="0" w:afterAutospacing="0"/>
        <w:rPr>
          <w:sz w:val="20"/>
          <w:szCs w:val="20"/>
        </w:rPr>
      </w:pPr>
      <w:r>
        <w:rPr>
          <w:sz w:val="20"/>
          <w:szCs w:val="20"/>
        </w:rPr>
        <w:t> </w:t>
      </w:r>
    </w:p>
    <w:p w14:paraId="7D6BC4D9" w14:textId="77777777" w:rsidR="00251D72" w:rsidRDefault="00251D72">
      <w:pPr>
        <w:pStyle w:val="a3"/>
        <w:spacing w:before="0" w:beforeAutospacing="0" w:after="0" w:afterAutospacing="0"/>
        <w:jc w:val="center"/>
        <w:rPr>
          <w:rFonts w:ascii="Calibri" w:hAnsi="Calibri" w:cs="Calibri"/>
          <w:b/>
          <w:bCs/>
          <w:sz w:val="20"/>
          <w:szCs w:val="20"/>
        </w:rPr>
      </w:pPr>
      <w:bookmarkStart w:id="105" w:name="_AEIOULastRenderedPageBreakAEIOU72"/>
      <w:bookmarkEnd w:id="105"/>
      <w:r>
        <w:rPr>
          <w:rFonts w:ascii="Calibri" w:hAnsi="Calibri" w:cs="Calibri"/>
          <w:b/>
          <w:bCs/>
          <w:sz w:val="20"/>
          <w:szCs w:val="20"/>
        </w:rPr>
        <w:t>ORACLE CORPORATION</w:t>
      </w:r>
    </w:p>
    <w:p w14:paraId="2A6BA448" w14:textId="77777777" w:rsidR="00251D72" w:rsidRDefault="00251D72">
      <w:pPr>
        <w:pStyle w:val="a3"/>
        <w:spacing w:before="0" w:beforeAutospacing="0" w:after="0" w:afterAutospacing="0"/>
        <w:jc w:val="center"/>
        <w:rPr>
          <w:rFonts w:ascii="Calibri" w:hAnsi="Calibri" w:cs="Calibri"/>
          <w:b/>
          <w:bCs/>
          <w:sz w:val="20"/>
          <w:szCs w:val="20"/>
        </w:rPr>
      </w:pPr>
      <w:bookmarkStart w:id="106" w:name="CONSOLIDATED_STATEMENTS_EQUITY"/>
      <w:bookmarkEnd w:id="106"/>
      <w:r>
        <w:rPr>
          <w:rFonts w:ascii="Calibri" w:hAnsi="Calibri" w:cs="Calibri"/>
          <w:b/>
          <w:bCs/>
          <w:sz w:val="20"/>
          <w:szCs w:val="20"/>
        </w:rPr>
        <w:t>CONSOLIDATED STATEMENTS OF EQUITY</w:t>
      </w:r>
    </w:p>
    <w:p w14:paraId="7E8A23E9" w14:textId="77777777" w:rsidR="00251D72" w:rsidRDefault="00251D72">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For the Years Ended May 31, 2019, 2018 and 2017</w:t>
      </w:r>
    </w:p>
    <w:p w14:paraId="1490A5F9" w14:textId="77777777" w:rsidR="00251D72" w:rsidRDefault="00251D7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845"/>
        <w:gridCol w:w="54"/>
        <w:gridCol w:w="93"/>
        <w:gridCol w:w="595"/>
        <w:gridCol w:w="67"/>
        <w:gridCol w:w="54"/>
        <w:gridCol w:w="102"/>
        <w:gridCol w:w="489"/>
        <w:gridCol w:w="67"/>
        <w:gridCol w:w="54"/>
        <w:gridCol w:w="148"/>
        <w:gridCol w:w="733"/>
        <w:gridCol w:w="67"/>
        <w:gridCol w:w="54"/>
        <w:gridCol w:w="103"/>
        <w:gridCol w:w="885"/>
        <w:gridCol w:w="67"/>
        <w:gridCol w:w="54"/>
        <w:gridCol w:w="103"/>
        <w:gridCol w:w="768"/>
        <w:gridCol w:w="67"/>
        <w:gridCol w:w="54"/>
        <w:gridCol w:w="103"/>
        <w:gridCol w:w="850"/>
        <w:gridCol w:w="67"/>
        <w:gridCol w:w="54"/>
        <w:gridCol w:w="102"/>
        <w:gridCol w:w="540"/>
        <w:gridCol w:w="67"/>
      </w:tblGrid>
      <w:tr w:rsidR="00251D72" w14:paraId="6D9DD0F6" w14:textId="77777777">
        <w:trPr>
          <w:divId w:val="175466462"/>
          <w:jc w:val="center"/>
        </w:trPr>
        <w:tc>
          <w:tcPr>
            <w:tcW w:w="1650" w:type="pct"/>
            <w:shd w:val="clear" w:color="auto" w:fill="FFFFFF"/>
            <w:tcMar>
              <w:top w:w="15" w:type="dxa"/>
              <w:left w:w="0" w:type="dxa"/>
              <w:bottom w:w="0" w:type="dxa"/>
              <w:right w:w="15" w:type="dxa"/>
            </w:tcMar>
            <w:vAlign w:val="bottom"/>
            <w:hideMark/>
          </w:tcPr>
          <w:p w14:paraId="0C3BEC8B" w14:textId="77777777" w:rsidR="00251D72" w:rsidRDefault="00251D72">
            <w:pPr>
              <w:pStyle w:val="a3"/>
              <w:spacing w:before="0" w:beforeAutospacing="0" w:after="0" w:afterAutospacing="0"/>
              <w:jc w:val="center"/>
              <w:rPr>
                <w:sz w:val="20"/>
                <w:szCs w:val="20"/>
              </w:rPr>
            </w:pPr>
            <w:r>
              <w:rPr>
                <w:sz w:val="20"/>
                <w:szCs w:val="20"/>
              </w:rPr>
              <w:t> </w:t>
            </w:r>
          </w:p>
        </w:tc>
        <w:tc>
          <w:tcPr>
            <w:tcW w:w="44" w:type="pct"/>
            <w:shd w:val="clear" w:color="auto" w:fill="FFFFFF"/>
            <w:tcMar>
              <w:top w:w="15" w:type="dxa"/>
              <w:left w:w="0" w:type="dxa"/>
              <w:bottom w:w="0" w:type="dxa"/>
              <w:right w:w="15" w:type="dxa"/>
            </w:tcMar>
            <w:vAlign w:val="bottom"/>
            <w:hideMark/>
          </w:tcPr>
          <w:p w14:paraId="71EE54F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20" w:type="pct"/>
            <w:gridSpan w:val="6"/>
            <w:tcBorders>
              <w:bottom w:val="single" w:sz="6" w:space="0" w:color="000000"/>
            </w:tcBorders>
            <w:shd w:val="clear" w:color="auto" w:fill="FFFFFF"/>
            <w:tcMar>
              <w:top w:w="15" w:type="dxa"/>
              <w:left w:w="0" w:type="dxa"/>
              <w:bottom w:w="0" w:type="dxa"/>
              <w:right w:w="15" w:type="dxa"/>
            </w:tcMar>
            <w:vAlign w:val="bottom"/>
            <w:hideMark/>
          </w:tcPr>
          <w:p w14:paraId="5F3EFBC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Common Stock and</w:t>
            </w:r>
          </w:p>
          <w:p w14:paraId="0E4DA5A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Additional Paid in</w:t>
            </w:r>
          </w:p>
          <w:p w14:paraId="53D8155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Capital</w:t>
            </w:r>
          </w:p>
        </w:tc>
        <w:tc>
          <w:tcPr>
            <w:tcW w:w="44" w:type="pct"/>
            <w:shd w:val="clear" w:color="auto" w:fill="FFFFFF"/>
            <w:noWrap/>
            <w:tcMar>
              <w:top w:w="15" w:type="dxa"/>
              <w:left w:w="0" w:type="dxa"/>
              <w:bottom w:w="0" w:type="dxa"/>
              <w:right w:w="15" w:type="dxa"/>
            </w:tcMar>
            <w:vAlign w:val="bottom"/>
            <w:hideMark/>
          </w:tcPr>
          <w:p w14:paraId="23B85EA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 w:type="pct"/>
            <w:shd w:val="clear" w:color="auto" w:fill="FFFFFF"/>
            <w:tcMar>
              <w:top w:w="15" w:type="dxa"/>
              <w:left w:w="0" w:type="dxa"/>
              <w:bottom w:w="0" w:type="dxa"/>
              <w:right w:w="15" w:type="dxa"/>
            </w:tcMar>
            <w:vAlign w:val="bottom"/>
            <w:hideMark/>
          </w:tcPr>
          <w:p w14:paraId="7313627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07" w:type="pct"/>
            <w:gridSpan w:val="2"/>
            <w:vMerge w:val="restart"/>
            <w:shd w:val="clear" w:color="auto" w:fill="FFFFFF"/>
            <w:tcMar>
              <w:top w:w="15" w:type="dxa"/>
              <w:left w:w="0" w:type="dxa"/>
              <w:bottom w:w="0" w:type="dxa"/>
              <w:right w:w="15" w:type="dxa"/>
            </w:tcMar>
            <w:vAlign w:val="bottom"/>
            <w:hideMark/>
          </w:tcPr>
          <w:p w14:paraId="49B635F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Retained Earnings</w:t>
            </w:r>
          </w:p>
          <w:p w14:paraId="6E42305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(Accumulated Deficit)</w:t>
            </w:r>
          </w:p>
        </w:tc>
        <w:tc>
          <w:tcPr>
            <w:tcW w:w="44" w:type="pct"/>
            <w:shd w:val="clear" w:color="auto" w:fill="FFFFFF"/>
            <w:noWrap/>
            <w:tcMar>
              <w:top w:w="15" w:type="dxa"/>
              <w:left w:w="0" w:type="dxa"/>
              <w:bottom w:w="0" w:type="dxa"/>
              <w:right w:w="15" w:type="dxa"/>
            </w:tcMar>
            <w:vAlign w:val="bottom"/>
            <w:hideMark/>
          </w:tcPr>
          <w:p w14:paraId="7C46002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 w:type="pct"/>
            <w:shd w:val="clear" w:color="auto" w:fill="FFFFFF"/>
            <w:tcMar>
              <w:top w:w="15" w:type="dxa"/>
              <w:left w:w="0" w:type="dxa"/>
              <w:bottom w:w="0" w:type="dxa"/>
              <w:right w:w="15" w:type="dxa"/>
            </w:tcMar>
            <w:vAlign w:val="bottom"/>
            <w:hideMark/>
          </w:tcPr>
          <w:p w14:paraId="2480C3F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gridSpan w:val="2"/>
            <w:vMerge w:val="restart"/>
            <w:shd w:val="clear" w:color="auto" w:fill="FFFFFF"/>
            <w:tcMar>
              <w:top w:w="15" w:type="dxa"/>
              <w:left w:w="0" w:type="dxa"/>
              <w:bottom w:w="0" w:type="dxa"/>
              <w:right w:w="15" w:type="dxa"/>
            </w:tcMar>
            <w:vAlign w:val="bottom"/>
            <w:hideMark/>
          </w:tcPr>
          <w:p w14:paraId="7AEBA96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Accumulated Other</w:t>
            </w:r>
          </w:p>
          <w:p w14:paraId="3DCFF01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Comprehensive Loss</w:t>
            </w:r>
          </w:p>
        </w:tc>
        <w:tc>
          <w:tcPr>
            <w:tcW w:w="44" w:type="pct"/>
            <w:shd w:val="clear" w:color="auto" w:fill="FFFFFF"/>
            <w:noWrap/>
            <w:tcMar>
              <w:top w:w="15" w:type="dxa"/>
              <w:left w:w="0" w:type="dxa"/>
              <w:bottom w:w="0" w:type="dxa"/>
              <w:right w:w="15" w:type="dxa"/>
            </w:tcMar>
            <w:vAlign w:val="bottom"/>
            <w:hideMark/>
          </w:tcPr>
          <w:p w14:paraId="6D39E05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 w:type="pct"/>
            <w:shd w:val="clear" w:color="auto" w:fill="FFFFFF"/>
            <w:tcMar>
              <w:top w:w="15" w:type="dxa"/>
              <w:left w:w="0" w:type="dxa"/>
              <w:bottom w:w="0" w:type="dxa"/>
              <w:right w:w="15" w:type="dxa"/>
            </w:tcMar>
            <w:vAlign w:val="bottom"/>
            <w:hideMark/>
          </w:tcPr>
          <w:p w14:paraId="606068D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gridSpan w:val="2"/>
            <w:vMerge w:val="restart"/>
            <w:shd w:val="clear" w:color="auto" w:fill="FFFFFF"/>
            <w:tcMar>
              <w:top w:w="15" w:type="dxa"/>
              <w:left w:w="0" w:type="dxa"/>
              <w:bottom w:w="0" w:type="dxa"/>
              <w:right w:w="15" w:type="dxa"/>
            </w:tcMar>
            <w:vAlign w:val="bottom"/>
            <w:hideMark/>
          </w:tcPr>
          <w:p w14:paraId="6DA29DB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1288D29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Oracle Corporation</w:t>
            </w:r>
          </w:p>
          <w:p w14:paraId="2602C5F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Stockholders' Equity</w:t>
            </w:r>
          </w:p>
        </w:tc>
        <w:tc>
          <w:tcPr>
            <w:tcW w:w="44" w:type="pct"/>
            <w:shd w:val="clear" w:color="auto" w:fill="FFFFFF"/>
            <w:noWrap/>
            <w:tcMar>
              <w:top w:w="15" w:type="dxa"/>
              <w:left w:w="0" w:type="dxa"/>
              <w:bottom w:w="0" w:type="dxa"/>
              <w:right w:w="15" w:type="dxa"/>
            </w:tcMar>
            <w:vAlign w:val="bottom"/>
            <w:hideMark/>
          </w:tcPr>
          <w:p w14:paraId="53706A0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left w:w="0" w:type="dxa"/>
              <w:bottom w:w="0" w:type="dxa"/>
              <w:right w:w="15" w:type="dxa"/>
            </w:tcMar>
            <w:vAlign w:val="bottom"/>
            <w:hideMark/>
          </w:tcPr>
          <w:p w14:paraId="1AA10A6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 w:type="pct"/>
            <w:shd w:val="clear" w:color="auto" w:fill="FFFFFF"/>
            <w:noWrap/>
            <w:tcMar>
              <w:top w:w="15" w:type="dxa"/>
              <w:left w:w="0" w:type="dxa"/>
              <w:bottom w:w="0" w:type="dxa"/>
              <w:right w:w="15" w:type="dxa"/>
            </w:tcMar>
            <w:vAlign w:val="bottom"/>
            <w:hideMark/>
          </w:tcPr>
          <w:p w14:paraId="2F17F1A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2" w:type="pct"/>
            <w:shd w:val="clear" w:color="auto" w:fill="FFFFFF"/>
            <w:noWrap/>
            <w:tcMar>
              <w:top w:w="15" w:type="dxa"/>
              <w:left w:w="0" w:type="dxa"/>
              <w:bottom w:w="0" w:type="dxa"/>
              <w:right w:w="15" w:type="dxa"/>
            </w:tcMar>
            <w:vAlign w:val="bottom"/>
            <w:hideMark/>
          </w:tcPr>
          <w:p w14:paraId="449F236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noWrap/>
            <w:tcMar>
              <w:top w:w="15" w:type="dxa"/>
              <w:left w:w="0" w:type="dxa"/>
              <w:bottom w:w="0" w:type="dxa"/>
              <w:right w:w="15" w:type="dxa"/>
            </w:tcMar>
            <w:vAlign w:val="bottom"/>
            <w:hideMark/>
          </w:tcPr>
          <w:p w14:paraId="281F2BE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left w:w="0" w:type="dxa"/>
              <w:bottom w:w="0" w:type="dxa"/>
              <w:right w:w="15" w:type="dxa"/>
            </w:tcMar>
            <w:vAlign w:val="bottom"/>
            <w:hideMark/>
          </w:tcPr>
          <w:p w14:paraId="4EE3D07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 w:type="pct"/>
            <w:shd w:val="clear" w:color="auto" w:fill="FFFFFF"/>
            <w:noWrap/>
            <w:tcMar>
              <w:top w:w="15" w:type="dxa"/>
              <w:left w:w="0" w:type="dxa"/>
              <w:bottom w:w="0" w:type="dxa"/>
              <w:right w:w="15" w:type="dxa"/>
            </w:tcMar>
            <w:vAlign w:val="bottom"/>
            <w:hideMark/>
          </w:tcPr>
          <w:p w14:paraId="14C19B7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0" w:type="pct"/>
            <w:shd w:val="clear" w:color="auto" w:fill="FFFFFF"/>
            <w:noWrap/>
            <w:tcMar>
              <w:top w:w="15" w:type="dxa"/>
              <w:left w:w="0" w:type="dxa"/>
              <w:bottom w:w="0" w:type="dxa"/>
              <w:right w:w="15" w:type="dxa"/>
            </w:tcMar>
            <w:vAlign w:val="bottom"/>
            <w:hideMark/>
          </w:tcPr>
          <w:p w14:paraId="6275A7C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1" w:type="pct"/>
            <w:shd w:val="clear" w:color="auto" w:fill="FFFFFF"/>
            <w:noWrap/>
            <w:tcMar>
              <w:top w:w="15" w:type="dxa"/>
              <w:left w:w="0" w:type="dxa"/>
              <w:bottom w:w="0" w:type="dxa"/>
              <w:right w:w="15" w:type="dxa"/>
            </w:tcMar>
            <w:vAlign w:val="bottom"/>
            <w:hideMark/>
          </w:tcPr>
          <w:p w14:paraId="56B15F3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E2A6DC7" w14:textId="77777777">
        <w:trPr>
          <w:divId w:val="175466462"/>
          <w:jc w:val="center"/>
        </w:trPr>
        <w:tc>
          <w:tcPr>
            <w:tcW w:w="1650" w:type="pct"/>
            <w:tcBorders>
              <w:bottom w:val="single" w:sz="6" w:space="0" w:color="000000"/>
            </w:tcBorders>
            <w:shd w:val="clear" w:color="auto" w:fill="FFFFFF"/>
            <w:tcMar>
              <w:top w:w="15" w:type="dxa"/>
              <w:left w:w="0" w:type="dxa"/>
              <w:bottom w:w="0" w:type="dxa"/>
              <w:right w:w="15" w:type="dxa"/>
            </w:tcMar>
            <w:vAlign w:val="bottom"/>
            <w:hideMark/>
          </w:tcPr>
          <w:p w14:paraId="5A66585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44" w:type="pct"/>
            <w:shd w:val="clear" w:color="auto" w:fill="FFFFFF"/>
            <w:tcMar>
              <w:top w:w="15" w:type="dxa"/>
              <w:left w:w="0" w:type="dxa"/>
              <w:bottom w:w="0" w:type="dxa"/>
              <w:right w:w="15" w:type="dxa"/>
            </w:tcMar>
            <w:vAlign w:val="bottom"/>
            <w:hideMark/>
          </w:tcPr>
          <w:p w14:paraId="2358D05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13C4F7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Number of</w:t>
            </w:r>
          </w:p>
          <w:p w14:paraId="21C0C61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Shares</w:t>
            </w:r>
          </w:p>
        </w:tc>
        <w:tc>
          <w:tcPr>
            <w:tcW w:w="44" w:type="pct"/>
            <w:shd w:val="clear" w:color="auto" w:fill="FFFFFF"/>
            <w:noWrap/>
            <w:tcMar>
              <w:top w:w="15" w:type="dxa"/>
              <w:left w:w="0" w:type="dxa"/>
              <w:bottom w:w="0" w:type="dxa"/>
              <w:right w:w="15" w:type="dxa"/>
            </w:tcMar>
            <w:vAlign w:val="bottom"/>
            <w:hideMark/>
          </w:tcPr>
          <w:p w14:paraId="7B7B6B7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14:paraId="48D6A6A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C3EFD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Amount</w:t>
            </w:r>
          </w:p>
        </w:tc>
        <w:tc>
          <w:tcPr>
            <w:tcW w:w="44" w:type="pct"/>
            <w:shd w:val="clear" w:color="auto" w:fill="FFFFFF"/>
            <w:noWrap/>
            <w:tcMar>
              <w:top w:w="15" w:type="dxa"/>
              <w:left w:w="0" w:type="dxa"/>
              <w:bottom w:w="0" w:type="dxa"/>
              <w:right w:w="15" w:type="dxa"/>
            </w:tcMar>
            <w:vAlign w:val="bottom"/>
            <w:hideMark/>
          </w:tcPr>
          <w:p w14:paraId="10D5EF0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 w:type="pct"/>
            <w:shd w:val="clear" w:color="auto" w:fill="FFFFFF"/>
            <w:tcMar>
              <w:top w:w="15" w:type="dxa"/>
              <w:left w:w="0" w:type="dxa"/>
              <w:bottom w:w="0" w:type="dxa"/>
              <w:right w:w="15" w:type="dxa"/>
            </w:tcMar>
            <w:vAlign w:val="bottom"/>
            <w:hideMark/>
          </w:tcPr>
          <w:p w14:paraId="7A3F3E7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0" w:type="auto"/>
            <w:gridSpan w:val="2"/>
            <w:vMerge/>
            <w:vAlign w:val="center"/>
            <w:hideMark/>
          </w:tcPr>
          <w:p w14:paraId="674D8A5E" w14:textId="77777777" w:rsidR="00251D72" w:rsidRDefault="00251D72">
            <w:pPr>
              <w:rPr>
                <w:rFonts w:ascii="Calibri" w:hAnsi="Calibri" w:cs="Calibri"/>
                <w:b/>
                <w:bCs/>
                <w:color w:val="000000"/>
                <w:sz w:val="15"/>
                <w:szCs w:val="15"/>
              </w:rPr>
            </w:pPr>
          </w:p>
        </w:tc>
        <w:tc>
          <w:tcPr>
            <w:tcW w:w="44" w:type="pct"/>
            <w:shd w:val="clear" w:color="auto" w:fill="FFFFFF"/>
            <w:noWrap/>
            <w:tcMar>
              <w:top w:w="15" w:type="dxa"/>
              <w:left w:w="0" w:type="dxa"/>
              <w:bottom w:w="0" w:type="dxa"/>
              <w:right w:w="15" w:type="dxa"/>
            </w:tcMar>
            <w:vAlign w:val="bottom"/>
            <w:hideMark/>
          </w:tcPr>
          <w:p w14:paraId="24C2184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 w:type="pct"/>
            <w:shd w:val="clear" w:color="auto" w:fill="FFFFFF"/>
            <w:tcMar>
              <w:top w:w="15" w:type="dxa"/>
              <w:left w:w="0" w:type="dxa"/>
              <w:bottom w:w="0" w:type="dxa"/>
              <w:right w:w="15" w:type="dxa"/>
            </w:tcMar>
            <w:vAlign w:val="bottom"/>
            <w:hideMark/>
          </w:tcPr>
          <w:p w14:paraId="452A5DB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0" w:type="auto"/>
            <w:gridSpan w:val="2"/>
            <w:vMerge/>
            <w:vAlign w:val="center"/>
            <w:hideMark/>
          </w:tcPr>
          <w:p w14:paraId="055A3457" w14:textId="77777777" w:rsidR="00251D72" w:rsidRDefault="00251D72">
            <w:pPr>
              <w:rPr>
                <w:rFonts w:ascii="Calibri" w:hAnsi="Calibri" w:cs="Calibri"/>
                <w:b/>
                <w:bCs/>
                <w:color w:val="000000"/>
                <w:sz w:val="15"/>
                <w:szCs w:val="15"/>
              </w:rPr>
            </w:pPr>
          </w:p>
        </w:tc>
        <w:tc>
          <w:tcPr>
            <w:tcW w:w="44" w:type="pct"/>
            <w:shd w:val="clear" w:color="auto" w:fill="FFFFFF"/>
            <w:noWrap/>
            <w:tcMar>
              <w:top w:w="15" w:type="dxa"/>
              <w:left w:w="0" w:type="dxa"/>
              <w:bottom w:w="0" w:type="dxa"/>
              <w:right w:w="15" w:type="dxa"/>
            </w:tcMar>
            <w:vAlign w:val="bottom"/>
            <w:hideMark/>
          </w:tcPr>
          <w:p w14:paraId="70968E9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 w:type="pct"/>
            <w:shd w:val="clear" w:color="auto" w:fill="FFFFFF"/>
            <w:tcMar>
              <w:top w:w="15" w:type="dxa"/>
              <w:left w:w="0" w:type="dxa"/>
              <w:bottom w:w="0" w:type="dxa"/>
              <w:right w:w="15" w:type="dxa"/>
            </w:tcMar>
            <w:vAlign w:val="bottom"/>
            <w:hideMark/>
          </w:tcPr>
          <w:p w14:paraId="5AE8743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0" w:type="auto"/>
            <w:gridSpan w:val="2"/>
            <w:vMerge/>
            <w:vAlign w:val="center"/>
            <w:hideMark/>
          </w:tcPr>
          <w:p w14:paraId="22C05C72" w14:textId="77777777" w:rsidR="00251D72" w:rsidRDefault="00251D72">
            <w:pPr>
              <w:rPr>
                <w:rFonts w:ascii="Calibri" w:hAnsi="Calibri" w:cs="Calibri"/>
                <w:b/>
                <w:bCs/>
                <w:color w:val="000000"/>
                <w:sz w:val="15"/>
                <w:szCs w:val="15"/>
              </w:rPr>
            </w:pPr>
          </w:p>
        </w:tc>
        <w:tc>
          <w:tcPr>
            <w:tcW w:w="44" w:type="pct"/>
            <w:shd w:val="clear" w:color="auto" w:fill="FFFFFF"/>
            <w:noWrap/>
            <w:tcMar>
              <w:top w:w="15" w:type="dxa"/>
              <w:left w:w="0" w:type="dxa"/>
              <w:bottom w:w="0" w:type="dxa"/>
              <w:right w:w="15" w:type="dxa"/>
            </w:tcMar>
            <w:vAlign w:val="bottom"/>
            <w:hideMark/>
          </w:tcPr>
          <w:p w14:paraId="48A746C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left w:w="0" w:type="dxa"/>
              <w:bottom w:w="0" w:type="dxa"/>
              <w:right w:w="15" w:type="dxa"/>
            </w:tcMar>
            <w:vAlign w:val="bottom"/>
            <w:hideMark/>
          </w:tcPr>
          <w:p w14:paraId="5453E19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tcBorders>
              <w:bottom w:val="single" w:sz="6" w:space="0" w:color="000000"/>
            </w:tcBorders>
            <w:shd w:val="clear" w:color="auto" w:fill="FFFFFF"/>
            <w:tcMar>
              <w:top w:w="15" w:type="dxa"/>
              <w:left w:w="0" w:type="dxa"/>
              <w:bottom w:w="0" w:type="dxa"/>
              <w:right w:w="15" w:type="dxa"/>
            </w:tcMar>
            <w:vAlign w:val="bottom"/>
            <w:hideMark/>
          </w:tcPr>
          <w:p w14:paraId="310243C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Noncontrolling</w:t>
            </w:r>
          </w:p>
          <w:p w14:paraId="3EEE448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Interests</w:t>
            </w:r>
          </w:p>
        </w:tc>
        <w:tc>
          <w:tcPr>
            <w:tcW w:w="45" w:type="pct"/>
            <w:shd w:val="clear" w:color="auto" w:fill="FFFFFF"/>
            <w:noWrap/>
            <w:tcMar>
              <w:top w:w="15" w:type="dxa"/>
              <w:left w:w="0" w:type="dxa"/>
              <w:bottom w:w="0" w:type="dxa"/>
              <w:right w:w="15" w:type="dxa"/>
            </w:tcMar>
            <w:vAlign w:val="bottom"/>
            <w:hideMark/>
          </w:tcPr>
          <w:p w14:paraId="55C74A0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left w:w="0" w:type="dxa"/>
              <w:bottom w:w="0" w:type="dxa"/>
              <w:right w:w="15" w:type="dxa"/>
            </w:tcMar>
            <w:vAlign w:val="bottom"/>
            <w:hideMark/>
          </w:tcPr>
          <w:p w14:paraId="596FD2B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97" w:type="pct"/>
            <w:gridSpan w:val="2"/>
            <w:tcBorders>
              <w:bottom w:val="single" w:sz="6" w:space="0" w:color="000000"/>
            </w:tcBorders>
            <w:shd w:val="clear" w:color="auto" w:fill="FFFFFF"/>
            <w:tcMar>
              <w:top w:w="15" w:type="dxa"/>
              <w:left w:w="0" w:type="dxa"/>
              <w:bottom w:w="0" w:type="dxa"/>
              <w:right w:w="15" w:type="dxa"/>
            </w:tcMar>
            <w:vAlign w:val="bottom"/>
            <w:hideMark/>
          </w:tcPr>
          <w:p w14:paraId="31F3D76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729C50B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Equity</w:t>
            </w:r>
          </w:p>
        </w:tc>
        <w:tc>
          <w:tcPr>
            <w:tcW w:w="31" w:type="pct"/>
            <w:shd w:val="clear" w:color="auto" w:fill="FFFFFF"/>
            <w:noWrap/>
            <w:tcMar>
              <w:top w:w="15" w:type="dxa"/>
              <w:left w:w="0" w:type="dxa"/>
              <w:bottom w:w="0" w:type="dxa"/>
              <w:right w:w="15" w:type="dxa"/>
            </w:tcMar>
            <w:vAlign w:val="bottom"/>
            <w:hideMark/>
          </w:tcPr>
          <w:p w14:paraId="71D1F17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6290A82" w14:textId="77777777">
        <w:trPr>
          <w:divId w:val="175466462"/>
          <w:jc w:val="center"/>
        </w:trPr>
        <w:tc>
          <w:tcPr>
            <w:tcW w:w="1650" w:type="pct"/>
            <w:tcBorders>
              <w:top w:val="single" w:sz="6" w:space="0" w:color="000000"/>
            </w:tcBorders>
            <w:shd w:val="clear" w:color="auto" w:fill="CFF0FC"/>
            <w:tcMar>
              <w:top w:w="15" w:type="dxa"/>
              <w:left w:w="0" w:type="dxa"/>
              <w:bottom w:w="0" w:type="dxa"/>
              <w:right w:w="15" w:type="dxa"/>
            </w:tcMar>
            <w:hideMark/>
          </w:tcPr>
          <w:p w14:paraId="5CC240A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Balances as of May 31, 2016</w:t>
            </w:r>
          </w:p>
        </w:tc>
        <w:tc>
          <w:tcPr>
            <w:tcW w:w="44" w:type="pct"/>
            <w:shd w:val="clear" w:color="auto" w:fill="CFF0FC"/>
            <w:tcMar>
              <w:top w:w="15" w:type="dxa"/>
              <w:left w:w="0" w:type="dxa"/>
              <w:bottom w:w="0" w:type="dxa"/>
              <w:right w:w="15" w:type="dxa"/>
            </w:tcMar>
            <w:vAlign w:val="bottom"/>
            <w:hideMark/>
          </w:tcPr>
          <w:p w14:paraId="233682C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tcBorders>
            <w:shd w:val="clear" w:color="auto" w:fill="CFF0FC"/>
            <w:noWrap/>
            <w:tcMar>
              <w:top w:w="15" w:type="dxa"/>
              <w:left w:w="0" w:type="dxa"/>
              <w:bottom w:w="0" w:type="dxa"/>
              <w:right w:w="15" w:type="dxa"/>
            </w:tcMar>
            <w:vAlign w:val="bottom"/>
            <w:hideMark/>
          </w:tcPr>
          <w:p w14:paraId="7D441D2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top w:val="single" w:sz="6" w:space="0" w:color="000000"/>
            </w:tcBorders>
            <w:shd w:val="clear" w:color="auto" w:fill="CFF0FC"/>
            <w:noWrap/>
            <w:tcMar>
              <w:top w:w="15" w:type="dxa"/>
              <w:left w:w="0" w:type="dxa"/>
              <w:bottom w:w="0" w:type="dxa"/>
              <w:right w:w="15" w:type="dxa"/>
            </w:tcMar>
            <w:vAlign w:val="bottom"/>
            <w:hideMark/>
          </w:tcPr>
          <w:p w14:paraId="391E591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4,131</w:t>
            </w:r>
          </w:p>
        </w:tc>
        <w:tc>
          <w:tcPr>
            <w:tcW w:w="44" w:type="pct"/>
            <w:shd w:val="clear" w:color="auto" w:fill="CFF0FC"/>
            <w:noWrap/>
            <w:tcMar>
              <w:top w:w="15" w:type="dxa"/>
              <w:left w:w="0" w:type="dxa"/>
              <w:bottom w:w="0" w:type="dxa"/>
              <w:right w:w="15" w:type="dxa"/>
            </w:tcMar>
            <w:vAlign w:val="bottom"/>
            <w:hideMark/>
          </w:tcPr>
          <w:p w14:paraId="5C4CF35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0F1F3F1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CFF0FC"/>
            <w:noWrap/>
            <w:tcMar>
              <w:top w:w="15" w:type="dxa"/>
              <w:left w:w="0" w:type="dxa"/>
              <w:bottom w:w="0" w:type="dxa"/>
              <w:right w:w="15" w:type="dxa"/>
            </w:tcMar>
            <w:vAlign w:val="bottom"/>
            <w:hideMark/>
          </w:tcPr>
          <w:p w14:paraId="3CC45F4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243" w:type="pct"/>
            <w:tcBorders>
              <w:top w:val="single" w:sz="6" w:space="0" w:color="000000"/>
            </w:tcBorders>
            <w:shd w:val="clear" w:color="auto" w:fill="CFF0FC"/>
            <w:noWrap/>
            <w:tcMar>
              <w:top w:w="15" w:type="dxa"/>
              <w:left w:w="0" w:type="dxa"/>
              <w:bottom w:w="0" w:type="dxa"/>
              <w:right w:w="15" w:type="dxa"/>
            </w:tcMar>
            <w:vAlign w:val="bottom"/>
            <w:hideMark/>
          </w:tcPr>
          <w:p w14:paraId="5488CFC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24,217</w:t>
            </w:r>
          </w:p>
        </w:tc>
        <w:tc>
          <w:tcPr>
            <w:tcW w:w="44" w:type="pct"/>
            <w:shd w:val="clear" w:color="auto" w:fill="CFF0FC"/>
            <w:noWrap/>
            <w:tcMar>
              <w:top w:w="15" w:type="dxa"/>
              <w:left w:w="0" w:type="dxa"/>
              <w:bottom w:w="0" w:type="dxa"/>
              <w:right w:w="15" w:type="dxa"/>
            </w:tcMar>
            <w:vAlign w:val="bottom"/>
            <w:hideMark/>
          </w:tcPr>
          <w:p w14:paraId="1F9912F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4E7859C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8" w:type="pct"/>
            <w:tcBorders>
              <w:top w:val="single" w:sz="6" w:space="0" w:color="000000"/>
            </w:tcBorders>
            <w:shd w:val="clear" w:color="auto" w:fill="CFF0FC"/>
            <w:noWrap/>
            <w:tcMar>
              <w:top w:w="15" w:type="dxa"/>
              <w:left w:w="0" w:type="dxa"/>
              <w:bottom w:w="0" w:type="dxa"/>
              <w:right w:w="15" w:type="dxa"/>
            </w:tcMar>
            <w:vAlign w:val="bottom"/>
            <w:hideMark/>
          </w:tcPr>
          <w:p w14:paraId="7A180F6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14:paraId="0814283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23,888</w:t>
            </w:r>
          </w:p>
        </w:tc>
        <w:tc>
          <w:tcPr>
            <w:tcW w:w="44" w:type="pct"/>
            <w:shd w:val="clear" w:color="auto" w:fill="CFF0FC"/>
            <w:noWrap/>
            <w:tcMar>
              <w:top w:w="15" w:type="dxa"/>
              <w:left w:w="0" w:type="dxa"/>
              <w:bottom w:w="0" w:type="dxa"/>
              <w:right w:w="15" w:type="dxa"/>
            </w:tcMar>
            <w:vAlign w:val="bottom"/>
            <w:hideMark/>
          </w:tcPr>
          <w:p w14:paraId="0858274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38E8232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tcBorders>
            <w:shd w:val="clear" w:color="auto" w:fill="CFF0FC"/>
            <w:noWrap/>
            <w:tcMar>
              <w:top w:w="15" w:type="dxa"/>
              <w:left w:w="0" w:type="dxa"/>
              <w:bottom w:w="0" w:type="dxa"/>
              <w:right w:w="15" w:type="dxa"/>
            </w:tcMar>
            <w:vAlign w:val="bottom"/>
            <w:hideMark/>
          </w:tcPr>
          <w:p w14:paraId="3C98ED1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21" w:type="pct"/>
            <w:tcBorders>
              <w:top w:val="single" w:sz="6" w:space="0" w:color="000000"/>
            </w:tcBorders>
            <w:shd w:val="clear" w:color="auto" w:fill="CFF0FC"/>
            <w:noWrap/>
            <w:tcMar>
              <w:top w:w="15" w:type="dxa"/>
              <w:left w:w="0" w:type="dxa"/>
              <w:bottom w:w="0" w:type="dxa"/>
              <w:right w:w="15" w:type="dxa"/>
            </w:tcMar>
            <w:vAlign w:val="bottom"/>
            <w:hideMark/>
          </w:tcPr>
          <w:p w14:paraId="51CBD94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(816</w:t>
            </w:r>
          </w:p>
        </w:tc>
        <w:tc>
          <w:tcPr>
            <w:tcW w:w="44" w:type="pct"/>
            <w:shd w:val="clear" w:color="auto" w:fill="CFF0FC"/>
            <w:noWrap/>
            <w:tcMar>
              <w:top w:w="15" w:type="dxa"/>
              <w:left w:w="0" w:type="dxa"/>
              <w:bottom w:w="0" w:type="dxa"/>
              <w:right w:w="15" w:type="dxa"/>
            </w:tcMar>
            <w:vAlign w:val="bottom"/>
            <w:hideMark/>
          </w:tcPr>
          <w:p w14:paraId="145C524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34CDA94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tcBorders>
            <w:shd w:val="clear" w:color="auto" w:fill="CFF0FC"/>
            <w:noWrap/>
            <w:tcMar>
              <w:top w:w="15" w:type="dxa"/>
              <w:left w:w="0" w:type="dxa"/>
              <w:bottom w:w="0" w:type="dxa"/>
              <w:right w:w="15" w:type="dxa"/>
            </w:tcMar>
            <w:vAlign w:val="bottom"/>
            <w:hideMark/>
          </w:tcPr>
          <w:p w14:paraId="50E35B0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21" w:type="pct"/>
            <w:tcBorders>
              <w:top w:val="single" w:sz="6" w:space="0" w:color="000000"/>
            </w:tcBorders>
            <w:shd w:val="clear" w:color="auto" w:fill="CFF0FC"/>
            <w:noWrap/>
            <w:tcMar>
              <w:top w:w="15" w:type="dxa"/>
              <w:left w:w="0" w:type="dxa"/>
              <w:bottom w:w="0" w:type="dxa"/>
              <w:right w:w="15" w:type="dxa"/>
            </w:tcMar>
            <w:vAlign w:val="bottom"/>
            <w:hideMark/>
          </w:tcPr>
          <w:p w14:paraId="3D275C9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47,289</w:t>
            </w:r>
          </w:p>
        </w:tc>
        <w:tc>
          <w:tcPr>
            <w:tcW w:w="44" w:type="pct"/>
            <w:shd w:val="clear" w:color="auto" w:fill="CFF0FC"/>
            <w:noWrap/>
            <w:tcMar>
              <w:top w:w="15" w:type="dxa"/>
              <w:left w:w="0" w:type="dxa"/>
              <w:bottom w:w="0" w:type="dxa"/>
              <w:right w:w="15" w:type="dxa"/>
            </w:tcMar>
            <w:vAlign w:val="bottom"/>
            <w:hideMark/>
          </w:tcPr>
          <w:p w14:paraId="2A1869F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05A629C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tcBorders>
            <w:shd w:val="clear" w:color="auto" w:fill="CFF0FC"/>
            <w:noWrap/>
            <w:tcMar>
              <w:top w:w="15" w:type="dxa"/>
              <w:left w:w="0" w:type="dxa"/>
              <w:bottom w:w="0" w:type="dxa"/>
              <w:right w:w="15" w:type="dxa"/>
            </w:tcMar>
            <w:vAlign w:val="bottom"/>
            <w:hideMark/>
          </w:tcPr>
          <w:p w14:paraId="529CC91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22" w:type="pct"/>
            <w:tcBorders>
              <w:top w:val="single" w:sz="6" w:space="0" w:color="000000"/>
            </w:tcBorders>
            <w:shd w:val="clear" w:color="auto" w:fill="CFF0FC"/>
            <w:noWrap/>
            <w:tcMar>
              <w:top w:w="15" w:type="dxa"/>
              <w:left w:w="0" w:type="dxa"/>
              <w:bottom w:w="0" w:type="dxa"/>
              <w:right w:w="15" w:type="dxa"/>
            </w:tcMar>
            <w:vAlign w:val="bottom"/>
            <w:hideMark/>
          </w:tcPr>
          <w:p w14:paraId="63DAB05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501</w:t>
            </w:r>
          </w:p>
        </w:tc>
        <w:tc>
          <w:tcPr>
            <w:tcW w:w="45" w:type="pct"/>
            <w:shd w:val="clear" w:color="auto" w:fill="CFF0FC"/>
            <w:noWrap/>
            <w:tcMar>
              <w:top w:w="15" w:type="dxa"/>
              <w:left w:w="0" w:type="dxa"/>
              <w:bottom w:w="0" w:type="dxa"/>
              <w:right w:w="15" w:type="dxa"/>
            </w:tcMar>
            <w:vAlign w:val="bottom"/>
            <w:hideMark/>
          </w:tcPr>
          <w:p w14:paraId="57AB327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5DBD23E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CFF0FC"/>
            <w:noWrap/>
            <w:tcMar>
              <w:top w:w="15" w:type="dxa"/>
              <w:left w:w="0" w:type="dxa"/>
              <w:bottom w:w="0" w:type="dxa"/>
              <w:right w:w="15" w:type="dxa"/>
            </w:tcMar>
            <w:vAlign w:val="bottom"/>
            <w:hideMark/>
          </w:tcPr>
          <w:p w14:paraId="3C163E3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250" w:type="pct"/>
            <w:tcBorders>
              <w:top w:val="single" w:sz="6" w:space="0" w:color="000000"/>
            </w:tcBorders>
            <w:shd w:val="clear" w:color="auto" w:fill="CFF0FC"/>
            <w:noWrap/>
            <w:tcMar>
              <w:top w:w="15" w:type="dxa"/>
              <w:left w:w="0" w:type="dxa"/>
              <w:bottom w:w="0" w:type="dxa"/>
              <w:right w:w="15" w:type="dxa"/>
            </w:tcMar>
            <w:vAlign w:val="bottom"/>
            <w:hideMark/>
          </w:tcPr>
          <w:p w14:paraId="3C5E794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47,790</w:t>
            </w:r>
          </w:p>
        </w:tc>
        <w:tc>
          <w:tcPr>
            <w:tcW w:w="31" w:type="pct"/>
            <w:shd w:val="clear" w:color="auto" w:fill="CFF0FC"/>
            <w:noWrap/>
            <w:tcMar>
              <w:top w:w="15" w:type="dxa"/>
              <w:left w:w="0" w:type="dxa"/>
              <w:bottom w:w="0" w:type="dxa"/>
              <w:right w:w="15" w:type="dxa"/>
            </w:tcMar>
            <w:vAlign w:val="bottom"/>
            <w:hideMark/>
          </w:tcPr>
          <w:p w14:paraId="0F5FB82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7611D846" w14:textId="77777777">
        <w:trPr>
          <w:divId w:val="175466462"/>
          <w:jc w:val="center"/>
        </w:trPr>
        <w:tc>
          <w:tcPr>
            <w:tcW w:w="1650" w:type="pct"/>
            <w:shd w:val="clear" w:color="auto" w:fill="FFFFFF"/>
            <w:tcMar>
              <w:top w:w="15" w:type="dxa"/>
              <w:left w:w="0" w:type="dxa"/>
              <w:bottom w:w="0" w:type="dxa"/>
              <w:right w:w="15" w:type="dxa"/>
            </w:tcMar>
            <w:hideMark/>
          </w:tcPr>
          <w:p w14:paraId="4F85029B"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Cumulative-effect of accounting change</w:t>
            </w:r>
          </w:p>
        </w:tc>
        <w:tc>
          <w:tcPr>
            <w:tcW w:w="44" w:type="pct"/>
            <w:shd w:val="clear" w:color="auto" w:fill="FFFFFF"/>
            <w:tcMar>
              <w:top w:w="15" w:type="dxa"/>
              <w:left w:w="0" w:type="dxa"/>
              <w:bottom w:w="0" w:type="dxa"/>
              <w:right w:w="15" w:type="dxa"/>
            </w:tcMar>
            <w:vAlign w:val="bottom"/>
            <w:hideMark/>
          </w:tcPr>
          <w:p w14:paraId="3CC1C4E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70ACC96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2FB6962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0AAB698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6CFD2B1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476A647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579D577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4A30499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398400E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18231F4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167357E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820</w:t>
            </w:r>
          </w:p>
        </w:tc>
        <w:tc>
          <w:tcPr>
            <w:tcW w:w="44" w:type="pct"/>
            <w:shd w:val="clear" w:color="auto" w:fill="FFFFFF"/>
            <w:noWrap/>
            <w:tcMar>
              <w:top w:w="15" w:type="dxa"/>
              <w:left w:w="0" w:type="dxa"/>
              <w:bottom w:w="0" w:type="dxa"/>
              <w:right w:w="15" w:type="dxa"/>
            </w:tcMar>
            <w:vAlign w:val="bottom"/>
            <w:hideMark/>
          </w:tcPr>
          <w:p w14:paraId="61FF4D5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1A4622E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0FB6934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6A3DA31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(43</w:t>
            </w:r>
          </w:p>
        </w:tc>
        <w:tc>
          <w:tcPr>
            <w:tcW w:w="44" w:type="pct"/>
            <w:shd w:val="clear" w:color="auto" w:fill="FFFFFF"/>
            <w:noWrap/>
            <w:tcMar>
              <w:top w:w="15" w:type="dxa"/>
              <w:left w:w="0" w:type="dxa"/>
              <w:bottom w:w="0" w:type="dxa"/>
              <w:right w:w="15" w:type="dxa"/>
            </w:tcMar>
            <w:vAlign w:val="bottom"/>
            <w:hideMark/>
          </w:tcPr>
          <w:p w14:paraId="59A6E3C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727D202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4546A63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4262B11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777</w:t>
            </w:r>
          </w:p>
        </w:tc>
        <w:tc>
          <w:tcPr>
            <w:tcW w:w="44" w:type="pct"/>
            <w:shd w:val="clear" w:color="auto" w:fill="FFFFFF"/>
            <w:noWrap/>
            <w:tcMar>
              <w:top w:w="15" w:type="dxa"/>
              <w:left w:w="0" w:type="dxa"/>
              <w:bottom w:w="0" w:type="dxa"/>
              <w:right w:w="15" w:type="dxa"/>
            </w:tcMar>
            <w:vAlign w:val="bottom"/>
            <w:hideMark/>
          </w:tcPr>
          <w:p w14:paraId="5F30B2E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6A4BD87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7ABC9FA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3144BF2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w:t>
            </w:r>
          </w:p>
        </w:tc>
        <w:tc>
          <w:tcPr>
            <w:tcW w:w="45" w:type="pct"/>
            <w:shd w:val="clear" w:color="auto" w:fill="FFFFFF"/>
            <w:noWrap/>
            <w:tcMar>
              <w:top w:w="15" w:type="dxa"/>
              <w:left w:w="0" w:type="dxa"/>
              <w:bottom w:w="0" w:type="dxa"/>
              <w:right w:w="15" w:type="dxa"/>
            </w:tcMar>
            <w:vAlign w:val="bottom"/>
            <w:hideMark/>
          </w:tcPr>
          <w:p w14:paraId="35650E2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00DD051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3A187D0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58802D5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781</w:t>
            </w:r>
          </w:p>
        </w:tc>
        <w:tc>
          <w:tcPr>
            <w:tcW w:w="31" w:type="pct"/>
            <w:shd w:val="clear" w:color="auto" w:fill="FFFFFF"/>
            <w:noWrap/>
            <w:tcMar>
              <w:top w:w="15" w:type="dxa"/>
              <w:left w:w="0" w:type="dxa"/>
              <w:bottom w:w="0" w:type="dxa"/>
              <w:right w:w="15" w:type="dxa"/>
            </w:tcMar>
            <w:vAlign w:val="bottom"/>
            <w:hideMark/>
          </w:tcPr>
          <w:p w14:paraId="4858145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1AC43221" w14:textId="77777777">
        <w:trPr>
          <w:divId w:val="175466462"/>
          <w:jc w:val="center"/>
        </w:trPr>
        <w:tc>
          <w:tcPr>
            <w:tcW w:w="1650" w:type="pct"/>
            <w:shd w:val="clear" w:color="auto" w:fill="CFF0FC"/>
            <w:tcMar>
              <w:top w:w="15" w:type="dxa"/>
              <w:left w:w="0" w:type="dxa"/>
              <w:bottom w:w="0" w:type="dxa"/>
              <w:right w:w="15" w:type="dxa"/>
            </w:tcMar>
            <w:hideMark/>
          </w:tcPr>
          <w:p w14:paraId="25A2E0E1"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stock-based compensation plans</w:t>
            </w:r>
          </w:p>
        </w:tc>
        <w:tc>
          <w:tcPr>
            <w:tcW w:w="44" w:type="pct"/>
            <w:shd w:val="clear" w:color="auto" w:fill="CFF0FC"/>
            <w:tcMar>
              <w:top w:w="15" w:type="dxa"/>
              <w:left w:w="0" w:type="dxa"/>
              <w:bottom w:w="0" w:type="dxa"/>
              <w:right w:w="15" w:type="dxa"/>
            </w:tcMar>
            <w:vAlign w:val="bottom"/>
            <w:hideMark/>
          </w:tcPr>
          <w:p w14:paraId="7499DD7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4DD32F1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39C2A38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95</w:t>
            </w:r>
          </w:p>
        </w:tc>
        <w:tc>
          <w:tcPr>
            <w:tcW w:w="44" w:type="pct"/>
            <w:shd w:val="clear" w:color="auto" w:fill="CFF0FC"/>
            <w:noWrap/>
            <w:tcMar>
              <w:top w:w="15" w:type="dxa"/>
              <w:left w:w="0" w:type="dxa"/>
              <w:bottom w:w="0" w:type="dxa"/>
              <w:right w:w="15" w:type="dxa"/>
            </w:tcMar>
            <w:vAlign w:val="bottom"/>
            <w:hideMark/>
          </w:tcPr>
          <w:p w14:paraId="7B085CE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0AE0716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5F6BE09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489344E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2,063</w:t>
            </w:r>
          </w:p>
        </w:tc>
        <w:tc>
          <w:tcPr>
            <w:tcW w:w="44" w:type="pct"/>
            <w:shd w:val="clear" w:color="auto" w:fill="CFF0FC"/>
            <w:noWrap/>
            <w:tcMar>
              <w:top w:w="15" w:type="dxa"/>
              <w:left w:w="0" w:type="dxa"/>
              <w:bottom w:w="0" w:type="dxa"/>
              <w:right w:w="15" w:type="dxa"/>
            </w:tcMar>
            <w:vAlign w:val="bottom"/>
            <w:hideMark/>
          </w:tcPr>
          <w:p w14:paraId="54C792D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0759D13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1BBB4BC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7B55BD6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234FB1D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43658EF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2A29A29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1A4F826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774A737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7E3BC7E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56720ED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70B0210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2,063</w:t>
            </w:r>
          </w:p>
        </w:tc>
        <w:tc>
          <w:tcPr>
            <w:tcW w:w="44" w:type="pct"/>
            <w:shd w:val="clear" w:color="auto" w:fill="CFF0FC"/>
            <w:noWrap/>
            <w:tcMar>
              <w:top w:w="15" w:type="dxa"/>
              <w:left w:w="0" w:type="dxa"/>
              <w:bottom w:w="0" w:type="dxa"/>
              <w:right w:w="15" w:type="dxa"/>
            </w:tcMar>
            <w:vAlign w:val="bottom"/>
            <w:hideMark/>
          </w:tcPr>
          <w:p w14:paraId="2FF0CC7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43E1861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3DE2006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2236B71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left w:w="0" w:type="dxa"/>
              <w:bottom w:w="0" w:type="dxa"/>
              <w:right w:w="15" w:type="dxa"/>
            </w:tcMar>
            <w:vAlign w:val="bottom"/>
            <w:hideMark/>
          </w:tcPr>
          <w:p w14:paraId="281B3D0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38022F6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46E1832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5470FE8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2,063</w:t>
            </w:r>
          </w:p>
        </w:tc>
        <w:tc>
          <w:tcPr>
            <w:tcW w:w="31" w:type="pct"/>
            <w:shd w:val="clear" w:color="auto" w:fill="CFF0FC"/>
            <w:noWrap/>
            <w:tcMar>
              <w:top w:w="15" w:type="dxa"/>
              <w:left w:w="0" w:type="dxa"/>
              <w:bottom w:w="0" w:type="dxa"/>
              <w:right w:w="15" w:type="dxa"/>
            </w:tcMar>
            <w:vAlign w:val="bottom"/>
            <w:hideMark/>
          </w:tcPr>
          <w:p w14:paraId="0DE163F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5B6C5FBF" w14:textId="77777777">
        <w:trPr>
          <w:divId w:val="175466462"/>
          <w:jc w:val="center"/>
        </w:trPr>
        <w:tc>
          <w:tcPr>
            <w:tcW w:w="1650" w:type="pct"/>
            <w:shd w:val="clear" w:color="auto" w:fill="FFFFFF"/>
            <w:tcMar>
              <w:top w:w="15" w:type="dxa"/>
              <w:left w:w="0" w:type="dxa"/>
              <w:bottom w:w="0" w:type="dxa"/>
              <w:right w:w="15" w:type="dxa"/>
            </w:tcMar>
            <w:hideMark/>
          </w:tcPr>
          <w:p w14:paraId="73C3CF1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Common stock issued under stock purchase plans</w:t>
            </w:r>
          </w:p>
        </w:tc>
        <w:tc>
          <w:tcPr>
            <w:tcW w:w="44" w:type="pct"/>
            <w:shd w:val="clear" w:color="auto" w:fill="FFFFFF"/>
            <w:tcMar>
              <w:top w:w="15" w:type="dxa"/>
              <w:left w:w="0" w:type="dxa"/>
              <w:bottom w:w="0" w:type="dxa"/>
              <w:right w:w="15" w:type="dxa"/>
            </w:tcMar>
            <w:vAlign w:val="bottom"/>
            <w:hideMark/>
          </w:tcPr>
          <w:p w14:paraId="39EC7A8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40263AE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15AF8FC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w:t>
            </w:r>
          </w:p>
        </w:tc>
        <w:tc>
          <w:tcPr>
            <w:tcW w:w="44" w:type="pct"/>
            <w:shd w:val="clear" w:color="auto" w:fill="FFFFFF"/>
            <w:noWrap/>
            <w:tcMar>
              <w:top w:w="15" w:type="dxa"/>
              <w:left w:w="0" w:type="dxa"/>
              <w:bottom w:w="0" w:type="dxa"/>
              <w:right w:w="15" w:type="dxa"/>
            </w:tcMar>
            <w:vAlign w:val="bottom"/>
            <w:hideMark/>
          </w:tcPr>
          <w:p w14:paraId="0B2BC4E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292D6BD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4E8F117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619DCD7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118</w:t>
            </w:r>
          </w:p>
        </w:tc>
        <w:tc>
          <w:tcPr>
            <w:tcW w:w="44" w:type="pct"/>
            <w:shd w:val="clear" w:color="auto" w:fill="FFFFFF"/>
            <w:noWrap/>
            <w:tcMar>
              <w:top w:w="15" w:type="dxa"/>
              <w:left w:w="0" w:type="dxa"/>
              <w:bottom w:w="0" w:type="dxa"/>
              <w:right w:w="15" w:type="dxa"/>
            </w:tcMar>
            <w:vAlign w:val="bottom"/>
            <w:hideMark/>
          </w:tcPr>
          <w:p w14:paraId="7DDFE96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120AF85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49E5809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0481EA2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0701C6B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6A30684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5E1DBF9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364CD6F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3CE0391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00FA31D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1957F2A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5E05DFA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118</w:t>
            </w:r>
          </w:p>
        </w:tc>
        <w:tc>
          <w:tcPr>
            <w:tcW w:w="44" w:type="pct"/>
            <w:shd w:val="clear" w:color="auto" w:fill="FFFFFF"/>
            <w:noWrap/>
            <w:tcMar>
              <w:top w:w="15" w:type="dxa"/>
              <w:left w:w="0" w:type="dxa"/>
              <w:bottom w:w="0" w:type="dxa"/>
              <w:right w:w="15" w:type="dxa"/>
            </w:tcMar>
            <w:vAlign w:val="bottom"/>
            <w:hideMark/>
          </w:tcPr>
          <w:p w14:paraId="22627C0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373CCCB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32858C5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486526D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6B8EF18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65D4741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2276DBC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44DAC62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118</w:t>
            </w:r>
          </w:p>
        </w:tc>
        <w:tc>
          <w:tcPr>
            <w:tcW w:w="31" w:type="pct"/>
            <w:shd w:val="clear" w:color="auto" w:fill="FFFFFF"/>
            <w:noWrap/>
            <w:tcMar>
              <w:top w:w="15" w:type="dxa"/>
              <w:left w:w="0" w:type="dxa"/>
              <w:bottom w:w="0" w:type="dxa"/>
              <w:right w:w="15" w:type="dxa"/>
            </w:tcMar>
            <w:vAlign w:val="bottom"/>
            <w:hideMark/>
          </w:tcPr>
          <w:p w14:paraId="17EF892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374F87ED" w14:textId="77777777">
        <w:trPr>
          <w:divId w:val="175466462"/>
          <w:jc w:val="center"/>
        </w:trPr>
        <w:tc>
          <w:tcPr>
            <w:tcW w:w="1650" w:type="pct"/>
            <w:shd w:val="clear" w:color="auto" w:fill="CFF0FC"/>
            <w:tcMar>
              <w:top w:w="15" w:type="dxa"/>
              <w:left w:w="0" w:type="dxa"/>
              <w:bottom w:w="0" w:type="dxa"/>
              <w:right w:w="15" w:type="dxa"/>
            </w:tcMar>
            <w:hideMark/>
          </w:tcPr>
          <w:p w14:paraId="67A21B65"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Assumption of stock-based compensation plan awards in connection with acquisitions</w:t>
            </w:r>
          </w:p>
        </w:tc>
        <w:tc>
          <w:tcPr>
            <w:tcW w:w="44" w:type="pct"/>
            <w:shd w:val="clear" w:color="auto" w:fill="CFF0FC"/>
            <w:tcMar>
              <w:top w:w="15" w:type="dxa"/>
              <w:left w:w="0" w:type="dxa"/>
              <w:bottom w:w="0" w:type="dxa"/>
              <w:right w:w="15" w:type="dxa"/>
            </w:tcMar>
            <w:vAlign w:val="bottom"/>
            <w:hideMark/>
          </w:tcPr>
          <w:p w14:paraId="5101D8F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4EEC7AE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6134CD1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41AC898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1325C7C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2B6E0A2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3788C42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90</w:t>
            </w:r>
          </w:p>
        </w:tc>
        <w:tc>
          <w:tcPr>
            <w:tcW w:w="44" w:type="pct"/>
            <w:shd w:val="clear" w:color="auto" w:fill="CFF0FC"/>
            <w:noWrap/>
            <w:tcMar>
              <w:top w:w="15" w:type="dxa"/>
              <w:left w:w="0" w:type="dxa"/>
              <w:bottom w:w="0" w:type="dxa"/>
              <w:right w:w="15" w:type="dxa"/>
            </w:tcMar>
            <w:vAlign w:val="bottom"/>
            <w:hideMark/>
          </w:tcPr>
          <w:p w14:paraId="14DAC0C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272332C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0C5F6F2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443919B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5D9C71C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55C683A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3BB5E17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4B97110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7D753D5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15BF1FD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6035C1B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09565DC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90</w:t>
            </w:r>
          </w:p>
        </w:tc>
        <w:tc>
          <w:tcPr>
            <w:tcW w:w="44" w:type="pct"/>
            <w:shd w:val="clear" w:color="auto" w:fill="CFF0FC"/>
            <w:noWrap/>
            <w:tcMar>
              <w:top w:w="15" w:type="dxa"/>
              <w:left w:w="0" w:type="dxa"/>
              <w:bottom w:w="0" w:type="dxa"/>
              <w:right w:w="15" w:type="dxa"/>
            </w:tcMar>
            <w:vAlign w:val="bottom"/>
            <w:hideMark/>
          </w:tcPr>
          <w:p w14:paraId="5159822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71E1DAB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0091920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6B9CCD4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left w:w="0" w:type="dxa"/>
              <w:bottom w:w="0" w:type="dxa"/>
              <w:right w:w="15" w:type="dxa"/>
            </w:tcMar>
            <w:vAlign w:val="bottom"/>
            <w:hideMark/>
          </w:tcPr>
          <w:p w14:paraId="797BB40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19B6150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7951BF6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5029AB8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90</w:t>
            </w:r>
          </w:p>
        </w:tc>
        <w:tc>
          <w:tcPr>
            <w:tcW w:w="31" w:type="pct"/>
            <w:shd w:val="clear" w:color="auto" w:fill="CFF0FC"/>
            <w:noWrap/>
            <w:tcMar>
              <w:top w:w="15" w:type="dxa"/>
              <w:left w:w="0" w:type="dxa"/>
              <w:bottom w:w="0" w:type="dxa"/>
              <w:right w:w="15" w:type="dxa"/>
            </w:tcMar>
            <w:vAlign w:val="bottom"/>
            <w:hideMark/>
          </w:tcPr>
          <w:p w14:paraId="69A6992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185F5D92" w14:textId="77777777">
        <w:trPr>
          <w:divId w:val="175466462"/>
          <w:jc w:val="center"/>
        </w:trPr>
        <w:tc>
          <w:tcPr>
            <w:tcW w:w="1650" w:type="pct"/>
            <w:shd w:val="clear" w:color="auto" w:fill="FFFFFF"/>
            <w:tcMar>
              <w:top w:w="15" w:type="dxa"/>
              <w:left w:w="0" w:type="dxa"/>
              <w:bottom w:w="0" w:type="dxa"/>
              <w:right w:w="15" w:type="dxa"/>
            </w:tcMar>
            <w:hideMark/>
          </w:tcPr>
          <w:p w14:paraId="011E5F8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Stock-based compensation</w:t>
            </w:r>
          </w:p>
        </w:tc>
        <w:tc>
          <w:tcPr>
            <w:tcW w:w="44" w:type="pct"/>
            <w:shd w:val="clear" w:color="auto" w:fill="FFFFFF"/>
            <w:tcMar>
              <w:top w:w="15" w:type="dxa"/>
              <w:left w:w="0" w:type="dxa"/>
              <w:bottom w:w="0" w:type="dxa"/>
              <w:right w:w="15" w:type="dxa"/>
            </w:tcMar>
            <w:vAlign w:val="bottom"/>
            <w:hideMark/>
          </w:tcPr>
          <w:p w14:paraId="0542612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5E96031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3C015A3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1AEF985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4B36A8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220B076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1C28AB9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1,350</w:t>
            </w:r>
          </w:p>
        </w:tc>
        <w:tc>
          <w:tcPr>
            <w:tcW w:w="44" w:type="pct"/>
            <w:shd w:val="clear" w:color="auto" w:fill="FFFFFF"/>
            <w:noWrap/>
            <w:tcMar>
              <w:top w:w="15" w:type="dxa"/>
              <w:left w:w="0" w:type="dxa"/>
              <w:bottom w:w="0" w:type="dxa"/>
              <w:right w:w="15" w:type="dxa"/>
            </w:tcMar>
            <w:vAlign w:val="bottom"/>
            <w:hideMark/>
          </w:tcPr>
          <w:p w14:paraId="5F4C05F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028DB87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11EA57A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6631011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0103263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0DE16E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1321464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7E9102C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1C23897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1A5D950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132B6F5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0459F8E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1,350</w:t>
            </w:r>
          </w:p>
        </w:tc>
        <w:tc>
          <w:tcPr>
            <w:tcW w:w="44" w:type="pct"/>
            <w:shd w:val="clear" w:color="auto" w:fill="FFFFFF"/>
            <w:noWrap/>
            <w:tcMar>
              <w:top w:w="15" w:type="dxa"/>
              <w:left w:w="0" w:type="dxa"/>
              <w:bottom w:w="0" w:type="dxa"/>
              <w:right w:w="15" w:type="dxa"/>
            </w:tcMar>
            <w:vAlign w:val="bottom"/>
            <w:hideMark/>
          </w:tcPr>
          <w:p w14:paraId="0AAE692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600579C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4D1CA08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5E4641F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485D770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44ACEAC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38B822A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0B15F6E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1,350</w:t>
            </w:r>
          </w:p>
        </w:tc>
        <w:tc>
          <w:tcPr>
            <w:tcW w:w="31" w:type="pct"/>
            <w:shd w:val="clear" w:color="auto" w:fill="FFFFFF"/>
            <w:noWrap/>
            <w:tcMar>
              <w:top w:w="15" w:type="dxa"/>
              <w:left w:w="0" w:type="dxa"/>
              <w:bottom w:w="0" w:type="dxa"/>
              <w:right w:w="15" w:type="dxa"/>
            </w:tcMar>
            <w:vAlign w:val="bottom"/>
            <w:hideMark/>
          </w:tcPr>
          <w:p w14:paraId="64AE938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1C903004" w14:textId="77777777">
        <w:trPr>
          <w:divId w:val="175466462"/>
          <w:jc w:val="center"/>
        </w:trPr>
        <w:tc>
          <w:tcPr>
            <w:tcW w:w="1650" w:type="pct"/>
            <w:shd w:val="clear" w:color="auto" w:fill="CFF0FC"/>
            <w:tcMar>
              <w:top w:w="15" w:type="dxa"/>
              <w:left w:w="0" w:type="dxa"/>
              <w:bottom w:w="0" w:type="dxa"/>
              <w:right w:w="15" w:type="dxa"/>
            </w:tcMar>
            <w:hideMark/>
          </w:tcPr>
          <w:p w14:paraId="1D95593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Repurchase of common stock</w:t>
            </w:r>
          </w:p>
        </w:tc>
        <w:tc>
          <w:tcPr>
            <w:tcW w:w="44" w:type="pct"/>
            <w:shd w:val="clear" w:color="auto" w:fill="CFF0FC"/>
            <w:tcMar>
              <w:top w:w="15" w:type="dxa"/>
              <w:left w:w="0" w:type="dxa"/>
              <w:bottom w:w="0" w:type="dxa"/>
              <w:right w:w="15" w:type="dxa"/>
            </w:tcMar>
            <w:vAlign w:val="bottom"/>
            <w:hideMark/>
          </w:tcPr>
          <w:p w14:paraId="058D8A0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21F3D9C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22F5539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(86</w:t>
            </w:r>
          </w:p>
        </w:tc>
        <w:tc>
          <w:tcPr>
            <w:tcW w:w="44" w:type="pct"/>
            <w:shd w:val="clear" w:color="auto" w:fill="CFF0FC"/>
            <w:noWrap/>
            <w:tcMar>
              <w:top w:w="15" w:type="dxa"/>
              <w:left w:w="0" w:type="dxa"/>
              <w:bottom w:w="0" w:type="dxa"/>
              <w:right w:w="15" w:type="dxa"/>
            </w:tcMar>
            <w:vAlign w:val="bottom"/>
            <w:hideMark/>
          </w:tcPr>
          <w:p w14:paraId="3895CF6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6643928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4959A15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0E8F149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(504</w:t>
            </w:r>
          </w:p>
        </w:tc>
        <w:tc>
          <w:tcPr>
            <w:tcW w:w="44" w:type="pct"/>
            <w:shd w:val="clear" w:color="auto" w:fill="CFF0FC"/>
            <w:noWrap/>
            <w:tcMar>
              <w:top w:w="15" w:type="dxa"/>
              <w:left w:w="0" w:type="dxa"/>
              <w:bottom w:w="0" w:type="dxa"/>
              <w:right w:w="15" w:type="dxa"/>
            </w:tcMar>
            <w:vAlign w:val="bottom"/>
            <w:hideMark/>
          </w:tcPr>
          <w:p w14:paraId="2216C9F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5F4ED70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6E9C20A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769C885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(2,988</w:t>
            </w:r>
          </w:p>
        </w:tc>
        <w:tc>
          <w:tcPr>
            <w:tcW w:w="44" w:type="pct"/>
            <w:shd w:val="clear" w:color="auto" w:fill="CFF0FC"/>
            <w:noWrap/>
            <w:tcMar>
              <w:top w:w="15" w:type="dxa"/>
              <w:left w:w="0" w:type="dxa"/>
              <w:bottom w:w="0" w:type="dxa"/>
              <w:right w:w="15" w:type="dxa"/>
            </w:tcMar>
            <w:vAlign w:val="bottom"/>
            <w:hideMark/>
          </w:tcPr>
          <w:p w14:paraId="6E27794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7B65570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79C7F86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0791CAC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7F1C3CA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794EE99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6365396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3D58DB2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(3,492</w:t>
            </w:r>
          </w:p>
        </w:tc>
        <w:tc>
          <w:tcPr>
            <w:tcW w:w="44" w:type="pct"/>
            <w:shd w:val="clear" w:color="auto" w:fill="CFF0FC"/>
            <w:noWrap/>
            <w:tcMar>
              <w:top w:w="15" w:type="dxa"/>
              <w:left w:w="0" w:type="dxa"/>
              <w:bottom w:w="0" w:type="dxa"/>
              <w:right w:w="15" w:type="dxa"/>
            </w:tcMar>
            <w:vAlign w:val="bottom"/>
            <w:hideMark/>
          </w:tcPr>
          <w:p w14:paraId="14DBFE6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left w:w="0" w:type="dxa"/>
              <w:bottom w:w="0" w:type="dxa"/>
              <w:right w:w="15" w:type="dxa"/>
            </w:tcMar>
            <w:vAlign w:val="bottom"/>
            <w:hideMark/>
          </w:tcPr>
          <w:p w14:paraId="56BB4E5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6ABA58A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09E78C6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left w:w="0" w:type="dxa"/>
              <w:bottom w:w="0" w:type="dxa"/>
              <w:right w:w="15" w:type="dxa"/>
            </w:tcMar>
            <w:vAlign w:val="bottom"/>
            <w:hideMark/>
          </w:tcPr>
          <w:p w14:paraId="1301484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333F440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1D21B82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31A19FE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(3,492</w:t>
            </w:r>
          </w:p>
        </w:tc>
        <w:tc>
          <w:tcPr>
            <w:tcW w:w="31" w:type="pct"/>
            <w:shd w:val="clear" w:color="auto" w:fill="CFF0FC"/>
            <w:noWrap/>
            <w:tcMar>
              <w:top w:w="15" w:type="dxa"/>
              <w:left w:w="0" w:type="dxa"/>
              <w:bottom w:w="0" w:type="dxa"/>
              <w:right w:w="15" w:type="dxa"/>
            </w:tcMar>
            <w:vAlign w:val="bottom"/>
            <w:hideMark/>
          </w:tcPr>
          <w:p w14:paraId="2081546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02DF38F7" w14:textId="77777777">
        <w:trPr>
          <w:divId w:val="175466462"/>
          <w:jc w:val="center"/>
        </w:trPr>
        <w:tc>
          <w:tcPr>
            <w:tcW w:w="1650" w:type="pct"/>
            <w:shd w:val="clear" w:color="auto" w:fill="FFFFFF"/>
            <w:tcMar>
              <w:top w:w="15" w:type="dxa"/>
              <w:left w:w="0" w:type="dxa"/>
              <w:bottom w:w="0" w:type="dxa"/>
              <w:right w:w="15" w:type="dxa"/>
            </w:tcMar>
            <w:hideMark/>
          </w:tcPr>
          <w:p w14:paraId="628EC432"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44" w:type="pct"/>
            <w:shd w:val="clear" w:color="auto" w:fill="FFFFFF"/>
            <w:tcMar>
              <w:top w:w="15" w:type="dxa"/>
              <w:left w:w="0" w:type="dxa"/>
              <w:bottom w:w="0" w:type="dxa"/>
              <w:right w:w="15" w:type="dxa"/>
            </w:tcMar>
            <w:vAlign w:val="bottom"/>
            <w:hideMark/>
          </w:tcPr>
          <w:p w14:paraId="1A099B9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7DA2B92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66A53FE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w:t>
            </w:r>
          </w:p>
        </w:tc>
        <w:tc>
          <w:tcPr>
            <w:tcW w:w="44" w:type="pct"/>
            <w:shd w:val="clear" w:color="auto" w:fill="FFFFFF"/>
            <w:noWrap/>
            <w:tcMar>
              <w:top w:w="15" w:type="dxa"/>
              <w:left w:w="0" w:type="dxa"/>
              <w:bottom w:w="0" w:type="dxa"/>
              <w:right w:w="15" w:type="dxa"/>
            </w:tcMar>
            <w:vAlign w:val="bottom"/>
            <w:hideMark/>
          </w:tcPr>
          <w:p w14:paraId="6C91E9D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34C5DF2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260E145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052FF4A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(283</w:t>
            </w:r>
          </w:p>
        </w:tc>
        <w:tc>
          <w:tcPr>
            <w:tcW w:w="44" w:type="pct"/>
            <w:shd w:val="clear" w:color="auto" w:fill="FFFFFF"/>
            <w:noWrap/>
            <w:tcMar>
              <w:top w:w="15" w:type="dxa"/>
              <w:left w:w="0" w:type="dxa"/>
              <w:bottom w:w="0" w:type="dxa"/>
              <w:right w:w="15" w:type="dxa"/>
            </w:tcMar>
            <w:vAlign w:val="bottom"/>
            <w:hideMark/>
          </w:tcPr>
          <w:p w14:paraId="1BCA4FD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3B66A1E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6B5E2C3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16D2A87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2A950A7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32BE292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443E8FE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2F240BC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14E4B03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2449803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32C9252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69A2710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(283</w:t>
            </w:r>
          </w:p>
        </w:tc>
        <w:tc>
          <w:tcPr>
            <w:tcW w:w="44" w:type="pct"/>
            <w:shd w:val="clear" w:color="auto" w:fill="FFFFFF"/>
            <w:noWrap/>
            <w:tcMar>
              <w:top w:w="15" w:type="dxa"/>
              <w:left w:w="0" w:type="dxa"/>
              <w:bottom w:w="0" w:type="dxa"/>
              <w:right w:w="15" w:type="dxa"/>
            </w:tcMar>
            <w:vAlign w:val="bottom"/>
            <w:hideMark/>
          </w:tcPr>
          <w:p w14:paraId="17D7E88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left w:w="0" w:type="dxa"/>
              <w:bottom w:w="0" w:type="dxa"/>
              <w:right w:w="15" w:type="dxa"/>
            </w:tcMar>
            <w:vAlign w:val="bottom"/>
            <w:hideMark/>
          </w:tcPr>
          <w:p w14:paraId="5101211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3360691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14ABA3F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17BE1F1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73BA649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50B2663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67078EE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(283</w:t>
            </w:r>
          </w:p>
        </w:tc>
        <w:tc>
          <w:tcPr>
            <w:tcW w:w="31" w:type="pct"/>
            <w:shd w:val="clear" w:color="auto" w:fill="FFFFFF"/>
            <w:noWrap/>
            <w:tcMar>
              <w:top w:w="15" w:type="dxa"/>
              <w:left w:w="0" w:type="dxa"/>
              <w:bottom w:w="0" w:type="dxa"/>
              <w:right w:w="15" w:type="dxa"/>
            </w:tcMar>
            <w:vAlign w:val="bottom"/>
            <w:hideMark/>
          </w:tcPr>
          <w:p w14:paraId="28027F6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6AB568F4" w14:textId="77777777">
        <w:trPr>
          <w:divId w:val="175466462"/>
          <w:jc w:val="center"/>
        </w:trPr>
        <w:tc>
          <w:tcPr>
            <w:tcW w:w="1650" w:type="pct"/>
            <w:shd w:val="clear" w:color="auto" w:fill="CFF0FC"/>
            <w:tcMar>
              <w:top w:w="15" w:type="dxa"/>
              <w:left w:w="0" w:type="dxa"/>
              <w:bottom w:w="0" w:type="dxa"/>
              <w:right w:w="15" w:type="dxa"/>
            </w:tcMar>
            <w:hideMark/>
          </w:tcPr>
          <w:p w14:paraId="48991054"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Cash dividends declared ($0.64 per share)</w:t>
            </w:r>
          </w:p>
        </w:tc>
        <w:tc>
          <w:tcPr>
            <w:tcW w:w="44" w:type="pct"/>
            <w:shd w:val="clear" w:color="auto" w:fill="CFF0FC"/>
            <w:tcMar>
              <w:top w:w="15" w:type="dxa"/>
              <w:left w:w="0" w:type="dxa"/>
              <w:bottom w:w="0" w:type="dxa"/>
              <w:right w:w="15" w:type="dxa"/>
            </w:tcMar>
            <w:vAlign w:val="bottom"/>
            <w:hideMark/>
          </w:tcPr>
          <w:p w14:paraId="331453F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2DE6E9D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0EA61AF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1565A6F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77C20EE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6AC31D0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5A3D25F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76E5D30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69DCFDF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5E07F1E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71D715F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(2,631</w:t>
            </w:r>
          </w:p>
        </w:tc>
        <w:tc>
          <w:tcPr>
            <w:tcW w:w="44" w:type="pct"/>
            <w:shd w:val="clear" w:color="auto" w:fill="CFF0FC"/>
            <w:noWrap/>
            <w:tcMar>
              <w:top w:w="15" w:type="dxa"/>
              <w:left w:w="0" w:type="dxa"/>
              <w:bottom w:w="0" w:type="dxa"/>
              <w:right w:w="15" w:type="dxa"/>
            </w:tcMar>
            <w:vAlign w:val="bottom"/>
            <w:hideMark/>
          </w:tcPr>
          <w:p w14:paraId="6372544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341941B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47FB4D0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0EC77BF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15EC35F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21DFCA4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2160F04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1EEF64E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(2,631</w:t>
            </w:r>
          </w:p>
        </w:tc>
        <w:tc>
          <w:tcPr>
            <w:tcW w:w="44" w:type="pct"/>
            <w:shd w:val="clear" w:color="auto" w:fill="CFF0FC"/>
            <w:noWrap/>
            <w:tcMar>
              <w:top w:w="15" w:type="dxa"/>
              <w:left w:w="0" w:type="dxa"/>
              <w:bottom w:w="0" w:type="dxa"/>
              <w:right w:w="15" w:type="dxa"/>
            </w:tcMar>
            <w:vAlign w:val="bottom"/>
            <w:hideMark/>
          </w:tcPr>
          <w:p w14:paraId="60FEF53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left w:w="0" w:type="dxa"/>
              <w:bottom w:w="0" w:type="dxa"/>
              <w:right w:w="15" w:type="dxa"/>
            </w:tcMar>
            <w:vAlign w:val="bottom"/>
            <w:hideMark/>
          </w:tcPr>
          <w:p w14:paraId="30113BA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20297FB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7316068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left w:w="0" w:type="dxa"/>
              <w:bottom w:w="0" w:type="dxa"/>
              <w:right w:w="15" w:type="dxa"/>
            </w:tcMar>
            <w:vAlign w:val="bottom"/>
            <w:hideMark/>
          </w:tcPr>
          <w:p w14:paraId="2F04F12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6BA396D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7DDFA39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07944CF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(2,631</w:t>
            </w:r>
          </w:p>
        </w:tc>
        <w:tc>
          <w:tcPr>
            <w:tcW w:w="31" w:type="pct"/>
            <w:shd w:val="clear" w:color="auto" w:fill="CFF0FC"/>
            <w:noWrap/>
            <w:tcMar>
              <w:top w:w="15" w:type="dxa"/>
              <w:left w:w="0" w:type="dxa"/>
              <w:bottom w:w="0" w:type="dxa"/>
              <w:right w:w="15" w:type="dxa"/>
            </w:tcMar>
            <w:vAlign w:val="bottom"/>
            <w:hideMark/>
          </w:tcPr>
          <w:p w14:paraId="5F58BF7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7B8EE032" w14:textId="77777777">
        <w:trPr>
          <w:divId w:val="175466462"/>
          <w:jc w:val="center"/>
        </w:trPr>
        <w:tc>
          <w:tcPr>
            <w:tcW w:w="1650" w:type="pct"/>
            <w:shd w:val="clear" w:color="auto" w:fill="FFFFFF"/>
            <w:tcMar>
              <w:top w:w="15" w:type="dxa"/>
              <w:left w:w="0" w:type="dxa"/>
              <w:bottom w:w="0" w:type="dxa"/>
              <w:right w:w="15" w:type="dxa"/>
            </w:tcMar>
            <w:hideMark/>
          </w:tcPr>
          <w:p w14:paraId="4C885219"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Other, net</w:t>
            </w:r>
          </w:p>
        </w:tc>
        <w:tc>
          <w:tcPr>
            <w:tcW w:w="44" w:type="pct"/>
            <w:shd w:val="clear" w:color="auto" w:fill="FFFFFF"/>
            <w:tcMar>
              <w:top w:w="15" w:type="dxa"/>
              <w:left w:w="0" w:type="dxa"/>
              <w:bottom w:w="0" w:type="dxa"/>
              <w:right w:w="15" w:type="dxa"/>
            </w:tcMar>
            <w:vAlign w:val="bottom"/>
            <w:hideMark/>
          </w:tcPr>
          <w:p w14:paraId="24C273C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52E08C4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0B73859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69D807D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1FB14F6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703FA77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5507540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14</w:t>
            </w:r>
          </w:p>
        </w:tc>
        <w:tc>
          <w:tcPr>
            <w:tcW w:w="44" w:type="pct"/>
            <w:shd w:val="clear" w:color="auto" w:fill="FFFFFF"/>
            <w:noWrap/>
            <w:tcMar>
              <w:top w:w="15" w:type="dxa"/>
              <w:left w:w="0" w:type="dxa"/>
              <w:bottom w:w="0" w:type="dxa"/>
              <w:right w:w="15" w:type="dxa"/>
            </w:tcMar>
            <w:vAlign w:val="bottom"/>
            <w:hideMark/>
          </w:tcPr>
          <w:p w14:paraId="15301A9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179D31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69A44CA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5F1DBC7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w:t>
            </w:r>
          </w:p>
        </w:tc>
        <w:tc>
          <w:tcPr>
            <w:tcW w:w="44" w:type="pct"/>
            <w:shd w:val="clear" w:color="auto" w:fill="FFFFFF"/>
            <w:noWrap/>
            <w:tcMar>
              <w:top w:w="15" w:type="dxa"/>
              <w:left w:w="0" w:type="dxa"/>
              <w:bottom w:w="0" w:type="dxa"/>
              <w:right w:w="15" w:type="dxa"/>
            </w:tcMar>
            <w:vAlign w:val="bottom"/>
            <w:hideMark/>
          </w:tcPr>
          <w:p w14:paraId="12D52A7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16CA879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72BFC74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424DB7F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3A96E38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49A3B4B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2858C84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7108A9B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w:t>
            </w:r>
          </w:p>
        </w:tc>
        <w:tc>
          <w:tcPr>
            <w:tcW w:w="44" w:type="pct"/>
            <w:shd w:val="clear" w:color="auto" w:fill="FFFFFF"/>
            <w:noWrap/>
            <w:tcMar>
              <w:top w:w="15" w:type="dxa"/>
              <w:left w:w="0" w:type="dxa"/>
              <w:bottom w:w="0" w:type="dxa"/>
              <w:right w:w="15" w:type="dxa"/>
            </w:tcMar>
            <w:vAlign w:val="bottom"/>
            <w:hideMark/>
          </w:tcPr>
          <w:p w14:paraId="7464458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45CBF06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3BD1BD3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7853AF4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(247</w:t>
            </w:r>
          </w:p>
        </w:tc>
        <w:tc>
          <w:tcPr>
            <w:tcW w:w="45" w:type="pct"/>
            <w:shd w:val="clear" w:color="auto" w:fill="FFFFFF"/>
            <w:noWrap/>
            <w:tcMar>
              <w:top w:w="15" w:type="dxa"/>
              <w:left w:w="0" w:type="dxa"/>
              <w:bottom w:w="0" w:type="dxa"/>
              <w:right w:w="15" w:type="dxa"/>
            </w:tcMar>
            <w:vAlign w:val="bottom"/>
            <w:hideMark/>
          </w:tcPr>
          <w:p w14:paraId="3D77422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left w:w="0" w:type="dxa"/>
              <w:bottom w:w="0" w:type="dxa"/>
              <w:right w:w="15" w:type="dxa"/>
            </w:tcMar>
            <w:vAlign w:val="bottom"/>
            <w:hideMark/>
          </w:tcPr>
          <w:p w14:paraId="2330CD0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22361B4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10C119D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(239</w:t>
            </w:r>
          </w:p>
        </w:tc>
        <w:tc>
          <w:tcPr>
            <w:tcW w:w="31" w:type="pct"/>
            <w:shd w:val="clear" w:color="auto" w:fill="FFFFFF"/>
            <w:noWrap/>
            <w:tcMar>
              <w:top w:w="15" w:type="dxa"/>
              <w:left w:w="0" w:type="dxa"/>
              <w:bottom w:w="0" w:type="dxa"/>
              <w:right w:w="15" w:type="dxa"/>
            </w:tcMar>
            <w:vAlign w:val="bottom"/>
            <w:hideMark/>
          </w:tcPr>
          <w:p w14:paraId="5B08CC3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16F74F64" w14:textId="77777777">
        <w:trPr>
          <w:divId w:val="175466462"/>
          <w:jc w:val="center"/>
        </w:trPr>
        <w:tc>
          <w:tcPr>
            <w:tcW w:w="1650" w:type="pct"/>
            <w:shd w:val="clear" w:color="auto" w:fill="CFF0FC"/>
            <w:tcMar>
              <w:top w:w="15" w:type="dxa"/>
              <w:left w:w="0" w:type="dxa"/>
              <w:bottom w:w="0" w:type="dxa"/>
              <w:right w:w="15" w:type="dxa"/>
            </w:tcMar>
            <w:hideMark/>
          </w:tcPr>
          <w:p w14:paraId="333BE14A"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Other comprehensive (loss) income, net</w:t>
            </w:r>
          </w:p>
        </w:tc>
        <w:tc>
          <w:tcPr>
            <w:tcW w:w="44" w:type="pct"/>
            <w:shd w:val="clear" w:color="auto" w:fill="CFF0FC"/>
            <w:tcMar>
              <w:top w:w="15" w:type="dxa"/>
              <w:left w:w="0" w:type="dxa"/>
              <w:bottom w:w="0" w:type="dxa"/>
              <w:right w:w="15" w:type="dxa"/>
            </w:tcMar>
            <w:vAlign w:val="bottom"/>
            <w:hideMark/>
          </w:tcPr>
          <w:p w14:paraId="1B3EA8E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4DE36C2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28B90F2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5E861B3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59CFBA1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1123EB4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2A05456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2745498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2821AAB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2E9EE19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2040E65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74D0C5C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08407C6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2CF025F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13ECA22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w:t>
            </w:r>
          </w:p>
        </w:tc>
        <w:tc>
          <w:tcPr>
            <w:tcW w:w="44" w:type="pct"/>
            <w:shd w:val="clear" w:color="auto" w:fill="CFF0FC"/>
            <w:noWrap/>
            <w:tcMar>
              <w:top w:w="15" w:type="dxa"/>
              <w:left w:w="0" w:type="dxa"/>
              <w:bottom w:w="0" w:type="dxa"/>
              <w:right w:w="15" w:type="dxa"/>
            </w:tcMar>
            <w:vAlign w:val="bottom"/>
            <w:hideMark/>
          </w:tcPr>
          <w:p w14:paraId="7815D24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7831411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149AF1E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173E65E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w:t>
            </w:r>
          </w:p>
        </w:tc>
        <w:tc>
          <w:tcPr>
            <w:tcW w:w="44" w:type="pct"/>
            <w:shd w:val="clear" w:color="auto" w:fill="CFF0FC"/>
            <w:noWrap/>
            <w:tcMar>
              <w:top w:w="15" w:type="dxa"/>
              <w:left w:w="0" w:type="dxa"/>
              <w:bottom w:w="0" w:type="dxa"/>
              <w:right w:w="15" w:type="dxa"/>
            </w:tcMar>
            <w:vAlign w:val="bottom"/>
            <w:hideMark/>
          </w:tcPr>
          <w:p w14:paraId="4FD86A5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left w:w="0" w:type="dxa"/>
              <w:bottom w:w="0" w:type="dxa"/>
              <w:right w:w="15" w:type="dxa"/>
            </w:tcMar>
            <w:vAlign w:val="bottom"/>
            <w:hideMark/>
          </w:tcPr>
          <w:p w14:paraId="3C739AF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3A0DB58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3AF9B8C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14</w:t>
            </w:r>
          </w:p>
        </w:tc>
        <w:tc>
          <w:tcPr>
            <w:tcW w:w="45" w:type="pct"/>
            <w:shd w:val="clear" w:color="auto" w:fill="CFF0FC"/>
            <w:noWrap/>
            <w:tcMar>
              <w:top w:w="15" w:type="dxa"/>
              <w:left w:w="0" w:type="dxa"/>
              <w:bottom w:w="0" w:type="dxa"/>
              <w:right w:w="15" w:type="dxa"/>
            </w:tcMar>
            <w:vAlign w:val="bottom"/>
            <w:hideMark/>
          </w:tcPr>
          <w:p w14:paraId="1933C2F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71CAD7B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0DC36A5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1CD36F0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13</w:t>
            </w:r>
          </w:p>
        </w:tc>
        <w:tc>
          <w:tcPr>
            <w:tcW w:w="31" w:type="pct"/>
            <w:shd w:val="clear" w:color="auto" w:fill="CFF0FC"/>
            <w:noWrap/>
            <w:tcMar>
              <w:top w:w="15" w:type="dxa"/>
              <w:left w:w="0" w:type="dxa"/>
              <w:bottom w:w="0" w:type="dxa"/>
              <w:right w:w="15" w:type="dxa"/>
            </w:tcMar>
            <w:vAlign w:val="bottom"/>
            <w:hideMark/>
          </w:tcPr>
          <w:p w14:paraId="7657878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1FE56716" w14:textId="77777777">
        <w:trPr>
          <w:divId w:val="175466462"/>
          <w:jc w:val="center"/>
        </w:trPr>
        <w:tc>
          <w:tcPr>
            <w:tcW w:w="1650" w:type="pct"/>
            <w:shd w:val="clear" w:color="auto" w:fill="FFFFFF"/>
            <w:tcMar>
              <w:top w:w="15" w:type="dxa"/>
              <w:left w:w="0" w:type="dxa"/>
              <w:bottom w:w="0" w:type="dxa"/>
              <w:right w:w="15" w:type="dxa"/>
            </w:tcMar>
            <w:hideMark/>
          </w:tcPr>
          <w:p w14:paraId="28AD60DC"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Net income</w:t>
            </w:r>
          </w:p>
        </w:tc>
        <w:tc>
          <w:tcPr>
            <w:tcW w:w="44" w:type="pct"/>
            <w:shd w:val="clear" w:color="auto" w:fill="FFFFFF"/>
            <w:tcMar>
              <w:top w:w="15" w:type="dxa"/>
              <w:left w:w="0" w:type="dxa"/>
              <w:bottom w:w="0" w:type="dxa"/>
              <w:right w:w="15" w:type="dxa"/>
            </w:tcMar>
            <w:vAlign w:val="bottom"/>
            <w:hideMark/>
          </w:tcPr>
          <w:p w14:paraId="1E698DD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bottom w:val="single" w:sz="6" w:space="0" w:color="000000"/>
            </w:tcBorders>
            <w:shd w:val="clear" w:color="auto" w:fill="FFFFFF"/>
            <w:noWrap/>
            <w:tcMar>
              <w:top w:w="15" w:type="dxa"/>
              <w:left w:w="0" w:type="dxa"/>
              <w:bottom w:w="0" w:type="dxa"/>
              <w:right w:w="15" w:type="dxa"/>
            </w:tcMar>
            <w:vAlign w:val="bottom"/>
            <w:hideMark/>
          </w:tcPr>
          <w:p w14:paraId="5274757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bottom w:val="single" w:sz="6" w:space="0" w:color="000000"/>
            </w:tcBorders>
            <w:shd w:val="clear" w:color="auto" w:fill="FFFFFF"/>
            <w:noWrap/>
            <w:tcMar>
              <w:top w:w="15" w:type="dxa"/>
              <w:left w:w="0" w:type="dxa"/>
              <w:bottom w:w="0" w:type="dxa"/>
              <w:right w:w="15" w:type="dxa"/>
            </w:tcMar>
            <w:vAlign w:val="bottom"/>
            <w:hideMark/>
          </w:tcPr>
          <w:p w14:paraId="58CAF45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7D0CFB4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610EA2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FFFFFF"/>
            <w:noWrap/>
            <w:tcMar>
              <w:top w:w="15" w:type="dxa"/>
              <w:left w:w="0" w:type="dxa"/>
              <w:bottom w:w="0" w:type="dxa"/>
              <w:right w:w="15" w:type="dxa"/>
            </w:tcMar>
            <w:vAlign w:val="bottom"/>
            <w:hideMark/>
          </w:tcPr>
          <w:p w14:paraId="01F38A5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tcBorders>
              <w:bottom w:val="single" w:sz="6" w:space="0" w:color="000000"/>
            </w:tcBorders>
            <w:shd w:val="clear" w:color="auto" w:fill="FFFFFF"/>
            <w:noWrap/>
            <w:tcMar>
              <w:top w:w="15" w:type="dxa"/>
              <w:left w:w="0" w:type="dxa"/>
              <w:bottom w:w="0" w:type="dxa"/>
              <w:right w:w="15" w:type="dxa"/>
            </w:tcMar>
            <w:vAlign w:val="bottom"/>
            <w:hideMark/>
          </w:tcPr>
          <w:p w14:paraId="770F4A6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20A5411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EBF9FD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bottom w:val="single" w:sz="6" w:space="0" w:color="000000"/>
            </w:tcBorders>
            <w:shd w:val="clear" w:color="auto" w:fill="FFFFFF"/>
            <w:noWrap/>
            <w:tcMar>
              <w:top w:w="15" w:type="dxa"/>
              <w:left w:w="0" w:type="dxa"/>
              <w:bottom w:w="0" w:type="dxa"/>
              <w:right w:w="15" w:type="dxa"/>
            </w:tcMar>
            <w:vAlign w:val="bottom"/>
            <w:hideMark/>
          </w:tcPr>
          <w:p w14:paraId="1864F98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tcBorders>
              <w:bottom w:val="single" w:sz="6" w:space="0" w:color="000000"/>
            </w:tcBorders>
            <w:shd w:val="clear" w:color="auto" w:fill="FFFFFF"/>
            <w:noWrap/>
            <w:tcMar>
              <w:top w:w="15" w:type="dxa"/>
              <w:left w:w="0" w:type="dxa"/>
              <w:bottom w:w="0" w:type="dxa"/>
              <w:right w:w="15" w:type="dxa"/>
            </w:tcMar>
            <w:vAlign w:val="bottom"/>
            <w:hideMark/>
          </w:tcPr>
          <w:p w14:paraId="74C6009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9,452</w:t>
            </w:r>
          </w:p>
        </w:tc>
        <w:tc>
          <w:tcPr>
            <w:tcW w:w="44" w:type="pct"/>
            <w:shd w:val="clear" w:color="auto" w:fill="FFFFFF"/>
            <w:noWrap/>
            <w:tcMar>
              <w:top w:w="15" w:type="dxa"/>
              <w:left w:w="0" w:type="dxa"/>
              <w:bottom w:w="0" w:type="dxa"/>
              <w:right w:w="15" w:type="dxa"/>
            </w:tcMar>
            <w:vAlign w:val="bottom"/>
            <w:hideMark/>
          </w:tcPr>
          <w:p w14:paraId="6B10A7E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906DC4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bottom w:val="single" w:sz="6" w:space="0" w:color="000000"/>
            </w:tcBorders>
            <w:shd w:val="clear" w:color="auto" w:fill="FFFFFF"/>
            <w:noWrap/>
            <w:tcMar>
              <w:top w:w="15" w:type="dxa"/>
              <w:left w:w="0" w:type="dxa"/>
              <w:bottom w:w="0" w:type="dxa"/>
              <w:right w:w="15" w:type="dxa"/>
            </w:tcMar>
            <w:vAlign w:val="bottom"/>
            <w:hideMark/>
          </w:tcPr>
          <w:p w14:paraId="173D7E0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FFFFFF"/>
            <w:noWrap/>
            <w:tcMar>
              <w:top w:w="15" w:type="dxa"/>
              <w:left w:w="0" w:type="dxa"/>
              <w:bottom w:w="0" w:type="dxa"/>
              <w:right w:w="15" w:type="dxa"/>
            </w:tcMar>
            <w:vAlign w:val="bottom"/>
            <w:hideMark/>
          </w:tcPr>
          <w:p w14:paraId="2D181A6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10BA793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5CC87CC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bottom w:val="single" w:sz="6" w:space="0" w:color="000000"/>
            </w:tcBorders>
            <w:shd w:val="clear" w:color="auto" w:fill="FFFFFF"/>
            <w:noWrap/>
            <w:tcMar>
              <w:top w:w="15" w:type="dxa"/>
              <w:left w:w="0" w:type="dxa"/>
              <w:bottom w:w="0" w:type="dxa"/>
              <w:right w:w="15" w:type="dxa"/>
            </w:tcMar>
            <w:vAlign w:val="bottom"/>
            <w:hideMark/>
          </w:tcPr>
          <w:p w14:paraId="1268DE8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FFFFFF"/>
            <w:noWrap/>
            <w:tcMar>
              <w:top w:w="15" w:type="dxa"/>
              <w:left w:w="0" w:type="dxa"/>
              <w:bottom w:w="0" w:type="dxa"/>
              <w:right w:w="15" w:type="dxa"/>
            </w:tcMar>
            <w:vAlign w:val="bottom"/>
            <w:hideMark/>
          </w:tcPr>
          <w:p w14:paraId="5C2DA5E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9,452</w:t>
            </w:r>
          </w:p>
        </w:tc>
        <w:tc>
          <w:tcPr>
            <w:tcW w:w="44" w:type="pct"/>
            <w:shd w:val="clear" w:color="auto" w:fill="FFFFFF"/>
            <w:noWrap/>
            <w:tcMar>
              <w:top w:w="15" w:type="dxa"/>
              <w:left w:w="0" w:type="dxa"/>
              <w:bottom w:w="0" w:type="dxa"/>
              <w:right w:w="15" w:type="dxa"/>
            </w:tcMar>
            <w:vAlign w:val="bottom"/>
            <w:hideMark/>
          </w:tcPr>
          <w:p w14:paraId="5E4265F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344F50E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bottom w:val="single" w:sz="6" w:space="0" w:color="000000"/>
            </w:tcBorders>
            <w:shd w:val="clear" w:color="auto" w:fill="FFFFFF"/>
            <w:noWrap/>
            <w:tcMar>
              <w:top w:w="15" w:type="dxa"/>
              <w:left w:w="0" w:type="dxa"/>
              <w:bottom w:w="0" w:type="dxa"/>
              <w:right w:w="15" w:type="dxa"/>
            </w:tcMar>
            <w:vAlign w:val="bottom"/>
            <w:hideMark/>
          </w:tcPr>
          <w:p w14:paraId="61E0B93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tcBorders>
              <w:bottom w:val="single" w:sz="6" w:space="0" w:color="000000"/>
            </w:tcBorders>
            <w:shd w:val="clear" w:color="auto" w:fill="FFFFFF"/>
            <w:noWrap/>
            <w:tcMar>
              <w:top w:w="15" w:type="dxa"/>
              <w:left w:w="0" w:type="dxa"/>
              <w:bottom w:w="0" w:type="dxa"/>
              <w:right w:w="15" w:type="dxa"/>
            </w:tcMar>
            <w:vAlign w:val="bottom"/>
            <w:hideMark/>
          </w:tcPr>
          <w:p w14:paraId="052F3FE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118</w:t>
            </w:r>
          </w:p>
        </w:tc>
        <w:tc>
          <w:tcPr>
            <w:tcW w:w="45" w:type="pct"/>
            <w:shd w:val="clear" w:color="auto" w:fill="FFFFFF"/>
            <w:noWrap/>
            <w:tcMar>
              <w:top w:w="15" w:type="dxa"/>
              <w:left w:w="0" w:type="dxa"/>
              <w:bottom w:w="0" w:type="dxa"/>
              <w:right w:w="15" w:type="dxa"/>
            </w:tcMar>
            <w:vAlign w:val="bottom"/>
            <w:hideMark/>
          </w:tcPr>
          <w:p w14:paraId="00B2C26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64D9BD1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FFFFFF"/>
            <w:noWrap/>
            <w:tcMar>
              <w:top w:w="15" w:type="dxa"/>
              <w:left w:w="0" w:type="dxa"/>
              <w:bottom w:w="0" w:type="dxa"/>
              <w:right w:w="15" w:type="dxa"/>
            </w:tcMar>
            <w:vAlign w:val="bottom"/>
            <w:hideMark/>
          </w:tcPr>
          <w:p w14:paraId="10371D7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tcBorders>
              <w:bottom w:val="single" w:sz="6" w:space="0" w:color="000000"/>
            </w:tcBorders>
            <w:shd w:val="clear" w:color="auto" w:fill="FFFFFF"/>
            <w:noWrap/>
            <w:tcMar>
              <w:top w:w="15" w:type="dxa"/>
              <w:left w:w="0" w:type="dxa"/>
              <w:bottom w:w="0" w:type="dxa"/>
              <w:right w:w="15" w:type="dxa"/>
            </w:tcMar>
            <w:vAlign w:val="bottom"/>
            <w:hideMark/>
          </w:tcPr>
          <w:p w14:paraId="2D72B0A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9,570</w:t>
            </w:r>
          </w:p>
        </w:tc>
        <w:tc>
          <w:tcPr>
            <w:tcW w:w="31" w:type="pct"/>
            <w:shd w:val="clear" w:color="auto" w:fill="FFFFFF"/>
            <w:noWrap/>
            <w:tcMar>
              <w:top w:w="15" w:type="dxa"/>
              <w:left w:w="0" w:type="dxa"/>
              <w:bottom w:w="0" w:type="dxa"/>
              <w:right w:w="15" w:type="dxa"/>
            </w:tcMar>
            <w:vAlign w:val="bottom"/>
            <w:hideMark/>
          </w:tcPr>
          <w:p w14:paraId="23EEEC2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1E55BC26" w14:textId="77777777">
        <w:trPr>
          <w:divId w:val="175466462"/>
          <w:jc w:val="center"/>
        </w:trPr>
        <w:tc>
          <w:tcPr>
            <w:tcW w:w="1650" w:type="pct"/>
            <w:shd w:val="clear" w:color="auto" w:fill="CFF0FC"/>
            <w:tcMar>
              <w:top w:w="15" w:type="dxa"/>
              <w:left w:w="0" w:type="dxa"/>
              <w:bottom w:w="0" w:type="dxa"/>
              <w:right w:w="15" w:type="dxa"/>
            </w:tcMar>
            <w:hideMark/>
          </w:tcPr>
          <w:p w14:paraId="3EB07A34"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Balances as of May 31, 2017</w:t>
            </w:r>
          </w:p>
        </w:tc>
        <w:tc>
          <w:tcPr>
            <w:tcW w:w="44" w:type="pct"/>
            <w:shd w:val="clear" w:color="auto" w:fill="CFF0FC"/>
            <w:tcMar>
              <w:top w:w="15" w:type="dxa"/>
              <w:left w:w="0" w:type="dxa"/>
              <w:bottom w:w="0" w:type="dxa"/>
              <w:right w:w="15" w:type="dxa"/>
            </w:tcMar>
            <w:vAlign w:val="bottom"/>
            <w:hideMark/>
          </w:tcPr>
          <w:p w14:paraId="134CF41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tcBorders>
            <w:shd w:val="clear" w:color="auto" w:fill="CFF0FC"/>
            <w:noWrap/>
            <w:tcMar>
              <w:top w:w="15" w:type="dxa"/>
              <w:left w:w="0" w:type="dxa"/>
              <w:bottom w:w="0" w:type="dxa"/>
              <w:right w:w="15" w:type="dxa"/>
            </w:tcMar>
            <w:vAlign w:val="bottom"/>
            <w:hideMark/>
          </w:tcPr>
          <w:p w14:paraId="0A3D9A2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top w:val="single" w:sz="6" w:space="0" w:color="000000"/>
            </w:tcBorders>
            <w:shd w:val="clear" w:color="auto" w:fill="CFF0FC"/>
            <w:noWrap/>
            <w:tcMar>
              <w:top w:w="15" w:type="dxa"/>
              <w:left w:w="0" w:type="dxa"/>
              <w:bottom w:w="0" w:type="dxa"/>
              <w:right w:w="15" w:type="dxa"/>
            </w:tcMar>
            <w:vAlign w:val="bottom"/>
            <w:hideMark/>
          </w:tcPr>
          <w:p w14:paraId="784EDA8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4,137</w:t>
            </w:r>
          </w:p>
        </w:tc>
        <w:tc>
          <w:tcPr>
            <w:tcW w:w="44" w:type="pct"/>
            <w:shd w:val="clear" w:color="auto" w:fill="CFF0FC"/>
            <w:noWrap/>
            <w:tcMar>
              <w:top w:w="15" w:type="dxa"/>
              <w:left w:w="0" w:type="dxa"/>
              <w:bottom w:w="0" w:type="dxa"/>
              <w:right w:w="15" w:type="dxa"/>
            </w:tcMar>
            <w:vAlign w:val="bottom"/>
            <w:hideMark/>
          </w:tcPr>
          <w:p w14:paraId="04222E2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2E51888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CFF0FC"/>
            <w:noWrap/>
            <w:tcMar>
              <w:top w:w="15" w:type="dxa"/>
              <w:left w:w="0" w:type="dxa"/>
              <w:bottom w:w="0" w:type="dxa"/>
              <w:right w:w="15" w:type="dxa"/>
            </w:tcMar>
            <w:vAlign w:val="bottom"/>
            <w:hideMark/>
          </w:tcPr>
          <w:p w14:paraId="08EF6E4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tcBorders>
              <w:top w:val="single" w:sz="6" w:space="0" w:color="000000"/>
            </w:tcBorders>
            <w:shd w:val="clear" w:color="auto" w:fill="CFF0FC"/>
            <w:noWrap/>
            <w:tcMar>
              <w:top w:w="15" w:type="dxa"/>
              <w:left w:w="0" w:type="dxa"/>
              <w:bottom w:w="0" w:type="dxa"/>
              <w:right w:w="15" w:type="dxa"/>
            </w:tcMar>
            <w:vAlign w:val="bottom"/>
            <w:hideMark/>
          </w:tcPr>
          <w:p w14:paraId="646634F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27,065</w:t>
            </w:r>
          </w:p>
        </w:tc>
        <w:tc>
          <w:tcPr>
            <w:tcW w:w="44" w:type="pct"/>
            <w:shd w:val="clear" w:color="auto" w:fill="CFF0FC"/>
            <w:noWrap/>
            <w:tcMar>
              <w:top w:w="15" w:type="dxa"/>
              <w:left w:w="0" w:type="dxa"/>
              <w:bottom w:w="0" w:type="dxa"/>
              <w:right w:w="15" w:type="dxa"/>
            </w:tcMar>
            <w:vAlign w:val="bottom"/>
            <w:hideMark/>
          </w:tcPr>
          <w:p w14:paraId="400BCBA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1F90247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top w:val="single" w:sz="6" w:space="0" w:color="000000"/>
            </w:tcBorders>
            <w:shd w:val="clear" w:color="auto" w:fill="CFF0FC"/>
            <w:noWrap/>
            <w:tcMar>
              <w:top w:w="15" w:type="dxa"/>
              <w:left w:w="0" w:type="dxa"/>
              <w:bottom w:w="0" w:type="dxa"/>
              <w:right w:w="15" w:type="dxa"/>
            </w:tcMar>
            <w:vAlign w:val="bottom"/>
            <w:hideMark/>
          </w:tcPr>
          <w:p w14:paraId="77D4244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tcBorders>
              <w:top w:val="single" w:sz="6" w:space="0" w:color="000000"/>
            </w:tcBorders>
            <w:shd w:val="clear" w:color="auto" w:fill="CFF0FC"/>
            <w:noWrap/>
            <w:tcMar>
              <w:top w:w="15" w:type="dxa"/>
              <w:left w:w="0" w:type="dxa"/>
              <w:bottom w:w="0" w:type="dxa"/>
              <w:right w:w="15" w:type="dxa"/>
            </w:tcMar>
            <w:vAlign w:val="bottom"/>
            <w:hideMark/>
          </w:tcPr>
          <w:p w14:paraId="207F937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28,535</w:t>
            </w:r>
          </w:p>
        </w:tc>
        <w:tc>
          <w:tcPr>
            <w:tcW w:w="44" w:type="pct"/>
            <w:shd w:val="clear" w:color="auto" w:fill="CFF0FC"/>
            <w:noWrap/>
            <w:tcMar>
              <w:top w:w="15" w:type="dxa"/>
              <w:left w:w="0" w:type="dxa"/>
              <w:bottom w:w="0" w:type="dxa"/>
              <w:right w:w="15" w:type="dxa"/>
            </w:tcMar>
            <w:vAlign w:val="bottom"/>
            <w:hideMark/>
          </w:tcPr>
          <w:p w14:paraId="59497C4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733151C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tcBorders>
            <w:shd w:val="clear" w:color="auto" w:fill="CFF0FC"/>
            <w:noWrap/>
            <w:tcMar>
              <w:top w:w="15" w:type="dxa"/>
              <w:left w:w="0" w:type="dxa"/>
              <w:bottom w:w="0" w:type="dxa"/>
              <w:right w:w="15" w:type="dxa"/>
            </w:tcMar>
            <w:vAlign w:val="bottom"/>
            <w:hideMark/>
          </w:tcPr>
          <w:p w14:paraId="461C5DD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top w:val="single" w:sz="6" w:space="0" w:color="000000"/>
            </w:tcBorders>
            <w:shd w:val="clear" w:color="auto" w:fill="CFF0FC"/>
            <w:noWrap/>
            <w:tcMar>
              <w:top w:w="15" w:type="dxa"/>
              <w:left w:w="0" w:type="dxa"/>
              <w:bottom w:w="0" w:type="dxa"/>
              <w:right w:w="15" w:type="dxa"/>
            </w:tcMar>
            <w:vAlign w:val="bottom"/>
            <w:hideMark/>
          </w:tcPr>
          <w:p w14:paraId="494A0E9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(860</w:t>
            </w:r>
          </w:p>
        </w:tc>
        <w:tc>
          <w:tcPr>
            <w:tcW w:w="44" w:type="pct"/>
            <w:shd w:val="clear" w:color="auto" w:fill="CFF0FC"/>
            <w:noWrap/>
            <w:tcMar>
              <w:top w:w="15" w:type="dxa"/>
              <w:left w:w="0" w:type="dxa"/>
              <w:bottom w:w="0" w:type="dxa"/>
              <w:right w:w="15" w:type="dxa"/>
            </w:tcMar>
            <w:vAlign w:val="bottom"/>
            <w:hideMark/>
          </w:tcPr>
          <w:p w14:paraId="391EF49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739981F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tcBorders>
            <w:shd w:val="clear" w:color="auto" w:fill="CFF0FC"/>
            <w:noWrap/>
            <w:tcMar>
              <w:top w:w="15" w:type="dxa"/>
              <w:left w:w="0" w:type="dxa"/>
              <w:bottom w:w="0" w:type="dxa"/>
              <w:right w:w="15" w:type="dxa"/>
            </w:tcMar>
            <w:vAlign w:val="bottom"/>
            <w:hideMark/>
          </w:tcPr>
          <w:p w14:paraId="631AF2E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top w:val="single" w:sz="6" w:space="0" w:color="000000"/>
            </w:tcBorders>
            <w:shd w:val="clear" w:color="auto" w:fill="CFF0FC"/>
            <w:noWrap/>
            <w:tcMar>
              <w:top w:w="15" w:type="dxa"/>
              <w:left w:w="0" w:type="dxa"/>
              <w:bottom w:w="0" w:type="dxa"/>
              <w:right w:w="15" w:type="dxa"/>
            </w:tcMar>
            <w:vAlign w:val="bottom"/>
            <w:hideMark/>
          </w:tcPr>
          <w:p w14:paraId="1BE4BD8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54,740</w:t>
            </w:r>
          </w:p>
        </w:tc>
        <w:tc>
          <w:tcPr>
            <w:tcW w:w="44" w:type="pct"/>
            <w:shd w:val="clear" w:color="auto" w:fill="CFF0FC"/>
            <w:noWrap/>
            <w:tcMar>
              <w:top w:w="15" w:type="dxa"/>
              <w:left w:w="0" w:type="dxa"/>
              <w:bottom w:w="0" w:type="dxa"/>
              <w:right w:w="15" w:type="dxa"/>
            </w:tcMar>
            <w:vAlign w:val="bottom"/>
            <w:hideMark/>
          </w:tcPr>
          <w:p w14:paraId="31473CA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14EDD7D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tcBorders>
            <w:shd w:val="clear" w:color="auto" w:fill="CFF0FC"/>
            <w:noWrap/>
            <w:tcMar>
              <w:top w:w="15" w:type="dxa"/>
              <w:left w:w="0" w:type="dxa"/>
              <w:bottom w:w="0" w:type="dxa"/>
              <w:right w:w="15" w:type="dxa"/>
            </w:tcMar>
            <w:vAlign w:val="bottom"/>
            <w:hideMark/>
          </w:tcPr>
          <w:p w14:paraId="037EF7E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tcBorders>
              <w:top w:val="single" w:sz="6" w:space="0" w:color="000000"/>
            </w:tcBorders>
            <w:shd w:val="clear" w:color="auto" w:fill="CFF0FC"/>
            <w:noWrap/>
            <w:tcMar>
              <w:top w:w="15" w:type="dxa"/>
              <w:left w:w="0" w:type="dxa"/>
              <w:bottom w:w="0" w:type="dxa"/>
              <w:right w:w="15" w:type="dxa"/>
            </w:tcMar>
            <w:vAlign w:val="bottom"/>
            <w:hideMark/>
          </w:tcPr>
          <w:p w14:paraId="38FA133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390</w:t>
            </w:r>
          </w:p>
        </w:tc>
        <w:tc>
          <w:tcPr>
            <w:tcW w:w="45" w:type="pct"/>
            <w:shd w:val="clear" w:color="auto" w:fill="CFF0FC"/>
            <w:noWrap/>
            <w:tcMar>
              <w:top w:w="15" w:type="dxa"/>
              <w:left w:w="0" w:type="dxa"/>
              <w:bottom w:w="0" w:type="dxa"/>
              <w:right w:w="15" w:type="dxa"/>
            </w:tcMar>
            <w:vAlign w:val="bottom"/>
            <w:hideMark/>
          </w:tcPr>
          <w:p w14:paraId="6CC10AB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44C3E19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CFF0FC"/>
            <w:noWrap/>
            <w:tcMar>
              <w:top w:w="15" w:type="dxa"/>
              <w:left w:w="0" w:type="dxa"/>
              <w:bottom w:w="0" w:type="dxa"/>
              <w:right w:w="15" w:type="dxa"/>
            </w:tcMar>
            <w:vAlign w:val="bottom"/>
            <w:hideMark/>
          </w:tcPr>
          <w:p w14:paraId="29B368F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tcBorders>
              <w:top w:val="single" w:sz="6" w:space="0" w:color="000000"/>
            </w:tcBorders>
            <w:shd w:val="clear" w:color="auto" w:fill="CFF0FC"/>
            <w:noWrap/>
            <w:tcMar>
              <w:top w:w="15" w:type="dxa"/>
              <w:left w:w="0" w:type="dxa"/>
              <w:bottom w:w="0" w:type="dxa"/>
              <w:right w:w="15" w:type="dxa"/>
            </w:tcMar>
            <w:vAlign w:val="bottom"/>
            <w:hideMark/>
          </w:tcPr>
          <w:p w14:paraId="62CE2A7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55,130</w:t>
            </w:r>
          </w:p>
        </w:tc>
        <w:tc>
          <w:tcPr>
            <w:tcW w:w="31" w:type="pct"/>
            <w:shd w:val="clear" w:color="auto" w:fill="CFF0FC"/>
            <w:noWrap/>
            <w:tcMar>
              <w:top w:w="15" w:type="dxa"/>
              <w:left w:w="0" w:type="dxa"/>
              <w:bottom w:w="0" w:type="dxa"/>
              <w:right w:w="15" w:type="dxa"/>
            </w:tcMar>
            <w:vAlign w:val="bottom"/>
            <w:hideMark/>
          </w:tcPr>
          <w:p w14:paraId="1A3FD83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3EAECD5E" w14:textId="77777777">
        <w:trPr>
          <w:divId w:val="175466462"/>
          <w:jc w:val="center"/>
        </w:trPr>
        <w:tc>
          <w:tcPr>
            <w:tcW w:w="1650" w:type="pct"/>
            <w:shd w:val="clear" w:color="auto" w:fill="FFFFFF"/>
            <w:tcMar>
              <w:top w:w="15" w:type="dxa"/>
              <w:left w:w="0" w:type="dxa"/>
              <w:bottom w:w="0" w:type="dxa"/>
              <w:right w:w="15" w:type="dxa"/>
            </w:tcMar>
            <w:hideMark/>
          </w:tcPr>
          <w:p w14:paraId="5A1FCA4E"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stock-based compensation plans</w:t>
            </w:r>
          </w:p>
        </w:tc>
        <w:tc>
          <w:tcPr>
            <w:tcW w:w="44" w:type="pct"/>
            <w:shd w:val="clear" w:color="auto" w:fill="FFFFFF"/>
            <w:tcMar>
              <w:top w:w="15" w:type="dxa"/>
              <w:left w:w="0" w:type="dxa"/>
              <w:bottom w:w="0" w:type="dxa"/>
              <w:right w:w="15" w:type="dxa"/>
            </w:tcMar>
            <w:vAlign w:val="bottom"/>
            <w:hideMark/>
          </w:tcPr>
          <w:p w14:paraId="10A0FDA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0B2F0DE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273495B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105</w:t>
            </w:r>
          </w:p>
        </w:tc>
        <w:tc>
          <w:tcPr>
            <w:tcW w:w="44" w:type="pct"/>
            <w:shd w:val="clear" w:color="auto" w:fill="FFFFFF"/>
            <w:noWrap/>
            <w:tcMar>
              <w:top w:w="15" w:type="dxa"/>
              <w:left w:w="0" w:type="dxa"/>
              <w:bottom w:w="0" w:type="dxa"/>
              <w:right w:w="15" w:type="dxa"/>
            </w:tcMar>
            <w:vAlign w:val="bottom"/>
            <w:hideMark/>
          </w:tcPr>
          <w:p w14:paraId="2760FFB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4F3F3F6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48708BD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20B28CA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2,277</w:t>
            </w:r>
          </w:p>
        </w:tc>
        <w:tc>
          <w:tcPr>
            <w:tcW w:w="44" w:type="pct"/>
            <w:shd w:val="clear" w:color="auto" w:fill="FFFFFF"/>
            <w:noWrap/>
            <w:tcMar>
              <w:top w:w="15" w:type="dxa"/>
              <w:left w:w="0" w:type="dxa"/>
              <w:bottom w:w="0" w:type="dxa"/>
              <w:right w:w="15" w:type="dxa"/>
            </w:tcMar>
            <w:vAlign w:val="bottom"/>
            <w:hideMark/>
          </w:tcPr>
          <w:p w14:paraId="7CC9D32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65B76B9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48A8796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0246E2B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7474BFC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3DEE16B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71E9C70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3085A7B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127F223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32508DE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5761467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49D911C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2,277</w:t>
            </w:r>
          </w:p>
        </w:tc>
        <w:tc>
          <w:tcPr>
            <w:tcW w:w="44" w:type="pct"/>
            <w:shd w:val="clear" w:color="auto" w:fill="FFFFFF"/>
            <w:noWrap/>
            <w:tcMar>
              <w:top w:w="15" w:type="dxa"/>
              <w:left w:w="0" w:type="dxa"/>
              <w:bottom w:w="0" w:type="dxa"/>
              <w:right w:w="15" w:type="dxa"/>
            </w:tcMar>
            <w:vAlign w:val="bottom"/>
            <w:hideMark/>
          </w:tcPr>
          <w:p w14:paraId="278B00B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1AA8348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41F38E5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37A83FA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4C9F9FC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22C227A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0D791E7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7A93B14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2,277</w:t>
            </w:r>
          </w:p>
        </w:tc>
        <w:tc>
          <w:tcPr>
            <w:tcW w:w="31" w:type="pct"/>
            <w:shd w:val="clear" w:color="auto" w:fill="FFFFFF"/>
            <w:noWrap/>
            <w:tcMar>
              <w:top w:w="15" w:type="dxa"/>
              <w:left w:w="0" w:type="dxa"/>
              <w:bottom w:w="0" w:type="dxa"/>
              <w:right w:w="15" w:type="dxa"/>
            </w:tcMar>
            <w:vAlign w:val="bottom"/>
            <w:hideMark/>
          </w:tcPr>
          <w:p w14:paraId="0F049AA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07B82DB2" w14:textId="77777777">
        <w:trPr>
          <w:divId w:val="175466462"/>
          <w:jc w:val="center"/>
        </w:trPr>
        <w:tc>
          <w:tcPr>
            <w:tcW w:w="1650" w:type="pct"/>
            <w:shd w:val="clear" w:color="auto" w:fill="CFF0FC"/>
            <w:tcMar>
              <w:top w:w="15" w:type="dxa"/>
              <w:left w:w="0" w:type="dxa"/>
              <w:bottom w:w="0" w:type="dxa"/>
              <w:right w:w="15" w:type="dxa"/>
            </w:tcMar>
            <w:hideMark/>
          </w:tcPr>
          <w:p w14:paraId="530965EA"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 purchase plans</w:t>
            </w:r>
          </w:p>
        </w:tc>
        <w:tc>
          <w:tcPr>
            <w:tcW w:w="44" w:type="pct"/>
            <w:shd w:val="clear" w:color="auto" w:fill="CFF0FC"/>
            <w:tcMar>
              <w:top w:w="15" w:type="dxa"/>
              <w:left w:w="0" w:type="dxa"/>
              <w:bottom w:w="0" w:type="dxa"/>
              <w:right w:w="15" w:type="dxa"/>
            </w:tcMar>
            <w:vAlign w:val="bottom"/>
            <w:hideMark/>
          </w:tcPr>
          <w:p w14:paraId="2A97A8E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1736CF0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2CB0183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w:t>
            </w:r>
          </w:p>
        </w:tc>
        <w:tc>
          <w:tcPr>
            <w:tcW w:w="44" w:type="pct"/>
            <w:shd w:val="clear" w:color="auto" w:fill="CFF0FC"/>
            <w:noWrap/>
            <w:tcMar>
              <w:top w:w="15" w:type="dxa"/>
              <w:left w:w="0" w:type="dxa"/>
              <w:bottom w:w="0" w:type="dxa"/>
              <w:right w:w="15" w:type="dxa"/>
            </w:tcMar>
            <w:vAlign w:val="bottom"/>
            <w:hideMark/>
          </w:tcPr>
          <w:p w14:paraId="7A9E521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26C13C1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5E2A12B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0F1C0B3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125</w:t>
            </w:r>
          </w:p>
        </w:tc>
        <w:tc>
          <w:tcPr>
            <w:tcW w:w="44" w:type="pct"/>
            <w:shd w:val="clear" w:color="auto" w:fill="CFF0FC"/>
            <w:noWrap/>
            <w:tcMar>
              <w:top w:w="15" w:type="dxa"/>
              <w:left w:w="0" w:type="dxa"/>
              <w:bottom w:w="0" w:type="dxa"/>
              <w:right w:w="15" w:type="dxa"/>
            </w:tcMar>
            <w:vAlign w:val="bottom"/>
            <w:hideMark/>
          </w:tcPr>
          <w:p w14:paraId="41E5DFB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2AC460E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4AC717B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52E5F3D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5AC76A1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2F3D29E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587C617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36B341E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15F445E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572AD34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20F96B7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1B9CB86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125</w:t>
            </w:r>
          </w:p>
        </w:tc>
        <w:tc>
          <w:tcPr>
            <w:tcW w:w="44" w:type="pct"/>
            <w:shd w:val="clear" w:color="auto" w:fill="CFF0FC"/>
            <w:noWrap/>
            <w:tcMar>
              <w:top w:w="15" w:type="dxa"/>
              <w:left w:w="0" w:type="dxa"/>
              <w:bottom w:w="0" w:type="dxa"/>
              <w:right w:w="15" w:type="dxa"/>
            </w:tcMar>
            <w:vAlign w:val="bottom"/>
            <w:hideMark/>
          </w:tcPr>
          <w:p w14:paraId="665B312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5379173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677D148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4488DCE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left w:w="0" w:type="dxa"/>
              <w:bottom w:w="0" w:type="dxa"/>
              <w:right w:w="15" w:type="dxa"/>
            </w:tcMar>
            <w:vAlign w:val="bottom"/>
            <w:hideMark/>
          </w:tcPr>
          <w:p w14:paraId="518E5DC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5DB19F4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0238087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3AA8798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125</w:t>
            </w:r>
          </w:p>
        </w:tc>
        <w:tc>
          <w:tcPr>
            <w:tcW w:w="31" w:type="pct"/>
            <w:shd w:val="clear" w:color="auto" w:fill="CFF0FC"/>
            <w:noWrap/>
            <w:tcMar>
              <w:top w:w="15" w:type="dxa"/>
              <w:left w:w="0" w:type="dxa"/>
              <w:bottom w:w="0" w:type="dxa"/>
              <w:right w:w="15" w:type="dxa"/>
            </w:tcMar>
            <w:vAlign w:val="bottom"/>
            <w:hideMark/>
          </w:tcPr>
          <w:p w14:paraId="6C4AAC1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1E985E10" w14:textId="77777777">
        <w:trPr>
          <w:divId w:val="175466462"/>
          <w:jc w:val="center"/>
        </w:trPr>
        <w:tc>
          <w:tcPr>
            <w:tcW w:w="1650" w:type="pct"/>
            <w:shd w:val="clear" w:color="auto" w:fill="FFFFFF"/>
            <w:tcMar>
              <w:top w:w="15" w:type="dxa"/>
              <w:left w:w="0" w:type="dxa"/>
              <w:bottom w:w="0" w:type="dxa"/>
              <w:right w:w="15" w:type="dxa"/>
            </w:tcMar>
            <w:hideMark/>
          </w:tcPr>
          <w:p w14:paraId="3FBDC295"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Assumption of stock-based compensation plan awards in connection with acquisitions</w:t>
            </w:r>
          </w:p>
        </w:tc>
        <w:tc>
          <w:tcPr>
            <w:tcW w:w="44" w:type="pct"/>
            <w:shd w:val="clear" w:color="auto" w:fill="FFFFFF"/>
            <w:tcMar>
              <w:top w:w="15" w:type="dxa"/>
              <w:left w:w="0" w:type="dxa"/>
              <w:bottom w:w="0" w:type="dxa"/>
              <w:right w:w="15" w:type="dxa"/>
            </w:tcMar>
            <w:vAlign w:val="bottom"/>
            <w:hideMark/>
          </w:tcPr>
          <w:p w14:paraId="6DDE9B7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0FFE9C5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35C172E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5962D17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3F0A236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02FE406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6EFA6D0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w:t>
            </w:r>
          </w:p>
        </w:tc>
        <w:tc>
          <w:tcPr>
            <w:tcW w:w="44" w:type="pct"/>
            <w:shd w:val="clear" w:color="auto" w:fill="FFFFFF"/>
            <w:noWrap/>
            <w:tcMar>
              <w:top w:w="15" w:type="dxa"/>
              <w:left w:w="0" w:type="dxa"/>
              <w:bottom w:w="0" w:type="dxa"/>
              <w:right w:w="15" w:type="dxa"/>
            </w:tcMar>
            <w:vAlign w:val="bottom"/>
            <w:hideMark/>
          </w:tcPr>
          <w:p w14:paraId="1835F18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687E966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5B5C3A7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7C3BD3A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1E33812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38EE030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1DF782F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3B68A3B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385C5BD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4A3D580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2E679CA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57F07EE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w:t>
            </w:r>
          </w:p>
        </w:tc>
        <w:tc>
          <w:tcPr>
            <w:tcW w:w="44" w:type="pct"/>
            <w:shd w:val="clear" w:color="auto" w:fill="FFFFFF"/>
            <w:noWrap/>
            <w:tcMar>
              <w:top w:w="15" w:type="dxa"/>
              <w:left w:w="0" w:type="dxa"/>
              <w:bottom w:w="0" w:type="dxa"/>
              <w:right w:w="15" w:type="dxa"/>
            </w:tcMar>
            <w:vAlign w:val="bottom"/>
            <w:hideMark/>
          </w:tcPr>
          <w:p w14:paraId="4041BA3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3491965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5041509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74BD612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204627F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3E78B53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37CC70B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390E159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w:t>
            </w:r>
          </w:p>
        </w:tc>
        <w:tc>
          <w:tcPr>
            <w:tcW w:w="31" w:type="pct"/>
            <w:shd w:val="clear" w:color="auto" w:fill="FFFFFF"/>
            <w:noWrap/>
            <w:tcMar>
              <w:top w:w="15" w:type="dxa"/>
              <w:left w:w="0" w:type="dxa"/>
              <w:bottom w:w="0" w:type="dxa"/>
              <w:right w:w="15" w:type="dxa"/>
            </w:tcMar>
            <w:vAlign w:val="bottom"/>
            <w:hideMark/>
          </w:tcPr>
          <w:p w14:paraId="6C5F49A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71E988F6" w14:textId="77777777">
        <w:trPr>
          <w:divId w:val="175466462"/>
          <w:jc w:val="center"/>
        </w:trPr>
        <w:tc>
          <w:tcPr>
            <w:tcW w:w="1650" w:type="pct"/>
            <w:shd w:val="clear" w:color="auto" w:fill="CFF0FC"/>
            <w:tcMar>
              <w:top w:w="15" w:type="dxa"/>
              <w:left w:w="0" w:type="dxa"/>
              <w:bottom w:w="0" w:type="dxa"/>
              <w:right w:w="15" w:type="dxa"/>
            </w:tcMar>
            <w:hideMark/>
          </w:tcPr>
          <w:p w14:paraId="565D44AF"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Stock-based compensation</w:t>
            </w:r>
          </w:p>
        </w:tc>
        <w:tc>
          <w:tcPr>
            <w:tcW w:w="44" w:type="pct"/>
            <w:shd w:val="clear" w:color="auto" w:fill="CFF0FC"/>
            <w:tcMar>
              <w:top w:w="15" w:type="dxa"/>
              <w:left w:w="0" w:type="dxa"/>
              <w:bottom w:w="0" w:type="dxa"/>
              <w:right w:w="15" w:type="dxa"/>
            </w:tcMar>
            <w:vAlign w:val="bottom"/>
            <w:hideMark/>
          </w:tcPr>
          <w:p w14:paraId="5320C23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2AC8A81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6EE5D6A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026852A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7738B5D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55A5417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3FCD57E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1,607</w:t>
            </w:r>
          </w:p>
        </w:tc>
        <w:tc>
          <w:tcPr>
            <w:tcW w:w="44" w:type="pct"/>
            <w:shd w:val="clear" w:color="auto" w:fill="CFF0FC"/>
            <w:noWrap/>
            <w:tcMar>
              <w:top w:w="15" w:type="dxa"/>
              <w:left w:w="0" w:type="dxa"/>
              <w:bottom w:w="0" w:type="dxa"/>
              <w:right w:w="15" w:type="dxa"/>
            </w:tcMar>
            <w:vAlign w:val="bottom"/>
            <w:hideMark/>
          </w:tcPr>
          <w:p w14:paraId="43B24BC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2A11EBB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0C8D47F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230F93B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27A1E4E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08D6AE6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2EEDB2B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6FEE9FC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30755C9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216D833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014EB81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43F8C9D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1,607</w:t>
            </w:r>
          </w:p>
        </w:tc>
        <w:tc>
          <w:tcPr>
            <w:tcW w:w="44" w:type="pct"/>
            <w:shd w:val="clear" w:color="auto" w:fill="CFF0FC"/>
            <w:noWrap/>
            <w:tcMar>
              <w:top w:w="15" w:type="dxa"/>
              <w:left w:w="0" w:type="dxa"/>
              <w:bottom w:w="0" w:type="dxa"/>
              <w:right w:w="15" w:type="dxa"/>
            </w:tcMar>
            <w:vAlign w:val="bottom"/>
            <w:hideMark/>
          </w:tcPr>
          <w:p w14:paraId="3A63BFC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1FC2157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73BDF84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59E9ABC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left w:w="0" w:type="dxa"/>
              <w:bottom w:w="0" w:type="dxa"/>
              <w:right w:w="15" w:type="dxa"/>
            </w:tcMar>
            <w:vAlign w:val="bottom"/>
            <w:hideMark/>
          </w:tcPr>
          <w:p w14:paraId="746FED4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04EF6E0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705DC2D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58095F7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1,607</w:t>
            </w:r>
          </w:p>
        </w:tc>
        <w:tc>
          <w:tcPr>
            <w:tcW w:w="31" w:type="pct"/>
            <w:shd w:val="clear" w:color="auto" w:fill="CFF0FC"/>
            <w:noWrap/>
            <w:tcMar>
              <w:top w:w="15" w:type="dxa"/>
              <w:left w:w="0" w:type="dxa"/>
              <w:bottom w:w="0" w:type="dxa"/>
              <w:right w:w="15" w:type="dxa"/>
            </w:tcMar>
            <w:vAlign w:val="bottom"/>
            <w:hideMark/>
          </w:tcPr>
          <w:p w14:paraId="7AA047A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77FC1F0B" w14:textId="77777777">
        <w:trPr>
          <w:divId w:val="175466462"/>
          <w:jc w:val="center"/>
        </w:trPr>
        <w:tc>
          <w:tcPr>
            <w:tcW w:w="1650" w:type="pct"/>
            <w:shd w:val="clear" w:color="auto" w:fill="FFFFFF"/>
            <w:tcMar>
              <w:top w:w="15" w:type="dxa"/>
              <w:left w:w="0" w:type="dxa"/>
              <w:bottom w:w="0" w:type="dxa"/>
              <w:right w:w="15" w:type="dxa"/>
            </w:tcMar>
            <w:hideMark/>
          </w:tcPr>
          <w:p w14:paraId="273847AB"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Repurchase of common stock</w:t>
            </w:r>
          </w:p>
        </w:tc>
        <w:tc>
          <w:tcPr>
            <w:tcW w:w="44" w:type="pct"/>
            <w:shd w:val="clear" w:color="auto" w:fill="FFFFFF"/>
            <w:tcMar>
              <w:top w:w="15" w:type="dxa"/>
              <w:left w:w="0" w:type="dxa"/>
              <w:bottom w:w="0" w:type="dxa"/>
              <w:right w:w="15" w:type="dxa"/>
            </w:tcMar>
            <w:vAlign w:val="bottom"/>
            <w:hideMark/>
          </w:tcPr>
          <w:p w14:paraId="3522402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7E046B5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0A95D70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(238</w:t>
            </w:r>
          </w:p>
        </w:tc>
        <w:tc>
          <w:tcPr>
            <w:tcW w:w="44" w:type="pct"/>
            <w:shd w:val="clear" w:color="auto" w:fill="FFFFFF"/>
            <w:noWrap/>
            <w:tcMar>
              <w:top w:w="15" w:type="dxa"/>
              <w:left w:w="0" w:type="dxa"/>
              <w:bottom w:w="0" w:type="dxa"/>
              <w:right w:w="15" w:type="dxa"/>
            </w:tcMar>
            <w:vAlign w:val="bottom"/>
            <w:hideMark/>
          </w:tcPr>
          <w:p w14:paraId="3166B78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4C9A9DC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62A424A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4E1DEA9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(1,632</w:t>
            </w:r>
          </w:p>
        </w:tc>
        <w:tc>
          <w:tcPr>
            <w:tcW w:w="44" w:type="pct"/>
            <w:shd w:val="clear" w:color="auto" w:fill="FFFFFF"/>
            <w:noWrap/>
            <w:tcMar>
              <w:top w:w="15" w:type="dxa"/>
              <w:left w:w="0" w:type="dxa"/>
              <w:bottom w:w="0" w:type="dxa"/>
              <w:right w:w="15" w:type="dxa"/>
            </w:tcMar>
            <w:vAlign w:val="bottom"/>
            <w:hideMark/>
          </w:tcPr>
          <w:p w14:paraId="6CBD5BE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377A82F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71FFB28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7970824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(9,871</w:t>
            </w:r>
          </w:p>
        </w:tc>
        <w:tc>
          <w:tcPr>
            <w:tcW w:w="44" w:type="pct"/>
            <w:shd w:val="clear" w:color="auto" w:fill="FFFFFF"/>
            <w:noWrap/>
            <w:tcMar>
              <w:top w:w="15" w:type="dxa"/>
              <w:left w:w="0" w:type="dxa"/>
              <w:bottom w:w="0" w:type="dxa"/>
              <w:right w:w="15" w:type="dxa"/>
            </w:tcMar>
            <w:vAlign w:val="bottom"/>
            <w:hideMark/>
          </w:tcPr>
          <w:p w14:paraId="6C423E8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4466649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272DC5B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220663D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6A319DC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0C7DBCC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4EBEB7B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059BAB0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(11,503</w:t>
            </w:r>
          </w:p>
        </w:tc>
        <w:tc>
          <w:tcPr>
            <w:tcW w:w="44" w:type="pct"/>
            <w:shd w:val="clear" w:color="auto" w:fill="FFFFFF"/>
            <w:noWrap/>
            <w:tcMar>
              <w:top w:w="15" w:type="dxa"/>
              <w:left w:w="0" w:type="dxa"/>
              <w:bottom w:w="0" w:type="dxa"/>
              <w:right w:w="15" w:type="dxa"/>
            </w:tcMar>
            <w:vAlign w:val="bottom"/>
            <w:hideMark/>
          </w:tcPr>
          <w:p w14:paraId="3FFCC51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left w:w="0" w:type="dxa"/>
              <w:bottom w:w="0" w:type="dxa"/>
              <w:right w:w="15" w:type="dxa"/>
            </w:tcMar>
            <w:vAlign w:val="bottom"/>
            <w:hideMark/>
          </w:tcPr>
          <w:p w14:paraId="5F22013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36963AA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3C54188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013E4F1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4E6DAB0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60462A4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7ED157E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(11,503</w:t>
            </w:r>
          </w:p>
        </w:tc>
        <w:tc>
          <w:tcPr>
            <w:tcW w:w="31" w:type="pct"/>
            <w:shd w:val="clear" w:color="auto" w:fill="FFFFFF"/>
            <w:noWrap/>
            <w:tcMar>
              <w:top w:w="15" w:type="dxa"/>
              <w:left w:w="0" w:type="dxa"/>
              <w:bottom w:w="0" w:type="dxa"/>
              <w:right w:w="15" w:type="dxa"/>
            </w:tcMar>
            <w:vAlign w:val="bottom"/>
            <w:hideMark/>
          </w:tcPr>
          <w:p w14:paraId="402574B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4F7508C3" w14:textId="77777777">
        <w:trPr>
          <w:divId w:val="175466462"/>
          <w:jc w:val="center"/>
        </w:trPr>
        <w:tc>
          <w:tcPr>
            <w:tcW w:w="1650" w:type="pct"/>
            <w:shd w:val="clear" w:color="auto" w:fill="CFF0FC"/>
            <w:tcMar>
              <w:top w:w="15" w:type="dxa"/>
              <w:left w:w="0" w:type="dxa"/>
              <w:bottom w:w="0" w:type="dxa"/>
              <w:right w:w="15" w:type="dxa"/>
            </w:tcMar>
            <w:hideMark/>
          </w:tcPr>
          <w:p w14:paraId="1E3FE588"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44" w:type="pct"/>
            <w:shd w:val="clear" w:color="auto" w:fill="CFF0FC"/>
            <w:tcMar>
              <w:top w:w="15" w:type="dxa"/>
              <w:left w:w="0" w:type="dxa"/>
              <w:bottom w:w="0" w:type="dxa"/>
              <w:right w:w="15" w:type="dxa"/>
            </w:tcMar>
            <w:vAlign w:val="bottom"/>
            <w:hideMark/>
          </w:tcPr>
          <w:p w14:paraId="145541B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25C5C80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2F971B7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(10</w:t>
            </w:r>
          </w:p>
        </w:tc>
        <w:tc>
          <w:tcPr>
            <w:tcW w:w="44" w:type="pct"/>
            <w:shd w:val="clear" w:color="auto" w:fill="CFF0FC"/>
            <w:noWrap/>
            <w:tcMar>
              <w:top w:w="15" w:type="dxa"/>
              <w:left w:w="0" w:type="dxa"/>
              <w:bottom w:w="0" w:type="dxa"/>
              <w:right w:w="15" w:type="dxa"/>
            </w:tcMar>
            <w:vAlign w:val="bottom"/>
            <w:hideMark/>
          </w:tcPr>
          <w:p w14:paraId="53049DA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73212D8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5ADCFC7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6ACE72D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(506</w:t>
            </w:r>
          </w:p>
        </w:tc>
        <w:tc>
          <w:tcPr>
            <w:tcW w:w="44" w:type="pct"/>
            <w:shd w:val="clear" w:color="auto" w:fill="CFF0FC"/>
            <w:noWrap/>
            <w:tcMar>
              <w:top w:w="15" w:type="dxa"/>
              <w:left w:w="0" w:type="dxa"/>
              <w:bottom w:w="0" w:type="dxa"/>
              <w:right w:w="15" w:type="dxa"/>
            </w:tcMar>
            <w:vAlign w:val="bottom"/>
            <w:hideMark/>
          </w:tcPr>
          <w:p w14:paraId="0D1792F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5C6EF6C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27FF498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07B584B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59B0EF7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73DF8EA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6270A87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16FC74C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6E1937C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587CE72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4ABD206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5492048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(506</w:t>
            </w:r>
          </w:p>
        </w:tc>
        <w:tc>
          <w:tcPr>
            <w:tcW w:w="44" w:type="pct"/>
            <w:shd w:val="clear" w:color="auto" w:fill="CFF0FC"/>
            <w:noWrap/>
            <w:tcMar>
              <w:top w:w="15" w:type="dxa"/>
              <w:left w:w="0" w:type="dxa"/>
              <w:bottom w:w="0" w:type="dxa"/>
              <w:right w:w="15" w:type="dxa"/>
            </w:tcMar>
            <w:vAlign w:val="bottom"/>
            <w:hideMark/>
          </w:tcPr>
          <w:p w14:paraId="00C5D1A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left w:w="0" w:type="dxa"/>
              <w:bottom w:w="0" w:type="dxa"/>
              <w:right w:w="15" w:type="dxa"/>
            </w:tcMar>
            <w:vAlign w:val="bottom"/>
            <w:hideMark/>
          </w:tcPr>
          <w:p w14:paraId="4009604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42BFE88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57493D3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left w:w="0" w:type="dxa"/>
              <w:bottom w:w="0" w:type="dxa"/>
              <w:right w:w="15" w:type="dxa"/>
            </w:tcMar>
            <w:vAlign w:val="bottom"/>
            <w:hideMark/>
          </w:tcPr>
          <w:p w14:paraId="2FBE589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3458C0F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4BEF9B1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421DDFF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(506</w:t>
            </w:r>
          </w:p>
        </w:tc>
        <w:tc>
          <w:tcPr>
            <w:tcW w:w="31" w:type="pct"/>
            <w:shd w:val="clear" w:color="auto" w:fill="CFF0FC"/>
            <w:noWrap/>
            <w:tcMar>
              <w:top w:w="15" w:type="dxa"/>
              <w:left w:w="0" w:type="dxa"/>
              <w:bottom w:w="0" w:type="dxa"/>
              <w:right w:w="15" w:type="dxa"/>
            </w:tcMar>
            <w:vAlign w:val="bottom"/>
            <w:hideMark/>
          </w:tcPr>
          <w:p w14:paraId="0F26681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5D318594" w14:textId="77777777">
        <w:trPr>
          <w:divId w:val="175466462"/>
          <w:jc w:val="center"/>
        </w:trPr>
        <w:tc>
          <w:tcPr>
            <w:tcW w:w="1650" w:type="pct"/>
            <w:shd w:val="clear" w:color="auto" w:fill="FFFFFF"/>
            <w:tcMar>
              <w:top w:w="15" w:type="dxa"/>
              <w:left w:w="0" w:type="dxa"/>
              <w:bottom w:w="0" w:type="dxa"/>
              <w:right w:w="15" w:type="dxa"/>
            </w:tcMar>
            <w:hideMark/>
          </w:tcPr>
          <w:p w14:paraId="57DDEDB7"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Cash dividends declared ($0.76 per share)</w:t>
            </w:r>
          </w:p>
        </w:tc>
        <w:tc>
          <w:tcPr>
            <w:tcW w:w="44" w:type="pct"/>
            <w:shd w:val="clear" w:color="auto" w:fill="FFFFFF"/>
            <w:tcMar>
              <w:top w:w="15" w:type="dxa"/>
              <w:left w:w="0" w:type="dxa"/>
              <w:bottom w:w="0" w:type="dxa"/>
              <w:right w:w="15" w:type="dxa"/>
            </w:tcMar>
            <w:vAlign w:val="bottom"/>
            <w:hideMark/>
          </w:tcPr>
          <w:p w14:paraId="77F56D4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1D6D466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0432DDE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2E786DE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5D1D994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538E088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0AE993F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3DDEF0D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2CC9DD6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573F202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2BC0E49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(3,140</w:t>
            </w:r>
          </w:p>
        </w:tc>
        <w:tc>
          <w:tcPr>
            <w:tcW w:w="44" w:type="pct"/>
            <w:shd w:val="clear" w:color="auto" w:fill="FFFFFF"/>
            <w:noWrap/>
            <w:tcMar>
              <w:top w:w="15" w:type="dxa"/>
              <w:left w:w="0" w:type="dxa"/>
              <w:bottom w:w="0" w:type="dxa"/>
              <w:right w:w="15" w:type="dxa"/>
            </w:tcMar>
            <w:vAlign w:val="bottom"/>
            <w:hideMark/>
          </w:tcPr>
          <w:p w14:paraId="220F253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3A13821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1971FD9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451AC99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2FB4C57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4507C8E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56B451D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5EB476D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(3,140</w:t>
            </w:r>
          </w:p>
        </w:tc>
        <w:tc>
          <w:tcPr>
            <w:tcW w:w="44" w:type="pct"/>
            <w:shd w:val="clear" w:color="auto" w:fill="FFFFFF"/>
            <w:noWrap/>
            <w:tcMar>
              <w:top w:w="15" w:type="dxa"/>
              <w:left w:w="0" w:type="dxa"/>
              <w:bottom w:w="0" w:type="dxa"/>
              <w:right w:w="15" w:type="dxa"/>
            </w:tcMar>
            <w:vAlign w:val="bottom"/>
            <w:hideMark/>
          </w:tcPr>
          <w:p w14:paraId="4C40698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left w:w="0" w:type="dxa"/>
              <w:bottom w:w="0" w:type="dxa"/>
              <w:right w:w="15" w:type="dxa"/>
            </w:tcMar>
            <w:vAlign w:val="bottom"/>
            <w:hideMark/>
          </w:tcPr>
          <w:p w14:paraId="5E1E36B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4824F06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4C28746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4706F92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7190FD3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624E518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719BD87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(3,140</w:t>
            </w:r>
          </w:p>
        </w:tc>
        <w:tc>
          <w:tcPr>
            <w:tcW w:w="31" w:type="pct"/>
            <w:shd w:val="clear" w:color="auto" w:fill="FFFFFF"/>
            <w:noWrap/>
            <w:tcMar>
              <w:top w:w="15" w:type="dxa"/>
              <w:left w:w="0" w:type="dxa"/>
              <w:bottom w:w="0" w:type="dxa"/>
              <w:right w:w="15" w:type="dxa"/>
            </w:tcMar>
            <w:vAlign w:val="bottom"/>
            <w:hideMark/>
          </w:tcPr>
          <w:p w14:paraId="02CBBD8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65D6C73E" w14:textId="77777777">
        <w:trPr>
          <w:divId w:val="175466462"/>
          <w:jc w:val="center"/>
        </w:trPr>
        <w:tc>
          <w:tcPr>
            <w:tcW w:w="1650" w:type="pct"/>
            <w:shd w:val="clear" w:color="auto" w:fill="CFF0FC"/>
            <w:tcMar>
              <w:top w:w="15" w:type="dxa"/>
              <w:left w:w="0" w:type="dxa"/>
              <w:bottom w:w="0" w:type="dxa"/>
              <w:right w:w="15" w:type="dxa"/>
            </w:tcMar>
            <w:hideMark/>
          </w:tcPr>
          <w:p w14:paraId="4FDE73CE"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Other, net</w:t>
            </w:r>
          </w:p>
        </w:tc>
        <w:tc>
          <w:tcPr>
            <w:tcW w:w="44" w:type="pct"/>
            <w:shd w:val="clear" w:color="auto" w:fill="CFF0FC"/>
            <w:tcMar>
              <w:top w:w="15" w:type="dxa"/>
              <w:left w:w="0" w:type="dxa"/>
              <w:bottom w:w="0" w:type="dxa"/>
              <w:right w:w="15" w:type="dxa"/>
            </w:tcMar>
            <w:vAlign w:val="bottom"/>
            <w:hideMark/>
          </w:tcPr>
          <w:p w14:paraId="240D8C0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36C22C2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5225C4A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0DF6937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4782F5D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061D53B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2E21E9A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w:t>
            </w:r>
          </w:p>
        </w:tc>
        <w:tc>
          <w:tcPr>
            <w:tcW w:w="44" w:type="pct"/>
            <w:shd w:val="clear" w:color="auto" w:fill="CFF0FC"/>
            <w:noWrap/>
            <w:tcMar>
              <w:top w:w="15" w:type="dxa"/>
              <w:left w:w="0" w:type="dxa"/>
              <w:bottom w:w="0" w:type="dxa"/>
              <w:right w:w="15" w:type="dxa"/>
            </w:tcMar>
            <w:vAlign w:val="bottom"/>
            <w:hideMark/>
          </w:tcPr>
          <w:p w14:paraId="660C7DE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084724D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2C5E2E9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342E3DC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6D05F7B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18FC958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2D00129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76D4E79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60C57E6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138FC4B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0D7B2F6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49D714E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w:t>
            </w:r>
          </w:p>
        </w:tc>
        <w:tc>
          <w:tcPr>
            <w:tcW w:w="44" w:type="pct"/>
            <w:shd w:val="clear" w:color="auto" w:fill="CFF0FC"/>
            <w:noWrap/>
            <w:tcMar>
              <w:top w:w="15" w:type="dxa"/>
              <w:left w:w="0" w:type="dxa"/>
              <w:bottom w:w="0" w:type="dxa"/>
              <w:right w:w="15" w:type="dxa"/>
            </w:tcMar>
            <w:vAlign w:val="bottom"/>
            <w:hideMark/>
          </w:tcPr>
          <w:p w14:paraId="5B48E2F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1638E94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205A8C8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4CCD1BC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(24</w:t>
            </w:r>
          </w:p>
        </w:tc>
        <w:tc>
          <w:tcPr>
            <w:tcW w:w="45" w:type="pct"/>
            <w:shd w:val="clear" w:color="auto" w:fill="CFF0FC"/>
            <w:noWrap/>
            <w:tcMar>
              <w:top w:w="15" w:type="dxa"/>
              <w:left w:w="0" w:type="dxa"/>
              <w:bottom w:w="0" w:type="dxa"/>
              <w:right w:w="15" w:type="dxa"/>
            </w:tcMar>
            <w:vAlign w:val="bottom"/>
            <w:hideMark/>
          </w:tcPr>
          <w:p w14:paraId="73AFCF9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left w:w="0" w:type="dxa"/>
              <w:bottom w:w="0" w:type="dxa"/>
              <w:right w:w="15" w:type="dxa"/>
            </w:tcMar>
            <w:vAlign w:val="bottom"/>
            <w:hideMark/>
          </w:tcPr>
          <w:p w14:paraId="3ABB274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38DE7F6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4ACB27A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(13</w:t>
            </w:r>
          </w:p>
        </w:tc>
        <w:tc>
          <w:tcPr>
            <w:tcW w:w="31" w:type="pct"/>
            <w:shd w:val="clear" w:color="auto" w:fill="CFF0FC"/>
            <w:noWrap/>
            <w:tcMar>
              <w:top w:w="15" w:type="dxa"/>
              <w:left w:w="0" w:type="dxa"/>
              <w:bottom w:w="0" w:type="dxa"/>
              <w:right w:w="15" w:type="dxa"/>
            </w:tcMar>
            <w:vAlign w:val="bottom"/>
            <w:hideMark/>
          </w:tcPr>
          <w:p w14:paraId="6EBD0E3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6DD41E44" w14:textId="77777777">
        <w:trPr>
          <w:divId w:val="175466462"/>
          <w:jc w:val="center"/>
        </w:trPr>
        <w:tc>
          <w:tcPr>
            <w:tcW w:w="1650" w:type="pct"/>
            <w:shd w:val="clear" w:color="auto" w:fill="FFFFFF"/>
            <w:tcMar>
              <w:top w:w="15" w:type="dxa"/>
              <w:left w:w="0" w:type="dxa"/>
              <w:bottom w:w="0" w:type="dxa"/>
              <w:right w:w="15" w:type="dxa"/>
            </w:tcMar>
            <w:hideMark/>
          </w:tcPr>
          <w:p w14:paraId="7BA67428"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Other comprehensive loss, net</w:t>
            </w:r>
          </w:p>
        </w:tc>
        <w:tc>
          <w:tcPr>
            <w:tcW w:w="44" w:type="pct"/>
            <w:shd w:val="clear" w:color="auto" w:fill="FFFFFF"/>
            <w:tcMar>
              <w:top w:w="15" w:type="dxa"/>
              <w:left w:w="0" w:type="dxa"/>
              <w:bottom w:w="0" w:type="dxa"/>
              <w:right w:w="15" w:type="dxa"/>
            </w:tcMar>
            <w:vAlign w:val="bottom"/>
            <w:hideMark/>
          </w:tcPr>
          <w:p w14:paraId="3BC30C2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44B71F0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402EDD2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60E6500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E98B48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435230F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432CC40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2768192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5F99CF3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2AB09B2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543DC76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611824F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64E1FE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2E2B699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527DA86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(829</w:t>
            </w:r>
          </w:p>
        </w:tc>
        <w:tc>
          <w:tcPr>
            <w:tcW w:w="44" w:type="pct"/>
            <w:shd w:val="clear" w:color="auto" w:fill="FFFFFF"/>
            <w:noWrap/>
            <w:tcMar>
              <w:top w:w="15" w:type="dxa"/>
              <w:left w:w="0" w:type="dxa"/>
              <w:bottom w:w="0" w:type="dxa"/>
              <w:right w:w="15" w:type="dxa"/>
            </w:tcMar>
            <w:vAlign w:val="bottom"/>
            <w:hideMark/>
          </w:tcPr>
          <w:p w14:paraId="39B36C1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33475A7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53658CF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79DD0F5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(829</w:t>
            </w:r>
          </w:p>
        </w:tc>
        <w:tc>
          <w:tcPr>
            <w:tcW w:w="44" w:type="pct"/>
            <w:shd w:val="clear" w:color="auto" w:fill="FFFFFF"/>
            <w:noWrap/>
            <w:tcMar>
              <w:top w:w="15" w:type="dxa"/>
              <w:left w:w="0" w:type="dxa"/>
              <w:bottom w:w="0" w:type="dxa"/>
              <w:right w:w="15" w:type="dxa"/>
            </w:tcMar>
            <w:vAlign w:val="bottom"/>
            <w:hideMark/>
          </w:tcPr>
          <w:p w14:paraId="30A20D8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left w:w="0" w:type="dxa"/>
              <w:bottom w:w="0" w:type="dxa"/>
              <w:right w:w="15" w:type="dxa"/>
            </w:tcMar>
            <w:vAlign w:val="bottom"/>
            <w:hideMark/>
          </w:tcPr>
          <w:p w14:paraId="53EE431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768FDE8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0857FA5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322ACE3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2F35F73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4458B2C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19D0051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(829</w:t>
            </w:r>
          </w:p>
        </w:tc>
        <w:tc>
          <w:tcPr>
            <w:tcW w:w="31" w:type="pct"/>
            <w:shd w:val="clear" w:color="auto" w:fill="FFFFFF"/>
            <w:noWrap/>
            <w:tcMar>
              <w:top w:w="15" w:type="dxa"/>
              <w:left w:w="0" w:type="dxa"/>
              <w:bottom w:w="0" w:type="dxa"/>
              <w:right w:w="15" w:type="dxa"/>
            </w:tcMar>
            <w:vAlign w:val="bottom"/>
            <w:hideMark/>
          </w:tcPr>
          <w:p w14:paraId="5C601A0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47E3C78E" w14:textId="77777777">
        <w:trPr>
          <w:divId w:val="175466462"/>
          <w:jc w:val="center"/>
        </w:trPr>
        <w:tc>
          <w:tcPr>
            <w:tcW w:w="1650" w:type="pct"/>
            <w:shd w:val="clear" w:color="auto" w:fill="CFF0FC"/>
            <w:tcMar>
              <w:top w:w="15" w:type="dxa"/>
              <w:left w:w="0" w:type="dxa"/>
              <w:bottom w:w="0" w:type="dxa"/>
              <w:right w:w="15" w:type="dxa"/>
            </w:tcMar>
            <w:hideMark/>
          </w:tcPr>
          <w:p w14:paraId="7D9A03B8"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Net income</w:t>
            </w:r>
          </w:p>
        </w:tc>
        <w:tc>
          <w:tcPr>
            <w:tcW w:w="44" w:type="pct"/>
            <w:shd w:val="clear" w:color="auto" w:fill="CFF0FC"/>
            <w:tcMar>
              <w:top w:w="15" w:type="dxa"/>
              <w:left w:w="0" w:type="dxa"/>
              <w:bottom w:w="0" w:type="dxa"/>
              <w:right w:w="15" w:type="dxa"/>
            </w:tcMar>
            <w:vAlign w:val="bottom"/>
            <w:hideMark/>
          </w:tcPr>
          <w:p w14:paraId="188DB52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bottom w:val="single" w:sz="6" w:space="0" w:color="000000"/>
            </w:tcBorders>
            <w:shd w:val="clear" w:color="auto" w:fill="CFF0FC"/>
            <w:noWrap/>
            <w:tcMar>
              <w:top w:w="15" w:type="dxa"/>
              <w:left w:w="0" w:type="dxa"/>
              <w:bottom w:w="0" w:type="dxa"/>
              <w:right w:w="15" w:type="dxa"/>
            </w:tcMar>
            <w:vAlign w:val="bottom"/>
            <w:hideMark/>
          </w:tcPr>
          <w:p w14:paraId="0F6ACCF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bottom w:val="single" w:sz="6" w:space="0" w:color="000000"/>
            </w:tcBorders>
            <w:shd w:val="clear" w:color="auto" w:fill="CFF0FC"/>
            <w:noWrap/>
            <w:tcMar>
              <w:top w:w="15" w:type="dxa"/>
              <w:left w:w="0" w:type="dxa"/>
              <w:bottom w:w="0" w:type="dxa"/>
              <w:right w:w="15" w:type="dxa"/>
            </w:tcMar>
            <w:vAlign w:val="bottom"/>
            <w:hideMark/>
          </w:tcPr>
          <w:p w14:paraId="0F4603F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0C13B5B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6B2FC94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left w:w="0" w:type="dxa"/>
              <w:bottom w:w="0" w:type="dxa"/>
              <w:right w:w="15" w:type="dxa"/>
            </w:tcMar>
            <w:vAlign w:val="bottom"/>
            <w:hideMark/>
          </w:tcPr>
          <w:p w14:paraId="234AB7A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tcBorders>
              <w:bottom w:val="single" w:sz="6" w:space="0" w:color="000000"/>
            </w:tcBorders>
            <w:shd w:val="clear" w:color="auto" w:fill="CFF0FC"/>
            <w:noWrap/>
            <w:tcMar>
              <w:top w:w="15" w:type="dxa"/>
              <w:left w:w="0" w:type="dxa"/>
              <w:bottom w:w="0" w:type="dxa"/>
              <w:right w:w="15" w:type="dxa"/>
            </w:tcMar>
            <w:vAlign w:val="bottom"/>
            <w:hideMark/>
          </w:tcPr>
          <w:p w14:paraId="0473BD4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67306D0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47D3C6D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bottom w:val="single" w:sz="6" w:space="0" w:color="000000"/>
            </w:tcBorders>
            <w:shd w:val="clear" w:color="auto" w:fill="CFF0FC"/>
            <w:noWrap/>
            <w:tcMar>
              <w:top w:w="15" w:type="dxa"/>
              <w:left w:w="0" w:type="dxa"/>
              <w:bottom w:w="0" w:type="dxa"/>
              <w:right w:w="15" w:type="dxa"/>
            </w:tcMar>
            <w:vAlign w:val="bottom"/>
            <w:hideMark/>
          </w:tcPr>
          <w:p w14:paraId="2280E8E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tcBorders>
              <w:bottom w:val="single" w:sz="6" w:space="0" w:color="000000"/>
            </w:tcBorders>
            <w:shd w:val="clear" w:color="auto" w:fill="CFF0FC"/>
            <w:noWrap/>
            <w:tcMar>
              <w:top w:w="15" w:type="dxa"/>
              <w:left w:w="0" w:type="dxa"/>
              <w:bottom w:w="0" w:type="dxa"/>
              <w:right w:w="15" w:type="dxa"/>
            </w:tcMar>
            <w:vAlign w:val="bottom"/>
            <w:hideMark/>
          </w:tcPr>
          <w:p w14:paraId="4673868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3,587</w:t>
            </w:r>
          </w:p>
        </w:tc>
        <w:tc>
          <w:tcPr>
            <w:tcW w:w="44" w:type="pct"/>
            <w:shd w:val="clear" w:color="auto" w:fill="CFF0FC"/>
            <w:noWrap/>
            <w:tcMar>
              <w:top w:w="15" w:type="dxa"/>
              <w:left w:w="0" w:type="dxa"/>
              <w:bottom w:w="0" w:type="dxa"/>
              <w:right w:w="15" w:type="dxa"/>
            </w:tcMar>
            <w:vAlign w:val="bottom"/>
            <w:hideMark/>
          </w:tcPr>
          <w:p w14:paraId="58FC29F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5CE251B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bottom w:val="single" w:sz="6" w:space="0" w:color="000000"/>
            </w:tcBorders>
            <w:shd w:val="clear" w:color="auto" w:fill="CFF0FC"/>
            <w:noWrap/>
            <w:tcMar>
              <w:top w:w="15" w:type="dxa"/>
              <w:left w:w="0" w:type="dxa"/>
              <w:bottom w:w="0" w:type="dxa"/>
              <w:right w:w="15" w:type="dxa"/>
            </w:tcMar>
            <w:vAlign w:val="bottom"/>
            <w:hideMark/>
          </w:tcPr>
          <w:p w14:paraId="71662F7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left w:w="0" w:type="dxa"/>
              <w:bottom w:w="0" w:type="dxa"/>
              <w:right w:w="15" w:type="dxa"/>
            </w:tcMar>
            <w:vAlign w:val="bottom"/>
            <w:hideMark/>
          </w:tcPr>
          <w:p w14:paraId="78382C2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1E03472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7ECDCC2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bottom w:val="single" w:sz="6" w:space="0" w:color="000000"/>
            </w:tcBorders>
            <w:shd w:val="clear" w:color="auto" w:fill="CFF0FC"/>
            <w:noWrap/>
            <w:tcMar>
              <w:top w:w="15" w:type="dxa"/>
              <w:left w:w="0" w:type="dxa"/>
              <w:bottom w:w="0" w:type="dxa"/>
              <w:right w:w="15" w:type="dxa"/>
            </w:tcMar>
            <w:vAlign w:val="bottom"/>
            <w:hideMark/>
          </w:tcPr>
          <w:p w14:paraId="381CFED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left w:w="0" w:type="dxa"/>
              <w:bottom w:w="0" w:type="dxa"/>
              <w:right w:w="15" w:type="dxa"/>
            </w:tcMar>
            <w:vAlign w:val="bottom"/>
            <w:hideMark/>
          </w:tcPr>
          <w:p w14:paraId="4B68FA2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3,587</w:t>
            </w:r>
          </w:p>
        </w:tc>
        <w:tc>
          <w:tcPr>
            <w:tcW w:w="44" w:type="pct"/>
            <w:shd w:val="clear" w:color="auto" w:fill="CFF0FC"/>
            <w:noWrap/>
            <w:tcMar>
              <w:top w:w="15" w:type="dxa"/>
              <w:left w:w="0" w:type="dxa"/>
              <w:bottom w:w="0" w:type="dxa"/>
              <w:right w:w="15" w:type="dxa"/>
            </w:tcMar>
            <w:vAlign w:val="bottom"/>
            <w:hideMark/>
          </w:tcPr>
          <w:p w14:paraId="1550D28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58A864C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bottom w:val="single" w:sz="6" w:space="0" w:color="000000"/>
            </w:tcBorders>
            <w:shd w:val="clear" w:color="auto" w:fill="CFF0FC"/>
            <w:noWrap/>
            <w:tcMar>
              <w:top w:w="15" w:type="dxa"/>
              <w:left w:w="0" w:type="dxa"/>
              <w:bottom w:w="0" w:type="dxa"/>
              <w:right w:w="15" w:type="dxa"/>
            </w:tcMar>
            <w:vAlign w:val="bottom"/>
            <w:hideMark/>
          </w:tcPr>
          <w:p w14:paraId="4F2EC57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tcBorders>
              <w:bottom w:val="single" w:sz="6" w:space="0" w:color="000000"/>
            </w:tcBorders>
            <w:shd w:val="clear" w:color="auto" w:fill="CFF0FC"/>
            <w:noWrap/>
            <w:tcMar>
              <w:top w:w="15" w:type="dxa"/>
              <w:left w:w="0" w:type="dxa"/>
              <w:bottom w:w="0" w:type="dxa"/>
              <w:right w:w="15" w:type="dxa"/>
            </w:tcMar>
            <w:vAlign w:val="bottom"/>
            <w:hideMark/>
          </w:tcPr>
          <w:p w14:paraId="505A2F4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135</w:t>
            </w:r>
          </w:p>
        </w:tc>
        <w:tc>
          <w:tcPr>
            <w:tcW w:w="45" w:type="pct"/>
            <w:shd w:val="clear" w:color="auto" w:fill="CFF0FC"/>
            <w:noWrap/>
            <w:tcMar>
              <w:top w:w="15" w:type="dxa"/>
              <w:left w:w="0" w:type="dxa"/>
              <w:bottom w:w="0" w:type="dxa"/>
              <w:right w:w="15" w:type="dxa"/>
            </w:tcMar>
            <w:vAlign w:val="bottom"/>
            <w:hideMark/>
          </w:tcPr>
          <w:p w14:paraId="2ED4E12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37CF7D8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left w:w="0" w:type="dxa"/>
              <w:bottom w:w="0" w:type="dxa"/>
              <w:right w:w="15" w:type="dxa"/>
            </w:tcMar>
            <w:vAlign w:val="bottom"/>
            <w:hideMark/>
          </w:tcPr>
          <w:p w14:paraId="2E0E5E8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tcBorders>
              <w:bottom w:val="single" w:sz="6" w:space="0" w:color="000000"/>
            </w:tcBorders>
            <w:shd w:val="clear" w:color="auto" w:fill="CFF0FC"/>
            <w:noWrap/>
            <w:tcMar>
              <w:top w:w="15" w:type="dxa"/>
              <w:left w:w="0" w:type="dxa"/>
              <w:bottom w:w="0" w:type="dxa"/>
              <w:right w:w="15" w:type="dxa"/>
            </w:tcMar>
            <w:vAlign w:val="bottom"/>
            <w:hideMark/>
          </w:tcPr>
          <w:p w14:paraId="784D68B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3,722</w:t>
            </w:r>
          </w:p>
        </w:tc>
        <w:tc>
          <w:tcPr>
            <w:tcW w:w="31" w:type="pct"/>
            <w:shd w:val="clear" w:color="auto" w:fill="CFF0FC"/>
            <w:noWrap/>
            <w:tcMar>
              <w:top w:w="15" w:type="dxa"/>
              <w:left w:w="0" w:type="dxa"/>
              <w:bottom w:w="0" w:type="dxa"/>
              <w:right w:w="15" w:type="dxa"/>
            </w:tcMar>
            <w:vAlign w:val="bottom"/>
            <w:hideMark/>
          </w:tcPr>
          <w:p w14:paraId="4CB7F2A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5C09C4A3" w14:textId="77777777">
        <w:trPr>
          <w:divId w:val="175466462"/>
          <w:jc w:val="center"/>
        </w:trPr>
        <w:tc>
          <w:tcPr>
            <w:tcW w:w="1650" w:type="pct"/>
            <w:shd w:val="clear" w:color="auto" w:fill="FFFFFF"/>
            <w:tcMar>
              <w:top w:w="15" w:type="dxa"/>
              <w:left w:w="0" w:type="dxa"/>
              <w:bottom w:w="0" w:type="dxa"/>
              <w:right w:w="15" w:type="dxa"/>
            </w:tcMar>
            <w:hideMark/>
          </w:tcPr>
          <w:p w14:paraId="086B6DDA"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Balances as of May 31, 2018</w:t>
            </w:r>
          </w:p>
        </w:tc>
        <w:tc>
          <w:tcPr>
            <w:tcW w:w="44" w:type="pct"/>
            <w:shd w:val="clear" w:color="auto" w:fill="FFFFFF"/>
            <w:tcMar>
              <w:top w:w="15" w:type="dxa"/>
              <w:left w:w="0" w:type="dxa"/>
              <w:bottom w:w="0" w:type="dxa"/>
              <w:right w:w="15" w:type="dxa"/>
            </w:tcMar>
            <w:vAlign w:val="bottom"/>
            <w:hideMark/>
          </w:tcPr>
          <w:p w14:paraId="1C6200D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tcBorders>
            <w:shd w:val="clear" w:color="auto" w:fill="FFFFFF"/>
            <w:noWrap/>
            <w:tcMar>
              <w:top w:w="15" w:type="dxa"/>
              <w:left w:w="0" w:type="dxa"/>
              <w:bottom w:w="0" w:type="dxa"/>
              <w:right w:w="15" w:type="dxa"/>
            </w:tcMar>
            <w:vAlign w:val="bottom"/>
            <w:hideMark/>
          </w:tcPr>
          <w:p w14:paraId="76C6036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top w:val="single" w:sz="6" w:space="0" w:color="000000"/>
            </w:tcBorders>
            <w:shd w:val="clear" w:color="auto" w:fill="FFFFFF"/>
            <w:noWrap/>
            <w:tcMar>
              <w:top w:w="15" w:type="dxa"/>
              <w:left w:w="0" w:type="dxa"/>
              <w:bottom w:w="0" w:type="dxa"/>
              <w:right w:w="15" w:type="dxa"/>
            </w:tcMar>
            <w:vAlign w:val="bottom"/>
            <w:hideMark/>
          </w:tcPr>
          <w:p w14:paraId="257C759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3,997</w:t>
            </w:r>
          </w:p>
        </w:tc>
        <w:tc>
          <w:tcPr>
            <w:tcW w:w="44" w:type="pct"/>
            <w:shd w:val="clear" w:color="auto" w:fill="FFFFFF"/>
            <w:noWrap/>
            <w:tcMar>
              <w:top w:w="15" w:type="dxa"/>
              <w:left w:w="0" w:type="dxa"/>
              <w:bottom w:w="0" w:type="dxa"/>
              <w:right w:w="15" w:type="dxa"/>
            </w:tcMar>
            <w:vAlign w:val="bottom"/>
            <w:hideMark/>
          </w:tcPr>
          <w:p w14:paraId="32B7AAC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4B1F390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FFFFFF"/>
            <w:noWrap/>
            <w:tcMar>
              <w:top w:w="15" w:type="dxa"/>
              <w:left w:w="0" w:type="dxa"/>
              <w:bottom w:w="0" w:type="dxa"/>
              <w:right w:w="15" w:type="dxa"/>
            </w:tcMar>
            <w:vAlign w:val="bottom"/>
            <w:hideMark/>
          </w:tcPr>
          <w:p w14:paraId="07DADBB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tcBorders>
              <w:top w:val="single" w:sz="6" w:space="0" w:color="000000"/>
            </w:tcBorders>
            <w:shd w:val="clear" w:color="auto" w:fill="FFFFFF"/>
            <w:noWrap/>
            <w:tcMar>
              <w:top w:w="15" w:type="dxa"/>
              <w:left w:w="0" w:type="dxa"/>
              <w:bottom w:w="0" w:type="dxa"/>
              <w:right w:w="15" w:type="dxa"/>
            </w:tcMar>
            <w:vAlign w:val="bottom"/>
            <w:hideMark/>
          </w:tcPr>
          <w:p w14:paraId="722BDB1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28,950</w:t>
            </w:r>
          </w:p>
        </w:tc>
        <w:tc>
          <w:tcPr>
            <w:tcW w:w="44" w:type="pct"/>
            <w:shd w:val="clear" w:color="auto" w:fill="FFFFFF"/>
            <w:noWrap/>
            <w:tcMar>
              <w:top w:w="15" w:type="dxa"/>
              <w:left w:w="0" w:type="dxa"/>
              <w:bottom w:w="0" w:type="dxa"/>
              <w:right w:w="15" w:type="dxa"/>
            </w:tcMar>
            <w:vAlign w:val="bottom"/>
            <w:hideMark/>
          </w:tcPr>
          <w:p w14:paraId="1780D28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44186DE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top w:val="single" w:sz="6" w:space="0" w:color="000000"/>
            </w:tcBorders>
            <w:shd w:val="clear" w:color="auto" w:fill="FFFFFF"/>
            <w:noWrap/>
            <w:tcMar>
              <w:top w:w="15" w:type="dxa"/>
              <w:left w:w="0" w:type="dxa"/>
              <w:bottom w:w="0" w:type="dxa"/>
              <w:right w:w="15" w:type="dxa"/>
            </w:tcMar>
            <w:vAlign w:val="bottom"/>
            <w:hideMark/>
          </w:tcPr>
          <w:p w14:paraId="783D75A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tcBorders>
              <w:top w:val="single" w:sz="6" w:space="0" w:color="000000"/>
            </w:tcBorders>
            <w:shd w:val="clear" w:color="auto" w:fill="FFFFFF"/>
            <w:noWrap/>
            <w:tcMar>
              <w:top w:w="15" w:type="dxa"/>
              <w:left w:w="0" w:type="dxa"/>
              <w:bottom w:w="0" w:type="dxa"/>
              <w:right w:w="15" w:type="dxa"/>
            </w:tcMar>
            <w:vAlign w:val="bottom"/>
            <w:hideMark/>
          </w:tcPr>
          <w:p w14:paraId="68D8A5F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19,111</w:t>
            </w:r>
          </w:p>
        </w:tc>
        <w:tc>
          <w:tcPr>
            <w:tcW w:w="44" w:type="pct"/>
            <w:shd w:val="clear" w:color="auto" w:fill="FFFFFF"/>
            <w:noWrap/>
            <w:tcMar>
              <w:top w:w="15" w:type="dxa"/>
              <w:left w:w="0" w:type="dxa"/>
              <w:bottom w:w="0" w:type="dxa"/>
              <w:right w:w="15" w:type="dxa"/>
            </w:tcMar>
            <w:vAlign w:val="bottom"/>
            <w:hideMark/>
          </w:tcPr>
          <w:p w14:paraId="5A6319F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26E9006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tcBorders>
            <w:shd w:val="clear" w:color="auto" w:fill="FFFFFF"/>
            <w:noWrap/>
            <w:tcMar>
              <w:top w:w="15" w:type="dxa"/>
              <w:left w:w="0" w:type="dxa"/>
              <w:bottom w:w="0" w:type="dxa"/>
              <w:right w:w="15" w:type="dxa"/>
            </w:tcMar>
            <w:vAlign w:val="bottom"/>
            <w:hideMark/>
          </w:tcPr>
          <w:p w14:paraId="53C0AB0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top w:val="single" w:sz="6" w:space="0" w:color="000000"/>
            </w:tcBorders>
            <w:shd w:val="clear" w:color="auto" w:fill="FFFFFF"/>
            <w:noWrap/>
            <w:tcMar>
              <w:top w:w="15" w:type="dxa"/>
              <w:left w:w="0" w:type="dxa"/>
              <w:bottom w:w="0" w:type="dxa"/>
              <w:right w:w="15" w:type="dxa"/>
            </w:tcMar>
            <w:vAlign w:val="bottom"/>
            <w:hideMark/>
          </w:tcPr>
          <w:p w14:paraId="216D4BC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(1,689</w:t>
            </w:r>
          </w:p>
        </w:tc>
        <w:tc>
          <w:tcPr>
            <w:tcW w:w="44" w:type="pct"/>
            <w:shd w:val="clear" w:color="auto" w:fill="FFFFFF"/>
            <w:noWrap/>
            <w:tcMar>
              <w:top w:w="15" w:type="dxa"/>
              <w:left w:w="0" w:type="dxa"/>
              <w:bottom w:w="0" w:type="dxa"/>
              <w:right w:w="15" w:type="dxa"/>
            </w:tcMar>
            <w:vAlign w:val="bottom"/>
            <w:hideMark/>
          </w:tcPr>
          <w:p w14:paraId="7901329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3DFF8DA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tcBorders>
            <w:shd w:val="clear" w:color="auto" w:fill="FFFFFF"/>
            <w:noWrap/>
            <w:tcMar>
              <w:top w:w="15" w:type="dxa"/>
              <w:left w:w="0" w:type="dxa"/>
              <w:bottom w:w="0" w:type="dxa"/>
              <w:right w:w="15" w:type="dxa"/>
            </w:tcMar>
            <w:vAlign w:val="bottom"/>
            <w:hideMark/>
          </w:tcPr>
          <w:p w14:paraId="0FE9E04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top w:val="single" w:sz="6" w:space="0" w:color="000000"/>
            </w:tcBorders>
            <w:shd w:val="clear" w:color="auto" w:fill="FFFFFF"/>
            <w:noWrap/>
            <w:tcMar>
              <w:top w:w="15" w:type="dxa"/>
              <w:left w:w="0" w:type="dxa"/>
              <w:bottom w:w="0" w:type="dxa"/>
              <w:right w:w="15" w:type="dxa"/>
            </w:tcMar>
            <w:vAlign w:val="bottom"/>
            <w:hideMark/>
          </w:tcPr>
          <w:p w14:paraId="1A4D44B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46,372</w:t>
            </w:r>
          </w:p>
        </w:tc>
        <w:tc>
          <w:tcPr>
            <w:tcW w:w="44" w:type="pct"/>
            <w:shd w:val="clear" w:color="auto" w:fill="FFFFFF"/>
            <w:noWrap/>
            <w:tcMar>
              <w:top w:w="15" w:type="dxa"/>
              <w:left w:w="0" w:type="dxa"/>
              <w:bottom w:w="0" w:type="dxa"/>
              <w:right w:w="15" w:type="dxa"/>
            </w:tcMar>
            <w:vAlign w:val="bottom"/>
            <w:hideMark/>
          </w:tcPr>
          <w:p w14:paraId="2151897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5013F03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tcBorders>
            <w:shd w:val="clear" w:color="auto" w:fill="FFFFFF"/>
            <w:noWrap/>
            <w:tcMar>
              <w:top w:w="15" w:type="dxa"/>
              <w:left w:w="0" w:type="dxa"/>
              <w:bottom w:w="0" w:type="dxa"/>
              <w:right w:w="15" w:type="dxa"/>
            </w:tcMar>
            <w:vAlign w:val="bottom"/>
            <w:hideMark/>
          </w:tcPr>
          <w:p w14:paraId="27F3B1E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tcBorders>
              <w:top w:val="single" w:sz="6" w:space="0" w:color="000000"/>
            </w:tcBorders>
            <w:shd w:val="clear" w:color="auto" w:fill="FFFFFF"/>
            <w:noWrap/>
            <w:tcMar>
              <w:top w:w="15" w:type="dxa"/>
              <w:left w:w="0" w:type="dxa"/>
              <w:bottom w:w="0" w:type="dxa"/>
              <w:right w:w="15" w:type="dxa"/>
            </w:tcMar>
            <w:vAlign w:val="bottom"/>
            <w:hideMark/>
          </w:tcPr>
          <w:p w14:paraId="4AFD5DD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501</w:t>
            </w:r>
          </w:p>
        </w:tc>
        <w:tc>
          <w:tcPr>
            <w:tcW w:w="45" w:type="pct"/>
            <w:shd w:val="clear" w:color="auto" w:fill="FFFFFF"/>
            <w:noWrap/>
            <w:tcMar>
              <w:top w:w="15" w:type="dxa"/>
              <w:left w:w="0" w:type="dxa"/>
              <w:bottom w:w="0" w:type="dxa"/>
              <w:right w:w="15" w:type="dxa"/>
            </w:tcMar>
            <w:vAlign w:val="bottom"/>
            <w:hideMark/>
          </w:tcPr>
          <w:p w14:paraId="7505AFE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763B51D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FFFFFF"/>
            <w:noWrap/>
            <w:tcMar>
              <w:top w:w="15" w:type="dxa"/>
              <w:left w:w="0" w:type="dxa"/>
              <w:bottom w:w="0" w:type="dxa"/>
              <w:right w:w="15" w:type="dxa"/>
            </w:tcMar>
            <w:vAlign w:val="bottom"/>
            <w:hideMark/>
          </w:tcPr>
          <w:p w14:paraId="5CBEB1A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tcBorders>
              <w:top w:val="single" w:sz="6" w:space="0" w:color="000000"/>
            </w:tcBorders>
            <w:shd w:val="clear" w:color="auto" w:fill="FFFFFF"/>
            <w:noWrap/>
            <w:tcMar>
              <w:top w:w="15" w:type="dxa"/>
              <w:left w:w="0" w:type="dxa"/>
              <w:bottom w:w="0" w:type="dxa"/>
              <w:right w:w="15" w:type="dxa"/>
            </w:tcMar>
            <w:vAlign w:val="bottom"/>
            <w:hideMark/>
          </w:tcPr>
          <w:p w14:paraId="1AB1BE0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46,873</w:t>
            </w:r>
          </w:p>
        </w:tc>
        <w:tc>
          <w:tcPr>
            <w:tcW w:w="31" w:type="pct"/>
            <w:shd w:val="clear" w:color="auto" w:fill="FFFFFF"/>
            <w:noWrap/>
            <w:tcMar>
              <w:top w:w="15" w:type="dxa"/>
              <w:left w:w="0" w:type="dxa"/>
              <w:bottom w:w="0" w:type="dxa"/>
              <w:right w:w="15" w:type="dxa"/>
            </w:tcMar>
            <w:vAlign w:val="bottom"/>
            <w:hideMark/>
          </w:tcPr>
          <w:p w14:paraId="2FD3665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1B8909C8" w14:textId="77777777">
        <w:trPr>
          <w:divId w:val="175466462"/>
          <w:jc w:val="center"/>
        </w:trPr>
        <w:tc>
          <w:tcPr>
            <w:tcW w:w="1650" w:type="pct"/>
            <w:shd w:val="clear" w:color="auto" w:fill="CFF0FC"/>
            <w:tcMar>
              <w:top w:w="15" w:type="dxa"/>
              <w:left w:w="0" w:type="dxa"/>
              <w:bottom w:w="0" w:type="dxa"/>
              <w:right w:w="15" w:type="dxa"/>
            </w:tcMar>
            <w:hideMark/>
          </w:tcPr>
          <w:p w14:paraId="7DC9816B"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Cumulative-effect of accounting change</w:t>
            </w:r>
          </w:p>
        </w:tc>
        <w:tc>
          <w:tcPr>
            <w:tcW w:w="44" w:type="pct"/>
            <w:shd w:val="clear" w:color="auto" w:fill="CFF0FC"/>
            <w:tcMar>
              <w:top w:w="15" w:type="dxa"/>
              <w:left w:w="0" w:type="dxa"/>
              <w:bottom w:w="0" w:type="dxa"/>
              <w:right w:w="15" w:type="dxa"/>
            </w:tcMar>
            <w:vAlign w:val="bottom"/>
            <w:hideMark/>
          </w:tcPr>
          <w:p w14:paraId="3676EEC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0BB2A9A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602313F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3CC2536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0605B03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2346111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520B44E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1560053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1FB44BD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62CE80E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2733D2D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(110</w:t>
            </w:r>
          </w:p>
        </w:tc>
        <w:tc>
          <w:tcPr>
            <w:tcW w:w="44" w:type="pct"/>
            <w:shd w:val="clear" w:color="auto" w:fill="CFF0FC"/>
            <w:noWrap/>
            <w:tcMar>
              <w:top w:w="15" w:type="dxa"/>
              <w:left w:w="0" w:type="dxa"/>
              <w:bottom w:w="0" w:type="dxa"/>
              <w:right w:w="15" w:type="dxa"/>
            </w:tcMar>
            <w:vAlign w:val="bottom"/>
            <w:hideMark/>
          </w:tcPr>
          <w:p w14:paraId="0A2B7EE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41B0621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26B02E6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4FF1E12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0D57F2B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0207CE0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00785B3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2450BB1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(110</w:t>
            </w:r>
          </w:p>
        </w:tc>
        <w:tc>
          <w:tcPr>
            <w:tcW w:w="44" w:type="pct"/>
            <w:shd w:val="clear" w:color="auto" w:fill="CFF0FC"/>
            <w:noWrap/>
            <w:tcMar>
              <w:top w:w="15" w:type="dxa"/>
              <w:left w:w="0" w:type="dxa"/>
              <w:bottom w:w="0" w:type="dxa"/>
              <w:right w:w="15" w:type="dxa"/>
            </w:tcMar>
            <w:vAlign w:val="bottom"/>
            <w:hideMark/>
          </w:tcPr>
          <w:p w14:paraId="4826CF0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left w:w="0" w:type="dxa"/>
              <w:bottom w:w="0" w:type="dxa"/>
              <w:right w:w="15" w:type="dxa"/>
            </w:tcMar>
            <w:vAlign w:val="bottom"/>
            <w:hideMark/>
          </w:tcPr>
          <w:p w14:paraId="13E0E62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35EADEA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0E6BAC9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left w:w="0" w:type="dxa"/>
              <w:bottom w:w="0" w:type="dxa"/>
              <w:right w:w="15" w:type="dxa"/>
            </w:tcMar>
            <w:vAlign w:val="bottom"/>
            <w:hideMark/>
          </w:tcPr>
          <w:p w14:paraId="53C9F2F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057B48E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65A85E7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073DF7C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(110</w:t>
            </w:r>
          </w:p>
        </w:tc>
        <w:tc>
          <w:tcPr>
            <w:tcW w:w="31" w:type="pct"/>
            <w:shd w:val="clear" w:color="auto" w:fill="CFF0FC"/>
            <w:noWrap/>
            <w:tcMar>
              <w:top w:w="15" w:type="dxa"/>
              <w:left w:w="0" w:type="dxa"/>
              <w:bottom w:w="0" w:type="dxa"/>
              <w:right w:w="15" w:type="dxa"/>
            </w:tcMar>
            <w:vAlign w:val="bottom"/>
            <w:hideMark/>
          </w:tcPr>
          <w:p w14:paraId="6F57EF6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2C5D6EA7" w14:textId="77777777">
        <w:trPr>
          <w:divId w:val="175466462"/>
          <w:jc w:val="center"/>
        </w:trPr>
        <w:tc>
          <w:tcPr>
            <w:tcW w:w="1650" w:type="pct"/>
            <w:shd w:val="clear" w:color="auto" w:fill="FFFFFF"/>
            <w:tcMar>
              <w:top w:w="15" w:type="dxa"/>
              <w:left w:w="0" w:type="dxa"/>
              <w:bottom w:w="0" w:type="dxa"/>
              <w:right w:w="15" w:type="dxa"/>
            </w:tcMar>
            <w:hideMark/>
          </w:tcPr>
          <w:p w14:paraId="734907C2"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stock-based compensation plans</w:t>
            </w:r>
          </w:p>
        </w:tc>
        <w:tc>
          <w:tcPr>
            <w:tcW w:w="44" w:type="pct"/>
            <w:shd w:val="clear" w:color="auto" w:fill="FFFFFF"/>
            <w:tcMar>
              <w:top w:w="15" w:type="dxa"/>
              <w:left w:w="0" w:type="dxa"/>
              <w:bottom w:w="0" w:type="dxa"/>
              <w:right w:w="15" w:type="dxa"/>
            </w:tcMar>
            <w:vAlign w:val="bottom"/>
            <w:hideMark/>
          </w:tcPr>
          <w:p w14:paraId="53BB8FF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5D8EE58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4E091E8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103</w:t>
            </w:r>
          </w:p>
        </w:tc>
        <w:tc>
          <w:tcPr>
            <w:tcW w:w="44" w:type="pct"/>
            <w:shd w:val="clear" w:color="auto" w:fill="FFFFFF"/>
            <w:noWrap/>
            <w:tcMar>
              <w:top w:w="15" w:type="dxa"/>
              <w:left w:w="0" w:type="dxa"/>
              <w:bottom w:w="0" w:type="dxa"/>
              <w:right w:w="15" w:type="dxa"/>
            </w:tcMar>
            <w:vAlign w:val="bottom"/>
            <w:hideMark/>
          </w:tcPr>
          <w:p w14:paraId="4EE3EAE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18B7173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4302E33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60D371F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2,033</w:t>
            </w:r>
          </w:p>
        </w:tc>
        <w:tc>
          <w:tcPr>
            <w:tcW w:w="44" w:type="pct"/>
            <w:shd w:val="clear" w:color="auto" w:fill="FFFFFF"/>
            <w:noWrap/>
            <w:tcMar>
              <w:top w:w="15" w:type="dxa"/>
              <w:left w:w="0" w:type="dxa"/>
              <w:bottom w:w="0" w:type="dxa"/>
              <w:right w:w="15" w:type="dxa"/>
            </w:tcMar>
            <w:vAlign w:val="bottom"/>
            <w:hideMark/>
          </w:tcPr>
          <w:p w14:paraId="2AC831C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5D2979D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1B3477A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46DE811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610AC67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56B9F4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3CCAA33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44E52E6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27321E0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48B7C37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4CD3B2C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707D8B3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2,033</w:t>
            </w:r>
          </w:p>
        </w:tc>
        <w:tc>
          <w:tcPr>
            <w:tcW w:w="44" w:type="pct"/>
            <w:shd w:val="clear" w:color="auto" w:fill="FFFFFF"/>
            <w:noWrap/>
            <w:tcMar>
              <w:top w:w="15" w:type="dxa"/>
              <w:left w:w="0" w:type="dxa"/>
              <w:bottom w:w="0" w:type="dxa"/>
              <w:right w:w="15" w:type="dxa"/>
            </w:tcMar>
            <w:vAlign w:val="bottom"/>
            <w:hideMark/>
          </w:tcPr>
          <w:p w14:paraId="1B53063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5B2327C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6EBAD4E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1086EF0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238B8C5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3B92FDE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1123782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18C49BC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2,033</w:t>
            </w:r>
          </w:p>
        </w:tc>
        <w:tc>
          <w:tcPr>
            <w:tcW w:w="31" w:type="pct"/>
            <w:shd w:val="clear" w:color="auto" w:fill="FFFFFF"/>
            <w:noWrap/>
            <w:tcMar>
              <w:top w:w="15" w:type="dxa"/>
              <w:left w:w="0" w:type="dxa"/>
              <w:bottom w:w="0" w:type="dxa"/>
              <w:right w:w="15" w:type="dxa"/>
            </w:tcMar>
            <w:vAlign w:val="bottom"/>
            <w:hideMark/>
          </w:tcPr>
          <w:p w14:paraId="4999CD1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5BB4A20C" w14:textId="77777777">
        <w:trPr>
          <w:divId w:val="175466462"/>
          <w:jc w:val="center"/>
        </w:trPr>
        <w:tc>
          <w:tcPr>
            <w:tcW w:w="1650" w:type="pct"/>
            <w:shd w:val="clear" w:color="auto" w:fill="CFF0FC"/>
            <w:tcMar>
              <w:top w:w="15" w:type="dxa"/>
              <w:left w:w="0" w:type="dxa"/>
              <w:bottom w:w="0" w:type="dxa"/>
              <w:right w:w="15" w:type="dxa"/>
            </w:tcMar>
            <w:hideMark/>
          </w:tcPr>
          <w:p w14:paraId="176AD636"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 purchase plans</w:t>
            </w:r>
          </w:p>
        </w:tc>
        <w:tc>
          <w:tcPr>
            <w:tcW w:w="44" w:type="pct"/>
            <w:shd w:val="clear" w:color="auto" w:fill="CFF0FC"/>
            <w:tcMar>
              <w:top w:w="15" w:type="dxa"/>
              <w:left w:w="0" w:type="dxa"/>
              <w:bottom w:w="0" w:type="dxa"/>
              <w:right w:w="15" w:type="dxa"/>
            </w:tcMar>
            <w:vAlign w:val="bottom"/>
            <w:hideMark/>
          </w:tcPr>
          <w:p w14:paraId="78A88B6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74F94B6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1ACDBB6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w:t>
            </w:r>
          </w:p>
        </w:tc>
        <w:tc>
          <w:tcPr>
            <w:tcW w:w="44" w:type="pct"/>
            <w:shd w:val="clear" w:color="auto" w:fill="CFF0FC"/>
            <w:noWrap/>
            <w:tcMar>
              <w:top w:w="15" w:type="dxa"/>
              <w:left w:w="0" w:type="dxa"/>
              <w:bottom w:w="0" w:type="dxa"/>
              <w:right w:w="15" w:type="dxa"/>
            </w:tcMar>
            <w:vAlign w:val="bottom"/>
            <w:hideMark/>
          </w:tcPr>
          <w:p w14:paraId="619B3F4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1BD8417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5255546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2E9457F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122</w:t>
            </w:r>
          </w:p>
        </w:tc>
        <w:tc>
          <w:tcPr>
            <w:tcW w:w="44" w:type="pct"/>
            <w:shd w:val="clear" w:color="auto" w:fill="CFF0FC"/>
            <w:noWrap/>
            <w:tcMar>
              <w:top w:w="15" w:type="dxa"/>
              <w:left w:w="0" w:type="dxa"/>
              <w:bottom w:w="0" w:type="dxa"/>
              <w:right w:w="15" w:type="dxa"/>
            </w:tcMar>
            <w:vAlign w:val="bottom"/>
            <w:hideMark/>
          </w:tcPr>
          <w:p w14:paraId="0BFEDF4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4BC8135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5599B53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04C9A79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472F36E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795B119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35BEB27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6FD216C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69C111C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2ED3195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737F0A1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6BB33A7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122</w:t>
            </w:r>
          </w:p>
        </w:tc>
        <w:tc>
          <w:tcPr>
            <w:tcW w:w="44" w:type="pct"/>
            <w:shd w:val="clear" w:color="auto" w:fill="CFF0FC"/>
            <w:noWrap/>
            <w:tcMar>
              <w:top w:w="15" w:type="dxa"/>
              <w:left w:w="0" w:type="dxa"/>
              <w:bottom w:w="0" w:type="dxa"/>
              <w:right w:w="15" w:type="dxa"/>
            </w:tcMar>
            <w:vAlign w:val="bottom"/>
            <w:hideMark/>
          </w:tcPr>
          <w:p w14:paraId="55D7024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347E70C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71B92AC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67AA0B3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left w:w="0" w:type="dxa"/>
              <w:bottom w:w="0" w:type="dxa"/>
              <w:right w:w="15" w:type="dxa"/>
            </w:tcMar>
            <w:vAlign w:val="bottom"/>
            <w:hideMark/>
          </w:tcPr>
          <w:p w14:paraId="017E67B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695D028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3036362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2AC958C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122</w:t>
            </w:r>
          </w:p>
        </w:tc>
        <w:tc>
          <w:tcPr>
            <w:tcW w:w="31" w:type="pct"/>
            <w:shd w:val="clear" w:color="auto" w:fill="CFF0FC"/>
            <w:noWrap/>
            <w:tcMar>
              <w:top w:w="15" w:type="dxa"/>
              <w:left w:w="0" w:type="dxa"/>
              <w:bottom w:w="0" w:type="dxa"/>
              <w:right w:w="15" w:type="dxa"/>
            </w:tcMar>
            <w:vAlign w:val="bottom"/>
            <w:hideMark/>
          </w:tcPr>
          <w:p w14:paraId="0960A55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7F7B831F" w14:textId="77777777">
        <w:trPr>
          <w:divId w:val="175466462"/>
          <w:jc w:val="center"/>
        </w:trPr>
        <w:tc>
          <w:tcPr>
            <w:tcW w:w="1650" w:type="pct"/>
            <w:shd w:val="clear" w:color="auto" w:fill="FFFFFF"/>
            <w:tcMar>
              <w:top w:w="15" w:type="dxa"/>
              <w:left w:w="0" w:type="dxa"/>
              <w:bottom w:w="0" w:type="dxa"/>
              <w:right w:w="15" w:type="dxa"/>
            </w:tcMar>
            <w:hideMark/>
          </w:tcPr>
          <w:p w14:paraId="3BB98837"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Assumption of stock-based compensation plan awards in connection with acquisitions</w:t>
            </w:r>
          </w:p>
        </w:tc>
        <w:tc>
          <w:tcPr>
            <w:tcW w:w="44" w:type="pct"/>
            <w:shd w:val="clear" w:color="auto" w:fill="FFFFFF"/>
            <w:tcMar>
              <w:top w:w="15" w:type="dxa"/>
              <w:left w:w="0" w:type="dxa"/>
              <w:bottom w:w="0" w:type="dxa"/>
              <w:right w:w="15" w:type="dxa"/>
            </w:tcMar>
            <w:vAlign w:val="bottom"/>
            <w:hideMark/>
          </w:tcPr>
          <w:p w14:paraId="57AB885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6A9B1E3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5BE31A4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327481D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3AA50F3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69454DC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22C4B55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w:t>
            </w:r>
          </w:p>
        </w:tc>
        <w:tc>
          <w:tcPr>
            <w:tcW w:w="44" w:type="pct"/>
            <w:shd w:val="clear" w:color="auto" w:fill="FFFFFF"/>
            <w:noWrap/>
            <w:tcMar>
              <w:top w:w="15" w:type="dxa"/>
              <w:left w:w="0" w:type="dxa"/>
              <w:bottom w:w="0" w:type="dxa"/>
              <w:right w:w="15" w:type="dxa"/>
            </w:tcMar>
            <w:vAlign w:val="bottom"/>
            <w:hideMark/>
          </w:tcPr>
          <w:p w14:paraId="6F6E78D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C1FAC7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66277C7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13DF909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02BBC2A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826946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7B17D4D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5C4D071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1216904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06A96B6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2C8A1B1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493D546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w:t>
            </w:r>
          </w:p>
        </w:tc>
        <w:tc>
          <w:tcPr>
            <w:tcW w:w="44" w:type="pct"/>
            <w:shd w:val="clear" w:color="auto" w:fill="FFFFFF"/>
            <w:noWrap/>
            <w:tcMar>
              <w:top w:w="15" w:type="dxa"/>
              <w:left w:w="0" w:type="dxa"/>
              <w:bottom w:w="0" w:type="dxa"/>
              <w:right w:w="15" w:type="dxa"/>
            </w:tcMar>
            <w:vAlign w:val="bottom"/>
            <w:hideMark/>
          </w:tcPr>
          <w:p w14:paraId="50DC15F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2642713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5DFDA9A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6761B29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2A0C7B8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3BEAF65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3FF9C98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6CB4993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w:t>
            </w:r>
          </w:p>
        </w:tc>
        <w:tc>
          <w:tcPr>
            <w:tcW w:w="31" w:type="pct"/>
            <w:shd w:val="clear" w:color="auto" w:fill="FFFFFF"/>
            <w:noWrap/>
            <w:tcMar>
              <w:top w:w="15" w:type="dxa"/>
              <w:left w:w="0" w:type="dxa"/>
              <w:bottom w:w="0" w:type="dxa"/>
              <w:right w:w="15" w:type="dxa"/>
            </w:tcMar>
            <w:vAlign w:val="bottom"/>
            <w:hideMark/>
          </w:tcPr>
          <w:p w14:paraId="676742D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6804955B" w14:textId="77777777">
        <w:trPr>
          <w:divId w:val="175466462"/>
          <w:jc w:val="center"/>
        </w:trPr>
        <w:tc>
          <w:tcPr>
            <w:tcW w:w="1650" w:type="pct"/>
            <w:shd w:val="clear" w:color="auto" w:fill="CFF0FC"/>
            <w:tcMar>
              <w:top w:w="15" w:type="dxa"/>
              <w:left w:w="0" w:type="dxa"/>
              <w:bottom w:w="0" w:type="dxa"/>
              <w:right w:w="15" w:type="dxa"/>
            </w:tcMar>
            <w:hideMark/>
          </w:tcPr>
          <w:p w14:paraId="406240BC"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Stock-based compensation</w:t>
            </w:r>
          </w:p>
        </w:tc>
        <w:tc>
          <w:tcPr>
            <w:tcW w:w="44" w:type="pct"/>
            <w:shd w:val="clear" w:color="auto" w:fill="CFF0FC"/>
            <w:tcMar>
              <w:top w:w="15" w:type="dxa"/>
              <w:left w:w="0" w:type="dxa"/>
              <w:bottom w:w="0" w:type="dxa"/>
              <w:right w:w="15" w:type="dxa"/>
            </w:tcMar>
            <w:vAlign w:val="bottom"/>
            <w:hideMark/>
          </w:tcPr>
          <w:p w14:paraId="145A4B8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6710751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7D683D7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230B80E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0B5C38D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6BFD68A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73A55CC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1,653</w:t>
            </w:r>
          </w:p>
        </w:tc>
        <w:tc>
          <w:tcPr>
            <w:tcW w:w="44" w:type="pct"/>
            <w:shd w:val="clear" w:color="auto" w:fill="CFF0FC"/>
            <w:noWrap/>
            <w:tcMar>
              <w:top w:w="15" w:type="dxa"/>
              <w:left w:w="0" w:type="dxa"/>
              <w:bottom w:w="0" w:type="dxa"/>
              <w:right w:w="15" w:type="dxa"/>
            </w:tcMar>
            <w:vAlign w:val="bottom"/>
            <w:hideMark/>
          </w:tcPr>
          <w:p w14:paraId="29E55DD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5F4CE9D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24B327C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08090AB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5DED65D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77682AD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7240561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293498D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61D81EC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3B21E51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1E5E04D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17ED488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1,653</w:t>
            </w:r>
          </w:p>
        </w:tc>
        <w:tc>
          <w:tcPr>
            <w:tcW w:w="44" w:type="pct"/>
            <w:shd w:val="clear" w:color="auto" w:fill="CFF0FC"/>
            <w:noWrap/>
            <w:tcMar>
              <w:top w:w="15" w:type="dxa"/>
              <w:left w:w="0" w:type="dxa"/>
              <w:bottom w:w="0" w:type="dxa"/>
              <w:right w:w="15" w:type="dxa"/>
            </w:tcMar>
            <w:vAlign w:val="bottom"/>
            <w:hideMark/>
          </w:tcPr>
          <w:p w14:paraId="050476B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174B97F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4A1087E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773AD88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left w:w="0" w:type="dxa"/>
              <w:bottom w:w="0" w:type="dxa"/>
              <w:right w:w="15" w:type="dxa"/>
            </w:tcMar>
            <w:vAlign w:val="bottom"/>
            <w:hideMark/>
          </w:tcPr>
          <w:p w14:paraId="27926A1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36FC0E1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7EB4F16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7E9ECC7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1,653</w:t>
            </w:r>
          </w:p>
        </w:tc>
        <w:tc>
          <w:tcPr>
            <w:tcW w:w="31" w:type="pct"/>
            <w:shd w:val="clear" w:color="auto" w:fill="CFF0FC"/>
            <w:noWrap/>
            <w:tcMar>
              <w:top w:w="15" w:type="dxa"/>
              <w:left w:w="0" w:type="dxa"/>
              <w:bottom w:w="0" w:type="dxa"/>
              <w:right w:w="15" w:type="dxa"/>
            </w:tcMar>
            <w:vAlign w:val="bottom"/>
            <w:hideMark/>
          </w:tcPr>
          <w:p w14:paraId="2D170AC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05F25996" w14:textId="77777777">
        <w:trPr>
          <w:divId w:val="175466462"/>
          <w:jc w:val="center"/>
        </w:trPr>
        <w:tc>
          <w:tcPr>
            <w:tcW w:w="1650" w:type="pct"/>
            <w:shd w:val="clear" w:color="auto" w:fill="FFFFFF"/>
            <w:tcMar>
              <w:top w:w="15" w:type="dxa"/>
              <w:left w:w="0" w:type="dxa"/>
              <w:bottom w:w="0" w:type="dxa"/>
              <w:right w:w="15" w:type="dxa"/>
            </w:tcMar>
            <w:hideMark/>
          </w:tcPr>
          <w:p w14:paraId="12E2BEF2"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Repurchase of common stock</w:t>
            </w:r>
          </w:p>
        </w:tc>
        <w:tc>
          <w:tcPr>
            <w:tcW w:w="44" w:type="pct"/>
            <w:shd w:val="clear" w:color="auto" w:fill="FFFFFF"/>
            <w:tcMar>
              <w:top w:w="15" w:type="dxa"/>
              <w:left w:w="0" w:type="dxa"/>
              <w:bottom w:w="0" w:type="dxa"/>
              <w:right w:w="15" w:type="dxa"/>
            </w:tcMar>
            <w:vAlign w:val="bottom"/>
            <w:hideMark/>
          </w:tcPr>
          <w:p w14:paraId="1FC3F93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3C3BBE3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5AFE2A8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(734</w:t>
            </w:r>
          </w:p>
        </w:tc>
        <w:tc>
          <w:tcPr>
            <w:tcW w:w="44" w:type="pct"/>
            <w:shd w:val="clear" w:color="auto" w:fill="FFFFFF"/>
            <w:noWrap/>
            <w:tcMar>
              <w:top w:w="15" w:type="dxa"/>
              <w:left w:w="0" w:type="dxa"/>
              <w:bottom w:w="0" w:type="dxa"/>
              <w:right w:w="15" w:type="dxa"/>
            </w:tcMar>
            <w:vAlign w:val="bottom"/>
            <w:hideMark/>
          </w:tcPr>
          <w:p w14:paraId="63B1C33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359A4CA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7B7C57D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6C41FE5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(5,354</w:t>
            </w:r>
          </w:p>
        </w:tc>
        <w:tc>
          <w:tcPr>
            <w:tcW w:w="44" w:type="pct"/>
            <w:shd w:val="clear" w:color="auto" w:fill="FFFFFF"/>
            <w:noWrap/>
            <w:tcMar>
              <w:top w:w="15" w:type="dxa"/>
              <w:left w:w="0" w:type="dxa"/>
              <w:bottom w:w="0" w:type="dxa"/>
              <w:right w:w="15" w:type="dxa"/>
            </w:tcMar>
            <w:vAlign w:val="bottom"/>
            <w:hideMark/>
          </w:tcPr>
          <w:p w14:paraId="3AC7FEF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258E1B9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57C4FDA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3B43669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(30,646</w:t>
            </w:r>
          </w:p>
        </w:tc>
        <w:tc>
          <w:tcPr>
            <w:tcW w:w="44" w:type="pct"/>
            <w:shd w:val="clear" w:color="auto" w:fill="FFFFFF"/>
            <w:noWrap/>
            <w:tcMar>
              <w:top w:w="15" w:type="dxa"/>
              <w:left w:w="0" w:type="dxa"/>
              <w:bottom w:w="0" w:type="dxa"/>
              <w:right w:w="15" w:type="dxa"/>
            </w:tcMar>
            <w:vAlign w:val="bottom"/>
            <w:hideMark/>
          </w:tcPr>
          <w:p w14:paraId="23C3FC9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30BEBE4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20962F7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3CA8A0C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2C2BFDD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2EB68A0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2BDB309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12E34A0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(36,000</w:t>
            </w:r>
          </w:p>
        </w:tc>
        <w:tc>
          <w:tcPr>
            <w:tcW w:w="44" w:type="pct"/>
            <w:shd w:val="clear" w:color="auto" w:fill="FFFFFF"/>
            <w:noWrap/>
            <w:tcMar>
              <w:top w:w="15" w:type="dxa"/>
              <w:left w:w="0" w:type="dxa"/>
              <w:bottom w:w="0" w:type="dxa"/>
              <w:right w:w="15" w:type="dxa"/>
            </w:tcMar>
            <w:vAlign w:val="bottom"/>
            <w:hideMark/>
          </w:tcPr>
          <w:p w14:paraId="349C959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left w:w="0" w:type="dxa"/>
              <w:bottom w:w="0" w:type="dxa"/>
              <w:right w:w="15" w:type="dxa"/>
            </w:tcMar>
            <w:vAlign w:val="bottom"/>
            <w:hideMark/>
          </w:tcPr>
          <w:p w14:paraId="7624670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6D922E5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1C08D0E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19429C7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2B79285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620D8AC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3C91500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(36,000</w:t>
            </w:r>
          </w:p>
        </w:tc>
        <w:tc>
          <w:tcPr>
            <w:tcW w:w="31" w:type="pct"/>
            <w:shd w:val="clear" w:color="auto" w:fill="FFFFFF"/>
            <w:noWrap/>
            <w:tcMar>
              <w:top w:w="15" w:type="dxa"/>
              <w:left w:w="0" w:type="dxa"/>
              <w:bottom w:w="0" w:type="dxa"/>
              <w:right w:w="15" w:type="dxa"/>
            </w:tcMar>
            <w:vAlign w:val="bottom"/>
            <w:hideMark/>
          </w:tcPr>
          <w:p w14:paraId="2DB7F9A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1E4201D9" w14:textId="77777777">
        <w:trPr>
          <w:divId w:val="175466462"/>
          <w:jc w:val="center"/>
        </w:trPr>
        <w:tc>
          <w:tcPr>
            <w:tcW w:w="1650" w:type="pct"/>
            <w:shd w:val="clear" w:color="auto" w:fill="CFF0FC"/>
            <w:tcMar>
              <w:top w:w="15" w:type="dxa"/>
              <w:left w:w="0" w:type="dxa"/>
              <w:bottom w:w="0" w:type="dxa"/>
              <w:right w:w="15" w:type="dxa"/>
            </w:tcMar>
            <w:hideMark/>
          </w:tcPr>
          <w:p w14:paraId="3D638D02"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44" w:type="pct"/>
            <w:shd w:val="clear" w:color="auto" w:fill="CFF0FC"/>
            <w:tcMar>
              <w:top w:w="15" w:type="dxa"/>
              <w:left w:w="0" w:type="dxa"/>
              <w:bottom w:w="0" w:type="dxa"/>
              <w:right w:w="15" w:type="dxa"/>
            </w:tcMar>
            <w:vAlign w:val="bottom"/>
            <w:hideMark/>
          </w:tcPr>
          <w:p w14:paraId="2F25647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488AE6F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13CA859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w:t>
            </w:r>
          </w:p>
        </w:tc>
        <w:tc>
          <w:tcPr>
            <w:tcW w:w="44" w:type="pct"/>
            <w:shd w:val="clear" w:color="auto" w:fill="CFF0FC"/>
            <w:noWrap/>
            <w:tcMar>
              <w:top w:w="15" w:type="dxa"/>
              <w:left w:w="0" w:type="dxa"/>
              <w:bottom w:w="0" w:type="dxa"/>
              <w:right w:w="15" w:type="dxa"/>
            </w:tcMar>
            <w:vAlign w:val="bottom"/>
            <w:hideMark/>
          </w:tcPr>
          <w:p w14:paraId="5B74BE9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28C15A1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1CA8E72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16B8F77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(503</w:t>
            </w:r>
          </w:p>
        </w:tc>
        <w:tc>
          <w:tcPr>
            <w:tcW w:w="44" w:type="pct"/>
            <w:shd w:val="clear" w:color="auto" w:fill="CFF0FC"/>
            <w:noWrap/>
            <w:tcMar>
              <w:top w:w="15" w:type="dxa"/>
              <w:left w:w="0" w:type="dxa"/>
              <w:bottom w:w="0" w:type="dxa"/>
              <w:right w:w="15" w:type="dxa"/>
            </w:tcMar>
            <w:vAlign w:val="bottom"/>
            <w:hideMark/>
          </w:tcPr>
          <w:p w14:paraId="50F9AB4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152D8F7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0FE6016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05CFB9B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0D143BE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5C4BF7D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6970FAC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2E50A8A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6763407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65AD3D1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420CB09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7BDF242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(503</w:t>
            </w:r>
          </w:p>
        </w:tc>
        <w:tc>
          <w:tcPr>
            <w:tcW w:w="44" w:type="pct"/>
            <w:shd w:val="clear" w:color="auto" w:fill="CFF0FC"/>
            <w:noWrap/>
            <w:tcMar>
              <w:top w:w="15" w:type="dxa"/>
              <w:left w:w="0" w:type="dxa"/>
              <w:bottom w:w="0" w:type="dxa"/>
              <w:right w:w="15" w:type="dxa"/>
            </w:tcMar>
            <w:vAlign w:val="bottom"/>
            <w:hideMark/>
          </w:tcPr>
          <w:p w14:paraId="3A7C1A0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left w:w="0" w:type="dxa"/>
              <w:bottom w:w="0" w:type="dxa"/>
              <w:right w:w="15" w:type="dxa"/>
            </w:tcMar>
            <w:vAlign w:val="bottom"/>
            <w:hideMark/>
          </w:tcPr>
          <w:p w14:paraId="45FF819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761B722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15F6CBB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left w:w="0" w:type="dxa"/>
              <w:bottom w:w="0" w:type="dxa"/>
              <w:right w:w="15" w:type="dxa"/>
            </w:tcMar>
            <w:vAlign w:val="bottom"/>
            <w:hideMark/>
          </w:tcPr>
          <w:p w14:paraId="37F0D51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2D2C798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1E3EE82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6E5D6EF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(503</w:t>
            </w:r>
          </w:p>
        </w:tc>
        <w:tc>
          <w:tcPr>
            <w:tcW w:w="31" w:type="pct"/>
            <w:shd w:val="clear" w:color="auto" w:fill="CFF0FC"/>
            <w:noWrap/>
            <w:tcMar>
              <w:top w:w="15" w:type="dxa"/>
              <w:left w:w="0" w:type="dxa"/>
              <w:bottom w:w="0" w:type="dxa"/>
              <w:right w:w="15" w:type="dxa"/>
            </w:tcMar>
            <w:vAlign w:val="bottom"/>
            <w:hideMark/>
          </w:tcPr>
          <w:p w14:paraId="1177068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364B5CCD" w14:textId="77777777">
        <w:trPr>
          <w:divId w:val="175466462"/>
          <w:jc w:val="center"/>
        </w:trPr>
        <w:tc>
          <w:tcPr>
            <w:tcW w:w="1650" w:type="pct"/>
            <w:shd w:val="clear" w:color="auto" w:fill="FFFFFF"/>
            <w:tcMar>
              <w:top w:w="15" w:type="dxa"/>
              <w:left w:w="0" w:type="dxa"/>
              <w:bottom w:w="0" w:type="dxa"/>
              <w:right w:w="15" w:type="dxa"/>
            </w:tcMar>
            <w:hideMark/>
          </w:tcPr>
          <w:p w14:paraId="654D9A07"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Cash dividends declared ($0.81 per share)</w:t>
            </w:r>
          </w:p>
        </w:tc>
        <w:tc>
          <w:tcPr>
            <w:tcW w:w="44" w:type="pct"/>
            <w:shd w:val="clear" w:color="auto" w:fill="FFFFFF"/>
            <w:tcMar>
              <w:top w:w="15" w:type="dxa"/>
              <w:left w:w="0" w:type="dxa"/>
              <w:bottom w:w="0" w:type="dxa"/>
              <w:right w:w="15" w:type="dxa"/>
            </w:tcMar>
            <w:vAlign w:val="bottom"/>
            <w:hideMark/>
          </w:tcPr>
          <w:p w14:paraId="6D1AE13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3B3F2A0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013B9AE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66B2FD7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BB1AA3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69DD222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6374285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7A3C098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6C45CF1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4D27745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7DA7CBC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(2,932</w:t>
            </w:r>
          </w:p>
        </w:tc>
        <w:tc>
          <w:tcPr>
            <w:tcW w:w="44" w:type="pct"/>
            <w:shd w:val="clear" w:color="auto" w:fill="FFFFFF"/>
            <w:noWrap/>
            <w:tcMar>
              <w:top w:w="15" w:type="dxa"/>
              <w:left w:w="0" w:type="dxa"/>
              <w:bottom w:w="0" w:type="dxa"/>
              <w:right w:w="15" w:type="dxa"/>
            </w:tcMar>
            <w:vAlign w:val="bottom"/>
            <w:hideMark/>
          </w:tcPr>
          <w:p w14:paraId="29409F4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2F2A491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044203D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73993F5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591EF0D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1309A5C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742A401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13E9F9B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(2,932</w:t>
            </w:r>
          </w:p>
        </w:tc>
        <w:tc>
          <w:tcPr>
            <w:tcW w:w="44" w:type="pct"/>
            <w:shd w:val="clear" w:color="auto" w:fill="FFFFFF"/>
            <w:noWrap/>
            <w:tcMar>
              <w:top w:w="15" w:type="dxa"/>
              <w:left w:w="0" w:type="dxa"/>
              <w:bottom w:w="0" w:type="dxa"/>
              <w:right w:w="15" w:type="dxa"/>
            </w:tcMar>
            <w:vAlign w:val="bottom"/>
            <w:hideMark/>
          </w:tcPr>
          <w:p w14:paraId="121EAED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left w:w="0" w:type="dxa"/>
              <w:bottom w:w="0" w:type="dxa"/>
              <w:right w:w="15" w:type="dxa"/>
            </w:tcMar>
            <w:vAlign w:val="bottom"/>
            <w:hideMark/>
          </w:tcPr>
          <w:p w14:paraId="3E26262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58927AE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0682273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left w:w="0" w:type="dxa"/>
              <w:bottom w:w="0" w:type="dxa"/>
              <w:right w:w="15" w:type="dxa"/>
            </w:tcMar>
            <w:vAlign w:val="bottom"/>
            <w:hideMark/>
          </w:tcPr>
          <w:p w14:paraId="4A2667E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3E6BFDD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4FF6693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3B30293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(2,932</w:t>
            </w:r>
          </w:p>
        </w:tc>
        <w:tc>
          <w:tcPr>
            <w:tcW w:w="31" w:type="pct"/>
            <w:shd w:val="clear" w:color="auto" w:fill="FFFFFF"/>
            <w:noWrap/>
            <w:tcMar>
              <w:top w:w="15" w:type="dxa"/>
              <w:left w:w="0" w:type="dxa"/>
              <w:bottom w:w="0" w:type="dxa"/>
              <w:right w:w="15" w:type="dxa"/>
            </w:tcMar>
            <w:vAlign w:val="bottom"/>
            <w:hideMark/>
          </w:tcPr>
          <w:p w14:paraId="41AA1DF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0B376D17" w14:textId="77777777">
        <w:trPr>
          <w:divId w:val="175466462"/>
          <w:jc w:val="center"/>
        </w:trPr>
        <w:tc>
          <w:tcPr>
            <w:tcW w:w="1650" w:type="pct"/>
            <w:shd w:val="clear" w:color="auto" w:fill="CFF0FC"/>
            <w:tcMar>
              <w:top w:w="15" w:type="dxa"/>
              <w:left w:w="0" w:type="dxa"/>
              <w:bottom w:w="0" w:type="dxa"/>
              <w:right w:w="15" w:type="dxa"/>
            </w:tcMar>
            <w:hideMark/>
          </w:tcPr>
          <w:p w14:paraId="0433EB6F"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Other, net</w:t>
            </w:r>
          </w:p>
        </w:tc>
        <w:tc>
          <w:tcPr>
            <w:tcW w:w="44" w:type="pct"/>
            <w:shd w:val="clear" w:color="auto" w:fill="CFF0FC"/>
            <w:tcMar>
              <w:top w:w="15" w:type="dxa"/>
              <w:left w:w="0" w:type="dxa"/>
              <w:bottom w:w="0" w:type="dxa"/>
              <w:right w:w="15" w:type="dxa"/>
            </w:tcMar>
            <w:vAlign w:val="bottom"/>
            <w:hideMark/>
          </w:tcPr>
          <w:p w14:paraId="56DBB55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left w:w="0" w:type="dxa"/>
              <w:bottom w:w="0" w:type="dxa"/>
              <w:right w:w="15" w:type="dxa"/>
            </w:tcMar>
            <w:vAlign w:val="bottom"/>
            <w:hideMark/>
          </w:tcPr>
          <w:p w14:paraId="45C80D3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left w:w="0" w:type="dxa"/>
              <w:bottom w:w="0" w:type="dxa"/>
              <w:right w:w="15" w:type="dxa"/>
            </w:tcMar>
            <w:vAlign w:val="bottom"/>
            <w:hideMark/>
          </w:tcPr>
          <w:p w14:paraId="26B0C01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65C51D0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55F748A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0AAAB72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left w:w="0" w:type="dxa"/>
              <w:bottom w:w="0" w:type="dxa"/>
              <w:right w:w="15" w:type="dxa"/>
            </w:tcMar>
            <w:vAlign w:val="bottom"/>
            <w:hideMark/>
          </w:tcPr>
          <w:p w14:paraId="5240815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0FAEFFB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4793B9E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left w:w="0" w:type="dxa"/>
              <w:bottom w:w="0" w:type="dxa"/>
              <w:right w:w="15" w:type="dxa"/>
            </w:tcMar>
            <w:vAlign w:val="bottom"/>
            <w:hideMark/>
          </w:tcPr>
          <w:p w14:paraId="0950EC1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CFF0FC"/>
            <w:noWrap/>
            <w:tcMar>
              <w:top w:w="15" w:type="dxa"/>
              <w:left w:w="0" w:type="dxa"/>
              <w:bottom w:w="0" w:type="dxa"/>
              <w:right w:w="15" w:type="dxa"/>
            </w:tcMar>
            <w:vAlign w:val="bottom"/>
            <w:hideMark/>
          </w:tcPr>
          <w:p w14:paraId="007E78F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w:t>
            </w:r>
          </w:p>
        </w:tc>
        <w:tc>
          <w:tcPr>
            <w:tcW w:w="44" w:type="pct"/>
            <w:shd w:val="clear" w:color="auto" w:fill="CFF0FC"/>
            <w:noWrap/>
            <w:tcMar>
              <w:top w:w="15" w:type="dxa"/>
              <w:left w:w="0" w:type="dxa"/>
              <w:bottom w:w="0" w:type="dxa"/>
              <w:right w:w="15" w:type="dxa"/>
            </w:tcMar>
            <w:vAlign w:val="bottom"/>
            <w:hideMark/>
          </w:tcPr>
          <w:p w14:paraId="0EF3553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left w:w="0" w:type="dxa"/>
              <w:bottom w:w="0" w:type="dxa"/>
              <w:right w:w="15" w:type="dxa"/>
            </w:tcMar>
            <w:vAlign w:val="bottom"/>
            <w:hideMark/>
          </w:tcPr>
          <w:p w14:paraId="28186B9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4BE4013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05107C0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647217A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0802C4C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6D43CEF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left w:w="0" w:type="dxa"/>
              <w:bottom w:w="0" w:type="dxa"/>
              <w:right w:w="15" w:type="dxa"/>
            </w:tcMar>
            <w:vAlign w:val="bottom"/>
            <w:hideMark/>
          </w:tcPr>
          <w:p w14:paraId="5D6807A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w:t>
            </w:r>
          </w:p>
        </w:tc>
        <w:tc>
          <w:tcPr>
            <w:tcW w:w="44" w:type="pct"/>
            <w:shd w:val="clear" w:color="auto" w:fill="CFF0FC"/>
            <w:noWrap/>
            <w:tcMar>
              <w:top w:w="15" w:type="dxa"/>
              <w:left w:w="0" w:type="dxa"/>
              <w:bottom w:w="0" w:type="dxa"/>
              <w:right w:w="15" w:type="dxa"/>
            </w:tcMar>
            <w:vAlign w:val="bottom"/>
            <w:hideMark/>
          </w:tcPr>
          <w:p w14:paraId="7AF9E8A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left w:w="0" w:type="dxa"/>
              <w:bottom w:w="0" w:type="dxa"/>
              <w:right w:w="15" w:type="dxa"/>
            </w:tcMar>
            <w:vAlign w:val="bottom"/>
            <w:hideMark/>
          </w:tcPr>
          <w:p w14:paraId="60604DB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CFF0FC"/>
            <w:noWrap/>
            <w:tcMar>
              <w:top w:w="15" w:type="dxa"/>
              <w:left w:w="0" w:type="dxa"/>
              <w:bottom w:w="0" w:type="dxa"/>
              <w:right w:w="15" w:type="dxa"/>
            </w:tcMar>
            <w:vAlign w:val="bottom"/>
            <w:hideMark/>
          </w:tcPr>
          <w:p w14:paraId="6991BAD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CFF0FC"/>
            <w:noWrap/>
            <w:tcMar>
              <w:top w:w="15" w:type="dxa"/>
              <w:left w:w="0" w:type="dxa"/>
              <w:bottom w:w="0" w:type="dxa"/>
              <w:right w:w="15" w:type="dxa"/>
            </w:tcMar>
            <w:vAlign w:val="bottom"/>
            <w:hideMark/>
          </w:tcPr>
          <w:p w14:paraId="16B9E31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(69</w:t>
            </w:r>
          </w:p>
        </w:tc>
        <w:tc>
          <w:tcPr>
            <w:tcW w:w="45" w:type="pct"/>
            <w:shd w:val="clear" w:color="auto" w:fill="CFF0FC"/>
            <w:noWrap/>
            <w:tcMar>
              <w:top w:w="15" w:type="dxa"/>
              <w:left w:w="0" w:type="dxa"/>
              <w:bottom w:w="0" w:type="dxa"/>
              <w:right w:w="15" w:type="dxa"/>
            </w:tcMar>
            <w:vAlign w:val="bottom"/>
            <w:hideMark/>
          </w:tcPr>
          <w:p w14:paraId="744A7F9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left w:w="0" w:type="dxa"/>
              <w:bottom w:w="0" w:type="dxa"/>
              <w:right w:w="15" w:type="dxa"/>
            </w:tcMar>
            <w:vAlign w:val="bottom"/>
            <w:hideMark/>
          </w:tcPr>
          <w:p w14:paraId="690CA1B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left w:w="0" w:type="dxa"/>
              <w:bottom w:w="0" w:type="dxa"/>
              <w:right w:w="15" w:type="dxa"/>
            </w:tcMar>
            <w:vAlign w:val="bottom"/>
            <w:hideMark/>
          </w:tcPr>
          <w:p w14:paraId="24A49A4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left w:w="0" w:type="dxa"/>
              <w:bottom w:w="0" w:type="dxa"/>
              <w:right w:w="15" w:type="dxa"/>
            </w:tcMar>
            <w:vAlign w:val="bottom"/>
            <w:hideMark/>
          </w:tcPr>
          <w:p w14:paraId="59BEB95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(71</w:t>
            </w:r>
          </w:p>
        </w:tc>
        <w:tc>
          <w:tcPr>
            <w:tcW w:w="31" w:type="pct"/>
            <w:shd w:val="clear" w:color="auto" w:fill="CFF0FC"/>
            <w:noWrap/>
            <w:tcMar>
              <w:top w:w="15" w:type="dxa"/>
              <w:left w:w="0" w:type="dxa"/>
              <w:bottom w:w="0" w:type="dxa"/>
              <w:right w:w="15" w:type="dxa"/>
            </w:tcMar>
            <w:vAlign w:val="bottom"/>
            <w:hideMark/>
          </w:tcPr>
          <w:p w14:paraId="04D8C62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251D72" w14:paraId="23509871" w14:textId="77777777">
        <w:trPr>
          <w:divId w:val="175466462"/>
          <w:jc w:val="center"/>
        </w:trPr>
        <w:tc>
          <w:tcPr>
            <w:tcW w:w="1650" w:type="pct"/>
            <w:shd w:val="clear" w:color="auto" w:fill="FFFFFF"/>
            <w:tcMar>
              <w:top w:w="15" w:type="dxa"/>
              <w:left w:w="0" w:type="dxa"/>
              <w:bottom w:w="0" w:type="dxa"/>
              <w:right w:w="15" w:type="dxa"/>
            </w:tcMar>
            <w:hideMark/>
          </w:tcPr>
          <w:p w14:paraId="6860BC6E"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Other comprehensive income (loss), net</w:t>
            </w:r>
          </w:p>
        </w:tc>
        <w:tc>
          <w:tcPr>
            <w:tcW w:w="44" w:type="pct"/>
            <w:shd w:val="clear" w:color="auto" w:fill="FFFFFF"/>
            <w:tcMar>
              <w:top w:w="15" w:type="dxa"/>
              <w:left w:w="0" w:type="dxa"/>
              <w:bottom w:w="0" w:type="dxa"/>
              <w:right w:w="15" w:type="dxa"/>
            </w:tcMar>
            <w:vAlign w:val="bottom"/>
            <w:hideMark/>
          </w:tcPr>
          <w:p w14:paraId="6229C73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left w:w="0" w:type="dxa"/>
              <w:bottom w:w="0" w:type="dxa"/>
              <w:right w:w="15" w:type="dxa"/>
            </w:tcMar>
            <w:vAlign w:val="bottom"/>
            <w:hideMark/>
          </w:tcPr>
          <w:p w14:paraId="77CB669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left w:w="0" w:type="dxa"/>
              <w:bottom w:w="0" w:type="dxa"/>
              <w:right w:w="15" w:type="dxa"/>
            </w:tcMar>
            <w:vAlign w:val="bottom"/>
            <w:hideMark/>
          </w:tcPr>
          <w:p w14:paraId="512C574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2D1CE1C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480EAF3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7663B61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left w:w="0" w:type="dxa"/>
              <w:bottom w:w="0" w:type="dxa"/>
              <w:right w:w="15" w:type="dxa"/>
            </w:tcMar>
            <w:vAlign w:val="bottom"/>
            <w:hideMark/>
          </w:tcPr>
          <w:p w14:paraId="6A4DF25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4B56C6D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5B176B7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left w:w="0" w:type="dxa"/>
              <w:bottom w:w="0" w:type="dxa"/>
              <w:right w:w="15" w:type="dxa"/>
            </w:tcMar>
            <w:vAlign w:val="bottom"/>
            <w:hideMark/>
          </w:tcPr>
          <w:p w14:paraId="2C829F0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shd w:val="clear" w:color="auto" w:fill="FFFFFF"/>
            <w:noWrap/>
            <w:tcMar>
              <w:top w:w="15" w:type="dxa"/>
              <w:left w:w="0" w:type="dxa"/>
              <w:bottom w:w="0" w:type="dxa"/>
              <w:right w:w="15" w:type="dxa"/>
            </w:tcMar>
            <w:vAlign w:val="bottom"/>
            <w:hideMark/>
          </w:tcPr>
          <w:p w14:paraId="2A1ABCF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left w:w="0" w:type="dxa"/>
              <w:bottom w:w="0" w:type="dxa"/>
              <w:right w:w="15" w:type="dxa"/>
            </w:tcMar>
            <w:vAlign w:val="bottom"/>
            <w:hideMark/>
          </w:tcPr>
          <w:p w14:paraId="5ED0DE4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0DECDFC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5351AAC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7F11C48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61</w:t>
            </w:r>
          </w:p>
        </w:tc>
        <w:tc>
          <w:tcPr>
            <w:tcW w:w="44" w:type="pct"/>
            <w:shd w:val="clear" w:color="auto" w:fill="FFFFFF"/>
            <w:noWrap/>
            <w:tcMar>
              <w:top w:w="15" w:type="dxa"/>
              <w:left w:w="0" w:type="dxa"/>
              <w:bottom w:w="0" w:type="dxa"/>
              <w:right w:w="15" w:type="dxa"/>
            </w:tcMar>
            <w:vAlign w:val="bottom"/>
            <w:hideMark/>
          </w:tcPr>
          <w:p w14:paraId="67AD2AE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9540B9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284D0BE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left w:w="0" w:type="dxa"/>
              <w:bottom w:w="0" w:type="dxa"/>
              <w:right w:w="15" w:type="dxa"/>
            </w:tcMar>
            <w:vAlign w:val="bottom"/>
            <w:hideMark/>
          </w:tcPr>
          <w:p w14:paraId="2ECF50F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61</w:t>
            </w:r>
          </w:p>
        </w:tc>
        <w:tc>
          <w:tcPr>
            <w:tcW w:w="44" w:type="pct"/>
            <w:shd w:val="clear" w:color="auto" w:fill="FFFFFF"/>
            <w:noWrap/>
            <w:tcMar>
              <w:top w:w="15" w:type="dxa"/>
              <w:left w:w="0" w:type="dxa"/>
              <w:bottom w:w="0" w:type="dxa"/>
              <w:right w:w="15" w:type="dxa"/>
            </w:tcMar>
            <w:vAlign w:val="bottom"/>
            <w:hideMark/>
          </w:tcPr>
          <w:p w14:paraId="6261498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494F86C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shd w:val="clear" w:color="auto" w:fill="FFFFFF"/>
            <w:noWrap/>
            <w:tcMar>
              <w:top w:w="15" w:type="dxa"/>
              <w:left w:w="0" w:type="dxa"/>
              <w:bottom w:w="0" w:type="dxa"/>
              <w:right w:w="15" w:type="dxa"/>
            </w:tcMar>
            <w:vAlign w:val="bottom"/>
            <w:hideMark/>
          </w:tcPr>
          <w:p w14:paraId="0AF36BD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shd w:val="clear" w:color="auto" w:fill="FFFFFF"/>
            <w:noWrap/>
            <w:tcMar>
              <w:top w:w="15" w:type="dxa"/>
              <w:left w:w="0" w:type="dxa"/>
              <w:bottom w:w="0" w:type="dxa"/>
              <w:right w:w="15" w:type="dxa"/>
            </w:tcMar>
            <w:vAlign w:val="bottom"/>
            <w:hideMark/>
          </w:tcPr>
          <w:p w14:paraId="377D239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w:t>
            </w:r>
          </w:p>
        </w:tc>
        <w:tc>
          <w:tcPr>
            <w:tcW w:w="45" w:type="pct"/>
            <w:shd w:val="clear" w:color="auto" w:fill="FFFFFF"/>
            <w:noWrap/>
            <w:tcMar>
              <w:top w:w="15" w:type="dxa"/>
              <w:left w:w="0" w:type="dxa"/>
              <w:bottom w:w="0" w:type="dxa"/>
              <w:right w:w="15" w:type="dxa"/>
            </w:tcMar>
            <w:vAlign w:val="bottom"/>
            <w:hideMark/>
          </w:tcPr>
          <w:p w14:paraId="56CB6E2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left w:w="0" w:type="dxa"/>
              <w:bottom w:w="0" w:type="dxa"/>
              <w:right w:w="15" w:type="dxa"/>
            </w:tcMar>
            <w:vAlign w:val="bottom"/>
            <w:hideMark/>
          </w:tcPr>
          <w:p w14:paraId="554E02F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left w:w="0" w:type="dxa"/>
              <w:bottom w:w="0" w:type="dxa"/>
              <w:right w:w="15" w:type="dxa"/>
            </w:tcMar>
            <w:vAlign w:val="bottom"/>
            <w:hideMark/>
          </w:tcPr>
          <w:p w14:paraId="2CD4C96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left w:w="0" w:type="dxa"/>
              <w:bottom w:w="0" w:type="dxa"/>
              <w:right w:w="15" w:type="dxa"/>
            </w:tcMar>
            <w:vAlign w:val="bottom"/>
            <w:hideMark/>
          </w:tcPr>
          <w:p w14:paraId="7A3F17B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55</w:t>
            </w:r>
          </w:p>
        </w:tc>
        <w:tc>
          <w:tcPr>
            <w:tcW w:w="31" w:type="pct"/>
            <w:shd w:val="clear" w:color="auto" w:fill="FFFFFF"/>
            <w:noWrap/>
            <w:tcMar>
              <w:top w:w="15" w:type="dxa"/>
              <w:left w:w="0" w:type="dxa"/>
              <w:bottom w:w="0" w:type="dxa"/>
              <w:right w:w="15" w:type="dxa"/>
            </w:tcMar>
            <w:vAlign w:val="bottom"/>
            <w:hideMark/>
          </w:tcPr>
          <w:p w14:paraId="617D69C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244C749E" w14:textId="77777777">
        <w:trPr>
          <w:divId w:val="175466462"/>
          <w:jc w:val="center"/>
        </w:trPr>
        <w:tc>
          <w:tcPr>
            <w:tcW w:w="1650" w:type="pct"/>
            <w:shd w:val="clear" w:color="auto" w:fill="CFF0FC"/>
            <w:tcMar>
              <w:top w:w="15" w:type="dxa"/>
              <w:left w:w="0" w:type="dxa"/>
              <w:bottom w:w="0" w:type="dxa"/>
              <w:right w:w="15" w:type="dxa"/>
            </w:tcMar>
            <w:hideMark/>
          </w:tcPr>
          <w:p w14:paraId="65F4FF04"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Net income</w:t>
            </w:r>
          </w:p>
        </w:tc>
        <w:tc>
          <w:tcPr>
            <w:tcW w:w="44" w:type="pct"/>
            <w:shd w:val="clear" w:color="auto" w:fill="CFF0FC"/>
            <w:tcMar>
              <w:top w:w="15" w:type="dxa"/>
              <w:left w:w="0" w:type="dxa"/>
              <w:bottom w:w="0" w:type="dxa"/>
              <w:right w:w="15" w:type="dxa"/>
            </w:tcMar>
            <w:vAlign w:val="bottom"/>
            <w:hideMark/>
          </w:tcPr>
          <w:p w14:paraId="02E81FB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bottom w:val="single" w:sz="6" w:space="0" w:color="000000"/>
            </w:tcBorders>
            <w:shd w:val="clear" w:color="auto" w:fill="CFF0FC"/>
            <w:noWrap/>
            <w:tcMar>
              <w:top w:w="15" w:type="dxa"/>
              <w:left w:w="0" w:type="dxa"/>
              <w:bottom w:w="0" w:type="dxa"/>
              <w:right w:w="15" w:type="dxa"/>
            </w:tcMar>
            <w:vAlign w:val="bottom"/>
            <w:hideMark/>
          </w:tcPr>
          <w:p w14:paraId="1E163CA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bottom w:val="single" w:sz="6" w:space="0" w:color="000000"/>
            </w:tcBorders>
            <w:shd w:val="clear" w:color="auto" w:fill="CFF0FC"/>
            <w:noWrap/>
            <w:tcMar>
              <w:top w:w="15" w:type="dxa"/>
              <w:left w:w="0" w:type="dxa"/>
              <w:bottom w:w="0" w:type="dxa"/>
              <w:right w:w="15" w:type="dxa"/>
            </w:tcMar>
            <w:vAlign w:val="bottom"/>
            <w:hideMark/>
          </w:tcPr>
          <w:p w14:paraId="56208AF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3980D39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1E4327B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left w:w="0" w:type="dxa"/>
              <w:bottom w:w="0" w:type="dxa"/>
              <w:right w:w="15" w:type="dxa"/>
            </w:tcMar>
            <w:vAlign w:val="bottom"/>
            <w:hideMark/>
          </w:tcPr>
          <w:p w14:paraId="1157971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43" w:type="pct"/>
            <w:tcBorders>
              <w:bottom w:val="single" w:sz="6" w:space="0" w:color="000000"/>
            </w:tcBorders>
            <w:shd w:val="clear" w:color="auto" w:fill="CFF0FC"/>
            <w:noWrap/>
            <w:tcMar>
              <w:top w:w="15" w:type="dxa"/>
              <w:left w:w="0" w:type="dxa"/>
              <w:bottom w:w="0" w:type="dxa"/>
              <w:right w:w="15" w:type="dxa"/>
            </w:tcMar>
            <w:vAlign w:val="bottom"/>
            <w:hideMark/>
          </w:tcPr>
          <w:p w14:paraId="684BE74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42F4892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3A3E686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bottom w:val="single" w:sz="6" w:space="0" w:color="000000"/>
            </w:tcBorders>
            <w:shd w:val="clear" w:color="auto" w:fill="CFF0FC"/>
            <w:noWrap/>
            <w:tcMar>
              <w:top w:w="15" w:type="dxa"/>
              <w:left w:w="0" w:type="dxa"/>
              <w:bottom w:w="0" w:type="dxa"/>
              <w:right w:w="15" w:type="dxa"/>
            </w:tcMar>
            <w:vAlign w:val="bottom"/>
            <w:hideMark/>
          </w:tcPr>
          <w:p w14:paraId="0737D29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39" w:type="pct"/>
            <w:tcBorders>
              <w:bottom w:val="single" w:sz="6" w:space="0" w:color="000000"/>
            </w:tcBorders>
            <w:shd w:val="clear" w:color="auto" w:fill="CFF0FC"/>
            <w:noWrap/>
            <w:tcMar>
              <w:top w:w="15" w:type="dxa"/>
              <w:left w:w="0" w:type="dxa"/>
              <w:bottom w:w="0" w:type="dxa"/>
              <w:right w:w="15" w:type="dxa"/>
            </w:tcMar>
            <w:vAlign w:val="bottom"/>
            <w:hideMark/>
          </w:tcPr>
          <w:p w14:paraId="0397CEC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11,083</w:t>
            </w:r>
          </w:p>
        </w:tc>
        <w:tc>
          <w:tcPr>
            <w:tcW w:w="44" w:type="pct"/>
            <w:shd w:val="clear" w:color="auto" w:fill="CFF0FC"/>
            <w:noWrap/>
            <w:tcMar>
              <w:top w:w="15" w:type="dxa"/>
              <w:left w:w="0" w:type="dxa"/>
              <w:bottom w:w="0" w:type="dxa"/>
              <w:right w:w="15" w:type="dxa"/>
            </w:tcMar>
            <w:vAlign w:val="bottom"/>
            <w:hideMark/>
          </w:tcPr>
          <w:p w14:paraId="71E4071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53F1386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bottom w:val="single" w:sz="6" w:space="0" w:color="000000"/>
            </w:tcBorders>
            <w:shd w:val="clear" w:color="auto" w:fill="CFF0FC"/>
            <w:noWrap/>
            <w:tcMar>
              <w:top w:w="15" w:type="dxa"/>
              <w:left w:w="0" w:type="dxa"/>
              <w:bottom w:w="0" w:type="dxa"/>
              <w:right w:w="15" w:type="dxa"/>
            </w:tcMar>
            <w:vAlign w:val="bottom"/>
            <w:hideMark/>
          </w:tcPr>
          <w:p w14:paraId="680CA31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left w:w="0" w:type="dxa"/>
              <w:bottom w:w="0" w:type="dxa"/>
              <w:right w:w="15" w:type="dxa"/>
            </w:tcMar>
            <w:vAlign w:val="bottom"/>
            <w:hideMark/>
          </w:tcPr>
          <w:p w14:paraId="47D9E95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left w:w="0" w:type="dxa"/>
              <w:bottom w:w="0" w:type="dxa"/>
              <w:right w:w="15" w:type="dxa"/>
            </w:tcMar>
            <w:vAlign w:val="bottom"/>
            <w:hideMark/>
          </w:tcPr>
          <w:p w14:paraId="0DD8D69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left w:w="0" w:type="dxa"/>
              <w:bottom w:w="0" w:type="dxa"/>
              <w:right w:w="15" w:type="dxa"/>
            </w:tcMar>
            <w:vAlign w:val="bottom"/>
            <w:hideMark/>
          </w:tcPr>
          <w:p w14:paraId="52AC421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bottom w:val="single" w:sz="6" w:space="0" w:color="000000"/>
            </w:tcBorders>
            <w:shd w:val="clear" w:color="auto" w:fill="CFF0FC"/>
            <w:noWrap/>
            <w:tcMar>
              <w:top w:w="15" w:type="dxa"/>
              <w:left w:w="0" w:type="dxa"/>
              <w:bottom w:w="0" w:type="dxa"/>
              <w:right w:w="15" w:type="dxa"/>
            </w:tcMar>
            <w:vAlign w:val="bottom"/>
            <w:hideMark/>
          </w:tcPr>
          <w:p w14:paraId="3570DFF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left w:w="0" w:type="dxa"/>
              <w:bottom w:w="0" w:type="dxa"/>
              <w:right w:w="15" w:type="dxa"/>
            </w:tcMar>
            <w:vAlign w:val="bottom"/>
            <w:hideMark/>
          </w:tcPr>
          <w:p w14:paraId="464C347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11,083</w:t>
            </w:r>
          </w:p>
        </w:tc>
        <w:tc>
          <w:tcPr>
            <w:tcW w:w="44" w:type="pct"/>
            <w:shd w:val="clear" w:color="auto" w:fill="CFF0FC"/>
            <w:noWrap/>
            <w:tcMar>
              <w:top w:w="15" w:type="dxa"/>
              <w:left w:w="0" w:type="dxa"/>
              <w:bottom w:w="0" w:type="dxa"/>
              <w:right w:w="15" w:type="dxa"/>
            </w:tcMar>
            <w:vAlign w:val="bottom"/>
            <w:hideMark/>
          </w:tcPr>
          <w:p w14:paraId="74855BC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3B1E8AA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bottom w:val="single" w:sz="6" w:space="0" w:color="000000"/>
            </w:tcBorders>
            <w:shd w:val="clear" w:color="auto" w:fill="CFF0FC"/>
            <w:noWrap/>
            <w:tcMar>
              <w:top w:w="15" w:type="dxa"/>
              <w:left w:w="0" w:type="dxa"/>
              <w:bottom w:w="0" w:type="dxa"/>
              <w:right w:w="15" w:type="dxa"/>
            </w:tcMar>
            <w:vAlign w:val="bottom"/>
            <w:hideMark/>
          </w:tcPr>
          <w:p w14:paraId="1DBA0CB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22" w:type="pct"/>
            <w:tcBorders>
              <w:bottom w:val="single" w:sz="6" w:space="0" w:color="000000"/>
            </w:tcBorders>
            <w:shd w:val="clear" w:color="auto" w:fill="CFF0FC"/>
            <w:noWrap/>
            <w:tcMar>
              <w:top w:w="15" w:type="dxa"/>
              <w:left w:w="0" w:type="dxa"/>
              <w:bottom w:w="0" w:type="dxa"/>
              <w:right w:w="15" w:type="dxa"/>
            </w:tcMar>
            <w:vAlign w:val="bottom"/>
            <w:hideMark/>
          </w:tcPr>
          <w:p w14:paraId="0585F55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152</w:t>
            </w:r>
          </w:p>
        </w:tc>
        <w:tc>
          <w:tcPr>
            <w:tcW w:w="45" w:type="pct"/>
            <w:shd w:val="clear" w:color="auto" w:fill="CFF0FC"/>
            <w:noWrap/>
            <w:tcMar>
              <w:top w:w="15" w:type="dxa"/>
              <w:left w:w="0" w:type="dxa"/>
              <w:bottom w:w="0" w:type="dxa"/>
              <w:right w:w="15" w:type="dxa"/>
            </w:tcMar>
            <w:vAlign w:val="bottom"/>
            <w:hideMark/>
          </w:tcPr>
          <w:p w14:paraId="7F20C01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left w:w="0" w:type="dxa"/>
              <w:bottom w:w="0" w:type="dxa"/>
              <w:right w:w="15" w:type="dxa"/>
            </w:tcMar>
            <w:vAlign w:val="bottom"/>
            <w:hideMark/>
          </w:tcPr>
          <w:p w14:paraId="267573B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left w:w="0" w:type="dxa"/>
              <w:bottom w:w="0" w:type="dxa"/>
              <w:right w:w="15" w:type="dxa"/>
            </w:tcMar>
            <w:vAlign w:val="bottom"/>
            <w:hideMark/>
          </w:tcPr>
          <w:p w14:paraId="02E5130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50" w:type="pct"/>
            <w:tcBorders>
              <w:bottom w:val="single" w:sz="6" w:space="0" w:color="000000"/>
            </w:tcBorders>
            <w:shd w:val="clear" w:color="auto" w:fill="CFF0FC"/>
            <w:noWrap/>
            <w:tcMar>
              <w:top w:w="15" w:type="dxa"/>
              <w:left w:w="0" w:type="dxa"/>
              <w:bottom w:w="0" w:type="dxa"/>
              <w:right w:w="15" w:type="dxa"/>
            </w:tcMar>
            <w:vAlign w:val="bottom"/>
            <w:hideMark/>
          </w:tcPr>
          <w:p w14:paraId="29174AA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11,235</w:t>
            </w:r>
          </w:p>
        </w:tc>
        <w:tc>
          <w:tcPr>
            <w:tcW w:w="31" w:type="pct"/>
            <w:shd w:val="clear" w:color="auto" w:fill="CFF0FC"/>
            <w:noWrap/>
            <w:tcMar>
              <w:top w:w="15" w:type="dxa"/>
              <w:left w:w="0" w:type="dxa"/>
              <w:bottom w:w="0" w:type="dxa"/>
              <w:right w:w="15" w:type="dxa"/>
            </w:tcMar>
            <w:vAlign w:val="bottom"/>
            <w:hideMark/>
          </w:tcPr>
          <w:p w14:paraId="7D96FBF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53CD0049" w14:textId="77777777">
        <w:trPr>
          <w:divId w:val="175466462"/>
          <w:jc w:val="center"/>
        </w:trPr>
        <w:tc>
          <w:tcPr>
            <w:tcW w:w="1650" w:type="pct"/>
            <w:shd w:val="clear" w:color="auto" w:fill="FFFFFF"/>
            <w:tcMar>
              <w:top w:w="15" w:type="dxa"/>
              <w:left w:w="0" w:type="dxa"/>
              <w:bottom w:w="0" w:type="dxa"/>
              <w:right w:w="15" w:type="dxa"/>
            </w:tcMar>
            <w:hideMark/>
          </w:tcPr>
          <w:p w14:paraId="24229510" w14:textId="77777777" w:rsidR="00251D72" w:rsidRDefault="00251D72">
            <w:pPr>
              <w:pStyle w:val="a3"/>
              <w:spacing w:before="0" w:beforeAutospacing="0" w:after="0" w:afterAutospacing="0"/>
              <w:ind w:left="144" w:hanging="144"/>
              <w:rPr>
                <w:rFonts w:ascii="Calibri" w:hAnsi="Calibri" w:cs="Calibri"/>
                <w:color w:val="000000"/>
                <w:sz w:val="17"/>
                <w:szCs w:val="17"/>
              </w:rPr>
            </w:pPr>
            <w:r>
              <w:rPr>
                <w:rFonts w:ascii="Calibri" w:hAnsi="Calibri" w:cs="Calibri"/>
                <w:color w:val="000000"/>
                <w:sz w:val="17"/>
                <w:szCs w:val="17"/>
              </w:rPr>
              <w:t>Balances as of May 31, 2019</w:t>
            </w:r>
          </w:p>
        </w:tc>
        <w:tc>
          <w:tcPr>
            <w:tcW w:w="44" w:type="pct"/>
            <w:shd w:val="clear" w:color="auto" w:fill="FFFFFF"/>
            <w:tcMar>
              <w:top w:w="15" w:type="dxa"/>
              <w:left w:w="0" w:type="dxa"/>
              <w:bottom w:w="0" w:type="dxa"/>
              <w:right w:w="15" w:type="dxa"/>
            </w:tcMar>
            <w:vAlign w:val="bottom"/>
            <w:hideMark/>
          </w:tcPr>
          <w:p w14:paraId="5DBD3B1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91992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FAC7FC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3,359</w:t>
            </w:r>
          </w:p>
        </w:tc>
        <w:tc>
          <w:tcPr>
            <w:tcW w:w="44" w:type="pct"/>
            <w:shd w:val="clear" w:color="auto" w:fill="FFFFFF"/>
            <w:noWrap/>
            <w:tcMar>
              <w:top w:w="15" w:type="dxa"/>
              <w:left w:w="0" w:type="dxa"/>
              <w:bottom w:w="0" w:type="dxa"/>
              <w:right w:w="15" w:type="dxa"/>
            </w:tcMar>
            <w:vAlign w:val="bottom"/>
            <w:hideMark/>
          </w:tcPr>
          <w:p w14:paraId="27AEA14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716DEC2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0A237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2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D001B4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26,909</w:t>
            </w:r>
          </w:p>
        </w:tc>
        <w:tc>
          <w:tcPr>
            <w:tcW w:w="44" w:type="pct"/>
            <w:shd w:val="clear" w:color="auto" w:fill="FFFFFF"/>
            <w:noWrap/>
            <w:tcMar>
              <w:top w:w="15" w:type="dxa"/>
              <w:left w:w="0" w:type="dxa"/>
              <w:bottom w:w="0" w:type="dxa"/>
              <w:right w:w="15" w:type="dxa"/>
            </w:tcMar>
            <w:vAlign w:val="bottom"/>
            <w:hideMark/>
          </w:tcPr>
          <w:p w14:paraId="2822198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left w:w="0" w:type="dxa"/>
              <w:bottom w:w="0" w:type="dxa"/>
              <w:right w:w="15" w:type="dxa"/>
            </w:tcMar>
            <w:vAlign w:val="bottom"/>
            <w:hideMark/>
          </w:tcPr>
          <w:p w14:paraId="3F3926A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8BD43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5A1BA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(3,496</w:t>
            </w:r>
          </w:p>
        </w:tc>
        <w:tc>
          <w:tcPr>
            <w:tcW w:w="44" w:type="pct"/>
            <w:shd w:val="clear" w:color="auto" w:fill="FFFFFF"/>
            <w:noWrap/>
            <w:tcMar>
              <w:top w:w="15" w:type="dxa"/>
              <w:left w:w="0" w:type="dxa"/>
              <w:bottom w:w="0" w:type="dxa"/>
              <w:right w:w="15" w:type="dxa"/>
            </w:tcMar>
            <w:vAlign w:val="bottom"/>
            <w:hideMark/>
          </w:tcPr>
          <w:p w14:paraId="0CE29F7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6D0B957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726AF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2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7DA90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(1,628</w:t>
            </w:r>
          </w:p>
        </w:tc>
        <w:tc>
          <w:tcPr>
            <w:tcW w:w="44" w:type="pct"/>
            <w:shd w:val="clear" w:color="auto" w:fill="FFFFFF"/>
            <w:noWrap/>
            <w:tcMar>
              <w:top w:w="15" w:type="dxa"/>
              <w:left w:w="0" w:type="dxa"/>
              <w:bottom w:w="0" w:type="dxa"/>
              <w:right w:w="15" w:type="dxa"/>
            </w:tcMar>
            <w:vAlign w:val="bottom"/>
            <w:hideMark/>
          </w:tcPr>
          <w:p w14:paraId="1FCAF0D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left w:w="0" w:type="dxa"/>
              <w:bottom w:w="0" w:type="dxa"/>
              <w:right w:w="15" w:type="dxa"/>
            </w:tcMar>
            <w:vAlign w:val="bottom"/>
            <w:hideMark/>
          </w:tcPr>
          <w:p w14:paraId="4785A2C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C3454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2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456E1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21,785</w:t>
            </w:r>
          </w:p>
        </w:tc>
        <w:tc>
          <w:tcPr>
            <w:tcW w:w="44" w:type="pct"/>
            <w:shd w:val="clear" w:color="auto" w:fill="FFFFFF"/>
            <w:noWrap/>
            <w:tcMar>
              <w:top w:w="15" w:type="dxa"/>
              <w:left w:w="0" w:type="dxa"/>
              <w:bottom w:w="0" w:type="dxa"/>
              <w:right w:w="15" w:type="dxa"/>
            </w:tcMar>
            <w:vAlign w:val="bottom"/>
            <w:hideMark/>
          </w:tcPr>
          <w:p w14:paraId="749E26B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72407F6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F6406A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B60211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578</w:t>
            </w:r>
          </w:p>
        </w:tc>
        <w:tc>
          <w:tcPr>
            <w:tcW w:w="45" w:type="pct"/>
            <w:shd w:val="clear" w:color="auto" w:fill="FFFFFF"/>
            <w:noWrap/>
            <w:tcMar>
              <w:top w:w="15" w:type="dxa"/>
              <w:left w:w="0" w:type="dxa"/>
              <w:bottom w:w="0" w:type="dxa"/>
              <w:right w:w="15" w:type="dxa"/>
            </w:tcMar>
            <w:vAlign w:val="bottom"/>
            <w:hideMark/>
          </w:tcPr>
          <w:p w14:paraId="21E242D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left w:w="0" w:type="dxa"/>
              <w:bottom w:w="0" w:type="dxa"/>
              <w:right w:w="15" w:type="dxa"/>
            </w:tcMar>
            <w:vAlign w:val="bottom"/>
            <w:hideMark/>
          </w:tcPr>
          <w:p w14:paraId="002A7FD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76C66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2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CA7185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22,363</w:t>
            </w:r>
          </w:p>
        </w:tc>
        <w:tc>
          <w:tcPr>
            <w:tcW w:w="31" w:type="pct"/>
            <w:shd w:val="clear" w:color="auto" w:fill="FFFFFF"/>
            <w:noWrap/>
            <w:tcMar>
              <w:top w:w="15" w:type="dxa"/>
              <w:left w:w="0" w:type="dxa"/>
              <w:bottom w:w="0" w:type="dxa"/>
              <w:right w:w="15" w:type="dxa"/>
            </w:tcMar>
            <w:vAlign w:val="bottom"/>
            <w:hideMark/>
          </w:tcPr>
          <w:p w14:paraId="115DBA9E"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A90D5E5" w14:textId="77777777" w:rsidR="00251D72" w:rsidRDefault="00251D72">
      <w:pPr>
        <w:pStyle w:val="a3"/>
        <w:spacing w:before="0" w:beforeAutospacing="0" w:after="0" w:afterAutospacing="0"/>
        <w:rPr>
          <w:sz w:val="20"/>
          <w:szCs w:val="20"/>
        </w:rPr>
      </w:pPr>
      <w:r>
        <w:rPr>
          <w:sz w:val="20"/>
          <w:szCs w:val="20"/>
        </w:rPr>
        <w:t> </w:t>
      </w:r>
    </w:p>
    <w:p w14:paraId="216AA92E" w14:textId="77777777" w:rsidR="00251D72" w:rsidRDefault="00251D72">
      <w:pPr>
        <w:pStyle w:val="a3"/>
        <w:spacing w:before="0" w:beforeAutospacing="0" w:after="0" w:afterAutospacing="0"/>
      </w:pPr>
      <w:r>
        <w:t> </w:t>
      </w:r>
    </w:p>
    <w:p w14:paraId="13E90E46"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See notes to consolidated financial statements.</w:t>
      </w:r>
    </w:p>
    <w:p w14:paraId="6ED54E9F" w14:textId="77777777" w:rsidR="00251D72" w:rsidRDefault="00251D72">
      <w:pPr>
        <w:pStyle w:val="a3"/>
        <w:spacing w:before="0" w:beforeAutospacing="0" w:after="0" w:afterAutospacing="0"/>
      </w:pPr>
      <w:r>
        <w:t> </w:t>
      </w:r>
    </w:p>
    <w:p w14:paraId="083616A3"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70</w:t>
      </w:r>
    </w:p>
    <w:p w14:paraId="1E0F1BD9" w14:textId="77777777" w:rsidR="00251D72" w:rsidRDefault="00251D72">
      <w:pPr>
        <w:rPr>
          <w:rFonts w:ascii="Times New Roman" w:eastAsia="Times New Roman" w:hAnsi="Times New Roman" w:cs="Times New Roman"/>
          <w:sz w:val="24"/>
          <w:szCs w:val="24"/>
        </w:rPr>
      </w:pPr>
      <w:r>
        <w:rPr>
          <w:rFonts w:eastAsia="Times New Roman"/>
        </w:rPr>
        <w:pict w14:anchorId="64C417A5">
          <v:rect id="_x0000_i1096" style="width:415.3pt;height:1.5pt" o:hralign="center" o:hrstd="t" o:hr="t" fillcolor="#a0a0a0" stroked="f"/>
        </w:pict>
      </w:r>
    </w:p>
    <w:p w14:paraId="44AC02E3"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15F79B01"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702355A" w14:textId="77777777" w:rsidR="00251D72" w:rsidRDefault="00251D72">
      <w:pPr>
        <w:pStyle w:val="a3"/>
        <w:spacing w:before="120" w:beforeAutospacing="0" w:after="0" w:afterAutospacing="0"/>
        <w:rPr>
          <w:sz w:val="20"/>
          <w:szCs w:val="20"/>
        </w:rPr>
      </w:pPr>
      <w:r>
        <w:rPr>
          <w:sz w:val="20"/>
          <w:szCs w:val="20"/>
        </w:rPr>
        <w:t> </w:t>
      </w:r>
    </w:p>
    <w:p w14:paraId="0AC59C2F" w14:textId="77777777" w:rsidR="00251D72" w:rsidRDefault="00251D72">
      <w:pPr>
        <w:pStyle w:val="a3"/>
        <w:spacing w:before="0" w:beforeAutospacing="0" w:after="0" w:afterAutospacing="0"/>
        <w:jc w:val="center"/>
        <w:rPr>
          <w:rFonts w:ascii="Calibri" w:hAnsi="Calibri" w:cs="Calibri"/>
          <w:b/>
          <w:bCs/>
          <w:sz w:val="20"/>
          <w:szCs w:val="20"/>
        </w:rPr>
      </w:pPr>
      <w:bookmarkStart w:id="107" w:name="_AEIOULastRenderedPageBreakAEIOU73"/>
      <w:bookmarkEnd w:id="107"/>
      <w:r>
        <w:rPr>
          <w:rFonts w:ascii="Calibri" w:hAnsi="Calibri" w:cs="Calibri"/>
          <w:b/>
          <w:bCs/>
          <w:sz w:val="20"/>
          <w:szCs w:val="20"/>
        </w:rPr>
        <w:t>ORACLE CORPORATION</w:t>
      </w:r>
    </w:p>
    <w:p w14:paraId="5A056C6C" w14:textId="77777777" w:rsidR="00251D72" w:rsidRDefault="00251D72">
      <w:pPr>
        <w:pStyle w:val="a3"/>
        <w:spacing w:before="0" w:beforeAutospacing="0" w:after="0" w:afterAutospacing="0"/>
        <w:jc w:val="center"/>
        <w:rPr>
          <w:rFonts w:ascii="Calibri" w:hAnsi="Calibri" w:cs="Calibri"/>
          <w:b/>
          <w:bCs/>
          <w:sz w:val="20"/>
          <w:szCs w:val="20"/>
        </w:rPr>
      </w:pPr>
      <w:bookmarkStart w:id="108" w:name="CONSOLIDATED_STATEMENTS_CASH_FLOWS"/>
      <w:bookmarkEnd w:id="108"/>
      <w:r>
        <w:rPr>
          <w:rFonts w:ascii="Calibri" w:hAnsi="Calibri" w:cs="Calibri"/>
          <w:b/>
          <w:bCs/>
          <w:sz w:val="20"/>
          <w:szCs w:val="20"/>
        </w:rPr>
        <w:t>CONSOLIDATED STATEMENTS OF CASH FLOWS</w:t>
      </w:r>
    </w:p>
    <w:p w14:paraId="1D1D51AA" w14:textId="77777777" w:rsidR="00251D72" w:rsidRDefault="00251D72">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For the Years Ended May 31, 2019, 2018 and 2017</w:t>
      </w:r>
    </w:p>
    <w:p w14:paraId="08D2A5DA" w14:textId="77777777" w:rsidR="00251D72" w:rsidRDefault="00251D7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619"/>
        <w:gridCol w:w="101"/>
        <w:gridCol w:w="97"/>
        <w:gridCol w:w="617"/>
        <w:gridCol w:w="79"/>
        <w:gridCol w:w="101"/>
        <w:gridCol w:w="97"/>
        <w:gridCol w:w="617"/>
        <w:gridCol w:w="79"/>
        <w:gridCol w:w="101"/>
        <w:gridCol w:w="97"/>
        <w:gridCol w:w="622"/>
        <w:gridCol w:w="79"/>
      </w:tblGrid>
      <w:tr w:rsidR="00251D72" w14:paraId="184B5134" w14:textId="77777777">
        <w:trPr>
          <w:divId w:val="337120055"/>
          <w:jc w:val="center"/>
        </w:trPr>
        <w:tc>
          <w:tcPr>
            <w:tcW w:w="3384" w:type="pct"/>
            <w:shd w:val="clear" w:color="auto" w:fill="FFFFFF"/>
            <w:tcMar>
              <w:top w:w="15" w:type="dxa"/>
              <w:left w:w="0" w:type="dxa"/>
              <w:bottom w:w="0" w:type="dxa"/>
              <w:right w:w="15" w:type="dxa"/>
            </w:tcMar>
            <w:vAlign w:val="bottom"/>
            <w:hideMark/>
          </w:tcPr>
          <w:p w14:paraId="14314D6D" w14:textId="77777777" w:rsidR="00251D72" w:rsidRDefault="00251D72">
            <w:pPr>
              <w:pStyle w:val="a3"/>
              <w:spacing w:before="0" w:beforeAutospacing="0" w:after="0" w:afterAutospacing="0"/>
              <w:jc w:val="center"/>
              <w:rPr>
                <w:sz w:val="15"/>
                <w:szCs w:val="15"/>
              </w:rPr>
            </w:pPr>
            <w:r>
              <w:rPr>
                <w:sz w:val="15"/>
                <w:szCs w:val="15"/>
              </w:rPr>
              <w:t> </w:t>
            </w:r>
          </w:p>
        </w:tc>
        <w:tc>
          <w:tcPr>
            <w:tcW w:w="63" w:type="pct"/>
            <w:shd w:val="clear" w:color="auto" w:fill="FFFFFF"/>
            <w:tcMar>
              <w:top w:w="15" w:type="dxa"/>
              <w:left w:w="0" w:type="dxa"/>
              <w:bottom w:w="0" w:type="dxa"/>
              <w:right w:w="15" w:type="dxa"/>
            </w:tcMar>
            <w:vAlign w:val="bottom"/>
            <w:hideMark/>
          </w:tcPr>
          <w:p w14:paraId="42740F0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501" w:type="pct"/>
            <w:gridSpan w:val="10"/>
            <w:tcBorders>
              <w:bottom w:val="single" w:sz="6" w:space="0" w:color="000000"/>
            </w:tcBorders>
            <w:shd w:val="clear" w:color="auto" w:fill="FFFFFF"/>
            <w:tcMar>
              <w:top w:w="15" w:type="dxa"/>
              <w:left w:w="0" w:type="dxa"/>
              <w:bottom w:w="0" w:type="dxa"/>
              <w:right w:w="15" w:type="dxa"/>
            </w:tcMar>
            <w:vAlign w:val="bottom"/>
            <w:hideMark/>
          </w:tcPr>
          <w:p w14:paraId="7971AE3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1934C3E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76461790" w14:textId="77777777">
        <w:trPr>
          <w:divId w:val="337120055"/>
          <w:jc w:val="center"/>
        </w:trPr>
        <w:tc>
          <w:tcPr>
            <w:tcW w:w="3384" w:type="pct"/>
            <w:tcBorders>
              <w:bottom w:val="single" w:sz="6" w:space="0" w:color="000000"/>
            </w:tcBorders>
            <w:shd w:val="clear" w:color="auto" w:fill="FFFFFF"/>
            <w:tcMar>
              <w:top w:w="15" w:type="dxa"/>
              <w:left w:w="0" w:type="dxa"/>
              <w:bottom w:w="0" w:type="dxa"/>
              <w:right w:w="15" w:type="dxa"/>
            </w:tcMar>
            <w:vAlign w:val="bottom"/>
            <w:hideMark/>
          </w:tcPr>
          <w:p w14:paraId="1C76EFC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3" w:type="pct"/>
            <w:shd w:val="clear" w:color="auto" w:fill="FFFFFF"/>
            <w:tcMar>
              <w:top w:w="15" w:type="dxa"/>
              <w:left w:w="0" w:type="dxa"/>
              <w:bottom w:w="0" w:type="dxa"/>
              <w:right w:w="15" w:type="dxa"/>
            </w:tcMar>
            <w:vAlign w:val="bottom"/>
            <w:hideMark/>
          </w:tcPr>
          <w:p w14:paraId="19D9DF3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54273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571C06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27EEEB3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C24EA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20506D4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487D2C5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1BB10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1262E05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07C5343" w14:textId="77777777">
        <w:trPr>
          <w:divId w:val="337120055"/>
          <w:jc w:val="center"/>
        </w:trPr>
        <w:tc>
          <w:tcPr>
            <w:tcW w:w="3384" w:type="pct"/>
            <w:tcBorders>
              <w:top w:val="single" w:sz="6" w:space="0" w:color="000000"/>
            </w:tcBorders>
            <w:shd w:val="clear" w:color="auto" w:fill="CFF0FC"/>
            <w:tcMar>
              <w:top w:w="15" w:type="dxa"/>
              <w:left w:w="0" w:type="dxa"/>
              <w:bottom w:w="0" w:type="dxa"/>
              <w:right w:w="15" w:type="dxa"/>
            </w:tcMar>
            <w:hideMark/>
          </w:tcPr>
          <w:p w14:paraId="7A02EFF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Cash flows from operating activities:</w:t>
            </w:r>
          </w:p>
        </w:tc>
        <w:tc>
          <w:tcPr>
            <w:tcW w:w="63" w:type="pct"/>
            <w:shd w:val="clear" w:color="auto" w:fill="CFF0FC"/>
            <w:tcMar>
              <w:top w:w="15" w:type="dxa"/>
              <w:left w:w="0" w:type="dxa"/>
              <w:bottom w:w="0" w:type="dxa"/>
              <w:right w:w="15" w:type="dxa"/>
            </w:tcMar>
            <w:vAlign w:val="bottom"/>
            <w:hideMark/>
          </w:tcPr>
          <w:p w14:paraId="5DBCABE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1C6AC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left w:w="0" w:type="dxa"/>
              <w:bottom w:w="0" w:type="dxa"/>
              <w:right w:w="15" w:type="dxa"/>
            </w:tcMar>
            <w:vAlign w:val="bottom"/>
            <w:hideMark/>
          </w:tcPr>
          <w:p w14:paraId="1F3A342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6EFBB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06035B3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CF475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left w:w="0" w:type="dxa"/>
              <w:bottom w:w="0" w:type="dxa"/>
              <w:right w:w="15" w:type="dxa"/>
            </w:tcMar>
            <w:vAlign w:val="bottom"/>
            <w:hideMark/>
          </w:tcPr>
          <w:p w14:paraId="2FF09FD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D30964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0C0305B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FE9C4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left w:w="0" w:type="dxa"/>
              <w:bottom w:w="0" w:type="dxa"/>
              <w:right w:w="15" w:type="dxa"/>
            </w:tcMar>
            <w:vAlign w:val="bottom"/>
            <w:hideMark/>
          </w:tcPr>
          <w:p w14:paraId="44BE8AD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CE035C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1111930E" w14:textId="77777777">
        <w:trPr>
          <w:divId w:val="337120055"/>
          <w:jc w:val="center"/>
        </w:trPr>
        <w:tc>
          <w:tcPr>
            <w:tcW w:w="3384" w:type="pct"/>
            <w:shd w:val="clear" w:color="auto" w:fill="FFFFFF"/>
            <w:tcMar>
              <w:top w:w="15" w:type="dxa"/>
              <w:left w:w="0" w:type="dxa"/>
              <w:bottom w:w="0" w:type="dxa"/>
              <w:right w:w="15" w:type="dxa"/>
            </w:tcMar>
            <w:hideMark/>
          </w:tcPr>
          <w:p w14:paraId="5C92F2C0"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Net income</w:t>
            </w:r>
          </w:p>
        </w:tc>
        <w:tc>
          <w:tcPr>
            <w:tcW w:w="63" w:type="pct"/>
            <w:shd w:val="clear" w:color="auto" w:fill="FFFFFF"/>
            <w:tcMar>
              <w:top w:w="15" w:type="dxa"/>
              <w:left w:w="0" w:type="dxa"/>
              <w:bottom w:w="0" w:type="dxa"/>
              <w:right w:w="15" w:type="dxa"/>
            </w:tcMar>
            <w:vAlign w:val="bottom"/>
            <w:hideMark/>
          </w:tcPr>
          <w:p w14:paraId="0C779F8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43071A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3184416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11,083</w:t>
            </w:r>
          </w:p>
        </w:tc>
        <w:tc>
          <w:tcPr>
            <w:tcW w:w="50" w:type="pct"/>
            <w:shd w:val="clear" w:color="auto" w:fill="FFFFFF"/>
            <w:noWrap/>
            <w:tcMar>
              <w:top w:w="15" w:type="dxa"/>
              <w:left w:w="0" w:type="dxa"/>
              <w:bottom w:w="0" w:type="dxa"/>
              <w:right w:w="15" w:type="dxa"/>
            </w:tcMar>
            <w:vAlign w:val="bottom"/>
            <w:hideMark/>
          </w:tcPr>
          <w:p w14:paraId="39CDAEF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22BDE31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9BDCD6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317D154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3,587</w:t>
            </w:r>
          </w:p>
        </w:tc>
        <w:tc>
          <w:tcPr>
            <w:tcW w:w="50" w:type="pct"/>
            <w:shd w:val="clear" w:color="auto" w:fill="FFFFFF"/>
            <w:noWrap/>
            <w:tcMar>
              <w:top w:w="15" w:type="dxa"/>
              <w:left w:w="0" w:type="dxa"/>
              <w:bottom w:w="0" w:type="dxa"/>
              <w:right w:w="15" w:type="dxa"/>
            </w:tcMar>
            <w:vAlign w:val="bottom"/>
            <w:hideMark/>
          </w:tcPr>
          <w:p w14:paraId="26A4FA4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2221B72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27C32B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71B1ED9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9,452</w:t>
            </w:r>
          </w:p>
        </w:tc>
        <w:tc>
          <w:tcPr>
            <w:tcW w:w="50" w:type="pct"/>
            <w:shd w:val="clear" w:color="auto" w:fill="FFFFFF"/>
            <w:noWrap/>
            <w:tcMar>
              <w:top w:w="15" w:type="dxa"/>
              <w:left w:w="0" w:type="dxa"/>
              <w:bottom w:w="0" w:type="dxa"/>
              <w:right w:w="15" w:type="dxa"/>
            </w:tcMar>
            <w:vAlign w:val="bottom"/>
            <w:hideMark/>
          </w:tcPr>
          <w:p w14:paraId="51F3CD2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1E353F1E" w14:textId="77777777">
        <w:trPr>
          <w:divId w:val="337120055"/>
          <w:jc w:val="center"/>
        </w:trPr>
        <w:tc>
          <w:tcPr>
            <w:tcW w:w="3384" w:type="pct"/>
            <w:shd w:val="clear" w:color="auto" w:fill="CFF0FC"/>
            <w:tcMar>
              <w:top w:w="15" w:type="dxa"/>
              <w:left w:w="0" w:type="dxa"/>
              <w:bottom w:w="0" w:type="dxa"/>
              <w:right w:w="15" w:type="dxa"/>
            </w:tcMar>
            <w:hideMark/>
          </w:tcPr>
          <w:p w14:paraId="6A4343AB" w14:textId="77777777" w:rsidR="00251D72" w:rsidRDefault="00251D72">
            <w:pPr>
              <w:pStyle w:val="a3"/>
              <w:spacing w:before="0" w:beforeAutospacing="0" w:after="0" w:afterAutospacing="0"/>
              <w:ind w:left="547" w:hanging="144"/>
              <w:rPr>
                <w:rFonts w:ascii="Calibri" w:hAnsi="Calibri" w:cs="Calibri"/>
                <w:color w:val="000000"/>
                <w:sz w:val="16"/>
                <w:szCs w:val="16"/>
              </w:rPr>
            </w:pPr>
            <w:r>
              <w:rPr>
                <w:rFonts w:ascii="Calibri" w:hAnsi="Calibri" w:cs="Calibri"/>
                <w:color w:val="000000"/>
                <w:sz w:val="16"/>
                <w:szCs w:val="16"/>
              </w:rPr>
              <w:t>Adjustments to reconcile net income to net cash provided by operating activities:</w:t>
            </w:r>
          </w:p>
        </w:tc>
        <w:tc>
          <w:tcPr>
            <w:tcW w:w="63" w:type="pct"/>
            <w:shd w:val="clear" w:color="auto" w:fill="CFF0FC"/>
            <w:tcMar>
              <w:top w:w="15" w:type="dxa"/>
              <w:left w:w="0" w:type="dxa"/>
              <w:bottom w:w="0" w:type="dxa"/>
              <w:right w:w="15" w:type="dxa"/>
            </w:tcMar>
            <w:vAlign w:val="bottom"/>
            <w:hideMark/>
          </w:tcPr>
          <w:p w14:paraId="3187F12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73C476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6E8D190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605379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0132A25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E8B324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0D13E67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F7D5C6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174FA71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5C9E54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0D6E09C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178B14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4094B5CB" w14:textId="77777777">
        <w:trPr>
          <w:divId w:val="337120055"/>
          <w:jc w:val="center"/>
        </w:trPr>
        <w:tc>
          <w:tcPr>
            <w:tcW w:w="3384" w:type="pct"/>
            <w:shd w:val="clear" w:color="auto" w:fill="FFFFFF"/>
            <w:tcMar>
              <w:top w:w="15" w:type="dxa"/>
              <w:left w:w="0" w:type="dxa"/>
              <w:bottom w:w="0" w:type="dxa"/>
              <w:right w:w="15" w:type="dxa"/>
            </w:tcMar>
            <w:hideMark/>
          </w:tcPr>
          <w:p w14:paraId="7BC32B53" w14:textId="77777777" w:rsidR="00251D72" w:rsidRDefault="00251D72">
            <w:pPr>
              <w:pStyle w:val="a3"/>
              <w:spacing w:before="0" w:beforeAutospacing="0" w:after="0" w:afterAutospacing="0"/>
              <w:ind w:left="684"/>
              <w:rPr>
                <w:rFonts w:ascii="Calibri" w:hAnsi="Calibri" w:cs="Calibri"/>
                <w:color w:val="000000"/>
                <w:sz w:val="16"/>
                <w:szCs w:val="16"/>
              </w:rPr>
            </w:pPr>
            <w:r>
              <w:rPr>
                <w:rFonts w:ascii="Calibri" w:hAnsi="Calibri" w:cs="Calibri"/>
                <w:color w:val="000000"/>
                <w:sz w:val="16"/>
                <w:szCs w:val="16"/>
              </w:rPr>
              <w:t>Depreciation</w:t>
            </w:r>
          </w:p>
        </w:tc>
        <w:tc>
          <w:tcPr>
            <w:tcW w:w="63" w:type="pct"/>
            <w:shd w:val="clear" w:color="auto" w:fill="FFFFFF"/>
            <w:tcMar>
              <w:top w:w="15" w:type="dxa"/>
              <w:left w:w="0" w:type="dxa"/>
              <w:bottom w:w="0" w:type="dxa"/>
              <w:right w:w="15" w:type="dxa"/>
            </w:tcMar>
            <w:vAlign w:val="bottom"/>
            <w:hideMark/>
          </w:tcPr>
          <w:p w14:paraId="09620FA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1FF674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0E2A51C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1,230</w:t>
            </w:r>
          </w:p>
        </w:tc>
        <w:tc>
          <w:tcPr>
            <w:tcW w:w="50" w:type="pct"/>
            <w:shd w:val="clear" w:color="auto" w:fill="FFFFFF"/>
            <w:noWrap/>
            <w:tcMar>
              <w:top w:w="15" w:type="dxa"/>
              <w:left w:w="0" w:type="dxa"/>
              <w:bottom w:w="0" w:type="dxa"/>
              <w:right w:w="15" w:type="dxa"/>
            </w:tcMar>
            <w:vAlign w:val="bottom"/>
            <w:hideMark/>
          </w:tcPr>
          <w:p w14:paraId="088F4B1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7C4022A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37EE33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75E0BBB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1,165</w:t>
            </w:r>
          </w:p>
        </w:tc>
        <w:tc>
          <w:tcPr>
            <w:tcW w:w="50" w:type="pct"/>
            <w:shd w:val="clear" w:color="auto" w:fill="FFFFFF"/>
            <w:noWrap/>
            <w:tcMar>
              <w:top w:w="15" w:type="dxa"/>
              <w:left w:w="0" w:type="dxa"/>
              <w:bottom w:w="0" w:type="dxa"/>
              <w:right w:w="15" w:type="dxa"/>
            </w:tcMar>
            <w:vAlign w:val="bottom"/>
            <w:hideMark/>
          </w:tcPr>
          <w:p w14:paraId="498ED89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0817E2D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76503C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194DD3D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1,000</w:t>
            </w:r>
          </w:p>
        </w:tc>
        <w:tc>
          <w:tcPr>
            <w:tcW w:w="50" w:type="pct"/>
            <w:shd w:val="clear" w:color="auto" w:fill="FFFFFF"/>
            <w:noWrap/>
            <w:tcMar>
              <w:top w:w="15" w:type="dxa"/>
              <w:left w:w="0" w:type="dxa"/>
              <w:bottom w:w="0" w:type="dxa"/>
              <w:right w:w="15" w:type="dxa"/>
            </w:tcMar>
            <w:vAlign w:val="bottom"/>
            <w:hideMark/>
          </w:tcPr>
          <w:p w14:paraId="59C39E1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7F6FB586" w14:textId="77777777">
        <w:trPr>
          <w:divId w:val="337120055"/>
          <w:jc w:val="center"/>
        </w:trPr>
        <w:tc>
          <w:tcPr>
            <w:tcW w:w="3384" w:type="pct"/>
            <w:shd w:val="clear" w:color="auto" w:fill="CFF0FC"/>
            <w:tcMar>
              <w:top w:w="15" w:type="dxa"/>
              <w:left w:w="0" w:type="dxa"/>
              <w:bottom w:w="0" w:type="dxa"/>
              <w:right w:w="15" w:type="dxa"/>
            </w:tcMar>
            <w:hideMark/>
          </w:tcPr>
          <w:p w14:paraId="240EF3A1" w14:textId="77777777" w:rsidR="00251D72" w:rsidRDefault="00251D72">
            <w:pPr>
              <w:pStyle w:val="a3"/>
              <w:spacing w:before="0" w:beforeAutospacing="0" w:after="0" w:afterAutospacing="0"/>
              <w:ind w:left="684"/>
              <w:rPr>
                <w:rFonts w:ascii="Calibri" w:hAnsi="Calibri" w:cs="Calibri"/>
                <w:color w:val="000000"/>
                <w:sz w:val="16"/>
                <w:szCs w:val="16"/>
              </w:rPr>
            </w:pPr>
            <w:r>
              <w:rPr>
                <w:rFonts w:ascii="Calibri" w:hAnsi="Calibri" w:cs="Calibri"/>
                <w:color w:val="000000"/>
                <w:sz w:val="16"/>
                <w:szCs w:val="16"/>
              </w:rPr>
              <w:t>Amortization of intangible assets</w:t>
            </w:r>
          </w:p>
        </w:tc>
        <w:tc>
          <w:tcPr>
            <w:tcW w:w="63" w:type="pct"/>
            <w:shd w:val="clear" w:color="auto" w:fill="CFF0FC"/>
            <w:tcMar>
              <w:top w:w="15" w:type="dxa"/>
              <w:left w:w="0" w:type="dxa"/>
              <w:bottom w:w="0" w:type="dxa"/>
              <w:right w:w="15" w:type="dxa"/>
            </w:tcMar>
            <w:vAlign w:val="bottom"/>
            <w:hideMark/>
          </w:tcPr>
          <w:p w14:paraId="6CA53AE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9D0D05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7AD4493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1,689</w:t>
            </w:r>
          </w:p>
        </w:tc>
        <w:tc>
          <w:tcPr>
            <w:tcW w:w="50" w:type="pct"/>
            <w:shd w:val="clear" w:color="auto" w:fill="CFF0FC"/>
            <w:noWrap/>
            <w:tcMar>
              <w:top w:w="15" w:type="dxa"/>
              <w:left w:w="0" w:type="dxa"/>
              <w:bottom w:w="0" w:type="dxa"/>
              <w:right w:w="15" w:type="dxa"/>
            </w:tcMar>
            <w:vAlign w:val="bottom"/>
            <w:hideMark/>
          </w:tcPr>
          <w:p w14:paraId="3D0A30C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4AFF16B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716658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7142EFF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1,620</w:t>
            </w:r>
          </w:p>
        </w:tc>
        <w:tc>
          <w:tcPr>
            <w:tcW w:w="50" w:type="pct"/>
            <w:shd w:val="clear" w:color="auto" w:fill="CFF0FC"/>
            <w:noWrap/>
            <w:tcMar>
              <w:top w:w="15" w:type="dxa"/>
              <w:left w:w="0" w:type="dxa"/>
              <w:bottom w:w="0" w:type="dxa"/>
              <w:right w:w="15" w:type="dxa"/>
            </w:tcMar>
            <w:vAlign w:val="bottom"/>
            <w:hideMark/>
          </w:tcPr>
          <w:p w14:paraId="2FFBFE5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7158366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02AEF9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6A376C3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1,451</w:t>
            </w:r>
          </w:p>
        </w:tc>
        <w:tc>
          <w:tcPr>
            <w:tcW w:w="50" w:type="pct"/>
            <w:shd w:val="clear" w:color="auto" w:fill="CFF0FC"/>
            <w:noWrap/>
            <w:tcMar>
              <w:top w:w="15" w:type="dxa"/>
              <w:left w:w="0" w:type="dxa"/>
              <w:bottom w:w="0" w:type="dxa"/>
              <w:right w:w="15" w:type="dxa"/>
            </w:tcMar>
            <w:vAlign w:val="bottom"/>
            <w:hideMark/>
          </w:tcPr>
          <w:p w14:paraId="6B3F88C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73A140C6" w14:textId="77777777">
        <w:trPr>
          <w:divId w:val="337120055"/>
          <w:jc w:val="center"/>
        </w:trPr>
        <w:tc>
          <w:tcPr>
            <w:tcW w:w="3384" w:type="pct"/>
            <w:shd w:val="clear" w:color="auto" w:fill="FFFFFF"/>
            <w:tcMar>
              <w:top w:w="15" w:type="dxa"/>
              <w:left w:w="0" w:type="dxa"/>
              <w:bottom w:w="0" w:type="dxa"/>
              <w:right w:w="15" w:type="dxa"/>
            </w:tcMar>
            <w:hideMark/>
          </w:tcPr>
          <w:p w14:paraId="7B93D787" w14:textId="77777777" w:rsidR="00251D72" w:rsidRDefault="00251D72">
            <w:pPr>
              <w:pStyle w:val="a3"/>
              <w:spacing w:before="0" w:beforeAutospacing="0" w:after="0" w:afterAutospacing="0"/>
              <w:ind w:left="684"/>
              <w:rPr>
                <w:rFonts w:ascii="Calibri" w:hAnsi="Calibri" w:cs="Calibri"/>
                <w:color w:val="000000"/>
                <w:sz w:val="16"/>
                <w:szCs w:val="16"/>
              </w:rPr>
            </w:pPr>
            <w:r>
              <w:rPr>
                <w:rFonts w:ascii="Calibri" w:hAnsi="Calibri" w:cs="Calibri"/>
                <w:color w:val="000000"/>
                <w:sz w:val="16"/>
                <w:szCs w:val="16"/>
              </w:rPr>
              <w:t>Allowances for doubtful accounts receivable</w:t>
            </w:r>
          </w:p>
        </w:tc>
        <w:tc>
          <w:tcPr>
            <w:tcW w:w="63" w:type="pct"/>
            <w:shd w:val="clear" w:color="auto" w:fill="FFFFFF"/>
            <w:tcMar>
              <w:top w:w="15" w:type="dxa"/>
              <w:left w:w="0" w:type="dxa"/>
              <w:bottom w:w="0" w:type="dxa"/>
              <w:right w:w="15" w:type="dxa"/>
            </w:tcMar>
            <w:vAlign w:val="bottom"/>
            <w:hideMark/>
          </w:tcPr>
          <w:p w14:paraId="71C04E0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97D4ED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5747274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190</w:t>
            </w:r>
          </w:p>
        </w:tc>
        <w:tc>
          <w:tcPr>
            <w:tcW w:w="50" w:type="pct"/>
            <w:shd w:val="clear" w:color="auto" w:fill="FFFFFF"/>
            <w:noWrap/>
            <w:tcMar>
              <w:top w:w="15" w:type="dxa"/>
              <w:left w:w="0" w:type="dxa"/>
              <w:bottom w:w="0" w:type="dxa"/>
              <w:right w:w="15" w:type="dxa"/>
            </w:tcMar>
            <w:vAlign w:val="bottom"/>
            <w:hideMark/>
          </w:tcPr>
          <w:p w14:paraId="5FBBF65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48E7208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5D6E31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7FD27DE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146</w:t>
            </w:r>
          </w:p>
        </w:tc>
        <w:tc>
          <w:tcPr>
            <w:tcW w:w="50" w:type="pct"/>
            <w:shd w:val="clear" w:color="auto" w:fill="FFFFFF"/>
            <w:noWrap/>
            <w:tcMar>
              <w:top w:w="15" w:type="dxa"/>
              <w:left w:w="0" w:type="dxa"/>
              <w:bottom w:w="0" w:type="dxa"/>
              <w:right w:w="15" w:type="dxa"/>
            </w:tcMar>
            <w:vAlign w:val="bottom"/>
            <w:hideMark/>
          </w:tcPr>
          <w:p w14:paraId="49343E7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744D1C5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D452FE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724B021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129</w:t>
            </w:r>
          </w:p>
        </w:tc>
        <w:tc>
          <w:tcPr>
            <w:tcW w:w="50" w:type="pct"/>
            <w:shd w:val="clear" w:color="auto" w:fill="FFFFFF"/>
            <w:noWrap/>
            <w:tcMar>
              <w:top w:w="15" w:type="dxa"/>
              <w:left w:w="0" w:type="dxa"/>
              <w:bottom w:w="0" w:type="dxa"/>
              <w:right w:w="15" w:type="dxa"/>
            </w:tcMar>
            <w:vAlign w:val="bottom"/>
            <w:hideMark/>
          </w:tcPr>
          <w:p w14:paraId="429BF20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4816E20D" w14:textId="77777777">
        <w:trPr>
          <w:divId w:val="337120055"/>
          <w:jc w:val="center"/>
        </w:trPr>
        <w:tc>
          <w:tcPr>
            <w:tcW w:w="3384" w:type="pct"/>
            <w:shd w:val="clear" w:color="auto" w:fill="CFF0FC"/>
            <w:tcMar>
              <w:top w:w="15" w:type="dxa"/>
              <w:left w:w="0" w:type="dxa"/>
              <w:bottom w:w="0" w:type="dxa"/>
              <w:right w:w="15" w:type="dxa"/>
            </w:tcMar>
            <w:hideMark/>
          </w:tcPr>
          <w:p w14:paraId="0C3ECF4A" w14:textId="77777777" w:rsidR="00251D72" w:rsidRDefault="00251D72">
            <w:pPr>
              <w:pStyle w:val="a3"/>
              <w:spacing w:before="0" w:beforeAutospacing="0" w:after="0" w:afterAutospacing="0"/>
              <w:ind w:left="684"/>
              <w:rPr>
                <w:rFonts w:ascii="Calibri" w:hAnsi="Calibri" w:cs="Calibri"/>
                <w:color w:val="000000"/>
                <w:sz w:val="16"/>
                <w:szCs w:val="16"/>
              </w:rPr>
            </w:pPr>
            <w:r>
              <w:rPr>
                <w:rFonts w:ascii="Calibri" w:hAnsi="Calibri" w:cs="Calibri"/>
                <w:color w:val="000000"/>
                <w:sz w:val="16"/>
                <w:szCs w:val="16"/>
              </w:rPr>
              <w:t>Deferred income taxes</w:t>
            </w:r>
          </w:p>
        </w:tc>
        <w:tc>
          <w:tcPr>
            <w:tcW w:w="63" w:type="pct"/>
            <w:shd w:val="clear" w:color="auto" w:fill="CFF0FC"/>
            <w:tcMar>
              <w:top w:w="15" w:type="dxa"/>
              <w:left w:w="0" w:type="dxa"/>
              <w:bottom w:w="0" w:type="dxa"/>
              <w:right w:w="15" w:type="dxa"/>
            </w:tcMar>
            <w:vAlign w:val="bottom"/>
            <w:hideMark/>
          </w:tcPr>
          <w:p w14:paraId="60A2F7F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70F8D6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5AB09DF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(1,191</w:t>
            </w:r>
          </w:p>
        </w:tc>
        <w:tc>
          <w:tcPr>
            <w:tcW w:w="50" w:type="pct"/>
            <w:shd w:val="clear" w:color="auto" w:fill="CFF0FC"/>
            <w:noWrap/>
            <w:tcMar>
              <w:top w:w="15" w:type="dxa"/>
              <w:left w:w="0" w:type="dxa"/>
              <w:bottom w:w="0" w:type="dxa"/>
              <w:right w:w="15" w:type="dxa"/>
            </w:tcMar>
            <w:vAlign w:val="bottom"/>
            <w:hideMark/>
          </w:tcPr>
          <w:p w14:paraId="44A97FC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3598983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A1541E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5C8E7B1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(847</w:t>
            </w:r>
          </w:p>
        </w:tc>
        <w:tc>
          <w:tcPr>
            <w:tcW w:w="50" w:type="pct"/>
            <w:shd w:val="clear" w:color="auto" w:fill="CFF0FC"/>
            <w:noWrap/>
            <w:tcMar>
              <w:top w:w="15" w:type="dxa"/>
              <w:left w:w="0" w:type="dxa"/>
              <w:bottom w:w="0" w:type="dxa"/>
              <w:right w:w="15" w:type="dxa"/>
            </w:tcMar>
            <w:vAlign w:val="bottom"/>
            <w:hideMark/>
          </w:tcPr>
          <w:p w14:paraId="6115B77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192D19D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245285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622A812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(440</w:t>
            </w:r>
          </w:p>
        </w:tc>
        <w:tc>
          <w:tcPr>
            <w:tcW w:w="50" w:type="pct"/>
            <w:shd w:val="clear" w:color="auto" w:fill="CFF0FC"/>
            <w:noWrap/>
            <w:tcMar>
              <w:top w:w="15" w:type="dxa"/>
              <w:left w:w="0" w:type="dxa"/>
              <w:bottom w:w="0" w:type="dxa"/>
              <w:right w:w="15" w:type="dxa"/>
            </w:tcMar>
            <w:vAlign w:val="bottom"/>
            <w:hideMark/>
          </w:tcPr>
          <w:p w14:paraId="13A8A6E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57448891" w14:textId="77777777">
        <w:trPr>
          <w:divId w:val="337120055"/>
          <w:jc w:val="center"/>
        </w:trPr>
        <w:tc>
          <w:tcPr>
            <w:tcW w:w="3384" w:type="pct"/>
            <w:shd w:val="clear" w:color="auto" w:fill="FFFFFF"/>
            <w:tcMar>
              <w:top w:w="15" w:type="dxa"/>
              <w:left w:w="0" w:type="dxa"/>
              <w:bottom w:w="0" w:type="dxa"/>
              <w:right w:w="15" w:type="dxa"/>
            </w:tcMar>
            <w:hideMark/>
          </w:tcPr>
          <w:p w14:paraId="30EADE2C" w14:textId="77777777" w:rsidR="00251D72" w:rsidRDefault="00251D72">
            <w:pPr>
              <w:pStyle w:val="a3"/>
              <w:spacing w:before="0" w:beforeAutospacing="0" w:after="0" w:afterAutospacing="0"/>
              <w:ind w:left="684"/>
              <w:rPr>
                <w:rFonts w:ascii="Calibri" w:hAnsi="Calibri" w:cs="Calibri"/>
                <w:color w:val="000000"/>
                <w:sz w:val="16"/>
                <w:szCs w:val="16"/>
              </w:rPr>
            </w:pPr>
            <w:r>
              <w:rPr>
                <w:rFonts w:ascii="Calibri" w:hAnsi="Calibri" w:cs="Calibri"/>
                <w:color w:val="000000"/>
                <w:sz w:val="16"/>
                <w:szCs w:val="16"/>
              </w:rPr>
              <w:t>Stock-based compensation</w:t>
            </w:r>
          </w:p>
        </w:tc>
        <w:tc>
          <w:tcPr>
            <w:tcW w:w="63" w:type="pct"/>
            <w:shd w:val="clear" w:color="auto" w:fill="FFFFFF"/>
            <w:tcMar>
              <w:top w:w="15" w:type="dxa"/>
              <w:left w:w="0" w:type="dxa"/>
              <w:bottom w:w="0" w:type="dxa"/>
              <w:right w:w="15" w:type="dxa"/>
            </w:tcMar>
            <w:vAlign w:val="bottom"/>
            <w:hideMark/>
          </w:tcPr>
          <w:p w14:paraId="3D5A027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11D902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263125B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1,653</w:t>
            </w:r>
          </w:p>
        </w:tc>
        <w:tc>
          <w:tcPr>
            <w:tcW w:w="50" w:type="pct"/>
            <w:shd w:val="clear" w:color="auto" w:fill="FFFFFF"/>
            <w:noWrap/>
            <w:tcMar>
              <w:top w:w="15" w:type="dxa"/>
              <w:left w:w="0" w:type="dxa"/>
              <w:bottom w:w="0" w:type="dxa"/>
              <w:right w:w="15" w:type="dxa"/>
            </w:tcMar>
            <w:vAlign w:val="bottom"/>
            <w:hideMark/>
          </w:tcPr>
          <w:p w14:paraId="468040E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4147E2C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DD47B0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5B7FDFD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1,607</w:t>
            </w:r>
          </w:p>
        </w:tc>
        <w:tc>
          <w:tcPr>
            <w:tcW w:w="50" w:type="pct"/>
            <w:shd w:val="clear" w:color="auto" w:fill="FFFFFF"/>
            <w:noWrap/>
            <w:tcMar>
              <w:top w:w="15" w:type="dxa"/>
              <w:left w:w="0" w:type="dxa"/>
              <w:bottom w:w="0" w:type="dxa"/>
              <w:right w:w="15" w:type="dxa"/>
            </w:tcMar>
            <w:vAlign w:val="bottom"/>
            <w:hideMark/>
          </w:tcPr>
          <w:p w14:paraId="53BABBA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3DBCF3B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4DF9B3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615242A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1,350</w:t>
            </w:r>
          </w:p>
        </w:tc>
        <w:tc>
          <w:tcPr>
            <w:tcW w:w="50" w:type="pct"/>
            <w:shd w:val="clear" w:color="auto" w:fill="FFFFFF"/>
            <w:noWrap/>
            <w:tcMar>
              <w:top w:w="15" w:type="dxa"/>
              <w:left w:w="0" w:type="dxa"/>
              <w:bottom w:w="0" w:type="dxa"/>
              <w:right w:w="15" w:type="dxa"/>
            </w:tcMar>
            <w:vAlign w:val="bottom"/>
            <w:hideMark/>
          </w:tcPr>
          <w:p w14:paraId="2BD2F66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583A224F" w14:textId="77777777">
        <w:trPr>
          <w:divId w:val="337120055"/>
          <w:jc w:val="center"/>
        </w:trPr>
        <w:tc>
          <w:tcPr>
            <w:tcW w:w="3384" w:type="pct"/>
            <w:shd w:val="clear" w:color="auto" w:fill="CFF0FC"/>
            <w:tcMar>
              <w:top w:w="15" w:type="dxa"/>
              <w:left w:w="0" w:type="dxa"/>
              <w:bottom w:w="0" w:type="dxa"/>
              <w:right w:w="15" w:type="dxa"/>
            </w:tcMar>
            <w:hideMark/>
          </w:tcPr>
          <w:p w14:paraId="7B37FBC3" w14:textId="77777777" w:rsidR="00251D72" w:rsidRDefault="00251D72">
            <w:pPr>
              <w:pStyle w:val="a3"/>
              <w:spacing w:before="0" w:beforeAutospacing="0" w:after="0" w:afterAutospacing="0"/>
              <w:ind w:left="684"/>
              <w:rPr>
                <w:rFonts w:ascii="Calibri" w:hAnsi="Calibri" w:cs="Calibri"/>
                <w:color w:val="000000"/>
                <w:sz w:val="16"/>
                <w:szCs w:val="16"/>
              </w:rPr>
            </w:pPr>
            <w:r>
              <w:rPr>
                <w:rFonts w:ascii="Calibri" w:hAnsi="Calibri" w:cs="Calibri"/>
                <w:color w:val="000000"/>
                <w:sz w:val="16"/>
                <w:szCs w:val="16"/>
              </w:rPr>
              <w:t>Other, net</w:t>
            </w:r>
          </w:p>
        </w:tc>
        <w:tc>
          <w:tcPr>
            <w:tcW w:w="63" w:type="pct"/>
            <w:shd w:val="clear" w:color="auto" w:fill="CFF0FC"/>
            <w:tcMar>
              <w:top w:w="15" w:type="dxa"/>
              <w:left w:w="0" w:type="dxa"/>
              <w:bottom w:w="0" w:type="dxa"/>
              <w:right w:w="15" w:type="dxa"/>
            </w:tcMar>
            <w:vAlign w:val="bottom"/>
            <w:hideMark/>
          </w:tcPr>
          <w:p w14:paraId="2DC266E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5F3219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2B5D282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157</w:t>
            </w:r>
          </w:p>
        </w:tc>
        <w:tc>
          <w:tcPr>
            <w:tcW w:w="50" w:type="pct"/>
            <w:shd w:val="clear" w:color="auto" w:fill="CFF0FC"/>
            <w:noWrap/>
            <w:tcMar>
              <w:top w:w="15" w:type="dxa"/>
              <w:left w:w="0" w:type="dxa"/>
              <w:bottom w:w="0" w:type="dxa"/>
              <w:right w:w="15" w:type="dxa"/>
            </w:tcMar>
            <w:vAlign w:val="bottom"/>
            <w:hideMark/>
          </w:tcPr>
          <w:p w14:paraId="2FDA28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5F5B0E2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33A6F9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33D7DF0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(27</w:t>
            </w:r>
          </w:p>
        </w:tc>
        <w:tc>
          <w:tcPr>
            <w:tcW w:w="50" w:type="pct"/>
            <w:shd w:val="clear" w:color="auto" w:fill="CFF0FC"/>
            <w:noWrap/>
            <w:tcMar>
              <w:top w:w="15" w:type="dxa"/>
              <w:left w:w="0" w:type="dxa"/>
              <w:bottom w:w="0" w:type="dxa"/>
              <w:right w:w="15" w:type="dxa"/>
            </w:tcMar>
            <w:vAlign w:val="bottom"/>
            <w:hideMark/>
          </w:tcPr>
          <w:p w14:paraId="7B92F97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5079046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DA9AEE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01A8314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126</w:t>
            </w:r>
          </w:p>
        </w:tc>
        <w:tc>
          <w:tcPr>
            <w:tcW w:w="50" w:type="pct"/>
            <w:shd w:val="clear" w:color="auto" w:fill="CFF0FC"/>
            <w:noWrap/>
            <w:tcMar>
              <w:top w:w="15" w:type="dxa"/>
              <w:left w:w="0" w:type="dxa"/>
              <w:bottom w:w="0" w:type="dxa"/>
              <w:right w:w="15" w:type="dxa"/>
            </w:tcMar>
            <w:vAlign w:val="bottom"/>
            <w:hideMark/>
          </w:tcPr>
          <w:p w14:paraId="2C767A2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0B4EE7DD" w14:textId="77777777">
        <w:trPr>
          <w:divId w:val="337120055"/>
          <w:jc w:val="center"/>
        </w:trPr>
        <w:tc>
          <w:tcPr>
            <w:tcW w:w="3384" w:type="pct"/>
            <w:shd w:val="clear" w:color="auto" w:fill="FFFFFF"/>
            <w:tcMar>
              <w:top w:w="15" w:type="dxa"/>
              <w:left w:w="0" w:type="dxa"/>
              <w:bottom w:w="0" w:type="dxa"/>
              <w:right w:w="15" w:type="dxa"/>
            </w:tcMar>
            <w:hideMark/>
          </w:tcPr>
          <w:p w14:paraId="49430FBF" w14:textId="77777777" w:rsidR="00251D72" w:rsidRDefault="00251D72">
            <w:pPr>
              <w:pStyle w:val="a3"/>
              <w:spacing w:before="0" w:beforeAutospacing="0" w:after="0" w:afterAutospacing="0"/>
              <w:ind w:left="684"/>
              <w:rPr>
                <w:rFonts w:ascii="Calibri" w:hAnsi="Calibri" w:cs="Calibri"/>
                <w:color w:val="000000"/>
                <w:sz w:val="16"/>
                <w:szCs w:val="16"/>
              </w:rPr>
            </w:pPr>
            <w:r>
              <w:rPr>
                <w:rFonts w:ascii="Calibri" w:hAnsi="Calibri" w:cs="Calibri"/>
                <w:color w:val="000000"/>
                <w:sz w:val="16"/>
                <w:szCs w:val="16"/>
              </w:rPr>
              <w:t>Changes in operating assets and liabilities, net of effects from acquisitions:</w:t>
            </w:r>
          </w:p>
        </w:tc>
        <w:tc>
          <w:tcPr>
            <w:tcW w:w="63" w:type="pct"/>
            <w:shd w:val="clear" w:color="auto" w:fill="FFFFFF"/>
            <w:tcMar>
              <w:top w:w="15" w:type="dxa"/>
              <w:left w:w="0" w:type="dxa"/>
              <w:bottom w:w="0" w:type="dxa"/>
              <w:right w:w="15" w:type="dxa"/>
            </w:tcMar>
            <w:vAlign w:val="bottom"/>
            <w:hideMark/>
          </w:tcPr>
          <w:p w14:paraId="2CBFE8D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954E49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28D13B5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DDE0F9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4B09A47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BF67C0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4A0232B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15FE26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667D806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7B3DA5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49CC1D2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6879AE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291F344E" w14:textId="77777777">
        <w:trPr>
          <w:divId w:val="337120055"/>
          <w:jc w:val="center"/>
        </w:trPr>
        <w:tc>
          <w:tcPr>
            <w:tcW w:w="3384" w:type="pct"/>
            <w:shd w:val="clear" w:color="auto" w:fill="CFF0FC"/>
            <w:tcMar>
              <w:top w:w="15" w:type="dxa"/>
              <w:left w:w="0" w:type="dxa"/>
              <w:bottom w:w="0" w:type="dxa"/>
              <w:right w:w="15" w:type="dxa"/>
            </w:tcMar>
            <w:hideMark/>
          </w:tcPr>
          <w:p w14:paraId="6D21CF7E" w14:textId="77777777" w:rsidR="00251D72" w:rsidRDefault="00251D72">
            <w:pPr>
              <w:pStyle w:val="a3"/>
              <w:spacing w:before="0" w:beforeAutospacing="0" w:after="0" w:afterAutospacing="0"/>
              <w:ind w:left="958"/>
              <w:rPr>
                <w:rFonts w:ascii="Calibri" w:hAnsi="Calibri" w:cs="Calibri"/>
                <w:color w:val="000000"/>
                <w:sz w:val="16"/>
                <w:szCs w:val="16"/>
              </w:rPr>
            </w:pPr>
            <w:r>
              <w:rPr>
                <w:rFonts w:ascii="Calibri" w:hAnsi="Calibri" w:cs="Calibri"/>
                <w:color w:val="000000"/>
                <w:sz w:val="16"/>
                <w:szCs w:val="16"/>
              </w:rPr>
              <w:t>(Increase) decrease in trade receivables, net</w:t>
            </w:r>
          </w:p>
        </w:tc>
        <w:tc>
          <w:tcPr>
            <w:tcW w:w="63" w:type="pct"/>
            <w:shd w:val="clear" w:color="auto" w:fill="CFF0FC"/>
            <w:tcMar>
              <w:top w:w="15" w:type="dxa"/>
              <w:left w:w="0" w:type="dxa"/>
              <w:bottom w:w="0" w:type="dxa"/>
              <w:right w:w="15" w:type="dxa"/>
            </w:tcMar>
            <w:vAlign w:val="bottom"/>
            <w:hideMark/>
          </w:tcPr>
          <w:p w14:paraId="4521F62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2EE21A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448D961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(272</w:t>
            </w:r>
          </w:p>
        </w:tc>
        <w:tc>
          <w:tcPr>
            <w:tcW w:w="50" w:type="pct"/>
            <w:shd w:val="clear" w:color="auto" w:fill="CFF0FC"/>
            <w:noWrap/>
            <w:tcMar>
              <w:top w:w="15" w:type="dxa"/>
              <w:left w:w="0" w:type="dxa"/>
              <w:bottom w:w="0" w:type="dxa"/>
              <w:right w:w="15" w:type="dxa"/>
            </w:tcMar>
            <w:vAlign w:val="bottom"/>
            <w:hideMark/>
          </w:tcPr>
          <w:p w14:paraId="06C4312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2F9E402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50F8DE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20C3B52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267</w:t>
            </w:r>
          </w:p>
        </w:tc>
        <w:tc>
          <w:tcPr>
            <w:tcW w:w="50" w:type="pct"/>
            <w:shd w:val="clear" w:color="auto" w:fill="CFF0FC"/>
            <w:noWrap/>
            <w:tcMar>
              <w:top w:w="15" w:type="dxa"/>
              <w:left w:w="0" w:type="dxa"/>
              <w:bottom w:w="0" w:type="dxa"/>
              <w:right w:w="15" w:type="dxa"/>
            </w:tcMar>
            <w:vAlign w:val="bottom"/>
            <w:hideMark/>
          </w:tcPr>
          <w:p w14:paraId="0F0A6C8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1DF1F6B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693BB5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4C874DD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(67</w:t>
            </w:r>
          </w:p>
        </w:tc>
        <w:tc>
          <w:tcPr>
            <w:tcW w:w="50" w:type="pct"/>
            <w:shd w:val="clear" w:color="auto" w:fill="CFF0FC"/>
            <w:noWrap/>
            <w:tcMar>
              <w:top w:w="15" w:type="dxa"/>
              <w:left w:w="0" w:type="dxa"/>
              <w:bottom w:w="0" w:type="dxa"/>
              <w:right w:w="15" w:type="dxa"/>
            </w:tcMar>
            <w:vAlign w:val="bottom"/>
            <w:hideMark/>
          </w:tcPr>
          <w:p w14:paraId="7DC27C1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2A51B08A" w14:textId="77777777">
        <w:trPr>
          <w:divId w:val="337120055"/>
          <w:jc w:val="center"/>
        </w:trPr>
        <w:tc>
          <w:tcPr>
            <w:tcW w:w="3384" w:type="pct"/>
            <w:shd w:val="clear" w:color="auto" w:fill="FFFFFF"/>
            <w:tcMar>
              <w:top w:w="15" w:type="dxa"/>
              <w:left w:w="0" w:type="dxa"/>
              <w:bottom w:w="0" w:type="dxa"/>
              <w:right w:w="15" w:type="dxa"/>
            </w:tcMar>
            <w:hideMark/>
          </w:tcPr>
          <w:p w14:paraId="2D2665C9" w14:textId="77777777" w:rsidR="00251D72" w:rsidRDefault="00251D72">
            <w:pPr>
              <w:pStyle w:val="a3"/>
              <w:spacing w:before="0" w:beforeAutospacing="0" w:after="0" w:afterAutospacing="0"/>
              <w:ind w:left="958"/>
              <w:rPr>
                <w:rFonts w:ascii="Calibri" w:hAnsi="Calibri" w:cs="Calibri"/>
                <w:color w:val="000000"/>
                <w:sz w:val="16"/>
                <w:szCs w:val="16"/>
              </w:rPr>
            </w:pPr>
            <w:r>
              <w:rPr>
                <w:rFonts w:ascii="Calibri" w:hAnsi="Calibri" w:cs="Calibri"/>
                <w:color w:val="000000"/>
                <w:sz w:val="16"/>
                <w:szCs w:val="16"/>
              </w:rPr>
              <w:t>Decrease (increase) in prepaid expenses and other assets</w:t>
            </w:r>
          </w:p>
        </w:tc>
        <w:tc>
          <w:tcPr>
            <w:tcW w:w="63" w:type="pct"/>
            <w:shd w:val="clear" w:color="auto" w:fill="FFFFFF"/>
            <w:tcMar>
              <w:top w:w="15" w:type="dxa"/>
              <w:left w:w="0" w:type="dxa"/>
              <w:bottom w:w="0" w:type="dxa"/>
              <w:right w:w="15" w:type="dxa"/>
            </w:tcMar>
            <w:vAlign w:val="bottom"/>
            <w:hideMark/>
          </w:tcPr>
          <w:p w14:paraId="351B948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E1CF37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37B473C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261</w:t>
            </w:r>
          </w:p>
        </w:tc>
        <w:tc>
          <w:tcPr>
            <w:tcW w:w="50" w:type="pct"/>
            <w:shd w:val="clear" w:color="auto" w:fill="FFFFFF"/>
            <w:noWrap/>
            <w:tcMar>
              <w:top w:w="15" w:type="dxa"/>
              <w:left w:w="0" w:type="dxa"/>
              <w:bottom w:w="0" w:type="dxa"/>
              <w:right w:w="15" w:type="dxa"/>
            </w:tcMar>
            <w:vAlign w:val="bottom"/>
            <w:hideMark/>
          </w:tcPr>
          <w:p w14:paraId="20CA231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05B1BB2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E65495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5EBB72B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(258</w:t>
            </w:r>
          </w:p>
        </w:tc>
        <w:tc>
          <w:tcPr>
            <w:tcW w:w="50" w:type="pct"/>
            <w:shd w:val="clear" w:color="auto" w:fill="FFFFFF"/>
            <w:noWrap/>
            <w:tcMar>
              <w:top w:w="15" w:type="dxa"/>
              <w:left w:w="0" w:type="dxa"/>
              <w:bottom w:w="0" w:type="dxa"/>
              <w:right w:w="15" w:type="dxa"/>
            </w:tcMar>
            <w:vAlign w:val="bottom"/>
            <w:hideMark/>
          </w:tcPr>
          <w:p w14:paraId="582C7D5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3DD2636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B3C419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61ADB35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(384</w:t>
            </w:r>
          </w:p>
        </w:tc>
        <w:tc>
          <w:tcPr>
            <w:tcW w:w="50" w:type="pct"/>
            <w:shd w:val="clear" w:color="auto" w:fill="FFFFFF"/>
            <w:noWrap/>
            <w:tcMar>
              <w:top w:w="15" w:type="dxa"/>
              <w:left w:w="0" w:type="dxa"/>
              <w:bottom w:w="0" w:type="dxa"/>
              <w:right w:w="15" w:type="dxa"/>
            </w:tcMar>
            <w:vAlign w:val="bottom"/>
            <w:hideMark/>
          </w:tcPr>
          <w:p w14:paraId="5FC52CB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1D6AF983" w14:textId="77777777">
        <w:trPr>
          <w:divId w:val="337120055"/>
          <w:jc w:val="center"/>
        </w:trPr>
        <w:tc>
          <w:tcPr>
            <w:tcW w:w="3384" w:type="pct"/>
            <w:shd w:val="clear" w:color="auto" w:fill="CFF0FC"/>
            <w:tcMar>
              <w:top w:w="15" w:type="dxa"/>
              <w:left w:w="0" w:type="dxa"/>
              <w:bottom w:w="0" w:type="dxa"/>
              <w:right w:w="15" w:type="dxa"/>
            </w:tcMar>
            <w:hideMark/>
          </w:tcPr>
          <w:p w14:paraId="1AEE773A" w14:textId="77777777" w:rsidR="00251D72" w:rsidRDefault="00251D72">
            <w:pPr>
              <w:pStyle w:val="a3"/>
              <w:spacing w:before="0" w:beforeAutospacing="0" w:after="0" w:afterAutospacing="0"/>
              <w:ind w:left="958"/>
              <w:rPr>
                <w:rFonts w:ascii="Calibri" w:hAnsi="Calibri" w:cs="Calibri"/>
                <w:color w:val="000000"/>
                <w:sz w:val="16"/>
                <w:szCs w:val="16"/>
              </w:rPr>
            </w:pPr>
            <w:r>
              <w:rPr>
                <w:rFonts w:ascii="Calibri" w:hAnsi="Calibri" w:cs="Calibri"/>
                <w:color w:val="000000"/>
                <w:sz w:val="16"/>
                <w:szCs w:val="16"/>
              </w:rPr>
              <w:t>(Decrease) increase in accounts payable and other liabilities</w:t>
            </w:r>
          </w:p>
        </w:tc>
        <w:tc>
          <w:tcPr>
            <w:tcW w:w="63" w:type="pct"/>
            <w:shd w:val="clear" w:color="auto" w:fill="CFF0FC"/>
            <w:tcMar>
              <w:top w:w="15" w:type="dxa"/>
              <w:left w:w="0" w:type="dxa"/>
              <w:bottom w:w="0" w:type="dxa"/>
              <w:right w:w="15" w:type="dxa"/>
            </w:tcMar>
            <w:vAlign w:val="bottom"/>
            <w:hideMark/>
          </w:tcPr>
          <w:p w14:paraId="49609E6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AAA717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17CFF97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(102</w:t>
            </w:r>
          </w:p>
        </w:tc>
        <w:tc>
          <w:tcPr>
            <w:tcW w:w="50" w:type="pct"/>
            <w:shd w:val="clear" w:color="auto" w:fill="CFF0FC"/>
            <w:noWrap/>
            <w:tcMar>
              <w:top w:w="15" w:type="dxa"/>
              <w:left w:w="0" w:type="dxa"/>
              <w:bottom w:w="0" w:type="dxa"/>
              <w:right w:w="15" w:type="dxa"/>
            </w:tcMar>
            <w:vAlign w:val="bottom"/>
            <w:hideMark/>
          </w:tcPr>
          <w:p w14:paraId="20A1064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5C7B457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0248E0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15691A9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(260</w:t>
            </w:r>
          </w:p>
        </w:tc>
        <w:tc>
          <w:tcPr>
            <w:tcW w:w="50" w:type="pct"/>
            <w:shd w:val="clear" w:color="auto" w:fill="CFF0FC"/>
            <w:noWrap/>
            <w:tcMar>
              <w:top w:w="15" w:type="dxa"/>
              <w:left w:w="0" w:type="dxa"/>
              <w:bottom w:w="0" w:type="dxa"/>
              <w:right w:w="15" w:type="dxa"/>
            </w:tcMar>
            <w:vAlign w:val="bottom"/>
            <w:hideMark/>
          </w:tcPr>
          <w:p w14:paraId="7C2E560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18A7D2E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951903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4915D08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230</w:t>
            </w:r>
          </w:p>
        </w:tc>
        <w:tc>
          <w:tcPr>
            <w:tcW w:w="50" w:type="pct"/>
            <w:shd w:val="clear" w:color="auto" w:fill="CFF0FC"/>
            <w:noWrap/>
            <w:tcMar>
              <w:top w:w="15" w:type="dxa"/>
              <w:left w:w="0" w:type="dxa"/>
              <w:bottom w:w="0" w:type="dxa"/>
              <w:right w:w="15" w:type="dxa"/>
            </w:tcMar>
            <w:vAlign w:val="bottom"/>
            <w:hideMark/>
          </w:tcPr>
          <w:p w14:paraId="64EE1A1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3F63CD48" w14:textId="77777777">
        <w:trPr>
          <w:divId w:val="337120055"/>
          <w:jc w:val="center"/>
        </w:trPr>
        <w:tc>
          <w:tcPr>
            <w:tcW w:w="3384" w:type="pct"/>
            <w:shd w:val="clear" w:color="auto" w:fill="FFFFFF"/>
            <w:tcMar>
              <w:top w:w="15" w:type="dxa"/>
              <w:left w:w="0" w:type="dxa"/>
              <w:bottom w:w="0" w:type="dxa"/>
              <w:right w:w="15" w:type="dxa"/>
            </w:tcMar>
            <w:hideMark/>
          </w:tcPr>
          <w:p w14:paraId="2BF2C951" w14:textId="77777777" w:rsidR="00251D72" w:rsidRDefault="00251D72">
            <w:pPr>
              <w:pStyle w:val="a3"/>
              <w:spacing w:before="0" w:beforeAutospacing="0" w:after="0" w:afterAutospacing="0"/>
              <w:ind w:left="958"/>
              <w:rPr>
                <w:rFonts w:ascii="Calibri" w:hAnsi="Calibri" w:cs="Calibri"/>
                <w:color w:val="000000"/>
                <w:sz w:val="16"/>
                <w:szCs w:val="16"/>
              </w:rPr>
            </w:pPr>
            <w:r>
              <w:rPr>
                <w:rFonts w:ascii="Calibri" w:hAnsi="Calibri" w:cs="Calibri"/>
                <w:color w:val="000000"/>
                <w:sz w:val="16"/>
                <w:szCs w:val="16"/>
              </w:rPr>
              <w:t>(Decrease) increase in income taxes payable</w:t>
            </w:r>
          </w:p>
        </w:tc>
        <w:tc>
          <w:tcPr>
            <w:tcW w:w="63" w:type="pct"/>
            <w:shd w:val="clear" w:color="auto" w:fill="FFFFFF"/>
            <w:tcMar>
              <w:top w:w="15" w:type="dxa"/>
              <w:left w:w="0" w:type="dxa"/>
              <w:bottom w:w="0" w:type="dxa"/>
              <w:right w:w="15" w:type="dxa"/>
            </w:tcMar>
            <w:vAlign w:val="bottom"/>
            <w:hideMark/>
          </w:tcPr>
          <w:p w14:paraId="1C22012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F929E5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16D053E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(453</w:t>
            </w:r>
          </w:p>
        </w:tc>
        <w:tc>
          <w:tcPr>
            <w:tcW w:w="50" w:type="pct"/>
            <w:shd w:val="clear" w:color="auto" w:fill="FFFFFF"/>
            <w:noWrap/>
            <w:tcMar>
              <w:top w:w="15" w:type="dxa"/>
              <w:left w:w="0" w:type="dxa"/>
              <w:bottom w:w="0" w:type="dxa"/>
              <w:right w:w="15" w:type="dxa"/>
            </w:tcMar>
            <w:vAlign w:val="bottom"/>
            <w:hideMark/>
          </w:tcPr>
          <w:p w14:paraId="512FB3E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2E14E5A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2BC125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34193E9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8,150</w:t>
            </w:r>
          </w:p>
        </w:tc>
        <w:tc>
          <w:tcPr>
            <w:tcW w:w="50" w:type="pct"/>
            <w:shd w:val="clear" w:color="auto" w:fill="FFFFFF"/>
            <w:noWrap/>
            <w:tcMar>
              <w:top w:w="15" w:type="dxa"/>
              <w:left w:w="0" w:type="dxa"/>
              <w:bottom w:w="0" w:type="dxa"/>
              <w:right w:w="15" w:type="dxa"/>
            </w:tcMar>
            <w:vAlign w:val="bottom"/>
            <w:hideMark/>
          </w:tcPr>
          <w:p w14:paraId="4782374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698FD9F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EA9A88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5DB32E0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732</w:t>
            </w:r>
          </w:p>
        </w:tc>
        <w:tc>
          <w:tcPr>
            <w:tcW w:w="50" w:type="pct"/>
            <w:shd w:val="clear" w:color="auto" w:fill="FFFFFF"/>
            <w:noWrap/>
            <w:tcMar>
              <w:top w:w="15" w:type="dxa"/>
              <w:left w:w="0" w:type="dxa"/>
              <w:bottom w:w="0" w:type="dxa"/>
              <w:right w:w="15" w:type="dxa"/>
            </w:tcMar>
            <w:vAlign w:val="bottom"/>
            <w:hideMark/>
          </w:tcPr>
          <w:p w14:paraId="3DFA1E2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6DE8CCF7" w14:textId="77777777">
        <w:trPr>
          <w:divId w:val="337120055"/>
          <w:jc w:val="center"/>
        </w:trPr>
        <w:tc>
          <w:tcPr>
            <w:tcW w:w="3384" w:type="pct"/>
            <w:shd w:val="clear" w:color="auto" w:fill="CFF0FC"/>
            <w:tcMar>
              <w:top w:w="15" w:type="dxa"/>
              <w:left w:w="0" w:type="dxa"/>
              <w:bottom w:w="0" w:type="dxa"/>
              <w:right w:w="15" w:type="dxa"/>
            </w:tcMar>
            <w:hideMark/>
          </w:tcPr>
          <w:p w14:paraId="72C71A72" w14:textId="77777777" w:rsidR="00251D72" w:rsidRDefault="00251D72">
            <w:pPr>
              <w:pStyle w:val="a3"/>
              <w:spacing w:before="0" w:beforeAutospacing="0" w:after="0" w:afterAutospacing="0"/>
              <w:ind w:left="958"/>
              <w:rPr>
                <w:rFonts w:ascii="Calibri" w:hAnsi="Calibri" w:cs="Calibri"/>
                <w:color w:val="000000"/>
                <w:sz w:val="16"/>
                <w:szCs w:val="16"/>
              </w:rPr>
            </w:pPr>
            <w:r>
              <w:rPr>
                <w:rFonts w:ascii="Calibri" w:hAnsi="Calibri" w:cs="Calibri"/>
                <w:color w:val="000000"/>
                <w:sz w:val="16"/>
                <w:szCs w:val="16"/>
              </w:rPr>
              <w:t>Increase in deferred revenues</w:t>
            </w:r>
          </w:p>
        </w:tc>
        <w:tc>
          <w:tcPr>
            <w:tcW w:w="63" w:type="pct"/>
            <w:shd w:val="clear" w:color="auto" w:fill="CFF0FC"/>
            <w:tcMar>
              <w:top w:w="15" w:type="dxa"/>
              <w:left w:w="0" w:type="dxa"/>
              <w:bottom w:w="0" w:type="dxa"/>
              <w:right w:w="15" w:type="dxa"/>
            </w:tcMar>
            <w:vAlign w:val="bottom"/>
            <w:hideMark/>
          </w:tcPr>
          <w:p w14:paraId="5B4E78B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7983C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left w:w="0" w:type="dxa"/>
              <w:bottom w:w="0" w:type="dxa"/>
              <w:right w:w="15" w:type="dxa"/>
            </w:tcMar>
            <w:vAlign w:val="bottom"/>
            <w:hideMark/>
          </w:tcPr>
          <w:p w14:paraId="0CC25DB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306</w:t>
            </w:r>
          </w:p>
        </w:tc>
        <w:tc>
          <w:tcPr>
            <w:tcW w:w="50" w:type="pct"/>
            <w:shd w:val="clear" w:color="auto" w:fill="CFF0FC"/>
            <w:noWrap/>
            <w:tcMar>
              <w:top w:w="15" w:type="dxa"/>
              <w:left w:w="0" w:type="dxa"/>
              <w:bottom w:w="0" w:type="dxa"/>
              <w:right w:w="15" w:type="dxa"/>
            </w:tcMar>
            <w:vAlign w:val="bottom"/>
            <w:hideMark/>
          </w:tcPr>
          <w:p w14:paraId="1790F97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2FBFEE0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11A5BA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left w:w="0" w:type="dxa"/>
              <w:bottom w:w="0" w:type="dxa"/>
              <w:right w:w="15" w:type="dxa"/>
            </w:tcMar>
            <w:vAlign w:val="bottom"/>
            <w:hideMark/>
          </w:tcPr>
          <w:p w14:paraId="1B3BE85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236</w:t>
            </w:r>
          </w:p>
        </w:tc>
        <w:tc>
          <w:tcPr>
            <w:tcW w:w="50" w:type="pct"/>
            <w:shd w:val="clear" w:color="auto" w:fill="CFF0FC"/>
            <w:noWrap/>
            <w:tcMar>
              <w:top w:w="15" w:type="dxa"/>
              <w:left w:w="0" w:type="dxa"/>
              <w:bottom w:w="0" w:type="dxa"/>
              <w:right w:w="15" w:type="dxa"/>
            </w:tcMar>
            <w:vAlign w:val="bottom"/>
            <w:hideMark/>
          </w:tcPr>
          <w:p w14:paraId="644D526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055F42D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293EA8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left w:w="0" w:type="dxa"/>
              <w:bottom w:w="0" w:type="dxa"/>
              <w:right w:w="15" w:type="dxa"/>
            </w:tcMar>
            <w:vAlign w:val="bottom"/>
            <w:hideMark/>
          </w:tcPr>
          <w:p w14:paraId="6F990E4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547</w:t>
            </w:r>
          </w:p>
        </w:tc>
        <w:tc>
          <w:tcPr>
            <w:tcW w:w="50" w:type="pct"/>
            <w:shd w:val="clear" w:color="auto" w:fill="CFF0FC"/>
            <w:noWrap/>
            <w:tcMar>
              <w:top w:w="15" w:type="dxa"/>
              <w:left w:w="0" w:type="dxa"/>
              <w:bottom w:w="0" w:type="dxa"/>
              <w:right w:w="15" w:type="dxa"/>
            </w:tcMar>
            <w:vAlign w:val="bottom"/>
            <w:hideMark/>
          </w:tcPr>
          <w:p w14:paraId="5DC51CA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547E1D4F" w14:textId="77777777">
        <w:trPr>
          <w:divId w:val="337120055"/>
          <w:jc w:val="center"/>
        </w:trPr>
        <w:tc>
          <w:tcPr>
            <w:tcW w:w="3384" w:type="pct"/>
            <w:shd w:val="clear" w:color="auto" w:fill="FFFFFF"/>
            <w:tcMar>
              <w:top w:w="15" w:type="dxa"/>
              <w:left w:w="0" w:type="dxa"/>
              <w:bottom w:w="0" w:type="dxa"/>
              <w:right w:w="15" w:type="dxa"/>
            </w:tcMar>
            <w:hideMark/>
          </w:tcPr>
          <w:p w14:paraId="170C1692" w14:textId="77777777" w:rsidR="00251D72" w:rsidRDefault="00251D72">
            <w:pPr>
              <w:pStyle w:val="a3"/>
              <w:spacing w:before="0" w:beforeAutospacing="0" w:after="0" w:afterAutospacing="0"/>
              <w:ind w:left="1231"/>
              <w:rPr>
                <w:rFonts w:ascii="Calibri" w:hAnsi="Calibri" w:cs="Calibri"/>
                <w:color w:val="000000"/>
                <w:sz w:val="16"/>
                <w:szCs w:val="16"/>
              </w:rPr>
            </w:pPr>
            <w:r>
              <w:rPr>
                <w:rFonts w:ascii="Calibri" w:hAnsi="Calibri" w:cs="Calibri"/>
                <w:color w:val="000000"/>
                <w:sz w:val="16"/>
                <w:szCs w:val="16"/>
              </w:rPr>
              <w:t>Net cash provided by operating activities</w:t>
            </w:r>
          </w:p>
        </w:tc>
        <w:tc>
          <w:tcPr>
            <w:tcW w:w="63" w:type="pct"/>
            <w:shd w:val="clear" w:color="auto" w:fill="FFFFFF"/>
            <w:tcMar>
              <w:top w:w="15" w:type="dxa"/>
              <w:left w:w="0" w:type="dxa"/>
              <w:bottom w:w="0" w:type="dxa"/>
              <w:right w:w="15" w:type="dxa"/>
            </w:tcMar>
            <w:vAlign w:val="bottom"/>
            <w:hideMark/>
          </w:tcPr>
          <w:p w14:paraId="45CA95D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7E21DF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8A33DB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14,551</w:t>
            </w:r>
          </w:p>
        </w:tc>
        <w:tc>
          <w:tcPr>
            <w:tcW w:w="50" w:type="pct"/>
            <w:shd w:val="clear" w:color="auto" w:fill="FFFFFF"/>
            <w:noWrap/>
            <w:tcMar>
              <w:top w:w="15" w:type="dxa"/>
              <w:left w:w="0" w:type="dxa"/>
              <w:bottom w:w="0" w:type="dxa"/>
              <w:right w:w="15" w:type="dxa"/>
            </w:tcMar>
            <w:vAlign w:val="bottom"/>
            <w:hideMark/>
          </w:tcPr>
          <w:p w14:paraId="7983011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31CE0CB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8CA092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9CE7DC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15,386</w:t>
            </w:r>
          </w:p>
        </w:tc>
        <w:tc>
          <w:tcPr>
            <w:tcW w:w="50" w:type="pct"/>
            <w:shd w:val="clear" w:color="auto" w:fill="FFFFFF"/>
            <w:noWrap/>
            <w:tcMar>
              <w:top w:w="15" w:type="dxa"/>
              <w:left w:w="0" w:type="dxa"/>
              <w:bottom w:w="0" w:type="dxa"/>
              <w:right w:w="15" w:type="dxa"/>
            </w:tcMar>
            <w:vAlign w:val="bottom"/>
            <w:hideMark/>
          </w:tcPr>
          <w:p w14:paraId="51BD10B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5D3818B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C1A3B6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5663E2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14,126</w:t>
            </w:r>
          </w:p>
        </w:tc>
        <w:tc>
          <w:tcPr>
            <w:tcW w:w="50" w:type="pct"/>
            <w:shd w:val="clear" w:color="auto" w:fill="FFFFFF"/>
            <w:noWrap/>
            <w:tcMar>
              <w:top w:w="15" w:type="dxa"/>
              <w:left w:w="0" w:type="dxa"/>
              <w:bottom w:w="0" w:type="dxa"/>
              <w:right w:w="15" w:type="dxa"/>
            </w:tcMar>
            <w:vAlign w:val="bottom"/>
            <w:hideMark/>
          </w:tcPr>
          <w:p w14:paraId="5E6B468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1C5882C2" w14:textId="77777777">
        <w:trPr>
          <w:divId w:val="337120055"/>
          <w:jc w:val="center"/>
        </w:trPr>
        <w:tc>
          <w:tcPr>
            <w:tcW w:w="3384" w:type="pct"/>
            <w:shd w:val="clear" w:color="auto" w:fill="CFF0FC"/>
            <w:tcMar>
              <w:top w:w="15" w:type="dxa"/>
              <w:left w:w="0" w:type="dxa"/>
              <w:bottom w:w="0" w:type="dxa"/>
              <w:right w:w="15" w:type="dxa"/>
            </w:tcMar>
            <w:hideMark/>
          </w:tcPr>
          <w:p w14:paraId="05373F3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Cash flows from investing activities:</w:t>
            </w:r>
          </w:p>
        </w:tc>
        <w:tc>
          <w:tcPr>
            <w:tcW w:w="63" w:type="pct"/>
            <w:shd w:val="clear" w:color="auto" w:fill="CFF0FC"/>
            <w:tcMar>
              <w:top w:w="15" w:type="dxa"/>
              <w:left w:w="0" w:type="dxa"/>
              <w:bottom w:w="0" w:type="dxa"/>
              <w:right w:w="15" w:type="dxa"/>
            </w:tcMar>
            <w:vAlign w:val="bottom"/>
            <w:hideMark/>
          </w:tcPr>
          <w:p w14:paraId="3381AAF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890BE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left w:w="0" w:type="dxa"/>
              <w:bottom w:w="0" w:type="dxa"/>
              <w:right w:w="15" w:type="dxa"/>
            </w:tcMar>
            <w:vAlign w:val="bottom"/>
            <w:hideMark/>
          </w:tcPr>
          <w:p w14:paraId="749AFAB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890BE6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63E56EB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D5B26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left w:w="0" w:type="dxa"/>
              <w:bottom w:w="0" w:type="dxa"/>
              <w:right w:w="15" w:type="dxa"/>
            </w:tcMar>
            <w:vAlign w:val="bottom"/>
            <w:hideMark/>
          </w:tcPr>
          <w:p w14:paraId="682A1BA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273571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0DE0F88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AA3CF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left w:w="0" w:type="dxa"/>
              <w:bottom w:w="0" w:type="dxa"/>
              <w:right w:w="15" w:type="dxa"/>
            </w:tcMar>
            <w:vAlign w:val="bottom"/>
            <w:hideMark/>
          </w:tcPr>
          <w:p w14:paraId="3FF189E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0432E6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4D2D6E4D" w14:textId="77777777">
        <w:trPr>
          <w:divId w:val="337120055"/>
          <w:jc w:val="center"/>
        </w:trPr>
        <w:tc>
          <w:tcPr>
            <w:tcW w:w="3384" w:type="pct"/>
            <w:shd w:val="clear" w:color="auto" w:fill="FFFFFF"/>
            <w:tcMar>
              <w:top w:w="15" w:type="dxa"/>
              <w:left w:w="0" w:type="dxa"/>
              <w:bottom w:w="0" w:type="dxa"/>
              <w:right w:w="15" w:type="dxa"/>
            </w:tcMar>
            <w:hideMark/>
          </w:tcPr>
          <w:p w14:paraId="0A9D15AF"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Purchases of marketable securities and other investments</w:t>
            </w:r>
          </w:p>
        </w:tc>
        <w:tc>
          <w:tcPr>
            <w:tcW w:w="63" w:type="pct"/>
            <w:shd w:val="clear" w:color="auto" w:fill="FFFFFF"/>
            <w:tcMar>
              <w:top w:w="15" w:type="dxa"/>
              <w:left w:w="0" w:type="dxa"/>
              <w:bottom w:w="0" w:type="dxa"/>
              <w:right w:w="15" w:type="dxa"/>
            </w:tcMar>
            <w:vAlign w:val="bottom"/>
            <w:hideMark/>
          </w:tcPr>
          <w:p w14:paraId="47559FC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AE09BB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55C3B62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(1,400</w:t>
            </w:r>
          </w:p>
        </w:tc>
        <w:tc>
          <w:tcPr>
            <w:tcW w:w="50" w:type="pct"/>
            <w:shd w:val="clear" w:color="auto" w:fill="FFFFFF"/>
            <w:noWrap/>
            <w:tcMar>
              <w:top w:w="15" w:type="dxa"/>
              <w:left w:w="0" w:type="dxa"/>
              <w:bottom w:w="0" w:type="dxa"/>
              <w:right w:w="15" w:type="dxa"/>
            </w:tcMar>
            <w:vAlign w:val="bottom"/>
            <w:hideMark/>
          </w:tcPr>
          <w:p w14:paraId="503069E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6C5BE4C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C63F3D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418F5C3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(25,282</w:t>
            </w:r>
          </w:p>
        </w:tc>
        <w:tc>
          <w:tcPr>
            <w:tcW w:w="50" w:type="pct"/>
            <w:shd w:val="clear" w:color="auto" w:fill="FFFFFF"/>
            <w:noWrap/>
            <w:tcMar>
              <w:top w:w="15" w:type="dxa"/>
              <w:left w:w="0" w:type="dxa"/>
              <w:bottom w:w="0" w:type="dxa"/>
              <w:right w:w="15" w:type="dxa"/>
            </w:tcMar>
            <w:vAlign w:val="bottom"/>
            <w:hideMark/>
          </w:tcPr>
          <w:p w14:paraId="33D0CE1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6C803A9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E5405E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487322F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(25,867</w:t>
            </w:r>
          </w:p>
        </w:tc>
        <w:tc>
          <w:tcPr>
            <w:tcW w:w="50" w:type="pct"/>
            <w:shd w:val="clear" w:color="auto" w:fill="FFFFFF"/>
            <w:noWrap/>
            <w:tcMar>
              <w:top w:w="15" w:type="dxa"/>
              <w:left w:w="0" w:type="dxa"/>
              <w:bottom w:w="0" w:type="dxa"/>
              <w:right w:w="15" w:type="dxa"/>
            </w:tcMar>
            <w:vAlign w:val="bottom"/>
            <w:hideMark/>
          </w:tcPr>
          <w:p w14:paraId="04124D5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3D467DDE" w14:textId="77777777">
        <w:trPr>
          <w:divId w:val="337120055"/>
          <w:jc w:val="center"/>
        </w:trPr>
        <w:tc>
          <w:tcPr>
            <w:tcW w:w="3384" w:type="pct"/>
            <w:shd w:val="clear" w:color="auto" w:fill="CFF0FC"/>
            <w:tcMar>
              <w:top w:w="15" w:type="dxa"/>
              <w:left w:w="0" w:type="dxa"/>
              <w:bottom w:w="0" w:type="dxa"/>
              <w:right w:w="15" w:type="dxa"/>
            </w:tcMar>
            <w:hideMark/>
          </w:tcPr>
          <w:p w14:paraId="62ED5131"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Proceeds from maturities of marketable securities and other investments</w:t>
            </w:r>
          </w:p>
        </w:tc>
        <w:tc>
          <w:tcPr>
            <w:tcW w:w="63" w:type="pct"/>
            <w:shd w:val="clear" w:color="auto" w:fill="CFF0FC"/>
            <w:tcMar>
              <w:top w:w="15" w:type="dxa"/>
              <w:left w:w="0" w:type="dxa"/>
              <w:bottom w:w="0" w:type="dxa"/>
              <w:right w:w="15" w:type="dxa"/>
            </w:tcMar>
            <w:vAlign w:val="bottom"/>
            <w:hideMark/>
          </w:tcPr>
          <w:p w14:paraId="4550C11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60D0FC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7E22755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12,681</w:t>
            </w:r>
          </w:p>
        </w:tc>
        <w:tc>
          <w:tcPr>
            <w:tcW w:w="50" w:type="pct"/>
            <w:shd w:val="clear" w:color="auto" w:fill="CFF0FC"/>
            <w:noWrap/>
            <w:tcMar>
              <w:top w:w="15" w:type="dxa"/>
              <w:left w:w="0" w:type="dxa"/>
              <w:bottom w:w="0" w:type="dxa"/>
              <w:right w:w="15" w:type="dxa"/>
            </w:tcMar>
            <w:vAlign w:val="bottom"/>
            <w:hideMark/>
          </w:tcPr>
          <w:p w14:paraId="0AFC921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167CCC5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CB77BC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36150D5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20,372</w:t>
            </w:r>
          </w:p>
        </w:tc>
        <w:tc>
          <w:tcPr>
            <w:tcW w:w="50" w:type="pct"/>
            <w:shd w:val="clear" w:color="auto" w:fill="CFF0FC"/>
            <w:noWrap/>
            <w:tcMar>
              <w:top w:w="15" w:type="dxa"/>
              <w:left w:w="0" w:type="dxa"/>
              <w:bottom w:w="0" w:type="dxa"/>
              <w:right w:w="15" w:type="dxa"/>
            </w:tcMar>
            <w:vAlign w:val="bottom"/>
            <w:hideMark/>
          </w:tcPr>
          <w:p w14:paraId="60AC857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5589D49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3AC957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2EEDF6E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15,186</w:t>
            </w:r>
          </w:p>
        </w:tc>
        <w:tc>
          <w:tcPr>
            <w:tcW w:w="50" w:type="pct"/>
            <w:shd w:val="clear" w:color="auto" w:fill="CFF0FC"/>
            <w:noWrap/>
            <w:tcMar>
              <w:top w:w="15" w:type="dxa"/>
              <w:left w:w="0" w:type="dxa"/>
              <w:bottom w:w="0" w:type="dxa"/>
              <w:right w:w="15" w:type="dxa"/>
            </w:tcMar>
            <w:vAlign w:val="bottom"/>
            <w:hideMark/>
          </w:tcPr>
          <w:p w14:paraId="7A26CAF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455459C9" w14:textId="77777777">
        <w:trPr>
          <w:divId w:val="337120055"/>
          <w:jc w:val="center"/>
        </w:trPr>
        <w:tc>
          <w:tcPr>
            <w:tcW w:w="3384" w:type="pct"/>
            <w:shd w:val="clear" w:color="auto" w:fill="FFFFFF"/>
            <w:tcMar>
              <w:top w:w="15" w:type="dxa"/>
              <w:left w:w="0" w:type="dxa"/>
              <w:bottom w:w="0" w:type="dxa"/>
              <w:right w:w="15" w:type="dxa"/>
            </w:tcMar>
            <w:hideMark/>
          </w:tcPr>
          <w:p w14:paraId="54577069"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Proceeds from sales of marketable securities</w:t>
            </w:r>
          </w:p>
        </w:tc>
        <w:tc>
          <w:tcPr>
            <w:tcW w:w="63" w:type="pct"/>
            <w:shd w:val="clear" w:color="auto" w:fill="FFFFFF"/>
            <w:tcMar>
              <w:top w:w="15" w:type="dxa"/>
              <w:left w:w="0" w:type="dxa"/>
              <w:bottom w:w="0" w:type="dxa"/>
              <w:right w:w="15" w:type="dxa"/>
            </w:tcMar>
            <w:vAlign w:val="bottom"/>
            <w:hideMark/>
          </w:tcPr>
          <w:p w14:paraId="39803FE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820D0B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6DF30A9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17,299</w:t>
            </w:r>
          </w:p>
        </w:tc>
        <w:tc>
          <w:tcPr>
            <w:tcW w:w="50" w:type="pct"/>
            <w:shd w:val="clear" w:color="auto" w:fill="FFFFFF"/>
            <w:noWrap/>
            <w:tcMar>
              <w:top w:w="15" w:type="dxa"/>
              <w:left w:w="0" w:type="dxa"/>
              <w:bottom w:w="0" w:type="dxa"/>
              <w:right w:w="15" w:type="dxa"/>
            </w:tcMar>
            <w:vAlign w:val="bottom"/>
            <w:hideMark/>
          </w:tcPr>
          <w:p w14:paraId="1FEA191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72D1B09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17183B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2AD83B6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2,745</w:t>
            </w:r>
          </w:p>
        </w:tc>
        <w:tc>
          <w:tcPr>
            <w:tcW w:w="50" w:type="pct"/>
            <w:shd w:val="clear" w:color="auto" w:fill="FFFFFF"/>
            <w:noWrap/>
            <w:tcMar>
              <w:top w:w="15" w:type="dxa"/>
              <w:left w:w="0" w:type="dxa"/>
              <w:bottom w:w="0" w:type="dxa"/>
              <w:right w:w="15" w:type="dxa"/>
            </w:tcMar>
            <w:vAlign w:val="bottom"/>
            <w:hideMark/>
          </w:tcPr>
          <w:p w14:paraId="446B085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592B3D4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ADBBB6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0AB1C8C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2,429</w:t>
            </w:r>
          </w:p>
        </w:tc>
        <w:tc>
          <w:tcPr>
            <w:tcW w:w="50" w:type="pct"/>
            <w:shd w:val="clear" w:color="auto" w:fill="FFFFFF"/>
            <w:noWrap/>
            <w:tcMar>
              <w:top w:w="15" w:type="dxa"/>
              <w:left w:w="0" w:type="dxa"/>
              <w:bottom w:w="0" w:type="dxa"/>
              <w:right w:w="15" w:type="dxa"/>
            </w:tcMar>
            <w:vAlign w:val="bottom"/>
            <w:hideMark/>
          </w:tcPr>
          <w:p w14:paraId="6170F42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2FBA6EBE" w14:textId="77777777">
        <w:trPr>
          <w:divId w:val="337120055"/>
          <w:jc w:val="center"/>
        </w:trPr>
        <w:tc>
          <w:tcPr>
            <w:tcW w:w="3384" w:type="pct"/>
            <w:shd w:val="clear" w:color="auto" w:fill="CFF0FC"/>
            <w:tcMar>
              <w:top w:w="15" w:type="dxa"/>
              <w:left w:w="0" w:type="dxa"/>
              <w:bottom w:w="0" w:type="dxa"/>
              <w:right w:w="15" w:type="dxa"/>
            </w:tcMar>
            <w:hideMark/>
          </w:tcPr>
          <w:p w14:paraId="50053C06"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Acquisitions, net of cash acquired</w:t>
            </w:r>
          </w:p>
        </w:tc>
        <w:tc>
          <w:tcPr>
            <w:tcW w:w="63" w:type="pct"/>
            <w:shd w:val="clear" w:color="auto" w:fill="CFF0FC"/>
            <w:tcMar>
              <w:top w:w="15" w:type="dxa"/>
              <w:left w:w="0" w:type="dxa"/>
              <w:bottom w:w="0" w:type="dxa"/>
              <w:right w:w="15" w:type="dxa"/>
            </w:tcMar>
            <w:vAlign w:val="bottom"/>
            <w:hideMark/>
          </w:tcPr>
          <w:p w14:paraId="73DCA15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227A8A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767D10B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(363</w:t>
            </w:r>
          </w:p>
        </w:tc>
        <w:tc>
          <w:tcPr>
            <w:tcW w:w="50" w:type="pct"/>
            <w:shd w:val="clear" w:color="auto" w:fill="CFF0FC"/>
            <w:noWrap/>
            <w:tcMar>
              <w:top w:w="15" w:type="dxa"/>
              <w:left w:w="0" w:type="dxa"/>
              <w:bottom w:w="0" w:type="dxa"/>
              <w:right w:w="15" w:type="dxa"/>
            </w:tcMar>
            <w:vAlign w:val="bottom"/>
            <w:hideMark/>
          </w:tcPr>
          <w:p w14:paraId="36F7096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3E31AFC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33157F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6707423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(1,724</w:t>
            </w:r>
          </w:p>
        </w:tc>
        <w:tc>
          <w:tcPr>
            <w:tcW w:w="50" w:type="pct"/>
            <w:shd w:val="clear" w:color="auto" w:fill="CFF0FC"/>
            <w:noWrap/>
            <w:tcMar>
              <w:top w:w="15" w:type="dxa"/>
              <w:left w:w="0" w:type="dxa"/>
              <w:bottom w:w="0" w:type="dxa"/>
              <w:right w:w="15" w:type="dxa"/>
            </w:tcMar>
            <w:vAlign w:val="bottom"/>
            <w:hideMark/>
          </w:tcPr>
          <w:p w14:paraId="1C84226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1427BA6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325FE9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73A4E18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(11,221</w:t>
            </w:r>
          </w:p>
        </w:tc>
        <w:tc>
          <w:tcPr>
            <w:tcW w:w="50" w:type="pct"/>
            <w:shd w:val="clear" w:color="auto" w:fill="CFF0FC"/>
            <w:noWrap/>
            <w:tcMar>
              <w:top w:w="15" w:type="dxa"/>
              <w:left w:w="0" w:type="dxa"/>
              <w:bottom w:w="0" w:type="dxa"/>
              <w:right w:w="15" w:type="dxa"/>
            </w:tcMar>
            <w:vAlign w:val="bottom"/>
            <w:hideMark/>
          </w:tcPr>
          <w:p w14:paraId="176C45B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636CBC91" w14:textId="77777777">
        <w:trPr>
          <w:divId w:val="337120055"/>
          <w:jc w:val="center"/>
        </w:trPr>
        <w:tc>
          <w:tcPr>
            <w:tcW w:w="3384" w:type="pct"/>
            <w:shd w:val="clear" w:color="auto" w:fill="FFFFFF"/>
            <w:tcMar>
              <w:top w:w="15" w:type="dxa"/>
              <w:left w:w="0" w:type="dxa"/>
              <w:bottom w:w="0" w:type="dxa"/>
              <w:right w:w="15" w:type="dxa"/>
            </w:tcMar>
            <w:hideMark/>
          </w:tcPr>
          <w:p w14:paraId="1E3747E4"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Capital expenditures</w:t>
            </w:r>
          </w:p>
        </w:tc>
        <w:tc>
          <w:tcPr>
            <w:tcW w:w="63" w:type="pct"/>
            <w:shd w:val="clear" w:color="auto" w:fill="FFFFFF"/>
            <w:tcMar>
              <w:top w:w="15" w:type="dxa"/>
              <w:left w:w="0" w:type="dxa"/>
              <w:bottom w:w="0" w:type="dxa"/>
              <w:right w:w="15" w:type="dxa"/>
            </w:tcMar>
            <w:vAlign w:val="bottom"/>
            <w:hideMark/>
          </w:tcPr>
          <w:p w14:paraId="49CDB9A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4578AD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FFFFFF"/>
            <w:noWrap/>
            <w:tcMar>
              <w:top w:w="15" w:type="dxa"/>
              <w:left w:w="0" w:type="dxa"/>
              <w:bottom w:w="0" w:type="dxa"/>
              <w:right w:w="15" w:type="dxa"/>
            </w:tcMar>
            <w:vAlign w:val="bottom"/>
            <w:hideMark/>
          </w:tcPr>
          <w:p w14:paraId="5D753D4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(1,660</w:t>
            </w:r>
          </w:p>
        </w:tc>
        <w:tc>
          <w:tcPr>
            <w:tcW w:w="50" w:type="pct"/>
            <w:shd w:val="clear" w:color="auto" w:fill="FFFFFF"/>
            <w:noWrap/>
            <w:tcMar>
              <w:top w:w="15" w:type="dxa"/>
              <w:left w:w="0" w:type="dxa"/>
              <w:bottom w:w="0" w:type="dxa"/>
              <w:right w:w="15" w:type="dxa"/>
            </w:tcMar>
            <w:vAlign w:val="bottom"/>
            <w:hideMark/>
          </w:tcPr>
          <w:p w14:paraId="75BCC66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66142FB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F765DD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FFFFFF"/>
            <w:noWrap/>
            <w:tcMar>
              <w:top w:w="15" w:type="dxa"/>
              <w:left w:w="0" w:type="dxa"/>
              <w:bottom w:w="0" w:type="dxa"/>
              <w:right w:w="15" w:type="dxa"/>
            </w:tcMar>
            <w:vAlign w:val="bottom"/>
            <w:hideMark/>
          </w:tcPr>
          <w:p w14:paraId="6AFBA27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(1,736</w:t>
            </w:r>
          </w:p>
        </w:tc>
        <w:tc>
          <w:tcPr>
            <w:tcW w:w="50" w:type="pct"/>
            <w:shd w:val="clear" w:color="auto" w:fill="FFFFFF"/>
            <w:noWrap/>
            <w:tcMar>
              <w:top w:w="15" w:type="dxa"/>
              <w:left w:w="0" w:type="dxa"/>
              <w:bottom w:w="0" w:type="dxa"/>
              <w:right w:w="15" w:type="dxa"/>
            </w:tcMar>
            <w:vAlign w:val="bottom"/>
            <w:hideMark/>
          </w:tcPr>
          <w:p w14:paraId="52950F3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3B74A1C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46FBE2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FFFFFF"/>
            <w:noWrap/>
            <w:tcMar>
              <w:top w:w="15" w:type="dxa"/>
              <w:left w:w="0" w:type="dxa"/>
              <w:bottom w:w="0" w:type="dxa"/>
              <w:right w:w="15" w:type="dxa"/>
            </w:tcMar>
            <w:vAlign w:val="bottom"/>
            <w:hideMark/>
          </w:tcPr>
          <w:p w14:paraId="4DDF2DC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(2,021</w:t>
            </w:r>
          </w:p>
        </w:tc>
        <w:tc>
          <w:tcPr>
            <w:tcW w:w="50" w:type="pct"/>
            <w:shd w:val="clear" w:color="auto" w:fill="FFFFFF"/>
            <w:noWrap/>
            <w:tcMar>
              <w:top w:w="15" w:type="dxa"/>
              <w:left w:w="0" w:type="dxa"/>
              <w:bottom w:w="0" w:type="dxa"/>
              <w:right w:w="15" w:type="dxa"/>
            </w:tcMar>
            <w:vAlign w:val="bottom"/>
            <w:hideMark/>
          </w:tcPr>
          <w:p w14:paraId="05ECAB1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5631BD77" w14:textId="77777777">
        <w:trPr>
          <w:divId w:val="337120055"/>
          <w:jc w:val="center"/>
        </w:trPr>
        <w:tc>
          <w:tcPr>
            <w:tcW w:w="3384" w:type="pct"/>
            <w:shd w:val="clear" w:color="auto" w:fill="CFF0FC"/>
            <w:tcMar>
              <w:top w:w="15" w:type="dxa"/>
              <w:left w:w="0" w:type="dxa"/>
              <w:bottom w:w="0" w:type="dxa"/>
              <w:right w:w="15" w:type="dxa"/>
            </w:tcMar>
            <w:hideMark/>
          </w:tcPr>
          <w:p w14:paraId="5D8AE263" w14:textId="77777777" w:rsidR="00251D72" w:rsidRDefault="00251D72">
            <w:pPr>
              <w:pStyle w:val="a3"/>
              <w:spacing w:before="0" w:beforeAutospacing="0" w:after="0" w:afterAutospacing="0"/>
              <w:ind w:left="1231"/>
              <w:rPr>
                <w:rFonts w:ascii="Calibri" w:hAnsi="Calibri" w:cs="Calibri"/>
                <w:color w:val="000000"/>
                <w:sz w:val="16"/>
                <w:szCs w:val="16"/>
              </w:rPr>
            </w:pPr>
            <w:r>
              <w:rPr>
                <w:rFonts w:ascii="Calibri" w:hAnsi="Calibri" w:cs="Calibri"/>
                <w:color w:val="000000"/>
                <w:sz w:val="16"/>
                <w:szCs w:val="16"/>
              </w:rPr>
              <w:t>Net cash provided by (used for) investing activities</w:t>
            </w:r>
          </w:p>
        </w:tc>
        <w:tc>
          <w:tcPr>
            <w:tcW w:w="63" w:type="pct"/>
            <w:shd w:val="clear" w:color="auto" w:fill="CFF0FC"/>
            <w:tcMar>
              <w:top w:w="15" w:type="dxa"/>
              <w:left w:w="0" w:type="dxa"/>
              <w:bottom w:w="0" w:type="dxa"/>
              <w:right w:w="15" w:type="dxa"/>
            </w:tcMar>
            <w:vAlign w:val="bottom"/>
            <w:hideMark/>
          </w:tcPr>
          <w:p w14:paraId="341BD66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AFC9FC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88A934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26,557</w:t>
            </w:r>
          </w:p>
        </w:tc>
        <w:tc>
          <w:tcPr>
            <w:tcW w:w="50" w:type="pct"/>
            <w:shd w:val="clear" w:color="auto" w:fill="CFF0FC"/>
            <w:noWrap/>
            <w:tcMar>
              <w:top w:w="15" w:type="dxa"/>
              <w:left w:w="0" w:type="dxa"/>
              <w:bottom w:w="0" w:type="dxa"/>
              <w:right w:w="15" w:type="dxa"/>
            </w:tcMar>
            <w:vAlign w:val="bottom"/>
            <w:hideMark/>
          </w:tcPr>
          <w:p w14:paraId="373FBEB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238347D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E68F8F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C25375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(5,625</w:t>
            </w:r>
          </w:p>
        </w:tc>
        <w:tc>
          <w:tcPr>
            <w:tcW w:w="50" w:type="pct"/>
            <w:shd w:val="clear" w:color="auto" w:fill="CFF0FC"/>
            <w:noWrap/>
            <w:tcMar>
              <w:top w:w="15" w:type="dxa"/>
              <w:left w:w="0" w:type="dxa"/>
              <w:bottom w:w="0" w:type="dxa"/>
              <w:right w:w="15" w:type="dxa"/>
            </w:tcMar>
            <w:vAlign w:val="bottom"/>
            <w:hideMark/>
          </w:tcPr>
          <w:p w14:paraId="5AC7C87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3D622CE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A60C80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E6539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(21,494</w:t>
            </w:r>
          </w:p>
        </w:tc>
        <w:tc>
          <w:tcPr>
            <w:tcW w:w="50" w:type="pct"/>
            <w:shd w:val="clear" w:color="auto" w:fill="CFF0FC"/>
            <w:noWrap/>
            <w:tcMar>
              <w:top w:w="15" w:type="dxa"/>
              <w:left w:w="0" w:type="dxa"/>
              <w:bottom w:w="0" w:type="dxa"/>
              <w:right w:w="15" w:type="dxa"/>
            </w:tcMar>
            <w:vAlign w:val="bottom"/>
            <w:hideMark/>
          </w:tcPr>
          <w:p w14:paraId="38209CF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0BC4B3B5" w14:textId="77777777">
        <w:trPr>
          <w:divId w:val="337120055"/>
          <w:jc w:val="center"/>
        </w:trPr>
        <w:tc>
          <w:tcPr>
            <w:tcW w:w="3384" w:type="pct"/>
            <w:shd w:val="clear" w:color="auto" w:fill="FFFFFF"/>
            <w:tcMar>
              <w:top w:w="15" w:type="dxa"/>
              <w:left w:w="0" w:type="dxa"/>
              <w:bottom w:w="0" w:type="dxa"/>
              <w:right w:w="15" w:type="dxa"/>
            </w:tcMar>
            <w:hideMark/>
          </w:tcPr>
          <w:p w14:paraId="4D3E57F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Cash flows from financing activities:</w:t>
            </w:r>
          </w:p>
        </w:tc>
        <w:tc>
          <w:tcPr>
            <w:tcW w:w="63" w:type="pct"/>
            <w:shd w:val="clear" w:color="auto" w:fill="FFFFFF"/>
            <w:tcMar>
              <w:top w:w="15" w:type="dxa"/>
              <w:left w:w="0" w:type="dxa"/>
              <w:bottom w:w="0" w:type="dxa"/>
              <w:right w:w="15" w:type="dxa"/>
            </w:tcMar>
            <w:vAlign w:val="bottom"/>
            <w:hideMark/>
          </w:tcPr>
          <w:p w14:paraId="6BC29C5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3F4931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left w:w="0" w:type="dxa"/>
              <w:bottom w:w="0" w:type="dxa"/>
              <w:right w:w="15" w:type="dxa"/>
            </w:tcMar>
            <w:vAlign w:val="bottom"/>
            <w:hideMark/>
          </w:tcPr>
          <w:p w14:paraId="78BCB3B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A489C0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4E9672E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CC341A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left w:w="0" w:type="dxa"/>
              <w:bottom w:w="0" w:type="dxa"/>
              <w:right w:w="15" w:type="dxa"/>
            </w:tcMar>
            <w:vAlign w:val="bottom"/>
            <w:hideMark/>
          </w:tcPr>
          <w:p w14:paraId="69BAFB9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5537C6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2ED7F7A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E45582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left w:w="0" w:type="dxa"/>
              <w:bottom w:w="0" w:type="dxa"/>
              <w:right w:w="15" w:type="dxa"/>
            </w:tcMar>
            <w:vAlign w:val="bottom"/>
            <w:hideMark/>
          </w:tcPr>
          <w:p w14:paraId="3554964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91528A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5A2240F0" w14:textId="77777777">
        <w:trPr>
          <w:divId w:val="337120055"/>
          <w:jc w:val="center"/>
        </w:trPr>
        <w:tc>
          <w:tcPr>
            <w:tcW w:w="3384" w:type="pct"/>
            <w:shd w:val="clear" w:color="auto" w:fill="CFF0FC"/>
            <w:tcMar>
              <w:top w:w="15" w:type="dxa"/>
              <w:left w:w="0" w:type="dxa"/>
              <w:bottom w:w="0" w:type="dxa"/>
              <w:right w:w="15" w:type="dxa"/>
            </w:tcMar>
            <w:hideMark/>
          </w:tcPr>
          <w:p w14:paraId="142EECF7"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Payments for repurchases of common stock</w:t>
            </w:r>
          </w:p>
        </w:tc>
        <w:tc>
          <w:tcPr>
            <w:tcW w:w="63" w:type="pct"/>
            <w:shd w:val="clear" w:color="auto" w:fill="CFF0FC"/>
            <w:tcMar>
              <w:top w:w="15" w:type="dxa"/>
              <w:left w:w="0" w:type="dxa"/>
              <w:bottom w:w="0" w:type="dxa"/>
              <w:right w:w="15" w:type="dxa"/>
            </w:tcMar>
            <w:vAlign w:val="bottom"/>
            <w:hideMark/>
          </w:tcPr>
          <w:p w14:paraId="67457A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F83DCD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30BCE97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(36,140</w:t>
            </w:r>
          </w:p>
        </w:tc>
        <w:tc>
          <w:tcPr>
            <w:tcW w:w="50" w:type="pct"/>
            <w:shd w:val="clear" w:color="auto" w:fill="CFF0FC"/>
            <w:noWrap/>
            <w:tcMar>
              <w:top w:w="15" w:type="dxa"/>
              <w:left w:w="0" w:type="dxa"/>
              <w:bottom w:w="0" w:type="dxa"/>
              <w:right w:w="15" w:type="dxa"/>
            </w:tcMar>
            <w:vAlign w:val="bottom"/>
            <w:hideMark/>
          </w:tcPr>
          <w:p w14:paraId="5A54884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77FC67F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92DC26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5B87C88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(11,347</w:t>
            </w:r>
          </w:p>
        </w:tc>
        <w:tc>
          <w:tcPr>
            <w:tcW w:w="50" w:type="pct"/>
            <w:shd w:val="clear" w:color="auto" w:fill="CFF0FC"/>
            <w:noWrap/>
            <w:tcMar>
              <w:top w:w="15" w:type="dxa"/>
              <w:left w:w="0" w:type="dxa"/>
              <w:bottom w:w="0" w:type="dxa"/>
              <w:right w:w="15" w:type="dxa"/>
            </w:tcMar>
            <w:vAlign w:val="bottom"/>
            <w:hideMark/>
          </w:tcPr>
          <w:p w14:paraId="0323C39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0E138A0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EA38A1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02F5406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(3,561</w:t>
            </w:r>
          </w:p>
        </w:tc>
        <w:tc>
          <w:tcPr>
            <w:tcW w:w="50" w:type="pct"/>
            <w:shd w:val="clear" w:color="auto" w:fill="CFF0FC"/>
            <w:noWrap/>
            <w:tcMar>
              <w:top w:w="15" w:type="dxa"/>
              <w:left w:w="0" w:type="dxa"/>
              <w:bottom w:w="0" w:type="dxa"/>
              <w:right w:w="15" w:type="dxa"/>
            </w:tcMar>
            <w:vAlign w:val="bottom"/>
            <w:hideMark/>
          </w:tcPr>
          <w:p w14:paraId="15B4F4D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6D67FA46" w14:textId="77777777">
        <w:trPr>
          <w:divId w:val="337120055"/>
          <w:jc w:val="center"/>
        </w:trPr>
        <w:tc>
          <w:tcPr>
            <w:tcW w:w="3384" w:type="pct"/>
            <w:shd w:val="clear" w:color="auto" w:fill="FFFFFF"/>
            <w:tcMar>
              <w:top w:w="15" w:type="dxa"/>
              <w:left w:w="0" w:type="dxa"/>
              <w:bottom w:w="0" w:type="dxa"/>
              <w:right w:w="15" w:type="dxa"/>
            </w:tcMar>
            <w:hideMark/>
          </w:tcPr>
          <w:p w14:paraId="6F221DB0"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Proceeds from issuances of common stock</w:t>
            </w:r>
          </w:p>
        </w:tc>
        <w:tc>
          <w:tcPr>
            <w:tcW w:w="63" w:type="pct"/>
            <w:shd w:val="clear" w:color="auto" w:fill="FFFFFF"/>
            <w:tcMar>
              <w:top w:w="15" w:type="dxa"/>
              <w:left w:w="0" w:type="dxa"/>
              <w:bottom w:w="0" w:type="dxa"/>
              <w:right w:w="15" w:type="dxa"/>
            </w:tcMar>
            <w:vAlign w:val="bottom"/>
            <w:hideMark/>
          </w:tcPr>
          <w:p w14:paraId="0AD9D55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1DAFDF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294DDAE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2,155</w:t>
            </w:r>
          </w:p>
        </w:tc>
        <w:tc>
          <w:tcPr>
            <w:tcW w:w="50" w:type="pct"/>
            <w:shd w:val="clear" w:color="auto" w:fill="FFFFFF"/>
            <w:noWrap/>
            <w:tcMar>
              <w:top w:w="15" w:type="dxa"/>
              <w:left w:w="0" w:type="dxa"/>
              <w:bottom w:w="0" w:type="dxa"/>
              <w:right w:w="15" w:type="dxa"/>
            </w:tcMar>
            <w:vAlign w:val="bottom"/>
            <w:hideMark/>
          </w:tcPr>
          <w:p w14:paraId="2AD29DA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6CF757E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F3136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733C26F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2,402</w:t>
            </w:r>
          </w:p>
        </w:tc>
        <w:tc>
          <w:tcPr>
            <w:tcW w:w="50" w:type="pct"/>
            <w:shd w:val="clear" w:color="auto" w:fill="FFFFFF"/>
            <w:noWrap/>
            <w:tcMar>
              <w:top w:w="15" w:type="dxa"/>
              <w:left w:w="0" w:type="dxa"/>
              <w:bottom w:w="0" w:type="dxa"/>
              <w:right w:w="15" w:type="dxa"/>
            </w:tcMar>
            <w:vAlign w:val="bottom"/>
            <w:hideMark/>
          </w:tcPr>
          <w:p w14:paraId="65AFB5A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20D9E06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182A37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6BC6C49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2,181</w:t>
            </w:r>
          </w:p>
        </w:tc>
        <w:tc>
          <w:tcPr>
            <w:tcW w:w="50" w:type="pct"/>
            <w:shd w:val="clear" w:color="auto" w:fill="FFFFFF"/>
            <w:noWrap/>
            <w:tcMar>
              <w:top w:w="15" w:type="dxa"/>
              <w:left w:w="0" w:type="dxa"/>
              <w:bottom w:w="0" w:type="dxa"/>
              <w:right w:w="15" w:type="dxa"/>
            </w:tcMar>
            <w:vAlign w:val="bottom"/>
            <w:hideMark/>
          </w:tcPr>
          <w:p w14:paraId="4371521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3479605D" w14:textId="77777777">
        <w:trPr>
          <w:divId w:val="337120055"/>
          <w:jc w:val="center"/>
        </w:trPr>
        <w:tc>
          <w:tcPr>
            <w:tcW w:w="3384" w:type="pct"/>
            <w:shd w:val="clear" w:color="auto" w:fill="CFF0FC"/>
            <w:tcMar>
              <w:top w:w="15" w:type="dxa"/>
              <w:left w:w="0" w:type="dxa"/>
              <w:bottom w:w="0" w:type="dxa"/>
              <w:right w:w="15" w:type="dxa"/>
            </w:tcMar>
            <w:hideMark/>
          </w:tcPr>
          <w:p w14:paraId="48F9442B" w14:textId="77777777" w:rsidR="00251D72" w:rsidRDefault="00251D72">
            <w:pPr>
              <w:pStyle w:val="a3"/>
              <w:spacing w:before="0" w:beforeAutospacing="0" w:after="0" w:afterAutospacing="0"/>
              <w:ind w:left="547" w:hanging="144"/>
              <w:rPr>
                <w:rFonts w:ascii="Calibri" w:hAnsi="Calibri" w:cs="Calibri"/>
                <w:color w:val="000000"/>
                <w:sz w:val="16"/>
                <w:szCs w:val="16"/>
              </w:rPr>
            </w:pPr>
            <w:r>
              <w:rPr>
                <w:rFonts w:ascii="Calibri" w:hAnsi="Calibri" w:cs="Calibri"/>
                <w:color w:val="000000"/>
                <w:sz w:val="16"/>
                <w:szCs w:val="16"/>
              </w:rPr>
              <w:t>Shares repurchased for tax withholdings upon vesting of restricted stock-based awards</w:t>
            </w:r>
          </w:p>
        </w:tc>
        <w:tc>
          <w:tcPr>
            <w:tcW w:w="63" w:type="pct"/>
            <w:shd w:val="clear" w:color="auto" w:fill="CFF0FC"/>
            <w:tcMar>
              <w:top w:w="15" w:type="dxa"/>
              <w:left w:w="0" w:type="dxa"/>
              <w:bottom w:w="0" w:type="dxa"/>
              <w:right w:w="15" w:type="dxa"/>
            </w:tcMar>
            <w:vAlign w:val="bottom"/>
            <w:hideMark/>
          </w:tcPr>
          <w:p w14:paraId="1DB8FF7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D2D238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27B93E8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(503</w:t>
            </w:r>
          </w:p>
        </w:tc>
        <w:tc>
          <w:tcPr>
            <w:tcW w:w="50" w:type="pct"/>
            <w:shd w:val="clear" w:color="auto" w:fill="CFF0FC"/>
            <w:noWrap/>
            <w:tcMar>
              <w:top w:w="15" w:type="dxa"/>
              <w:left w:w="0" w:type="dxa"/>
              <w:bottom w:w="0" w:type="dxa"/>
              <w:right w:w="15" w:type="dxa"/>
            </w:tcMar>
            <w:vAlign w:val="bottom"/>
            <w:hideMark/>
          </w:tcPr>
          <w:p w14:paraId="08A068E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0CE5580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56F1D3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22C1DAC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(506</w:t>
            </w:r>
          </w:p>
        </w:tc>
        <w:tc>
          <w:tcPr>
            <w:tcW w:w="50" w:type="pct"/>
            <w:shd w:val="clear" w:color="auto" w:fill="CFF0FC"/>
            <w:noWrap/>
            <w:tcMar>
              <w:top w:w="15" w:type="dxa"/>
              <w:left w:w="0" w:type="dxa"/>
              <w:bottom w:w="0" w:type="dxa"/>
              <w:right w:w="15" w:type="dxa"/>
            </w:tcMar>
            <w:vAlign w:val="bottom"/>
            <w:hideMark/>
          </w:tcPr>
          <w:p w14:paraId="01F28C1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50F4FDA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1B3214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30112B3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(283</w:t>
            </w:r>
          </w:p>
        </w:tc>
        <w:tc>
          <w:tcPr>
            <w:tcW w:w="50" w:type="pct"/>
            <w:shd w:val="clear" w:color="auto" w:fill="CFF0FC"/>
            <w:noWrap/>
            <w:tcMar>
              <w:top w:w="15" w:type="dxa"/>
              <w:left w:w="0" w:type="dxa"/>
              <w:bottom w:w="0" w:type="dxa"/>
              <w:right w:w="15" w:type="dxa"/>
            </w:tcMar>
            <w:vAlign w:val="bottom"/>
            <w:hideMark/>
          </w:tcPr>
          <w:p w14:paraId="1DB499B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2C02B301" w14:textId="77777777">
        <w:trPr>
          <w:divId w:val="337120055"/>
          <w:jc w:val="center"/>
        </w:trPr>
        <w:tc>
          <w:tcPr>
            <w:tcW w:w="3384" w:type="pct"/>
            <w:shd w:val="clear" w:color="auto" w:fill="FFFFFF"/>
            <w:tcMar>
              <w:top w:w="15" w:type="dxa"/>
              <w:left w:w="0" w:type="dxa"/>
              <w:bottom w:w="0" w:type="dxa"/>
              <w:right w:w="15" w:type="dxa"/>
            </w:tcMar>
            <w:hideMark/>
          </w:tcPr>
          <w:p w14:paraId="2F729EB0"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Payments of dividends to stockholders</w:t>
            </w:r>
          </w:p>
        </w:tc>
        <w:tc>
          <w:tcPr>
            <w:tcW w:w="63" w:type="pct"/>
            <w:shd w:val="clear" w:color="auto" w:fill="FFFFFF"/>
            <w:tcMar>
              <w:top w:w="15" w:type="dxa"/>
              <w:left w:w="0" w:type="dxa"/>
              <w:bottom w:w="0" w:type="dxa"/>
              <w:right w:w="15" w:type="dxa"/>
            </w:tcMar>
            <w:vAlign w:val="bottom"/>
            <w:hideMark/>
          </w:tcPr>
          <w:p w14:paraId="5B3E83A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84E777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4549CE1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(2,932</w:t>
            </w:r>
          </w:p>
        </w:tc>
        <w:tc>
          <w:tcPr>
            <w:tcW w:w="50" w:type="pct"/>
            <w:shd w:val="clear" w:color="auto" w:fill="FFFFFF"/>
            <w:noWrap/>
            <w:tcMar>
              <w:top w:w="15" w:type="dxa"/>
              <w:left w:w="0" w:type="dxa"/>
              <w:bottom w:w="0" w:type="dxa"/>
              <w:right w:w="15" w:type="dxa"/>
            </w:tcMar>
            <w:vAlign w:val="bottom"/>
            <w:hideMark/>
          </w:tcPr>
          <w:p w14:paraId="3B75567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1F8255C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622025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41BFD8C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(3,140</w:t>
            </w:r>
          </w:p>
        </w:tc>
        <w:tc>
          <w:tcPr>
            <w:tcW w:w="50" w:type="pct"/>
            <w:shd w:val="clear" w:color="auto" w:fill="FFFFFF"/>
            <w:noWrap/>
            <w:tcMar>
              <w:top w:w="15" w:type="dxa"/>
              <w:left w:w="0" w:type="dxa"/>
              <w:bottom w:w="0" w:type="dxa"/>
              <w:right w:w="15" w:type="dxa"/>
            </w:tcMar>
            <w:vAlign w:val="bottom"/>
            <w:hideMark/>
          </w:tcPr>
          <w:p w14:paraId="77EB639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1C578A6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564FA9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6DED572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(2,631</w:t>
            </w:r>
          </w:p>
        </w:tc>
        <w:tc>
          <w:tcPr>
            <w:tcW w:w="50" w:type="pct"/>
            <w:shd w:val="clear" w:color="auto" w:fill="FFFFFF"/>
            <w:noWrap/>
            <w:tcMar>
              <w:top w:w="15" w:type="dxa"/>
              <w:left w:w="0" w:type="dxa"/>
              <w:bottom w:w="0" w:type="dxa"/>
              <w:right w:w="15" w:type="dxa"/>
            </w:tcMar>
            <w:vAlign w:val="bottom"/>
            <w:hideMark/>
          </w:tcPr>
          <w:p w14:paraId="4535622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38E4E56D" w14:textId="77777777">
        <w:trPr>
          <w:divId w:val="337120055"/>
          <w:jc w:val="center"/>
        </w:trPr>
        <w:tc>
          <w:tcPr>
            <w:tcW w:w="3384" w:type="pct"/>
            <w:shd w:val="clear" w:color="auto" w:fill="CFF0FC"/>
            <w:tcMar>
              <w:top w:w="15" w:type="dxa"/>
              <w:left w:w="0" w:type="dxa"/>
              <w:bottom w:w="0" w:type="dxa"/>
              <w:right w:w="15" w:type="dxa"/>
            </w:tcMar>
            <w:hideMark/>
          </w:tcPr>
          <w:p w14:paraId="7E9A027A"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Proceeds from borrowings, net of issuance costs</w:t>
            </w:r>
          </w:p>
        </w:tc>
        <w:tc>
          <w:tcPr>
            <w:tcW w:w="63" w:type="pct"/>
            <w:shd w:val="clear" w:color="auto" w:fill="CFF0FC"/>
            <w:tcMar>
              <w:top w:w="15" w:type="dxa"/>
              <w:left w:w="0" w:type="dxa"/>
              <w:bottom w:w="0" w:type="dxa"/>
              <w:right w:w="15" w:type="dxa"/>
            </w:tcMar>
            <w:vAlign w:val="bottom"/>
            <w:hideMark/>
          </w:tcPr>
          <w:p w14:paraId="755E0FB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48D89A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34E722C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22E65A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68FF132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C8DDA2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08F75CC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12,443</w:t>
            </w:r>
          </w:p>
        </w:tc>
        <w:tc>
          <w:tcPr>
            <w:tcW w:w="50" w:type="pct"/>
            <w:shd w:val="clear" w:color="auto" w:fill="CFF0FC"/>
            <w:noWrap/>
            <w:tcMar>
              <w:top w:w="15" w:type="dxa"/>
              <w:left w:w="0" w:type="dxa"/>
              <w:bottom w:w="0" w:type="dxa"/>
              <w:right w:w="15" w:type="dxa"/>
            </w:tcMar>
            <w:vAlign w:val="bottom"/>
            <w:hideMark/>
          </w:tcPr>
          <w:p w14:paraId="14AFA1E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30E3D43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F50468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35AD692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17,732</w:t>
            </w:r>
          </w:p>
        </w:tc>
        <w:tc>
          <w:tcPr>
            <w:tcW w:w="50" w:type="pct"/>
            <w:shd w:val="clear" w:color="auto" w:fill="CFF0FC"/>
            <w:noWrap/>
            <w:tcMar>
              <w:top w:w="15" w:type="dxa"/>
              <w:left w:w="0" w:type="dxa"/>
              <w:bottom w:w="0" w:type="dxa"/>
              <w:right w:w="15" w:type="dxa"/>
            </w:tcMar>
            <w:vAlign w:val="bottom"/>
            <w:hideMark/>
          </w:tcPr>
          <w:p w14:paraId="58A7D00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6AFD8D86" w14:textId="77777777">
        <w:trPr>
          <w:divId w:val="337120055"/>
          <w:jc w:val="center"/>
        </w:trPr>
        <w:tc>
          <w:tcPr>
            <w:tcW w:w="3384" w:type="pct"/>
            <w:shd w:val="clear" w:color="auto" w:fill="FFFFFF"/>
            <w:tcMar>
              <w:top w:w="15" w:type="dxa"/>
              <w:left w:w="0" w:type="dxa"/>
              <w:bottom w:w="0" w:type="dxa"/>
              <w:right w:w="15" w:type="dxa"/>
            </w:tcMar>
            <w:hideMark/>
          </w:tcPr>
          <w:p w14:paraId="40425F9D"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Repayments of borrowings</w:t>
            </w:r>
          </w:p>
        </w:tc>
        <w:tc>
          <w:tcPr>
            <w:tcW w:w="63" w:type="pct"/>
            <w:shd w:val="clear" w:color="auto" w:fill="FFFFFF"/>
            <w:tcMar>
              <w:top w:w="15" w:type="dxa"/>
              <w:left w:w="0" w:type="dxa"/>
              <w:bottom w:w="0" w:type="dxa"/>
              <w:right w:w="15" w:type="dxa"/>
            </w:tcMar>
            <w:vAlign w:val="bottom"/>
            <w:hideMark/>
          </w:tcPr>
          <w:p w14:paraId="4D5ADBC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1AE680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0AD92B9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(4,500</w:t>
            </w:r>
          </w:p>
        </w:tc>
        <w:tc>
          <w:tcPr>
            <w:tcW w:w="50" w:type="pct"/>
            <w:shd w:val="clear" w:color="auto" w:fill="FFFFFF"/>
            <w:noWrap/>
            <w:tcMar>
              <w:top w:w="15" w:type="dxa"/>
              <w:left w:w="0" w:type="dxa"/>
              <w:bottom w:w="0" w:type="dxa"/>
              <w:right w:w="15" w:type="dxa"/>
            </w:tcMar>
            <w:vAlign w:val="bottom"/>
            <w:hideMark/>
          </w:tcPr>
          <w:p w14:paraId="4868D91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795C9CB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0F5317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0978389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(9,800</w:t>
            </w:r>
          </w:p>
        </w:tc>
        <w:tc>
          <w:tcPr>
            <w:tcW w:w="50" w:type="pct"/>
            <w:shd w:val="clear" w:color="auto" w:fill="FFFFFF"/>
            <w:noWrap/>
            <w:tcMar>
              <w:top w:w="15" w:type="dxa"/>
              <w:left w:w="0" w:type="dxa"/>
              <w:bottom w:w="0" w:type="dxa"/>
              <w:right w:w="15" w:type="dxa"/>
            </w:tcMar>
            <w:vAlign w:val="bottom"/>
            <w:hideMark/>
          </w:tcPr>
          <w:p w14:paraId="641FCAE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32B7D5C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191600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left w:w="0" w:type="dxa"/>
              <w:bottom w:w="0" w:type="dxa"/>
              <w:right w:w="15" w:type="dxa"/>
            </w:tcMar>
            <w:vAlign w:val="bottom"/>
            <w:hideMark/>
          </w:tcPr>
          <w:p w14:paraId="511CD3F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(4,094</w:t>
            </w:r>
          </w:p>
        </w:tc>
        <w:tc>
          <w:tcPr>
            <w:tcW w:w="50" w:type="pct"/>
            <w:shd w:val="clear" w:color="auto" w:fill="FFFFFF"/>
            <w:noWrap/>
            <w:tcMar>
              <w:top w:w="15" w:type="dxa"/>
              <w:left w:w="0" w:type="dxa"/>
              <w:bottom w:w="0" w:type="dxa"/>
              <w:right w:w="15" w:type="dxa"/>
            </w:tcMar>
            <w:vAlign w:val="bottom"/>
            <w:hideMark/>
          </w:tcPr>
          <w:p w14:paraId="59FD71A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6905B237" w14:textId="77777777">
        <w:trPr>
          <w:divId w:val="337120055"/>
          <w:jc w:val="center"/>
        </w:trPr>
        <w:tc>
          <w:tcPr>
            <w:tcW w:w="3384" w:type="pct"/>
            <w:shd w:val="clear" w:color="auto" w:fill="CFF0FC"/>
            <w:tcMar>
              <w:top w:w="15" w:type="dxa"/>
              <w:left w:w="0" w:type="dxa"/>
              <w:bottom w:w="0" w:type="dxa"/>
              <w:right w:w="15" w:type="dxa"/>
            </w:tcMar>
            <w:hideMark/>
          </w:tcPr>
          <w:p w14:paraId="1C2B2B91"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Other, net</w:t>
            </w:r>
          </w:p>
        </w:tc>
        <w:tc>
          <w:tcPr>
            <w:tcW w:w="63" w:type="pct"/>
            <w:shd w:val="clear" w:color="auto" w:fill="CFF0FC"/>
            <w:tcMar>
              <w:top w:w="15" w:type="dxa"/>
              <w:left w:w="0" w:type="dxa"/>
              <w:bottom w:w="0" w:type="dxa"/>
              <w:right w:w="15" w:type="dxa"/>
            </w:tcMar>
            <w:vAlign w:val="bottom"/>
            <w:hideMark/>
          </w:tcPr>
          <w:p w14:paraId="3F33241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7FBFB4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left w:w="0" w:type="dxa"/>
              <w:bottom w:w="0" w:type="dxa"/>
              <w:right w:w="15" w:type="dxa"/>
            </w:tcMar>
            <w:vAlign w:val="bottom"/>
            <w:hideMark/>
          </w:tcPr>
          <w:p w14:paraId="08E33E0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(136</w:t>
            </w:r>
          </w:p>
        </w:tc>
        <w:tc>
          <w:tcPr>
            <w:tcW w:w="50" w:type="pct"/>
            <w:shd w:val="clear" w:color="auto" w:fill="CFF0FC"/>
            <w:noWrap/>
            <w:tcMar>
              <w:top w:w="15" w:type="dxa"/>
              <w:left w:w="0" w:type="dxa"/>
              <w:bottom w:w="0" w:type="dxa"/>
              <w:right w:w="15" w:type="dxa"/>
            </w:tcMar>
            <w:vAlign w:val="bottom"/>
            <w:hideMark/>
          </w:tcPr>
          <w:p w14:paraId="10CFD36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0FEE2B7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F05BF7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left w:w="0" w:type="dxa"/>
              <w:bottom w:w="0" w:type="dxa"/>
              <w:right w:w="15" w:type="dxa"/>
            </w:tcMar>
            <w:vAlign w:val="bottom"/>
            <w:hideMark/>
          </w:tcPr>
          <w:p w14:paraId="5A8FB05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(34</w:t>
            </w:r>
          </w:p>
        </w:tc>
        <w:tc>
          <w:tcPr>
            <w:tcW w:w="50" w:type="pct"/>
            <w:shd w:val="clear" w:color="auto" w:fill="CFF0FC"/>
            <w:noWrap/>
            <w:tcMar>
              <w:top w:w="15" w:type="dxa"/>
              <w:left w:w="0" w:type="dxa"/>
              <w:bottom w:w="0" w:type="dxa"/>
              <w:right w:w="15" w:type="dxa"/>
            </w:tcMar>
            <w:vAlign w:val="bottom"/>
            <w:hideMark/>
          </w:tcPr>
          <w:p w14:paraId="556BFD1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2AD8A01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382523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left w:w="0" w:type="dxa"/>
              <w:bottom w:w="0" w:type="dxa"/>
              <w:right w:w="15" w:type="dxa"/>
            </w:tcMar>
            <w:vAlign w:val="bottom"/>
            <w:hideMark/>
          </w:tcPr>
          <w:p w14:paraId="499818B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(258</w:t>
            </w:r>
          </w:p>
        </w:tc>
        <w:tc>
          <w:tcPr>
            <w:tcW w:w="50" w:type="pct"/>
            <w:shd w:val="clear" w:color="auto" w:fill="CFF0FC"/>
            <w:noWrap/>
            <w:tcMar>
              <w:top w:w="15" w:type="dxa"/>
              <w:left w:w="0" w:type="dxa"/>
              <w:bottom w:w="0" w:type="dxa"/>
              <w:right w:w="15" w:type="dxa"/>
            </w:tcMar>
            <w:vAlign w:val="bottom"/>
            <w:hideMark/>
          </w:tcPr>
          <w:p w14:paraId="6AF8E21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092CA92C" w14:textId="77777777">
        <w:trPr>
          <w:divId w:val="337120055"/>
          <w:jc w:val="center"/>
        </w:trPr>
        <w:tc>
          <w:tcPr>
            <w:tcW w:w="3384" w:type="pct"/>
            <w:shd w:val="clear" w:color="auto" w:fill="FFFFFF"/>
            <w:tcMar>
              <w:top w:w="15" w:type="dxa"/>
              <w:left w:w="0" w:type="dxa"/>
              <w:bottom w:w="0" w:type="dxa"/>
              <w:right w:w="15" w:type="dxa"/>
            </w:tcMar>
            <w:hideMark/>
          </w:tcPr>
          <w:p w14:paraId="1A92D48E" w14:textId="77777777" w:rsidR="00251D72" w:rsidRDefault="00251D72">
            <w:pPr>
              <w:pStyle w:val="a3"/>
              <w:spacing w:before="0" w:beforeAutospacing="0" w:after="0" w:afterAutospacing="0"/>
              <w:ind w:left="1231"/>
              <w:rPr>
                <w:rFonts w:ascii="Calibri" w:hAnsi="Calibri" w:cs="Calibri"/>
                <w:color w:val="000000"/>
                <w:sz w:val="16"/>
                <w:szCs w:val="16"/>
              </w:rPr>
            </w:pPr>
            <w:r>
              <w:rPr>
                <w:rFonts w:ascii="Calibri" w:hAnsi="Calibri" w:cs="Calibri"/>
                <w:color w:val="000000"/>
                <w:sz w:val="16"/>
                <w:szCs w:val="16"/>
              </w:rPr>
              <w:t>Net cash (used for) provided by financing activities</w:t>
            </w:r>
          </w:p>
        </w:tc>
        <w:tc>
          <w:tcPr>
            <w:tcW w:w="63" w:type="pct"/>
            <w:shd w:val="clear" w:color="auto" w:fill="FFFFFF"/>
            <w:tcMar>
              <w:top w:w="15" w:type="dxa"/>
              <w:left w:w="0" w:type="dxa"/>
              <w:bottom w:w="0" w:type="dxa"/>
              <w:right w:w="15" w:type="dxa"/>
            </w:tcMar>
            <w:vAlign w:val="bottom"/>
            <w:hideMark/>
          </w:tcPr>
          <w:p w14:paraId="0DF106A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2982D6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13676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(42,056</w:t>
            </w:r>
          </w:p>
        </w:tc>
        <w:tc>
          <w:tcPr>
            <w:tcW w:w="50" w:type="pct"/>
            <w:shd w:val="clear" w:color="auto" w:fill="FFFFFF"/>
            <w:noWrap/>
            <w:tcMar>
              <w:top w:w="15" w:type="dxa"/>
              <w:left w:w="0" w:type="dxa"/>
              <w:bottom w:w="0" w:type="dxa"/>
              <w:right w:w="15" w:type="dxa"/>
            </w:tcMar>
            <w:vAlign w:val="bottom"/>
            <w:hideMark/>
          </w:tcPr>
          <w:p w14:paraId="2A725B8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002EB2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A8D102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B160D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(9,982</w:t>
            </w:r>
          </w:p>
        </w:tc>
        <w:tc>
          <w:tcPr>
            <w:tcW w:w="50" w:type="pct"/>
            <w:shd w:val="clear" w:color="auto" w:fill="FFFFFF"/>
            <w:noWrap/>
            <w:tcMar>
              <w:top w:w="15" w:type="dxa"/>
              <w:left w:w="0" w:type="dxa"/>
              <w:bottom w:w="0" w:type="dxa"/>
              <w:right w:w="15" w:type="dxa"/>
            </w:tcMar>
            <w:vAlign w:val="bottom"/>
            <w:hideMark/>
          </w:tcPr>
          <w:p w14:paraId="1FDC000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55FB0C1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B0C145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9743D3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9,086</w:t>
            </w:r>
          </w:p>
        </w:tc>
        <w:tc>
          <w:tcPr>
            <w:tcW w:w="50" w:type="pct"/>
            <w:shd w:val="clear" w:color="auto" w:fill="FFFFFF"/>
            <w:noWrap/>
            <w:tcMar>
              <w:top w:w="15" w:type="dxa"/>
              <w:left w:w="0" w:type="dxa"/>
              <w:bottom w:w="0" w:type="dxa"/>
              <w:right w:w="15" w:type="dxa"/>
            </w:tcMar>
            <w:vAlign w:val="bottom"/>
            <w:hideMark/>
          </w:tcPr>
          <w:p w14:paraId="3B5D665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33589D2E" w14:textId="77777777">
        <w:trPr>
          <w:divId w:val="337120055"/>
          <w:jc w:val="center"/>
        </w:trPr>
        <w:tc>
          <w:tcPr>
            <w:tcW w:w="3384" w:type="pct"/>
            <w:shd w:val="clear" w:color="auto" w:fill="CFF0FC"/>
            <w:tcMar>
              <w:top w:w="15" w:type="dxa"/>
              <w:left w:w="0" w:type="dxa"/>
              <w:bottom w:w="0" w:type="dxa"/>
              <w:right w:w="15" w:type="dxa"/>
            </w:tcMar>
            <w:hideMark/>
          </w:tcPr>
          <w:p w14:paraId="1162B6F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Effect of exchange rate changes on cash and cash equivalents</w:t>
            </w:r>
          </w:p>
        </w:tc>
        <w:tc>
          <w:tcPr>
            <w:tcW w:w="63" w:type="pct"/>
            <w:shd w:val="clear" w:color="auto" w:fill="CFF0FC"/>
            <w:tcMar>
              <w:top w:w="15" w:type="dxa"/>
              <w:left w:w="0" w:type="dxa"/>
              <w:bottom w:w="0" w:type="dxa"/>
              <w:right w:w="15" w:type="dxa"/>
            </w:tcMar>
            <w:vAlign w:val="bottom"/>
            <w:hideMark/>
          </w:tcPr>
          <w:p w14:paraId="1312854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890340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F281F8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(158</w:t>
            </w:r>
          </w:p>
        </w:tc>
        <w:tc>
          <w:tcPr>
            <w:tcW w:w="50" w:type="pct"/>
            <w:shd w:val="clear" w:color="auto" w:fill="CFF0FC"/>
            <w:noWrap/>
            <w:tcMar>
              <w:top w:w="15" w:type="dxa"/>
              <w:left w:w="0" w:type="dxa"/>
              <w:bottom w:w="0" w:type="dxa"/>
              <w:right w:w="15" w:type="dxa"/>
            </w:tcMar>
            <w:vAlign w:val="bottom"/>
            <w:hideMark/>
          </w:tcPr>
          <w:p w14:paraId="214F0A2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7044B71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731713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ED0D56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57</w:t>
            </w:r>
          </w:p>
        </w:tc>
        <w:tc>
          <w:tcPr>
            <w:tcW w:w="50" w:type="pct"/>
            <w:shd w:val="clear" w:color="auto" w:fill="CFF0FC"/>
            <w:noWrap/>
            <w:tcMar>
              <w:top w:w="15" w:type="dxa"/>
              <w:left w:w="0" w:type="dxa"/>
              <w:bottom w:w="0" w:type="dxa"/>
              <w:right w:w="15" w:type="dxa"/>
            </w:tcMar>
            <w:vAlign w:val="bottom"/>
            <w:hideMark/>
          </w:tcPr>
          <w:p w14:paraId="0C97670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27590BA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E20EC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028190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(86</w:t>
            </w:r>
          </w:p>
        </w:tc>
        <w:tc>
          <w:tcPr>
            <w:tcW w:w="50" w:type="pct"/>
            <w:shd w:val="clear" w:color="auto" w:fill="CFF0FC"/>
            <w:noWrap/>
            <w:tcMar>
              <w:top w:w="15" w:type="dxa"/>
              <w:left w:w="0" w:type="dxa"/>
              <w:bottom w:w="0" w:type="dxa"/>
              <w:right w:w="15" w:type="dxa"/>
            </w:tcMar>
            <w:vAlign w:val="bottom"/>
            <w:hideMark/>
          </w:tcPr>
          <w:p w14:paraId="4D543A9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396B6481" w14:textId="77777777">
        <w:trPr>
          <w:divId w:val="337120055"/>
          <w:jc w:val="center"/>
        </w:trPr>
        <w:tc>
          <w:tcPr>
            <w:tcW w:w="3384" w:type="pct"/>
            <w:shd w:val="clear" w:color="auto" w:fill="FFFFFF"/>
            <w:tcMar>
              <w:top w:w="15" w:type="dxa"/>
              <w:left w:w="0" w:type="dxa"/>
              <w:bottom w:w="0" w:type="dxa"/>
              <w:right w:w="15" w:type="dxa"/>
            </w:tcMar>
            <w:hideMark/>
          </w:tcPr>
          <w:p w14:paraId="6992BDE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Net (decrease) increase in cash and cash equivalents</w:t>
            </w:r>
          </w:p>
        </w:tc>
        <w:tc>
          <w:tcPr>
            <w:tcW w:w="63" w:type="pct"/>
            <w:shd w:val="clear" w:color="auto" w:fill="FFFFFF"/>
            <w:tcMar>
              <w:top w:w="15" w:type="dxa"/>
              <w:left w:w="0" w:type="dxa"/>
              <w:bottom w:w="0" w:type="dxa"/>
              <w:right w:w="15" w:type="dxa"/>
            </w:tcMar>
            <w:vAlign w:val="bottom"/>
            <w:hideMark/>
          </w:tcPr>
          <w:p w14:paraId="3D8B6E9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91DF7B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left w:w="0" w:type="dxa"/>
              <w:bottom w:w="0" w:type="dxa"/>
              <w:right w:w="15" w:type="dxa"/>
            </w:tcMar>
            <w:vAlign w:val="bottom"/>
            <w:hideMark/>
          </w:tcPr>
          <w:p w14:paraId="7DB3DF3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(1,106</w:t>
            </w:r>
          </w:p>
        </w:tc>
        <w:tc>
          <w:tcPr>
            <w:tcW w:w="50" w:type="pct"/>
            <w:shd w:val="clear" w:color="auto" w:fill="FFFFFF"/>
            <w:noWrap/>
            <w:tcMar>
              <w:top w:w="15" w:type="dxa"/>
              <w:left w:w="0" w:type="dxa"/>
              <w:bottom w:w="0" w:type="dxa"/>
              <w:right w:w="15" w:type="dxa"/>
            </w:tcMar>
            <w:vAlign w:val="bottom"/>
            <w:hideMark/>
          </w:tcPr>
          <w:p w14:paraId="78866D3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581887C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01D00E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left w:w="0" w:type="dxa"/>
              <w:bottom w:w="0" w:type="dxa"/>
              <w:right w:w="15" w:type="dxa"/>
            </w:tcMar>
            <w:vAlign w:val="bottom"/>
            <w:hideMark/>
          </w:tcPr>
          <w:p w14:paraId="33B89F8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(164</w:t>
            </w:r>
          </w:p>
        </w:tc>
        <w:tc>
          <w:tcPr>
            <w:tcW w:w="50" w:type="pct"/>
            <w:shd w:val="clear" w:color="auto" w:fill="FFFFFF"/>
            <w:noWrap/>
            <w:tcMar>
              <w:top w:w="15" w:type="dxa"/>
              <w:left w:w="0" w:type="dxa"/>
              <w:bottom w:w="0" w:type="dxa"/>
              <w:right w:w="15" w:type="dxa"/>
            </w:tcMar>
            <w:vAlign w:val="bottom"/>
            <w:hideMark/>
          </w:tcPr>
          <w:p w14:paraId="4CCD7A7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01E0722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A877E1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left w:w="0" w:type="dxa"/>
              <w:bottom w:w="0" w:type="dxa"/>
              <w:right w:w="15" w:type="dxa"/>
            </w:tcMar>
            <w:vAlign w:val="bottom"/>
            <w:hideMark/>
          </w:tcPr>
          <w:p w14:paraId="5AFBDB0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1,632</w:t>
            </w:r>
          </w:p>
        </w:tc>
        <w:tc>
          <w:tcPr>
            <w:tcW w:w="50" w:type="pct"/>
            <w:shd w:val="clear" w:color="auto" w:fill="FFFFFF"/>
            <w:noWrap/>
            <w:tcMar>
              <w:top w:w="15" w:type="dxa"/>
              <w:left w:w="0" w:type="dxa"/>
              <w:bottom w:w="0" w:type="dxa"/>
              <w:right w:w="15" w:type="dxa"/>
            </w:tcMar>
            <w:vAlign w:val="bottom"/>
            <w:hideMark/>
          </w:tcPr>
          <w:p w14:paraId="0B0E29E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1D7EAC75" w14:textId="77777777">
        <w:trPr>
          <w:divId w:val="337120055"/>
          <w:jc w:val="center"/>
        </w:trPr>
        <w:tc>
          <w:tcPr>
            <w:tcW w:w="3384" w:type="pct"/>
            <w:shd w:val="clear" w:color="auto" w:fill="CFF0FC"/>
            <w:tcMar>
              <w:top w:w="15" w:type="dxa"/>
              <w:left w:w="0" w:type="dxa"/>
              <w:bottom w:w="0" w:type="dxa"/>
              <w:right w:w="15" w:type="dxa"/>
            </w:tcMar>
            <w:hideMark/>
          </w:tcPr>
          <w:p w14:paraId="67FB88E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Cash and cash equivalents at beginning of period</w:t>
            </w:r>
          </w:p>
        </w:tc>
        <w:tc>
          <w:tcPr>
            <w:tcW w:w="63" w:type="pct"/>
            <w:shd w:val="clear" w:color="auto" w:fill="CFF0FC"/>
            <w:tcMar>
              <w:top w:w="15" w:type="dxa"/>
              <w:left w:w="0" w:type="dxa"/>
              <w:bottom w:w="0" w:type="dxa"/>
              <w:right w:w="15" w:type="dxa"/>
            </w:tcMar>
            <w:vAlign w:val="bottom"/>
            <w:hideMark/>
          </w:tcPr>
          <w:p w14:paraId="37C09A5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2ED652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left w:w="0" w:type="dxa"/>
              <w:bottom w:w="0" w:type="dxa"/>
              <w:right w:w="15" w:type="dxa"/>
            </w:tcMar>
            <w:vAlign w:val="bottom"/>
            <w:hideMark/>
          </w:tcPr>
          <w:p w14:paraId="184D69F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21,620</w:t>
            </w:r>
          </w:p>
        </w:tc>
        <w:tc>
          <w:tcPr>
            <w:tcW w:w="50" w:type="pct"/>
            <w:shd w:val="clear" w:color="auto" w:fill="CFF0FC"/>
            <w:noWrap/>
            <w:tcMar>
              <w:top w:w="15" w:type="dxa"/>
              <w:left w:w="0" w:type="dxa"/>
              <w:bottom w:w="0" w:type="dxa"/>
              <w:right w:w="15" w:type="dxa"/>
            </w:tcMar>
            <w:vAlign w:val="bottom"/>
            <w:hideMark/>
          </w:tcPr>
          <w:p w14:paraId="6CE6435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58B2B6C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B19C2A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left w:w="0" w:type="dxa"/>
              <w:bottom w:w="0" w:type="dxa"/>
              <w:right w:w="15" w:type="dxa"/>
            </w:tcMar>
            <w:vAlign w:val="bottom"/>
            <w:hideMark/>
          </w:tcPr>
          <w:p w14:paraId="064E92B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21,784</w:t>
            </w:r>
          </w:p>
        </w:tc>
        <w:tc>
          <w:tcPr>
            <w:tcW w:w="50" w:type="pct"/>
            <w:shd w:val="clear" w:color="auto" w:fill="CFF0FC"/>
            <w:noWrap/>
            <w:tcMar>
              <w:top w:w="15" w:type="dxa"/>
              <w:left w:w="0" w:type="dxa"/>
              <w:bottom w:w="0" w:type="dxa"/>
              <w:right w:w="15" w:type="dxa"/>
            </w:tcMar>
            <w:vAlign w:val="bottom"/>
            <w:hideMark/>
          </w:tcPr>
          <w:p w14:paraId="0F60040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7186355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4B90D1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left w:w="0" w:type="dxa"/>
              <w:bottom w:w="0" w:type="dxa"/>
              <w:right w:w="15" w:type="dxa"/>
            </w:tcMar>
            <w:vAlign w:val="bottom"/>
            <w:hideMark/>
          </w:tcPr>
          <w:p w14:paraId="0A37238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20,152</w:t>
            </w:r>
          </w:p>
        </w:tc>
        <w:tc>
          <w:tcPr>
            <w:tcW w:w="50" w:type="pct"/>
            <w:shd w:val="clear" w:color="auto" w:fill="CFF0FC"/>
            <w:noWrap/>
            <w:tcMar>
              <w:top w:w="15" w:type="dxa"/>
              <w:left w:w="0" w:type="dxa"/>
              <w:bottom w:w="0" w:type="dxa"/>
              <w:right w:w="15" w:type="dxa"/>
            </w:tcMar>
            <w:vAlign w:val="bottom"/>
            <w:hideMark/>
          </w:tcPr>
          <w:p w14:paraId="005A265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205E3E41" w14:textId="77777777">
        <w:trPr>
          <w:divId w:val="337120055"/>
          <w:jc w:val="center"/>
        </w:trPr>
        <w:tc>
          <w:tcPr>
            <w:tcW w:w="3384" w:type="pct"/>
            <w:shd w:val="clear" w:color="auto" w:fill="FFFFFF"/>
            <w:tcMar>
              <w:top w:w="15" w:type="dxa"/>
              <w:left w:w="0" w:type="dxa"/>
              <w:bottom w:w="0" w:type="dxa"/>
              <w:right w:w="15" w:type="dxa"/>
            </w:tcMar>
            <w:hideMark/>
          </w:tcPr>
          <w:p w14:paraId="1FAAC2D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Cash and cash equivalents at end of period</w:t>
            </w:r>
          </w:p>
        </w:tc>
        <w:tc>
          <w:tcPr>
            <w:tcW w:w="63" w:type="pct"/>
            <w:shd w:val="clear" w:color="auto" w:fill="FFFFFF"/>
            <w:tcMar>
              <w:top w:w="15" w:type="dxa"/>
              <w:left w:w="0" w:type="dxa"/>
              <w:bottom w:w="0" w:type="dxa"/>
              <w:right w:w="15" w:type="dxa"/>
            </w:tcMar>
            <w:vAlign w:val="center"/>
            <w:hideMark/>
          </w:tcPr>
          <w:p w14:paraId="7501C57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02314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F28C40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20,514</w:t>
            </w:r>
          </w:p>
        </w:tc>
        <w:tc>
          <w:tcPr>
            <w:tcW w:w="50" w:type="pct"/>
            <w:shd w:val="clear" w:color="auto" w:fill="FFFFFF"/>
            <w:noWrap/>
            <w:tcMar>
              <w:top w:w="15" w:type="dxa"/>
              <w:left w:w="0" w:type="dxa"/>
              <w:bottom w:w="0" w:type="dxa"/>
              <w:right w:w="15" w:type="dxa"/>
            </w:tcMar>
            <w:vAlign w:val="bottom"/>
            <w:hideMark/>
          </w:tcPr>
          <w:p w14:paraId="69F662C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center"/>
            <w:hideMark/>
          </w:tcPr>
          <w:p w14:paraId="2C38DC7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C6D949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EA783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21,620</w:t>
            </w:r>
          </w:p>
        </w:tc>
        <w:tc>
          <w:tcPr>
            <w:tcW w:w="50" w:type="pct"/>
            <w:shd w:val="clear" w:color="auto" w:fill="FFFFFF"/>
            <w:noWrap/>
            <w:tcMar>
              <w:top w:w="15" w:type="dxa"/>
              <w:left w:w="0" w:type="dxa"/>
              <w:bottom w:w="0" w:type="dxa"/>
              <w:right w:w="15" w:type="dxa"/>
            </w:tcMar>
            <w:vAlign w:val="bottom"/>
            <w:hideMark/>
          </w:tcPr>
          <w:p w14:paraId="6813A10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center"/>
            <w:hideMark/>
          </w:tcPr>
          <w:p w14:paraId="5414DCA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6220C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91376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21,784</w:t>
            </w:r>
          </w:p>
        </w:tc>
        <w:tc>
          <w:tcPr>
            <w:tcW w:w="50" w:type="pct"/>
            <w:shd w:val="clear" w:color="auto" w:fill="FFFFFF"/>
            <w:noWrap/>
            <w:tcMar>
              <w:top w:w="15" w:type="dxa"/>
              <w:left w:w="0" w:type="dxa"/>
              <w:bottom w:w="0" w:type="dxa"/>
              <w:right w:w="15" w:type="dxa"/>
            </w:tcMar>
            <w:vAlign w:val="bottom"/>
            <w:hideMark/>
          </w:tcPr>
          <w:p w14:paraId="08076FF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11CE7C68" w14:textId="77777777">
        <w:trPr>
          <w:divId w:val="337120055"/>
          <w:jc w:val="center"/>
        </w:trPr>
        <w:tc>
          <w:tcPr>
            <w:tcW w:w="3384" w:type="pct"/>
            <w:shd w:val="clear" w:color="auto" w:fill="CFF0FC"/>
            <w:tcMar>
              <w:top w:w="15" w:type="dxa"/>
              <w:left w:w="0" w:type="dxa"/>
              <w:bottom w:w="0" w:type="dxa"/>
              <w:right w:w="15" w:type="dxa"/>
            </w:tcMar>
            <w:hideMark/>
          </w:tcPr>
          <w:p w14:paraId="5A8704F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Non-cash investing and financing transactions:</w:t>
            </w:r>
          </w:p>
        </w:tc>
        <w:tc>
          <w:tcPr>
            <w:tcW w:w="63" w:type="pct"/>
            <w:shd w:val="clear" w:color="auto" w:fill="CFF0FC"/>
            <w:tcMar>
              <w:top w:w="15" w:type="dxa"/>
              <w:left w:w="0" w:type="dxa"/>
              <w:bottom w:w="0" w:type="dxa"/>
              <w:right w:w="15" w:type="dxa"/>
            </w:tcMar>
            <w:vAlign w:val="bottom"/>
            <w:hideMark/>
          </w:tcPr>
          <w:p w14:paraId="08D5C71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C440EB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29F4FC9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689ECB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644BF2F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0B5B61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6616821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888A27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7CCE66D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54CCA6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3DFDD28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D8210E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78C7533C" w14:textId="77777777">
        <w:trPr>
          <w:divId w:val="337120055"/>
          <w:jc w:val="center"/>
        </w:trPr>
        <w:tc>
          <w:tcPr>
            <w:tcW w:w="3384" w:type="pct"/>
            <w:shd w:val="clear" w:color="auto" w:fill="FFFFFF"/>
            <w:tcMar>
              <w:top w:w="15" w:type="dxa"/>
              <w:left w:w="0" w:type="dxa"/>
              <w:bottom w:w="0" w:type="dxa"/>
              <w:right w:w="15" w:type="dxa"/>
            </w:tcMar>
            <w:hideMark/>
          </w:tcPr>
          <w:p w14:paraId="39874E24" w14:textId="77777777" w:rsidR="00251D72" w:rsidRDefault="00251D72">
            <w:pPr>
              <w:pStyle w:val="a3"/>
              <w:spacing w:before="0" w:beforeAutospacing="0" w:after="0" w:afterAutospacing="0"/>
              <w:ind w:left="547" w:hanging="144"/>
              <w:rPr>
                <w:rFonts w:ascii="Calibri" w:hAnsi="Calibri" w:cs="Calibri"/>
                <w:color w:val="000000"/>
                <w:sz w:val="16"/>
                <w:szCs w:val="16"/>
              </w:rPr>
            </w:pPr>
            <w:r>
              <w:rPr>
                <w:rFonts w:ascii="Calibri" w:hAnsi="Calibri" w:cs="Calibri"/>
                <w:color w:val="000000"/>
                <w:sz w:val="16"/>
                <w:szCs w:val="16"/>
              </w:rPr>
              <w:t>Fair values of restricted stock-based awards and stock options assumed in connection with acquisitions</w:t>
            </w:r>
          </w:p>
        </w:tc>
        <w:tc>
          <w:tcPr>
            <w:tcW w:w="63" w:type="pct"/>
            <w:shd w:val="clear" w:color="auto" w:fill="FFFFFF"/>
            <w:tcMar>
              <w:top w:w="15" w:type="dxa"/>
              <w:left w:w="0" w:type="dxa"/>
              <w:bottom w:w="0" w:type="dxa"/>
              <w:right w:w="15" w:type="dxa"/>
            </w:tcMar>
            <w:vAlign w:val="bottom"/>
            <w:hideMark/>
          </w:tcPr>
          <w:p w14:paraId="16CD82F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524EC1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5481B2A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w:t>
            </w:r>
          </w:p>
        </w:tc>
        <w:tc>
          <w:tcPr>
            <w:tcW w:w="50" w:type="pct"/>
            <w:shd w:val="clear" w:color="auto" w:fill="FFFFFF"/>
            <w:noWrap/>
            <w:tcMar>
              <w:top w:w="15" w:type="dxa"/>
              <w:left w:w="0" w:type="dxa"/>
              <w:bottom w:w="0" w:type="dxa"/>
              <w:right w:w="15" w:type="dxa"/>
            </w:tcMar>
            <w:vAlign w:val="bottom"/>
            <w:hideMark/>
          </w:tcPr>
          <w:p w14:paraId="0EAE8B8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592B86F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5E6AD0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2D885E2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w:t>
            </w:r>
          </w:p>
        </w:tc>
        <w:tc>
          <w:tcPr>
            <w:tcW w:w="50" w:type="pct"/>
            <w:shd w:val="clear" w:color="auto" w:fill="FFFFFF"/>
            <w:noWrap/>
            <w:tcMar>
              <w:top w:w="15" w:type="dxa"/>
              <w:left w:w="0" w:type="dxa"/>
              <w:bottom w:w="0" w:type="dxa"/>
              <w:right w:w="15" w:type="dxa"/>
            </w:tcMar>
            <w:vAlign w:val="bottom"/>
            <w:hideMark/>
          </w:tcPr>
          <w:p w14:paraId="638FCC3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1E9A249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A7B4B3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07014EF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90</w:t>
            </w:r>
          </w:p>
        </w:tc>
        <w:tc>
          <w:tcPr>
            <w:tcW w:w="50" w:type="pct"/>
            <w:shd w:val="clear" w:color="auto" w:fill="FFFFFF"/>
            <w:noWrap/>
            <w:tcMar>
              <w:top w:w="15" w:type="dxa"/>
              <w:left w:w="0" w:type="dxa"/>
              <w:bottom w:w="0" w:type="dxa"/>
              <w:right w:w="15" w:type="dxa"/>
            </w:tcMar>
            <w:vAlign w:val="bottom"/>
            <w:hideMark/>
          </w:tcPr>
          <w:p w14:paraId="583EB58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43D23D91" w14:textId="77777777">
        <w:trPr>
          <w:divId w:val="337120055"/>
          <w:jc w:val="center"/>
        </w:trPr>
        <w:tc>
          <w:tcPr>
            <w:tcW w:w="3384" w:type="pct"/>
            <w:shd w:val="clear" w:color="auto" w:fill="CFF0FC"/>
            <w:tcMar>
              <w:top w:w="15" w:type="dxa"/>
              <w:left w:w="0" w:type="dxa"/>
              <w:bottom w:w="0" w:type="dxa"/>
              <w:right w:w="15" w:type="dxa"/>
            </w:tcMar>
            <w:hideMark/>
          </w:tcPr>
          <w:p w14:paraId="11D1186A"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Change in unsettled repurchases of common stock</w:t>
            </w:r>
          </w:p>
        </w:tc>
        <w:tc>
          <w:tcPr>
            <w:tcW w:w="63" w:type="pct"/>
            <w:shd w:val="clear" w:color="auto" w:fill="CFF0FC"/>
            <w:tcMar>
              <w:top w:w="15" w:type="dxa"/>
              <w:left w:w="0" w:type="dxa"/>
              <w:bottom w:w="0" w:type="dxa"/>
              <w:right w:w="15" w:type="dxa"/>
            </w:tcMar>
            <w:vAlign w:val="bottom"/>
            <w:hideMark/>
          </w:tcPr>
          <w:p w14:paraId="1DA2587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828FC1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left w:w="0" w:type="dxa"/>
              <w:bottom w:w="0" w:type="dxa"/>
              <w:right w:w="15" w:type="dxa"/>
            </w:tcMar>
            <w:vAlign w:val="bottom"/>
            <w:hideMark/>
          </w:tcPr>
          <w:p w14:paraId="575CBC6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(140</w:t>
            </w:r>
          </w:p>
        </w:tc>
        <w:tc>
          <w:tcPr>
            <w:tcW w:w="50" w:type="pct"/>
            <w:shd w:val="clear" w:color="auto" w:fill="CFF0FC"/>
            <w:noWrap/>
            <w:tcMar>
              <w:top w:w="15" w:type="dxa"/>
              <w:left w:w="0" w:type="dxa"/>
              <w:bottom w:w="0" w:type="dxa"/>
              <w:right w:w="15" w:type="dxa"/>
            </w:tcMar>
            <w:vAlign w:val="bottom"/>
            <w:hideMark/>
          </w:tcPr>
          <w:p w14:paraId="1BB57DF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CFF0FC"/>
            <w:tcMar>
              <w:top w:w="15" w:type="dxa"/>
              <w:left w:w="0" w:type="dxa"/>
              <w:bottom w:w="0" w:type="dxa"/>
              <w:right w:w="15" w:type="dxa"/>
            </w:tcMar>
            <w:vAlign w:val="bottom"/>
            <w:hideMark/>
          </w:tcPr>
          <w:p w14:paraId="1CAF04F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15E381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left w:w="0" w:type="dxa"/>
              <w:bottom w:w="0" w:type="dxa"/>
              <w:right w:w="15" w:type="dxa"/>
            </w:tcMar>
            <w:vAlign w:val="bottom"/>
            <w:hideMark/>
          </w:tcPr>
          <w:p w14:paraId="169ACBA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154</w:t>
            </w:r>
          </w:p>
        </w:tc>
        <w:tc>
          <w:tcPr>
            <w:tcW w:w="50" w:type="pct"/>
            <w:shd w:val="clear" w:color="auto" w:fill="CFF0FC"/>
            <w:noWrap/>
            <w:tcMar>
              <w:top w:w="15" w:type="dxa"/>
              <w:left w:w="0" w:type="dxa"/>
              <w:bottom w:w="0" w:type="dxa"/>
              <w:right w:w="15" w:type="dxa"/>
            </w:tcMar>
            <w:vAlign w:val="bottom"/>
            <w:hideMark/>
          </w:tcPr>
          <w:p w14:paraId="4B84BFA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3EBA6A0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081D78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left w:w="0" w:type="dxa"/>
              <w:bottom w:w="0" w:type="dxa"/>
              <w:right w:w="15" w:type="dxa"/>
            </w:tcMar>
            <w:vAlign w:val="bottom"/>
            <w:hideMark/>
          </w:tcPr>
          <w:p w14:paraId="6036E34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(69</w:t>
            </w:r>
          </w:p>
        </w:tc>
        <w:tc>
          <w:tcPr>
            <w:tcW w:w="50" w:type="pct"/>
            <w:shd w:val="clear" w:color="auto" w:fill="CFF0FC"/>
            <w:noWrap/>
            <w:tcMar>
              <w:top w:w="15" w:type="dxa"/>
              <w:left w:w="0" w:type="dxa"/>
              <w:bottom w:w="0" w:type="dxa"/>
              <w:right w:w="15" w:type="dxa"/>
            </w:tcMar>
            <w:vAlign w:val="bottom"/>
            <w:hideMark/>
          </w:tcPr>
          <w:p w14:paraId="34B94D2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18DBC3AF" w14:textId="77777777">
        <w:trPr>
          <w:divId w:val="337120055"/>
          <w:jc w:val="center"/>
        </w:trPr>
        <w:tc>
          <w:tcPr>
            <w:tcW w:w="3384" w:type="pct"/>
            <w:shd w:val="clear" w:color="auto" w:fill="FFFFFF"/>
            <w:tcMar>
              <w:top w:w="15" w:type="dxa"/>
              <w:left w:w="0" w:type="dxa"/>
              <w:bottom w:w="0" w:type="dxa"/>
              <w:right w:w="15" w:type="dxa"/>
            </w:tcMar>
            <w:hideMark/>
          </w:tcPr>
          <w:p w14:paraId="7390C06F"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Change in unsettled investment purchases</w:t>
            </w:r>
          </w:p>
        </w:tc>
        <w:tc>
          <w:tcPr>
            <w:tcW w:w="63" w:type="pct"/>
            <w:shd w:val="clear" w:color="auto" w:fill="FFFFFF"/>
            <w:tcMar>
              <w:top w:w="15" w:type="dxa"/>
              <w:left w:w="0" w:type="dxa"/>
              <w:bottom w:w="0" w:type="dxa"/>
              <w:right w:w="15" w:type="dxa"/>
            </w:tcMar>
            <w:vAlign w:val="bottom"/>
            <w:hideMark/>
          </w:tcPr>
          <w:p w14:paraId="13335D9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499EF5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107F26F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9065CB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0420D9C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B4EE7A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1D1ACFE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(303</w:t>
            </w:r>
          </w:p>
        </w:tc>
        <w:tc>
          <w:tcPr>
            <w:tcW w:w="50" w:type="pct"/>
            <w:shd w:val="clear" w:color="auto" w:fill="FFFFFF"/>
            <w:noWrap/>
            <w:tcMar>
              <w:top w:w="15" w:type="dxa"/>
              <w:left w:w="0" w:type="dxa"/>
              <w:bottom w:w="0" w:type="dxa"/>
              <w:right w:w="15" w:type="dxa"/>
            </w:tcMar>
            <w:vAlign w:val="bottom"/>
            <w:hideMark/>
          </w:tcPr>
          <w:p w14:paraId="28A5EAA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3" w:type="pct"/>
            <w:shd w:val="clear" w:color="auto" w:fill="FFFFFF"/>
            <w:tcMar>
              <w:top w:w="15" w:type="dxa"/>
              <w:left w:w="0" w:type="dxa"/>
              <w:bottom w:w="0" w:type="dxa"/>
              <w:right w:w="15" w:type="dxa"/>
            </w:tcMar>
            <w:vAlign w:val="bottom"/>
            <w:hideMark/>
          </w:tcPr>
          <w:p w14:paraId="002771B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443498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2468D98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73</w:t>
            </w:r>
          </w:p>
        </w:tc>
        <w:tc>
          <w:tcPr>
            <w:tcW w:w="50" w:type="pct"/>
            <w:shd w:val="clear" w:color="auto" w:fill="FFFFFF"/>
            <w:noWrap/>
            <w:tcMar>
              <w:top w:w="15" w:type="dxa"/>
              <w:left w:w="0" w:type="dxa"/>
              <w:bottom w:w="0" w:type="dxa"/>
              <w:right w:w="15" w:type="dxa"/>
            </w:tcMar>
            <w:vAlign w:val="bottom"/>
            <w:hideMark/>
          </w:tcPr>
          <w:p w14:paraId="656CC55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6A5AE537" w14:textId="77777777">
        <w:trPr>
          <w:divId w:val="337120055"/>
          <w:jc w:val="center"/>
        </w:trPr>
        <w:tc>
          <w:tcPr>
            <w:tcW w:w="3384" w:type="pct"/>
            <w:shd w:val="clear" w:color="auto" w:fill="CFF0FC"/>
            <w:tcMar>
              <w:top w:w="15" w:type="dxa"/>
              <w:left w:w="0" w:type="dxa"/>
              <w:bottom w:w="0" w:type="dxa"/>
              <w:right w:w="15" w:type="dxa"/>
            </w:tcMar>
            <w:hideMark/>
          </w:tcPr>
          <w:p w14:paraId="41EED25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Supplemental schedule of cash flow data:</w:t>
            </w:r>
          </w:p>
        </w:tc>
        <w:tc>
          <w:tcPr>
            <w:tcW w:w="63" w:type="pct"/>
            <w:shd w:val="clear" w:color="auto" w:fill="CFF0FC"/>
            <w:tcMar>
              <w:top w:w="15" w:type="dxa"/>
              <w:left w:w="0" w:type="dxa"/>
              <w:bottom w:w="0" w:type="dxa"/>
              <w:right w:w="15" w:type="dxa"/>
            </w:tcMar>
            <w:vAlign w:val="bottom"/>
            <w:hideMark/>
          </w:tcPr>
          <w:p w14:paraId="0208FFB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E46153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51A80E9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7445EC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54F5647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51C177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01BC780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655C24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130A921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793F9C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left w:w="0" w:type="dxa"/>
              <w:bottom w:w="0" w:type="dxa"/>
              <w:right w:w="15" w:type="dxa"/>
            </w:tcMar>
            <w:vAlign w:val="bottom"/>
            <w:hideMark/>
          </w:tcPr>
          <w:p w14:paraId="22E1938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2E51B7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13F69D07" w14:textId="77777777">
        <w:trPr>
          <w:divId w:val="337120055"/>
          <w:jc w:val="center"/>
        </w:trPr>
        <w:tc>
          <w:tcPr>
            <w:tcW w:w="3384" w:type="pct"/>
            <w:shd w:val="clear" w:color="auto" w:fill="FFFFFF"/>
            <w:tcMar>
              <w:top w:w="15" w:type="dxa"/>
              <w:left w:w="0" w:type="dxa"/>
              <w:bottom w:w="0" w:type="dxa"/>
              <w:right w:w="15" w:type="dxa"/>
            </w:tcMar>
            <w:hideMark/>
          </w:tcPr>
          <w:p w14:paraId="3C185209"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Cash paid for income taxes</w:t>
            </w:r>
          </w:p>
        </w:tc>
        <w:tc>
          <w:tcPr>
            <w:tcW w:w="63" w:type="pct"/>
            <w:shd w:val="clear" w:color="auto" w:fill="FFFFFF"/>
            <w:tcMar>
              <w:top w:w="15" w:type="dxa"/>
              <w:left w:w="0" w:type="dxa"/>
              <w:bottom w:w="0" w:type="dxa"/>
              <w:right w:w="15" w:type="dxa"/>
            </w:tcMar>
            <w:vAlign w:val="bottom"/>
            <w:hideMark/>
          </w:tcPr>
          <w:p w14:paraId="0C10020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D2BA44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6E4B40A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2,901</w:t>
            </w:r>
          </w:p>
        </w:tc>
        <w:tc>
          <w:tcPr>
            <w:tcW w:w="50" w:type="pct"/>
            <w:shd w:val="clear" w:color="auto" w:fill="FFFFFF"/>
            <w:noWrap/>
            <w:tcMar>
              <w:top w:w="15" w:type="dxa"/>
              <w:left w:w="0" w:type="dxa"/>
              <w:bottom w:w="0" w:type="dxa"/>
              <w:right w:w="15" w:type="dxa"/>
            </w:tcMar>
            <w:vAlign w:val="bottom"/>
            <w:hideMark/>
          </w:tcPr>
          <w:p w14:paraId="57FBBA8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6F2FBD0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574D77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3E7BDE1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1,562</w:t>
            </w:r>
          </w:p>
        </w:tc>
        <w:tc>
          <w:tcPr>
            <w:tcW w:w="50" w:type="pct"/>
            <w:shd w:val="clear" w:color="auto" w:fill="FFFFFF"/>
            <w:noWrap/>
            <w:tcMar>
              <w:top w:w="15" w:type="dxa"/>
              <w:left w:w="0" w:type="dxa"/>
              <w:bottom w:w="0" w:type="dxa"/>
              <w:right w:w="15" w:type="dxa"/>
            </w:tcMar>
            <w:vAlign w:val="bottom"/>
            <w:hideMark/>
          </w:tcPr>
          <w:p w14:paraId="310489C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FFFFFF"/>
            <w:tcMar>
              <w:top w:w="15" w:type="dxa"/>
              <w:left w:w="0" w:type="dxa"/>
              <w:bottom w:w="0" w:type="dxa"/>
              <w:right w:w="15" w:type="dxa"/>
            </w:tcMar>
            <w:vAlign w:val="bottom"/>
            <w:hideMark/>
          </w:tcPr>
          <w:p w14:paraId="1626543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77968F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left w:w="0" w:type="dxa"/>
              <w:bottom w:w="0" w:type="dxa"/>
              <w:right w:w="15" w:type="dxa"/>
            </w:tcMar>
            <w:vAlign w:val="bottom"/>
            <w:hideMark/>
          </w:tcPr>
          <w:p w14:paraId="67BBD0C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1,983</w:t>
            </w:r>
          </w:p>
        </w:tc>
        <w:tc>
          <w:tcPr>
            <w:tcW w:w="50" w:type="pct"/>
            <w:shd w:val="clear" w:color="auto" w:fill="FFFFFF"/>
            <w:noWrap/>
            <w:tcMar>
              <w:top w:w="15" w:type="dxa"/>
              <w:left w:w="0" w:type="dxa"/>
              <w:bottom w:w="0" w:type="dxa"/>
              <w:right w:w="15" w:type="dxa"/>
            </w:tcMar>
            <w:vAlign w:val="bottom"/>
            <w:hideMark/>
          </w:tcPr>
          <w:p w14:paraId="2B4512F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7BA0FCA2" w14:textId="77777777">
        <w:trPr>
          <w:divId w:val="337120055"/>
          <w:jc w:val="center"/>
        </w:trPr>
        <w:tc>
          <w:tcPr>
            <w:tcW w:w="3384" w:type="pct"/>
            <w:shd w:val="clear" w:color="auto" w:fill="CFF0FC"/>
            <w:tcMar>
              <w:top w:w="15" w:type="dxa"/>
              <w:left w:w="0" w:type="dxa"/>
              <w:bottom w:w="0" w:type="dxa"/>
              <w:right w:w="15" w:type="dxa"/>
            </w:tcMar>
            <w:hideMark/>
          </w:tcPr>
          <w:p w14:paraId="76F2C798" w14:textId="77777777" w:rsidR="00251D72" w:rsidRDefault="00251D72">
            <w:pPr>
              <w:pStyle w:val="a3"/>
              <w:spacing w:before="0" w:beforeAutospacing="0" w:after="0" w:afterAutospacing="0"/>
              <w:ind w:left="410"/>
              <w:rPr>
                <w:rFonts w:ascii="Calibri" w:hAnsi="Calibri" w:cs="Calibri"/>
                <w:color w:val="000000"/>
                <w:sz w:val="16"/>
                <w:szCs w:val="16"/>
              </w:rPr>
            </w:pPr>
            <w:r>
              <w:rPr>
                <w:rFonts w:ascii="Calibri" w:hAnsi="Calibri" w:cs="Calibri"/>
                <w:color w:val="000000"/>
                <w:sz w:val="16"/>
                <w:szCs w:val="16"/>
              </w:rPr>
              <w:t>Cash paid for interest</w:t>
            </w:r>
          </w:p>
        </w:tc>
        <w:tc>
          <w:tcPr>
            <w:tcW w:w="63" w:type="pct"/>
            <w:shd w:val="clear" w:color="auto" w:fill="CFF0FC"/>
            <w:tcMar>
              <w:top w:w="15" w:type="dxa"/>
              <w:left w:w="0" w:type="dxa"/>
              <w:bottom w:w="0" w:type="dxa"/>
              <w:right w:w="15" w:type="dxa"/>
            </w:tcMar>
            <w:vAlign w:val="bottom"/>
            <w:hideMark/>
          </w:tcPr>
          <w:p w14:paraId="5ADFF8F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D5E36F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left w:w="0" w:type="dxa"/>
              <w:bottom w:w="0" w:type="dxa"/>
              <w:right w:w="15" w:type="dxa"/>
            </w:tcMar>
            <w:vAlign w:val="bottom"/>
            <w:hideMark/>
          </w:tcPr>
          <w:p w14:paraId="026EFCB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2,059</w:t>
            </w:r>
          </w:p>
        </w:tc>
        <w:tc>
          <w:tcPr>
            <w:tcW w:w="50" w:type="pct"/>
            <w:shd w:val="clear" w:color="auto" w:fill="CFF0FC"/>
            <w:noWrap/>
            <w:tcMar>
              <w:top w:w="15" w:type="dxa"/>
              <w:left w:w="0" w:type="dxa"/>
              <w:bottom w:w="0" w:type="dxa"/>
              <w:right w:w="15" w:type="dxa"/>
            </w:tcMar>
            <w:vAlign w:val="bottom"/>
            <w:hideMark/>
          </w:tcPr>
          <w:p w14:paraId="76E1DCA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51DB139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C8C653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left w:w="0" w:type="dxa"/>
              <w:bottom w:w="0" w:type="dxa"/>
              <w:right w:w="15" w:type="dxa"/>
            </w:tcMar>
            <w:vAlign w:val="bottom"/>
            <w:hideMark/>
          </w:tcPr>
          <w:p w14:paraId="1114FB5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1,910</w:t>
            </w:r>
          </w:p>
        </w:tc>
        <w:tc>
          <w:tcPr>
            <w:tcW w:w="50" w:type="pct"/>
            <w:shd w:val="clear" w:color="auto" w:fill="CFF0FC"/>
            <w:noWrap/>
            <w:tcMar>
              <w:top w:w="15" w:type="dxa"/>
              <w:left w:w="0" w:type="dxa"/>
              <w:bottom w:w="0" w:type="dxa"/>
              <w:right w:w="15" w:type="dxa"/>
            </w:tcMar>
            <w:vAlign w:val="bottom"/>
            <w:hideMark/>
          </w:tcPr>
          <w:p w14:paraId="6CFB80E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3" w:type="pct"/>
            <w:shd w:val="clear" w:color="auto" w:fill="CFF0FC"/>
            <w:tcMar>
              <w:top w:w="15" w:type="dxa"/>
              <w:left w:w="0" w:type="dxa"/>
              <w:bottom w:w="0" w:type="dxa"/>
              <w:right w:w="15" w:type="dxa"/>
            </w:tcMar>
            <w:vAlign w:val="bottom"/>
            <w:hideMark/>
          </w:tcPr>
          <w:p w14:paraId="078C727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20FE53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left w:w="0" w:type="dxa"/>
              <w:bottom w:w="0" w:type="dxa"/>
              <w:right w:w="15" w:type="dxa"/>
            </w:tcMar>
            <w:vAlign w:val="bottom"/>
            <w:hideMark/>
          </w:tcPr>
          <w:p w14:paraId="26D972B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1,612</w:t>
            </w:r>
          </w:p>
        </w:tc>
        <w:tc>
          <w:tcPr>
            <w:tcW w:w="50" w:type="pct"/>
            <w:shd w:val="clear" w:color="auto" w:fill="CFF0FC"/>
            <w:noWrap/>
            <w:tcMar>
              <w:top w:w="15" w:type="dxa"/>
              <w:left w:w="0" w:type="dxa"/>
              <w:bottom w:w="0" w:type="dxa"/>
              <w:right w:w="15" w:type="dxa"/>
            </w:tcMar>
            <w:vAlign w:val="bottom"/>
            <w:hideMark/>
          </w:tcPr>
          <w:p w14:paraId="7F1249AA"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A08D90C" w14:textId="77777777" w:rsidR="00251D72" w:rsidRDefault="00251D72">
      <w:pPr>
        <w:pStyle w:val="a3"/>
        <w:spacing w:before="0" w:beforeAutospacing="0" w:after="0" w:afterAutospacing="0"/>
      </w:pPr>
      <w:r>
        <w:t> </w:t>
      </w:r>
    </w:p>
    <w:p w14:paraId="707B877C" w14:textId="77777777" w:rsidR="00251D72" w:rsidRDefault="00251D72">
      <w:pPr>
        <w:pStyle w:val="a3"/>
        <w:spacing w:before="0" w:beforeAutospacing="0" w:after="0" w:afterAutospacing="0"/>
      </w:pPr>
      <w:r>
        <w:t> </w:t>
      </w:r>
    </w:p>
    <w:p w14:paraId="4E098FFD"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See notes to consolidated financial statements.</w:t>
      </w:r>
    </w:p>
    <w:p w14:paraId="5FE5C522" w14:textId="77777777" w:rsidR="00251D72" w:rsidRDefault="00251D72">
      <w:pPr>
        <w:pStyle w:val="a3"/>
        <w:spacing w:before="0" w:beforeAutospacing="0" w:after="0" w:afterAutospacing="0"/>
        <w:rPr>
          <w:sz w:val="10"/>
          <w:szCs w:val="10"/>
        </w:rPr>
      </w:pPr>
      <w:r>
        <w:rPr>
          <w:sz w:val="10"/>
          <w:szCs w:val="10"/>
        </w:rPr>
        <w:t> </w:t>
      </w:r>
    </w:p>
    <w:p w14:paraId="0CC89C98"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71</w:t>
      </w:r>
    </w:p>
    <w:p w14:paraId="072C34A3" w14:textId="77777777" w:rsidR="00251D72" w:rsidRDefault="00251D72">
      <w:pPr>
        <w:rPr>
          <w:rFonts w:ascii="Times New Roman" w:eastAsia="Times New Roman" w:hAnsi="Times New Roman" w:cs="Times New Roman"/>
          <w:sz w:val="24"/>
          <w:szCs w:val="24"/>
        </w:rPr>
      </w:pPr>
      <w:r>
        <w:rPr>
          <w:rFonts w:eastAsia="Times New Roman"/>
        </w:rPr>
        <w:pict w14:anchorId="51CC0E8D">
          <v:rect id="_x0000_i1097" style="width:415.3pt;height:1.5pt" o:hralign="center" o:hrstd="t" o:hr="t" fillcolor="#a0a0a0" stroked="f"/>
        </w:pict>
      </w:r>
    </w:p>
    <w:p w14:paraId="45EBF44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807484C"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A6D52CB"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bookmarkStart w:id="109" w:name="_AEIOULastRenderedPageBreakAEIOU74"/>
      <w:bookmarkEnd w:id="109"/>
      <w:r>
        <w:rPr>
          <w:rFonts w:ascii="Calibri" w:hAnsi="Calibri" w:cs="Calibri"/>
          <w:b/>
          <w:bCs/>
          <w:color w:val="000000"/>
          <w:sz w:val="20"/>
          <w:szCs w:val="20"/>
        </w:rPr>
        <w:t>ORACLE CORPORATION</w:t>
      </w:r>
    </w:p>
    <w:p w14:paraId="6F0DFEA6"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bookmarkStart w:id="110" w:name="NOTES_TO_CONDENSED_CONSOLIDATED_FINANCIA"/>
      <w:bookmarkEnd w:id="110"/>
      <w:r>
        <w:rPr>
          <w:rFonts w:ascii="Calibri" w:hAnsi="Calibri" w:cs="Calibri"/>
          <w:b/>
          <w:bCs/>
          <w:color w:val="000000"/>
          <w:sz w:val="20"/>
          <w:szCs w:val="20"/>
        </w:rPr>
        <w:t>NOTES TO CONSOLIDATED FINANCIAL STATEMENTS</w:t>
      </w:r>
    </w:p>
    <w:p w14:paraId="06EF1C65"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1E210C5C" w14:textId="77777777" w:rsidR="00251D72" w:rsidRDefault="00251D72">
      <w:pPr>
        <w:pStyle w:val="a3"/>
        <w:spacing w:before="0" w:beforeAutospacing="0" w:after="0" w:afterAutospacing="0"/>
        <w:ind w:left="595" w:hanging="641"/>
        <w:jc w:val="both"/>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435"/>
        <w:gridCol w:w="7871"/>
      </w:tblGrid>
      <w:tr w:rsidR="00251D72" w14:paraId="447F7A17" w14:textId="77777777">
        <w:tc>
          <w:tcPr>
            <w:tcW w:w="262" w:type="pct"/>
            <w:noWrap/>
            <w:hideMark/>
          </w:tcPr>
          <w:p w14:paraId="74E3EBB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1.</w:t>
            </w:r>
          </w:p>
        </w:tc>
        <w:tc>
          <w:tcPr>
            <w:tcW w:w="0" w:type="auto"/>
            <w:hideMark/>
          </w:tcPr>
          <w:p w14:paraId="66D640C4" w14:textId="77777777" w:rsidR="00251D72" w:rsidRDefault="00251D72">
            <w:pPr>
              <w:pStyle w:val="a3"/>
              <w:spacing w:before="240" w:beforeAutospacing="0" w:after="0" w:afterAutospacing="0"/>
              <w:jc w:val="both"/>
              <w:rPr>
                <w:rFonts w:ascii="Calibri" w:hAnsi="Calibri" w:cs="Calibri"/>
                <w:b/>
                <w:bCs/>
                <w:sz w:val="20"/>
                <w:szCs w:val="20"/>
              </w:rPr>
            </w:pPr>
            <w:bookmarkStart w:id="111" w:name="N1_ORGANIZATION_SIGNIFICANT_ACCOUNTING_P"/>
            <w:r>
              <w:rPr>
                <w:rFonts w:ascii="Calibri" w:hAnsi="Calibri" w:cs="Calibri"/>
                <w:b/>
                <w:bCs/>
                <w:sz w:val="20"/>
                <w:szCs w:val="20"/>
              </w:rPr>
              <w:t xml:space="preserve">ORGANIZATION </w:t>
            </w:r>
            <w:bookmarkEnd w:id="111"/>
            <w:r>
              <w:rPr>
                <w:rFonts w:ascii="Calibri" w:hAnsi="Calibri" w:cs="Calibri"/>
                <w:b/>
                <w:bCs/>
                <w:sz w:val="20"/>
                <w:szCs w:val="20"/>
              </w:rPr>
              <w:t>AND SIGNIFICANT ACCOUNTING POLICIES</w:t>
            </w:r>
          </w:p>
        </w:tc>
      </w:tr>
    </w:tbl>
    <w:p w14:paraId="697BAAD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Oracle Corporation provides products and services that substantially address all aspects of enterprise information technology (IT) environments including applications and infrastructure, which are delivered to customers worldwide through a variety of flexible and interoperable IT deployment models, including cloud-based, Cloud at Customer (an instance of Oracle Cloud in the customer’s own data center), on premise or hybrid. Oracle Cloud Software-as-a-Service and Infrastructure-as-a-Service (SaaS and IaaS, respectively, and collectively, Oracle Cloud Services) offerings provide a comprehensive and integrated stack of applications and infrastructure services delivered via a cloud-based deployment model. Oracle Cloud Services integrate the software, hardware and services on a customer’s behalf in a cloud-based IT environment that Oracle deploys, upgrades, supports and manages for the customer. We offer our customers the option to deploy our comprehensive set of cloud offerings including Oracle Cloud Services or to purchase our software and hardware products and related services to manage their own cloud-based or on-premise IT environments. Customers that purchase our software products may elect to purchase license support contracts, which provide our customers with rights to unspecified license upgrades and maintenance releases issued during the support period as well as technical support assistance. Customers that purchase our hardware products may elect to purchase hardware support contracts, which provide customers with software updates and can include product repairs, maintenance services, and technical support services. We also offer customers a broad set of services offerings that are designed to improve customer utilization of their investments in Oracle applications and infrastructure technologies.</w:t>
      </w:r>
    </w:p>
    <w:p w14:paraId="48567FF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Oracle Corporation conducts business globally and was incorporated in 2005 as a Delaware corporation and is the successor to operations originally begun in June 1977.</w:t>
      </w:r>
    </w:p>
    <w:p w14:paraId="397893A8"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Basis of Financial Statements</w:t>
      </w:r>
    </w:p>
    <w:p w14:paraId="61C554D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The consolidated financial statements included our accounts and the accounts of our wholly- and majority-owned subsidiaries. Noncontrolling interest positions of certain of our consolidated entities are reported as a separate component of consolidated equity from the equity attributable to Oracle’s stockholders for all periods presented. The noncontrolling interests in our net income were not significant to our consolidated results for the periods presented and therefore have been included as a component of non-operating income, net in our consolidated statements of operations. Intercompany transactions and balances have been eliminated. </w:t>
      </w:r>
      <w:r>
        <w:rPr>
          <w:rFonts w:ascii="Calibri" w:hAnsi="Calibri" w:cs="Calibri"/>
          <w:color w:val="000000"/>
          <w:sz w:val="20"/>
          <w:szCs w:val="20"/>
        </w:rPr>
        <w:t>Certain other prior year balances have been reclassified to conform to the current year presentation. Such reclassifications did not affect total revenues, operating income or net income.</w:t>
      </w:r>
    </w:p>
    <w:p w14:paraId="6A54C0E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fiscal 2019, we adopted the following Accounting Standards Updates:</w:t>
      </w:r>
    </w:p>
    <w:tbl>
      <w:tblPr>
        <w:tblW w:w="5000" w:type="pct"/>
        <w:tblCellMar>
          <w:left w:w="0" w:type="dxa"/>
          <w:right w:w="0" w:type="dxa"/>
        </w:tblCellMar>
        <w:tblLook w:val="04A0" w:firstRow="1" w:lastRow="0" w:firstColumn="1" w:lastColumn="0" w:noHBand="0" w:noVBand="1"/>
      </w:tblPr>
      <w:tblGrid>
        <w:gridCol w:w="357"/>
        <w:gridCol w:w="204"/>
        <w:gridCol w:w="7745"/>
      </w:tblGrid>
      <w:tr w:rsidR="00251D72" w14:paraId="34F925B4" w14:textId="77777777">
        <w:tc>
          <w:tcPr>
            <w:tcW w:w="215" w:type="pct"/>
            <w:noWrap/>
            <w:hideMark/>
          </w:tcPr>
          <w:p w14:paraId="50784C7B" w14:textId="77777777" w:rsidR="00251D72" w:rsidRDefault="00251D72">
            <w:pPr>
              <w:pStyle w:val="a3"/>
              <w:spacing w:before="120" w:beforeAutospacing="0" w:after="0" w:afterAutospacing="0"/>
              <w:jc w:val="both"/>
              <w:rPr>
                <w:sz w:val="20"/>
                <w:szCs w:val="20"/>
              </w:rPr>
            </w:pPr>
            <w:r>
              <w:rPr>
                <w:sz w:val="20"/>
                <w:szCs w:val="20"/>
              </w:rPr>
              <w:t> </w:t>
            </w:r>
          </w:p>
        </w:tc>
        <w:tc>
          <w:tcPr>
            <w:tcW w:w="123" w:type="pct"/>
            <w:noWrap/>
            <w:hideMark/>
          </w:tcPr>
          <w:p w14:paraId="321AF53C"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F3EBD83"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Accounting Standards Update (ASU) 2014-09, </w:t>
            </w:r>
            <w:r>
              <w:rPr>
                <w:rFonts w:ascii="Calibri" w:hAnsi="Calibri" w:cs="Calibri"/>
                <w:i/>
                <w:iCs/>
                <w:sz w:val="20"/>
                <w:szCs w:val="20"/>
              </w:rPr>
              <w:t>Revenue from Contracts with Customers</w:t>
            </w:r>
            <w:r>
              <w:rPr>
                <w:rFonts w:ascii="Calibri" w:hAnsi="Calibri" w:cs="Calibri"/>
                <w:sz w:val="20"/>
                <w:szCs w:val="20"/>
              </w:rPr>
              <w:t xml:space="preserve">: </w:t>
            </w:r>
            <w:r>
              <w:rPr>
                <w:rFonts w:ascii="Calibri" w:hAnsi="Calibri" w:cs="Calibri"/>
                <w:i/>
                <w:iCs/>
                <w:sz w:val="20"/>
                <w:szCs w:val="20"/>
              </w:rPr>
              <w:t>Topic 606</w:t>
            </w:r>
            <w:r>
              <w:rPr>
                <w:rFonts w:ascii="Calibri" w:hAnsi="Calibri" w:cs="Calibri"/>
                <w:sz w:val="20"/>
                <w:szCs w:val="20"/>
              </w:rPr>
              <w:t xml:space="preserve"> and subsequent amendments to the initial guidance: ASU 2015-14, ASU 2016-08, ASU 2016-10, ASU 2016-12, ASU 2016-20, ASU 2017-10, ASU 2017-13 and ASU 2017-14 (collectively, Topic 606), utilizing the full retrospective method of transition whereby the results and related disclosures for the comparative fiscal 2018 and 2017 periods presented in this Form 10-K were recast to be presented as if Topic 606 had been in effect during fiscal 2018 and 2017. Retrospective adjustments applicable prior to June 1, 2016 were recorded as a cumulative-effect adjustment that resulted in a $43 million increase in accumulated other comprehensive loss (AOCL) and an $820 million increase in retained earnings. Refer to the “Revenue Recognition” and “Deferred Sales Commissions” sections below for accounting policy updates upon our adoption of Topic 606. </w:t>
            </w:r>
          </w:p>
        </w:tc>
      </w:tr>
    </w:tbl>
    <w:p w14:paraId="55283F6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57"/>
        <w:gridCol w:w="204"/>
        <w:gridCol w:w="7745"/>
      </w:tblGrid>
      <w:tr w:rsidR="00251D72" w14:paraId="5E51E840" w14:textId="77777777">
        <w:tc>
          <w:tcPr>
            <w:tcW w:w="215" w:type="pct"/>
            <w:noWrap/>
            <w:hideMark/>
          </w:tcPr>
          <w:p w14:paraId="04166563" w14:textId="77777777" w:rsidR="00251D72" w:rsidRDefault="00251D72">
            <w:pPr>
              <w:pStyle w:val="a3"/>
              <w:spacing w:before="120" w:beforeAutospacing="0" w:after="0" w:afterAutospacing="0"/>
              <w:jc w:val="both"/>
              <w:rPr>
                <w:sz w:val="20"/>
                <w:szCs w:val="20"/>
              </w:rPr>
            </w:pPr>
            <w:r>
              <w:rPr>
                <w:sz w:val="20"/>
                <w:szCs w:val="20"/>
              </w:rPr>
              <w:t> </w:t>
            </w:r>
          </w:p>
        </w:tc>
        <w:tc>
          <w:tcPr>
            <w:tcW w:w="123" w:type="pct"/>
            <w:noWrap/>
            <w:hideMark/>
          </w:tcPr>
          <w:p w14:paraId="6A3C3531"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2D19BC7" w14:textId="77777777" w:rsidR="00251D72" w:rsidRDefault="00251D72">
            <w:pPr>
              <w:pStyle w:val="a3"/>
              <w:spacing w:before="120" w:beforeAutospacing="0" w:after="0" w:afterAutospacing="0"/>
              <w:jc w:val="both"/>
              <w:rPr>
                <w:sz w:val="20"/>
                <w:szCs w:val="20"/>
              </w:rPr>
            </w:pPr>
            <w:bookmarkStart w:id="112" w:name="_AEIOULastRenderedPageBreakAEIOU75"/>
            <w:bookmarkEnd w:id="112"/>
            <w:r>
              <w:rPr>
                <w:rFonts w:ascii="Calibri" w:hAnsi="Calibri" w:cs="Calibri"/>
                <w:sz w:val="20"/>
                <w:szCs w:val="20"/>
              </w:rPr>
              <w:t xml:space="preserve">ASU 2017-12, </w:t>
            </w:r>
            <w:r>
              <w:rPr>
                <w:rFonts w:ascii="Calibri" w:hAnsi="Calibri" w:cs="Calibri"/>
                <w:i/>
                <w:iCs/>
                <w:sz w:val="20"/>
                <w:szCs w:val="20"/>
              </w:rPr>
              <w:t xml:space="preserve">Derivatives and Hedging (Topic 815): Targeted Improvements to Accounting for Hedging Activities </w:t>
            </w:r>
            <w:r>
              <w:rPr>
                <w:rFonts w:ascii="Calibri" w:hAnsi="Calibri" w:cs="Calibri"/>
                <w:sz w:val="20"/>
                <w:szCs w:val="20"/>
              </w:rPr>
              <w:t>(ASU 2017-12), which amends and simplifies existing guidance in order to allow companies to more accurately present the economic effects of risk management activities in the financial statements. We early adopted this new standard on June 1, 2018 using the modified retrospective method, which</w:t>
            </w:r>
            <w:r>
              <w:rPr>
                <w:rFonts w:ascii="Arial Unicode MS" w:hAnsi="Arial Unicode MS"/>
              </w:rPr>
              <w:t xml:space="preserve"> </w:t>
            </w:r>
          </w:p>
        </w:tc>
      </w:tr>
    </w:tbl>
    <w:p w14:paraId="0747B99E"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 xml:space="preserve">72 </w:t>
      </w:r>
    </w:p>
    <w:p w14:paraId="65A8981F" w14:textId="77777777" w:rsidR="00251D72" w:rsidRDefault="00251D72">
      <w:pPr>
        <w:rPr>
          <w:rFonts w:ascii="Times New Roman" w:eastAsia="Times New Roman" w:hAnsi="Times New Roman" w:cs="Times New Roman"/>
          <w:sz w:val="24"/>
          <w:szCs w:val="24"/>
        </w:rPr>
      </w:pPr>
      <w:r>
        <w:rPr>
          <w:rFonts w:eastAsia="Times New Roman"/>
        </w:rPr>
        <w:pict w14:anchorId="1C57097F">
          <v:rect id="_x0000_i1098" style="width:415.3pt;height:1.5pt" o:hralign="center" o:hrstd="t" o:hr="t" fillcolor="#a0a0a0" stroked="f"/>
        </w:pict>
      </w:r>
    </w:p>
    <w:p w14:paraId="0FE0C02C"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C390278"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2208F0E"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661D07A4"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02BB0CA7"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5CE10FA0" w14:textId="77777777" w:rsidR="00251D72" w:rsidRDefault="00251D7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7"/>
        <w:gridCol w:w="204"/>
        <w:gridCol w:w="7745"/>
      </w:tblGrid>
      <w:tr w:rsidR="00251D72" w14:paraId="50E8113C" w14:textId="77777777">
        <w:tc>
          <w:tcPr>
            <w:tcW w:w="215" w:type="pct"/>
            <w:noWrap/>
            <w:hideMark/>
          </w:tcPr>
          <w:p w14:paraId="4121465E" w14:textId="77777777" w:rsidR="00251D72" w:rsidRDefault="00251D72">
            <w:pPr>
              <w:pStyle w:val="a3"/>
              <w:spacing w:before="120" w:beforeAutospacing="0" w:after="0" w:afterAutospacing="0"/>
              <w:jc w:val="both"/>
              <w:rPr>
                <w:sz w:val="20"/>
                <w:szCs w:val="20"/>
              </w:rPr>
            </w:pPr>
            <w:r>
              <w:rPr>
                <w:sz w:val="20"/>
                <w:szCs w:val="20"/>
              </w:rPr>
              <w:t> </w:t>
            </w:r>
          </w:p>
        </w:tc>
        <w:tc>
          <w:tcPr>
            <w:tcW w:w="123" w:type="pct"/>
            <w:noWrap/>
            <w:hideMark/>
          </w:tcPr>
          <w:p w14:paraId="34955B71" w14:textId="77777777" w:rsidR="00251D72" w:rsidRDefault="00251D72">
            <w:pPr>
              <w:rPr>
                <w:sz w:val="20"/>
                <w:szCs w:val="20"/>
              </w:rPr>
            </w:pPr>
          </w:p>
        </w:tc>
        <w:tc>
          <w:tcPr>
            <w:tcW w:w="0" w:type="auto"/>
            <w:hideMark/>
          </w:tcPr>
          <w:p w14:paraId="60E1C8FA"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requires us to account for ASU 2017-12 as of the date of adoption with any retrospective adjustments applicable to prior periods included as a cumulative-effect adjustment to AOCL and retained earnings. The adoption of ASU 2017-12 did not have a material impact on our consolidated financial statements as of the adoption date or for any of the periods presented. As a result of the adoption of ASU 2017-12, we have elected to modify certain of our hedge documentation to exclude the fair value of certain components of the related hedging instrument in our assessment of hedge effectiveness. See Note 10 for additional explanations of the impact of adoption.  </w:t>
            </w:r>
          </w:p>
        </w:tc>
      </w:tr>
    </w:tbl>
    <w:p w14:paraId="71EA12A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57"/>
        <w:gridCol w:w="204"/>
        <w:gridCol w:w="7745"/>
      </w:tblGrid>
      <w:tr w:rsidR="00251D72" w14:paraId="3BE368AA" w14:textId="77777777">
        <w:tc>
          <w:tcPr>
            <w:tcW w:w="215" w:type="pct"/>
            <w:noWrap/>
            <w:hideMark/>
          </w:tcPr>
          <w:p w14:paraId="3BDA3AB4" w14:textId="77777777" w:rsidR="00251D72" w:rsidRDefault="00251D72">
            <w:pPr>
              <w:pStyle w:val="a3"/>
              <w:spacing w:before="120" w:beforeAutospacing="0" w:after="0" w:afterAutospacing="0"/>
              <w:jc w:val="both"/>
              <w:rPr>
                <w:sz w:val="20"/>
                <w:szCs w:val="20"/>
              </w:rPr>
            </w:pPr>
            <w:r>
              <w:rPr>
                <w:sz w:val="20"/>
                <w:szCs w:val="20"/>
              </w:rPr>
              <w:t> </w:t>
            </w:r>
          </w:p>
        </w:tc>
        <w:tc>
          <w:tcPr>
            <w:tcW w:w="123" w:type="pct"/>
            <w:noWrap/>
            <w:hideMark/>
          </w:tcPr>
          <w:p w14:paraId="3E0AE17C"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2792092"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ASU 2017-07, </w:t>
            </w:r>
            <w:r>
              <w:rPr>
                <w:rFonts w:ascii="Calibri" w:hAnsi="Calibri" w:cs="Calibri"/>
                <w:i/>
                <w:iCs/>
                <w:sz w:val="20"/>
                <w:szCs w:val="20"/>
              </w:rPr>
              <w:t xml:space="preserve">Compensation—Retirement Benefits (Topic 715): Improving the Presentation of Net Periodic Pension Costs and Net Periodic Postretirement Benefit Costs </w:t>
            </w:r>
            <w:r>
              <w:rPr>
                <w:rFonts w:ascii="Calibri" w:hAnsi="Calibri" w:cs="Calibri"/>
                <w:sz w:val="20"/>
                <w:szCs w:val="20"/>
              </w:rPr>
              <w:t>(ASU 2017-07), which provides guidance on the capitalization, presentation and disclosure of net benefit costs related to postretirement benefit plans. We adopted ASU 2017-07 on a full retrospective basis, which resulted in the retrospective reclassification of $54 million and $42 million, respectively, of non-service net periodic pension cost for fiscal 2018 and 2017, respectively, from line items within operating expenses into non-operating income, net.</w:t>
            </w:r>
          </w:p>
        </w:tc>
      </w:tr>
    </w:tbl>
    <w:p w14:paraId="1E33239E"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57"/>
        <w:gridCol w:w="204"/>
        <w:gridCol w:w="7745"/>
      </w:tblGrid>
      <w:tr w:rsidR="00251D72" w14:paraId="35026A2B" w14:textId="77777777">
        <w:tc>
          <w:tcPr>
            <w:tcW w:w="215" w:type="pct"/>
            <w:noWrap/>
            <w:hideMark/>
          </w:tcPr>
          <w:p w14:paraId="2AEA206B" w14:textId="77777777" w:rsidR="00251D72" w:rsidRDefault="00251D72">
            <w:pPr>
              <w:pStyle w:val="a3"/>
              <w:spacing w:before="120" w:beforeAutospacing="0" w:after="0" w:afterAutospacing="0"/>
              <w:jc w:val="both"/>
              <w:rPr>
                <w:sz w:val="20"/>
                <w:szCs w:val="20"/>
              </w:rPr>
            </w:pPr>
            <w:r>
              <w:rPr>
                <w:sz w:val="20"/>
                <w:szCs w:val="20"/>
              </w:rPr>
              <w:t> </w:t>
            </w:r>
          </w:p>
        </w:tc>
        <w:tc>
          <w:tcPr>
            <w:tcW w:w="123" w:type="pct"/>
            <w:noWrap/>
            <w:hideMark/>
          </w:tcPr>
          <w:p w14:paraId="72EA6F4D"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26BCD34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ASU 2016-16, </w:t>
            </w:r>
            <w:r>
              <w:rPr>
                <w:rFonts w:ascii="Calibri" w:hAnsi="Calibri" w:cs="Calibri"/>
                <w:i/>
                <w:iCs/>
                <w:sz w:val="20"/>
                <w:szCs w:val="20"/>
              </w:rPr>
              <w:t xml:space="preserve">Income Taxes (Topic 740): Intra-Entity Transfers of Assets Other Than Inventory </w:t>
            </w:r>
            <w:r>
              <w:rPr>
                <w:rFonts w:ascii="Calibri" w:hAnsi="Calibri" w:cs="Calibri"/>
                <w:sz w:val="20"/>
                <w:szCs w:val="20"/>
              </w:rPr>
              <w:t>(ASU 2016-16), which requires entities to recognize the income tax consequences of an intra-entity transfer of an asset, other than inventory, when the transfer occurs. We adopted ASU 2016-16 effective June 1, 2018 on a modified retrospective basis through a cumulative-effect adjustment that resulted in a $110 million decrease in prepaid assets with the corresponding offset to retained earnings.</w:t>
            </w:r>
          </w:p>
        </w:tc>
      </w:tr>
    </w:tbl>
    <w:p w14:paraId="38AFB48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impacts of adopting Topic 606 and ASU 2017-07 for select historical consolidated statements of operations line items were as follows:</w:t>
      </w:r>
    </w:p>
    <w:p w14:paraId="47ACC49B"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2264"/>
        <w:gridCol w:w="73"/>
        <w:gridCol w:w="103"/>
        <w:gridCol w:w="855"/>
        <w:gridCol w:w="73"/>
        <w:gridCol w:w="73"/>
        <w:gridCol w:w="103"/>
        <w:gridCol w:w="739"/>
        <w:gridCol w:w="73"/>
        <w:gridCol w:w="74"/>
        <w:gridCol w:w="102"/>
        <w:gridCol w:w="740"/>
        <w:gridCol w:w="74"/>
        <w:gridCol w:w="74"/>
        <w:gridCol w:w="103"/>
        <w:gridCol w:w="856"/>
        <w:gridCol w:w="74"/>
        <w:gridCol w:w="74"/>
        <w:gridCol w:w="103"/>
        <w:gridCol w:w="740"/>
        <w:gridCol w:w="74"/>
        <w:gridCol w:w="74"/>
        <w:gridCol w:w="102"/>
        <w:gridCol w:w="632"/>
        <w:gridCol w:w="54"/>
      </w:tblGrid>
      <w:tr w:rsidR="00251D72" w14:paraId="383E0569" w14:textId="77777777">
        <w:trPr>
          <w:divId w:val="1351371128"/>
          <w:jc w:val="center"/>
        </w:trPr>
        <w:tc>
          <w:tcPr>
            <w:tcW w:w="1369" w:type="pct"/>
            <w:shd w:val="clear" w:color="auto" w:fill="FFFFFF"/>
            <w:tcMar>
              <w:top w:w="15" w:type="dxa"/>
              <w:left w:w="0" w:type="dxa"/>
              <w:bottom w:w="0" w:type="dxa"/>
              <w:right w:w="15" w:type="dxa"/>
            </w:tcMar>
            <w:vAlign w:val="bottom"/>
            <w:hideMark/>
          </w:tcPr>
          <w:p w14:paraId="49FF3EEE" w14:textId="77777777" w:rsidR="00251D72" w:rsidRDefault="00251D72">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601E1B62" w14:textId="77777777" w:rsidR="00251D72" w:rsidRDefault="00251D72">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c>
          <w:tcPr>
            <w:tcW w:w="3550" w:type="pct"/>
            <w:gridSpan w:val="22"/>
            <w:tcBorders>
              <w:bottom w:val="single" w:sz="6" w:space="0" w:color="000000"/>
            </w:tcBorders>
            <w:shd w:val="clear" w:color="auto" w:fill="FFFFFF"/>
            <w:tcMar>
              <w:top w:w="15" w:type="dxa"/>
              <w:left w:w="0" w:type="dxa"/>
              <w:bottom w:w="0" w:type="dxa"/>
              <w:right w:w="15" w:type="dxa"/>
            </w:tcMar>
            <w:vAlign w:val="bottom"/>
            <w:hideMark/>
          </w:tcPr>
          <w:p w14:paraId="7E0D602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622ECB6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32D899D" w14:textId="77777777">
        <w:trPr>
          <w:divId w:val="1351371128"/>
          <w:jc w:val="center"/>
        </w:trPr>
        <w:tc>
          <w:tcPr>
            <w:tcW w:w="1369" w:type="pct"/>
            <w:shd w:val="clear" w:color="auto" w:fill="FFFFFF"/>
            <w:tcMar>
              <w:top w:w="15" w:type="dxa"/>
              <w:left w:w="0" w:type="dxa"/>
              <w:bottom w:w="0" w:type="dxa"/>
              <w:right w:w="15" w:type="dxa"/>
            </w:tcMar>
            <w:vAlign w:val="bottom"/>
            <w:hideMark/>
          </w:tcPr>
          <w:p w14:paraId="3E62629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5F6C0AD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735"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EE90D2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5DABA28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1C8823A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735" w:type="pct"/>
            <w:gridSpan w:val="10"/>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DCCF0D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2A3F8DB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7B0F39D" w14:textId="77777777">
        <w:trPr>
          <w:divId w:val="1351371128"/>
          <w:jc w:val="center"/>
        </w:trPr>
        <w:tc>
          <w:tcPr>
            <w:tcW w:w="1369" w:type="pct"/>
            <w:tcBorders>
              <w:bottom w:val="single" w:sz="6" w:space="0" w:color="000000"/>
            </w:tcBorders>
            <w:shd w:val="clear" w:color="auto" w:fill="FFFFFF"/>
            <w:tcMar>
              <w:top w:w="15" w:type="dxa"/>
              <w:left w:w="0" w:type="dxa"/>
              <w:bottom w:w="0" w:type="dxa"/>
              <w:right w:w="15" w:type="dxa"/>
            </w:tcMar>
            <w:vAlign w:val="bottom"/>
            <w:hideMark/>
          </w:tcPr>
          <w:p w14:paraId="650532D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50" w:type="pct"/>
            <w:shd w:val="clear" w:color="auto" w:fill="FFFFFF"/>
            <w:tcMar>
              <w:top w:w="15" w:type="dxa"/>
              <w:left w:w="0" w:type="dxa"/>
              <w:bottom w:w="0" w:type="dxa"/>
              <w:right w:w="15" w:type="dxa"/>
            </w:tcMar>
            <w:vAlign w:val="bottom"/>
            <w:hideMark/>
          </w:tcPr>
          <w:p w14:paraId="137C1DA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B8B38D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Previously Reported</w:t>
            </w:r>
          </w:p>
        </w:tc>
        <w:tc>
          <w:tcPr>
            <w:tcW w:w="50" w:type="pct"/>
            <w:shd w:val="clear" w:color="auto" w:fill="FFFFFF"/>
            <w:noWrap/>
            <w:tcMar>
              <w:top w:w="15" w:type="dxa"/>
              <w:left w:w="0" w:type="dxa"/>
              <w:bottom w:w="0" w:type="dxa"/>
              <w:right w:w="15" w:type="dxa"/>
            </w:tcMar>
            <w:vAlign w:val="bottom"/>
            <w:hideMark/>
          </w:tcPr>
          <w:p w14:paraId="47102C0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5276E56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64BBC3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Adjustments</w:t>
            </w:r>
          </w:p>
        </w:tc>
        <w:tc>
          <w:tcPr>
            <w:tcW w:w="50" w:type="pct"/>
            <w:shd w:val="clear" w:color="auto" w:fill="FFFFFF"/>
            <w:noWrap/>
            <w:tcMar>
              <w:top w:w="15" w:type="dxa"/>
              <w:left w:w="0" w:type="dxa"/>
              <w:bottom w:w="0" w:type="dxa"/>
              <w:right w:w="15" w:type="dxa"/>
            </w:tcMar>
            <w:vAlign w:val="bottom"/>
            <w:hideMark/>
          </w:tcPr>
          <w:p w14:paraId="127F95D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43A4447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E3E15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Adjusted</w:t>
            </w:r>
          </w:p>
        </w:tc>
        <w:tc>
          <w:tcPr>
            <w:tcW w:w="50" w:type="pct"/>
            <w:shd w:val="clear" w:color="auto" w:fill="FFFFFF"/>
            <w:noWrap/>
            <w:tcMar>
              <w:top w:w="15" w:type="dxa"/>
              <w:left w:w="0" w:type="dxa"/>
              <w:bottom w:w="0" w:type="dxa"/>
              <w:right w:w="15" w:type="dxa"/>
            </w:tcMar>
            <w:vAlign w:val="bottom"/>
            <w:hideMark/>
          </w:tcPr>
          <w:p w14:paraId="3448014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496699C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26209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Previously Reported</w:t>
            </w:r>
          </w:p>
        </w:tc>
        <w:tc>
          <w:tcPr>
            <w:tcW w:w="50" w:type="pct"/>
            <w:shd w:val="clear" w:color="auto" w:fill="FFFFFF"/>
            <w:noWrap/>
            <w:tcMar>
              <w:top w:w="15" w:type="dxa"/>
              <w:left w:w="0" w:type="dxa"/>
              <w:bottom w:w="0" w:type="dxa"/>
              <w:right w:w="15" w:type="dxa"/>
            </w:tcMar>
            <w:vAlign w:val="bottom"/>
            <w:hideMark/>
          </w:tcPr>
          <w:p w14:paraId="51BDFF2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00F2460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7527A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Adjustments</w:t>
            </w:r>
          </w:p>
        </w:tc>
        <w:tc>
          <w:tcPr>
            <w:tcW w:w="50" w:type="pct"/>
            <w:shd w:val="clear" w:color="auto" w:fill="FFFFFF"/>
            <w:noWrap/>
            <w:tcMar>
              <w:top w:w="15" w:type="dxa"/>
              <w:left w:w="0" w:type="dxa"/>
              <w:bottom w:w="0" w:type="dxa"/>
              <w:right w:w="15" w:type="dxa"/>
            </w:tcMar>
            <w:vAlign w:val="bottom"/>
            <w:hideMark/>
          </w:tcPr>
          <w:p w14:paraId="4E7EF27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7729428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EB34A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Adjusted</w:t>
            </w:r>
          </w:p>
        </w:tc>
        <w:tc>
          <w:tcPr>
            <w:tcW w:w="50" w:type="pct"/>
            <w:shd w:val="clear" w:color="auto" w:fill="FFFFFF"/>
            <w:noWrap/>
            <w:tcMar>
              <w:top w:w="15" w:type="dxa"/>
              <w:left w:w="0" w:type="dxa"/>
              <w:bottom w:w="0" w:type="dxa"/>
              <w:right w:w="15" w:type="dxa"/>
            </w:tcMar>
            <w:vAlign w:val="bottom"/>
            <w:hideMark/>
          </w:tcPr>
          <w:p w14:paraId="4E50AAB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CD98706" w14:textId="77777777">
        <w:trPr>
          <w:divId w:val="1351371128"/>
          <w:jc w:val="center"/>
        </w:trPr>
        <w:tc>
          <w:tcPr>
            <w:tcW w:w="1369" w:type="pct"/>
            <w:tcBorders>
              <w:top w:val="single" w:sz="6" w:space="0" w:color="000000"/>
            </w:tcBorders>
            <w:shd w:val="clear" w:color="auto" w:fill="CFF0FC"/>
            <w:tcMar>
              <w:top w:w="15" w:type="dxa"/>
              <w:left w:w="0" w:type="dxa"/>
              <w:bottom w:w="0" w:type="dxa"/>
              <w:right w:w="15" w:type="dxa"/>
            </w:tcMar>
            <w:hideMark/>
          </w:tcPr>
          <w:p w14:paraId="2A7E811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Total revenues</w:t>
            </w:r>
          </w:p>
        </w:tc>
        <w:tc>
          <w:tcPr>
            <w:tcW w:w="50" w:type="pct"/>
            <w:shd w:val="clear" w:color="auto" w:fill="CFF0FC"/>
            <w:tcMar>
              <w:top w:w="15" w:type="dxa"/>
              <w:left w:w="0" w:type="dxa"/>
              <w:bottom w:w="0" w:type="dxa"/>
              <w:right w:w="15" w:type="dxa"/>
            </w:tcMar>
            <w:vAlign w:val="bottom"/>
            <w:hideMark/>
          </w:tcPr>
          <w:p w14:paraId="522A110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2DC786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4F0339F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39,831</w:t>
            </w:r>
          </w:p>
        </w:tc>
        <w:tc>
          <w:tcPr>
            <w:tcW w:w="50" w:type="pct"/>
            <w:shd w:val="clear" w:color="auto" w:fill="CFF0FC"/>
            <w:noWrap/>
            <w:tcMar>
              <w:top w:w="15" w:type="dxa"/>
              <w:left w:w="0" w:type="dxa"/>
              <w:bottom w:w="0" w:type="dxa"/>
              <w:right w:w="15" w:type="dxa"/>
            </w:tcMar>
            <w:vAlign w:val="bottom"/>
            <w:hideMark/>
          </w:tcPr>
          <w:p w14:paraId="49D2B36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333A7DD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FA9D1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5A6A2C9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(448</w:t>
            </w:r>
          </w:p>
        </w:tc>
        <w:tc>
          <w:tcPr>
            <w:tcW w:w="50" w:type="pct"/>
            <w:shd w:val="clear" w:color="auto" w:fill="CFF0FC"/>
            <w:noWrap/>
            <w:tcMar>
              <w:top w:w="15" w:type="dxa"/>
              <w:left w:w="0" w:type="dxa"/>
              <w:bottom w:w="0" w:type="dxa"/>
              <w:right w:w="15" w:type="dxa"/>
            </w:tcMar>
            <w:vAlign w:val="bottom"/>
            <w:hideMark/>
          </w:tcPr>
          <w:p w14:paraId="363E5D0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left w:w="0" w:type="dxa"/>
              <w:bottom w:w="0" w:type="dxa"/>
              <w:right w:w="15" w:type="dxa"/>
            </w:tcMar>
            <w:vAlign w:val="bottom"/>
            <w:hideMark/>
          </w:tcPr>
          <w:p w14:paraId="11838ECB"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09AC8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312CAC6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39,383</w:t>
            </w:r>
          </w:p>
        </w:tc>
        <w:tc>
          <w:tcPr>
            <w:tcW w:w="50" w:type="pct"/>
            <w:shd w:val="clear" w:color="auto" w:fill="CFF0FC"/>
            <w:noWrap/>
            <w:tcMar>
              <w:top w:w="15" w:type="dxa"/>
              <w:left w:w="0" w:type="dxa"/>
              <w:bottom w:w="0" w:type="dxa"/>
              <w:right w:w="15" w:type="dxa"/>
            </w:tcMar>
            <w:vAlign w:val="bottom"/>
            <w:hideMark/>
          </w:tcPr>
          <w:p w14:paraId="19DDF07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725EB5E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766E3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786EE61B"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37,728</w:t>
            </w:r>
          </w:p>
        </w:tc>
        <w:tc>
          <w:tcPr>
            <w:tcW w:w="50" w:type="pct"/>
            <w:shd w:val="clear" w:color="auto" w:fill="CFF0FC"/>
            <w:noWrap/>
            <w:tcMar>
              <w:top w:w="15" w:type="dxa"/>
              <w:left w:w="0" w:type="dxa"/>
              <w:bottom w:w="0" w:type="dxa"/>
              <w:right w:w="15" w:type="dxa"/>
            </w:tcMar>
            <w:vAlign w:val="bottom"/>
            <w:hideMark/>
          </w:tcPr>
          <w:p w14:paraId="517E878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7E2136B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B3C853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3BD033B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64</w:t>
            </w:r>
          </w:p>
        </w:tc>
        <w:tc>
          <w:tcPr>
            <w:tcW w:w="50" w:type="pct"/>
            <w:shd w:val="clear" w:color="auto" w:fill="CFF0FC"/>
            <w:noWrap/>
            <w:tcMar>
              <w:top w:w="15" w:type="dxa"/>
              <w:left w:w="0" w:type="dxa"/>
              <w:bottom w:w="0" w:type="dxa"/>
              <w:right w:w="15" w:type="dxa"/>
            </w:tcMar>
            <w:vAlign w:val="bottom"/>
            <w:hideMark/>
          </w:tcPr>
          <w:p w14:paraId="3D5D33B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3B9703AC"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B74BCC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387B936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37,792</w:t>
            </w:r>
          </w:p>
        </w:tc>
        <w:tc>
          <w:tcPr>
            <w:tcW w:w="50" w:type="pct"/>
            <w:shd w:val="clear" w:color="auto" w:fill="CFF0FC"/>
            <w:noWrap/>
            <w:tcMar>
              <w:top w:w="15" w:type="dxa"/>
              <w:left w:w="0" w:type="dxa"/>
              <w:bottom w:w="0" w:type="dxa"/>
              <w:right w:w="15" w:type="dxa"/>
            </w:tcMar>
            <w:vAlign w:val="bottom"/>
            <w:hideMark/>
          </w:tcPr>
          <w:p w14:paraId="77D1F60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3C425083" w14:textId="77777777">
        <w:trPr>
          <w:divId w:val="1351371128"/>
          <w:jc w:val="center"/>
        </w:trPr>
        <w:tc>
          <w:tcPr>
            <w:tcW w:w="1369" w:type="pct"/>
            <w:shd w:val="clear" w:color="auto" w:fill="FFFFFF"/>
            <w:tcMar>
              <w:top w:w="15" w:type="dxa"/>
              <w:left w:w="0" w:type="dxa"/>
              <w:bottom w:w="0" w:type="dxa"/>
              <w:right w:w="15" w:type="dxa"/>
            </w:tcMar>
            <w:hideMark/>
          </w:tcPr>
          <w:p w14:paraId="501DC87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Total operating expenses</w:t>
            </w:r>
          </w:p>
        </w:tc>
        <w:tc>
          <w:tcPr>
            <w:tcW w:w="50" w:type="pct"/>
            <w:shd w:val="clear" w:color="auto" w:fill="FFFFFF"/>
            <w:tcMar>
              <w:top w:w="15" w:type="dxa"/>
              <w:left w:w="0" w:type="dxa"/>
              <w:bottom w:w="0" w:type="dxa"/>
              <w:right w:w="15" w:type="dxa"/>
            </w:tcMar>
            <w:vAlign w:val="bottom"/>
            <w:hideMark/>
          </w:tcPr>
          <w:p w14:paraId="21A094E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87C948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left w:w="0" w:type="dxa"/>
              <w:bottom w:w="0" w:type="dxa"/>
              <w:right w:w="15" w:type="dxa"/>
            </w:tcMar>
            <w:vAlign w:val="bottom"/>
            <w:hideMark/>
          </w:tcPr>
          <w:p w14:paraId="4E5A73C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26,152</w:t>
            </w:r>
          </w:p>
        </w:tc>
        <w:tc>
          <w:tcPr>
            <w:tcW w:w="50" w:type="pct"/>
            <w:shd w:val="clear" w:color="auto" w:fill="FFFFFF"/>
            <w:noWrap/>
            <w:tcMar>
              <w:top w:w="15" w:type="dxa"/>
              <w:left w:w="0" w:type="dxa"/>
              <w:bottom w:w="0" w:type="dxa"/>
              <w:right w:w="15" w:type="dxa"/>
            </w:tcMar>
            <w:vAlign w:val="bottom"/>
            <w:hideMark/>
          </w:tcPr>
          <w:p w14:paraId="7F19763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0ED9B1D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5087667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7573686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(33</w:t>
            </w:r>
          </w:p>
        </w:tc>
        <w:tc>
          <w:tcPr>
            <w:tcW w:w="50" w:type="pct"/>
            <w:shd w:val="clear" w:color="auto" w:fill="FFFFFF"/>
            <w:noWrap/>
            <w:tcMar>
              <w:top w:w="15" w:type="dxa"/>
              <w:left w:w="0" w:type="dxa"/>
              <w:bottom w:w="0" w:type="dxa"/>
              <w:right w:w="15" w:type="dxa"/>
            </w:tcMar>
            <w:vAlign w:val="bottom"/>
            <w:hideMark/>
          </w:tcPr>
          <w:p w14:paraId="677A257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tcMar>
              <w:top w:w="15" w:type="dxa"/>
              <w:left w:w="0" w:type="dxa"/>
              <w:bottom w:w="0" w:type="dxa"/>
              <w:right w:w="15" w:type="dxa"/>
            </w:tcMar>
            <w:vAlign w:val="bottom"/>
            <w:hideMark/>
          </w:tcPr>
          <w:p w14:paraId="53FB4607"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9BA5C8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2D7D572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26,119</w:t>
            </w:r>
          </w:p>
        </w:tc>
        <w:tc>
          <w:tcPr>
            <w:tcW w:w="50" w:type="pct"/>
            <w:shd w:val="clear" w:color="auto" w:fill="FFFFFF"/>
            <w:noWrap/>
            <w:tcMar>
              <w:top w:w="15" w:type="dxa"/>
              <w:left w:w="0" w:type="dxa"/>
              <w:bottom w:w="0" w:type="dxa"/>
              <w:right w:w="15" w:type="dxa"/>
            </w:tcMar>
            <w:vAlign w:val="bottom"/>
            <w:hideMark/>
          </w:tcPr>
          <w:p w14:paraId="3C863DE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0501979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92253E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left w:w="0" w:type="dxa"/>
              <w:bottom w:w="0" w:type="dxa"/>
              <w:right w:w="15" w:type="dxa"/>
            </w:tcMar>
            <w:vAlign w:val="bottom"/>
            <w:hideMark/>
          </w:tcPr>
          <w:p w14:paraId="24FA888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25,018</w:t>
            </w:r>
          </w:p>
        </w:tc>
        <w:tc>
          <w:tcPr>
            <w:tcW w:w="50" w:type="pct"/>
            <w:shd w:val="clear" w:color="auto" w:fill="FFFFFF"/>
            <w:noWrap/>
            <w:tcMar>
              <w:top w:w="15" w:type="dxa"/>
              <w:left w:w="0" w:type="dxa"/>
              <w:bottom w:w="0" w:type="dxa"/>
              <w:right w:w="15" w:type="dxa"/>
            </w:tcMar>
            <w:vAlign w:val="bottom"/>
            <w:hideMark/>
          </w:tcPr>
          <w:p w14:paraId="3A54B6A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5EEFF81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70C5E0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707FC85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(139</w:t>
            </w:r>
          </w:p>
        </w:tc>
        <w:tc>
          <w:tcPr>
            <w:tcW w:w="50" w:type="pct"/>
            <w:shd w:val="clear" w:color="auto" w:fill="FFFFFF"/>
            <w:noWrap/>
            <w:tcMar>
              <w:top w:w="15" w:type="dxa"/>
              <w:left w:w="0" w:type="dxa"/>
              <w:bottom w:w="0" w:type="dxa"/>
              <w:right w:w="15" w:type="dxa"/>
            </w:tcMar>
            <w:vAlign w:val="bottom"/>
            <w:hideMark/>
          </w:tcPr>
          <w:p w14:paraId="7135D2B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tcMar>
              <w:top w:w="15" w:type="dxa"/>
              <w:left w:w="0" w:type="dxa"/>
              <w:bottom w:w="0" w:type="dxa"/>
              <w:right w:w="15" w:type="dxa"/>
            </w:tcMar>
            <w:vAlign w:val="bottom"/>
            <w:hideMark/>
          </w:tcPr>
          <w:p w14:paraId="38E10B3F"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C79513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452DA94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24,879</w:t>
            </w:r>
          </w:p>
        </w:tc>
        <w:tc>
          <w:tcPr>
            <w:tcW w:w="50" w:type="pct"/>
            <w:shd w:val="clear" w:color="auto" w:fill="FFFFFF"/>
            <w:noWrap/>
            <w:tcMar>
              <w:top w:w="15" w:type="dxa"/>
              <w:left w:w="0" w:type="dxa"/>
              <w:bottom w:w="0" w:type="dxa"/>
              <w:right w:w="15" w:type="dxa"/>
            </w:tcMar>
            <w:vAlign w:val="bottom"/>
            <w:hideMark/>
          </w:tcPr>
          <w:p w14:paraId="03C51EF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5F6EFD74" w14:textId="77777777">
        <w:trPr>
          <w:divId w:val="1351371128"/>
          <w:jc w:val="center"/>
        </w:trPr>
        <w:tc>
          <w:tcPr>
            <w:tcW w:w="1369" w:type="pct"/>
            <w:shd w:val="clear" w:color="auto" w:fill="CFF0FC"/>
            <w:tcMar>
              <w:top w:w="15" w:type="dxa"/>
              <w:left w:w="0" w:type="dxa"/>
              <w:bottom w:w="0" w:type="dxa"/>
              <w:right w:w="15" w:type="dxa"/>
            </w:tcMar>
            <w:hideMark/>
          </w:tcPr>
          <w:p w14:paraId="5717767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Non-operating income, net</w:t>
            </w:r>
          </w:p>
        </w:tc>
        <w:tc>
          <w:tcPr>
            <w:tcW w:w="50" w:type="pct"/>
            <w:shd w:val="clear" w:color="auto" w:fill="CFF0FC"/>
            <w:tcMar>
              <w:top w:w="15" w:type="dxa"/>
              <w:left w:w="0" w:type="dxa"/>
              <w:bottom w:w="0" w:type="dxa"/>
              <w:right w:w="15" w:type="dxa"/>
            </w:tcMar>
            <w:vAlign w:val="bottom"/>
            <w:hideMark/>
          </w:tcPr>
          <w:p w14:paraId="3A27F0D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94F6AD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CFF0FC"/>
            <w:noWrap/>
            <w:tcMar>
              <w:top w:w="15" w:type="dxa"/>
              <w:left w:w="0" w:type="dxa"/>
              <w:bottom w:w="0" w:type="dxa"/>
              <w:right w:w="15" w:type="dxa"/>
            </w:tcMar>
            <w:vAlign w:val="bottom"/>
            <w:hideMark/>
          </w:tcPr>
          <w:p w14:paraId="66C32BF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1,237</w:t>
            </w:r>
          </w:p>
        </w:tc>
        <w:tc>
          <w:tcPr>
            <w:tcW w:w="50" w:type="pct"/>
            <w:shd w:val="clear" w:color="auto" w:fill="CFF0FC"/>
            <w:noWrap/>
            <w:tcMar>
              <w:top w:w="15" w:type="dxa"/>
              <w:left w:w="0" w:type="dxa"/>
              <w:bottom w:w="0" w:type="dxa"/>
              <w:right w:w="15" w:type="dxa"/>
            </w:tcMar>
            <w:vAlign w:val="bottom"/>
            <w:hideMark/>
          </w:tcPr>
          <w:p w14:paraId="687AD62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4B77A40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7DCDAB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7EC06CF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(52</w:t>
            </w:r>
          </w:p>
        </w:tc>
        <w:tc>
          <w:tcPr>
            <w:tcW w:w="50" w:type="pct"/>
            <w:shd w:val="clear" w:color="auto" w:fill="CFF0FC"/>
            <w:noWrap/>
            <w:tcMar>
              <w:top w:w="15" w:type="dxa"/>
              <w:left w:w="0" w:type="dxa"/>
              <w:bottom w:w="0" w:type="dxa"/>
              <w:right w:w="15" w:type="dxa"/>
            </w:tcMar>
            <w:vAlign w:val="bottom"/>
            <w:hideMark/>
          </w:tcPr>
          <w:p w14:paraId="3720ED3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left w:w="0" w:type="dxa"/>
              <w:bottom w:w="0" w:type="dxa"/>
              <w:right w:w="15" w:type="dxa"/>
            </w:tcMar>
            <w:vAlign w:val="bottom"/>
            <w:hideMark/>
          </w:tcPr>
          <w:p w14:paraId="0539145A"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79CE6B1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7EEFBD4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1,185</w:t>
            </w:r>
          </w:p>
        </w:tc>
        <w:tc>
          <w:tcPr>
            <w:tcW w:w="50" w:type="pct"/>
            <w:shd w:val="clear" w:color="auto" w:fill="CFF0FC"/>
            <w:noWrap/>
            <w:tcMar>
              <w:top w:w="15" w:type="dxa"/>
              <w:left w:w="0" w:type="dxa"/>
              <w:bottom w:w="0" w:type="dxa"/>
              <w:right w:w="15" w:type="dxa"/>
            </w:tcMar>
            <w:vAlign w:val="bottom"/>
            <w:hideMark/>
          </w:tcPr>
          <w:p w14:paraId="4E3E32B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432CD7D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A6258B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CFF0FC"/>
            <w:noWrap/>
            <w:tcMar>
              <w:top w:w="15" w:type="dxa"/>
              <w:left w:w="0" w:type="dxa"/>
              <w:bottom w:w="0" w:type="dxa"/>
              <w:right w:w="15" w:type="dxa"/>
            </w:tcMar>
            <w:vAlign w:val="bottom"/>
            <w:hideMark/>
          </w:tcPr>
          <w:p w14:paraId="19F2EC2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605</w:t>
            </w:r>
          </w:p>
        </w:tc>
        <w:tc>
          <w:tcPr>
            <w:tcW w:w="50" w:type="pct"/>
            <w:shd w:val="clear" w:color="auto" w:fill="CFF0FC"/>
            <w:noWrap/>
            <w:tcMar>
              <w:top w:w="15" w:type="dxa"/>
              <w:left w:w="0" w:type="dxa"/>
              <w:bottom w:w="0" w:type="dxa"/>
              <w:right w:w="15" w:type="dxa"/>
            </w:tcMar>
            <w:vAlign w:val="bottom"/>
            <w:hideMark/>
          </w:tcPr>
          <w:p w14:paraId="175A756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0457A79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1C5599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7B0BF5B6"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(40</w:t>
            </w:r>
          </w:p>
        </w:tc>
        <w:tc>
          <w:tcPr>
            <w:tcW w:w="50" w:type="pct"/>
            <w:shd w:val="clear" w:color="auto" w:fill="CFF0FC"/>
            <w:noWrap/>
            <w:tcMar>
              <w:top w:w="15" w:type="dxa"/>
              <w:left w:w="0" w:type="dxa"/>
              <w:bottom w:w="0" w:type="dxa"/>
              <w:right w:w="15" w:type="dxa"/>
            </w:tcMar>
            <w:vAlign w:val="bottom"/>
            <w:hideMark/>
          </w:tcPr>
          <w:p w14:paraId="14DE35D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left w:w="0" w:type="dxa"/>
              <w:bottom w:w="0" w:type="dxa"/>
              <w:right w:w="15" w:type="dxa"/>
            </w:tcMar>
            <w:vAlign w:val="bottom"/>
            <w:hideMark/>
          </w:tcPr>
          <w:p w14:paraId="2BC524BF"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51F757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62EA84B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565</w:t>
            </w:r>
          </w:p>
        </w:tc>
        <w:tc>
          <w:tcPr>
            <w:tcW w:w="50" w:type="pct"/>
            <w:shd w:val="clear" w:color="auto" w:fill="CFF0FC"/>
            <w:noWrap/>
            <w:tcMar>
              <w:top w:w="15" w:type="dxa"/>
              <w:left w:w="0" w:type="dxa"/>
              <w:bottom w:w="0" w:type="dxa"/>
              <w:right w:w="15" w:type="dxa"/>
            </w:tcMar>
            <w:vAlign w:val="bottom"/>
            <w:hideMark/>
          </w:tcPr>
          <w:p w14:paraId="59F3221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5B5F428A" w14:textId="77777777">
        <w:trPr>
          <w:divId w:val="1351371128"/>
          <w:jc w:val="center"/>
        </w:trPr>
        <w:tc>
          <w:tcPr>
            <w:tcW w:w="1369" w:type="pct"/>
            <w:shd w:val="clear" w:color="auto" w:fill="FFFFFF"/>
            <w:tcMar>
              <w:top w:w="15" w:type="dxa"/>
              <w:left w:w="0" w:type="dxa"/>
              <w:bottom w:w="0" w:type="dxa"/>
              <w:right w:w="15" w:type="dxa"/>
            </w:tcMar>
            <w:hideMark/>
          </w:tcPr>
          <w:p w14:paraId="3FFE411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Provision for income taxes</w:t>
            </w:r>
          </w:p>
        </w:tc>
        <w:tc>
          <w:tcPr>
            <w:tcW w:w="50" w:type="pct"/>
            <w:shd w:val="clear" w:color="auto" w:fill="FFFFFF"/>
            <w:tcMar>
              <w:top w:w="15" w:type="dxa"/>
              <w:left w:w="0" w:type="dxa"/>
              <w:bottom w:w="0" w:type="dxa"/>
              <w:right w:w="15" w:type="dxa"/>
            </w:tcMar>
            <w:vAlign w:val="bottom"/>
            <w:hideMark/>
          </w:tcPr>
          <w:p w14:paraId="1813725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D1701F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left w:w="0" w:type="dxa"/>
              <w:bottom w:w="0" w:type="dxa"/>
              <w:right w:w="15" w:type="dxa"/>
            </w:tcMar>
            <w:vAlign w:val="bottom"/>
            <w:hideMark/>
          </w:tcPr>
          <w:p w14:paraId="36B2888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9,066</w:t>
            </w:r>
          </w:p>
        </w:tc>
        <w:tc>
          <w:tcPr>
            <w:tcW w:w="50" w:type="pct"/>
            <w:shd w:val="clear" w:color="auto" w:fill="FFFFFF"/>
            <w:noWrap/>
            <w:tcMar>
              <w:top w:w="15" w:type="dxa"/>
              <w:left w:w="0" w:type="dxa"/>
              <w:bottom w:w="0" w:type="dxa"/>
              <w:right w:w="15" w:type="dxa"/>
            </w:tcMar>
            <w:vAlign w:val="bottom"/>
            <w:hideMark/>
          </w:tcPr>
          <w:p w14:paraId="7A2CF7F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2A32874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F7D0EC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2BABD90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(229</w:t>
            </w:r>
          </w:p>
        </w:tc>
        <w:tc>
          <w:tcPr>
            <w:tcW w:w="50" w:type="pct"/>
            <w:shd w:val="clear" w:color="auto" w:fill="FFFFFF"/>
            <w:noWrap/>
            <w:tcMar>
              <w:top w:w="15" w:type="dxa"/>
              <w:left w:w="0" w:type="dxa"/>
              <w:bottom w:w="0" w:type="dxa"/>
              <w:right w:w="15" w:type="dxa"/>
            </w:tcMar>
            <w:vAlign w:val="bottom"/>
            <w:hideMark/>
          </w:tcPr>
          <w:p w14:paraId="7AB1D65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tcMar>
              <w:top w:w="15" w:type="dxa"/>
              <w:left w:w="0" w:type="dxa"/>
              <w:bottom w:w="0" w:type="dxa"/>
              <w:right w:w="15" w:type="dxa"/>
            </w:tcMar>
            <w:vAlign w:val="bottom"/>
            <w:hideMark/>
          </w:tcPr>
          <w:p w14:paraId="137941B8"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DDAEF9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4326FD4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8,837</w:t>
            </w:r>
          </w:p>
        </w:tc>
        <w:tc>
          <w:tcPr>
            <w:tcW w:w="50" w:type="pct"/>
            <w:shd w:val="clear" w:color="auto" w:fill="FFFFFF"/>
            <w:noWrap/>
            <w:tcMar>
              <w:top w:w="15" w:type="dxa"/>
              <w:left w:w="0" w:type="dxa"/>
              <w:bottom w:w="0" w:type="dxa"/>
              <w:right w:w="15" w:type="dxa"/>
            </w:tcMar>
            <w:vAlign w:val="bottom"/>
            <w:hideMark/>
          </w:tcPr>
          <w:p w14:paraId="49CE685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0E851D7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3C7DB2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left w:w="0" w:type="dxa"/>
              <w:bottom w:w="0" w:type="dxa"/>
              <w:right w:w="15" w:type="dxa"/>
            </w:tcMar>
            <w:vAlign w:val="bottom"/>
            <w:hideMark/>
          </w:tcPr>
          <w:p w14:paraId="452F7C9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2,182</w:t>
            </w:r>
          </w:p>
        </w:tc>
        <w:tc>
          <w:tcPr>
            <w:tcW w:w="50" w:type="pct"/>
            <w:shd w:val="clear" w:color="auto" w:fill="FFFFFF"/>
            <w:noWrap/>
            <w:tcMar>
              <w:top w:w="15" w:type="dxa"/>
              <w:left w:w="0" w:type="dxa"/>
              <w:bottom w:w="0" w:type="dxa"/>
              <w:right w:w="15" w:type="dxa"/>
            </w:tcMar>
            <w:vAlign w:val="bottom"/>
            <w:hideMark/>
          </w:tcPr>
          <w:p w14:paraId="49CAF49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0A15E88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58621D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05CD01B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46</w:t>
            </w:r>
          </w:p>
        </w:tc>
        <w:tc>
          <w:tcPr>
            <w:tcW w:w="50" w:type="pct"/>
            <w:shd w:val="clear" w:color="auto" w:fill="FFFFFF"/>
            <w:noWrap/>
            <w:tcMar>
              <w:top w:w="15" w:type="dxa"/>
              <w:left w:w="0" w:type="dxa"/>
              <w:bottom w:w="0" w:type="dxa"/>
              <w:right w:w="15" w:type="dxa"/>
            </w:tcMar>
            <w:vAlign w:val="bottom"/>
            <w:hideMark/>
          </w:tcPr>
          <w:p w14:paraId="24C6627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69BCBC3B"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88E227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4FCBF7F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2,228</w:t>
            </w:r>
          </w:p>
        </w:tc>
        <w:tc>
          <w:tcPr>
            <w:tcW w:w="50" w:type="pct"/>
            <w:shd w:val="clear" w:color="auto" w:fill="FFFFFF"/>
            <w:noWrap/>
            <w:tcMar>
              <w:top w:w="15" w:type="dxa"/>
              <w:left w:w="0" w:type="dxa"/>
              <w:bottom w:w="0" w:type="dxa"/>
              <w:right w:w="15" w:type="dxa"/>
            </w:tcMar>
            <w:vAlign w:val="bottom"/>
            <w:hideMark/>
          </w:tcPr>
          <w:p w14:paraId="5EF4409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5745BC0B" w14:textId="77777777">
        <w:trPr>
          <w:divId w:val="1351371128"/>
          <w:jc w:val="center"/>
        </w:trPr>
        <w:tc>
          <w:tcPr>
            <w:tcW w:w="1369" w:type="pct"/>
            <w:shd w:val="clear" w:color="auto" w:fill="CFF0FC"/>
            <w:tcMar>
              <w:top w:w="15" w:type="dxa"/>
              <w:left w:w="0" w:type="dxa"/>
              <w:bottom w:w="0" w:type="dxa"/>
              <w:right w:w="15" w:type="dxa"/>
            </w:tcMar>
            <w:hideMark/>
          </w:tcPr>
          <w:p w14:paraId="708885D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Net income</w:t>
            </w:r>
          </w:p>
        </w:tc>
        <w:tc>
          <w:tcPr>
            <w:tcW w:w="50" w:type="pct"/>
            <w:shd w:val="clear" w:color="auto" w:fill="CFF0FC"/>
            <w:tcMar>
              <w:top w:w="15" w:type="dxa"/>
              <w:left w:w="0" w:type="dxa"/>
              <w:bottom w:w="0" w:type="dxa"/>
              <w:right w:w="15" w:type="dxa"/>
            </w:tcMar>
            <w:vAlign w:val="bottom"/>
            <w:hideMark/>
          </w:tcPr>
          <w:p w14:paraId="4084786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50BF0D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CFF0FC"/>
            <w:noWrap/>
            <w:tcMar>
              <w:top w:w="15" w:type="dxa"/>
              <w:left w:w="0" w:type="dxa"/>
              <w:bottom w:w="0" w:type="dxa"/>
              <w:right w:w="15" w:type="dxa"/>
            </w:tcMar>
            <w:vAlign w:val="bottom"/>
            <w:hideMark/>
          </w:tcPr>
          <w:p w14:paraId="262357C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3,825</w:t>
            </w:r>
          </w:p>
        </w:tc>
        <w:tc>
          <w:tcPr>
            <w:tcW w:w="50" w:type="pct"/>
            <w:shd w:val="clear" w:color="auto" w:fill="CFF0FC"/>
            <w:noWrap/>
            <w:tcMar>
              <w:top w:w="15" w:type="dxa"/>
              <w:left w:w="0" w:type="dxa"/>
              <w:bottom w:w="0" w:type="dxa"/>
              <w:right w:w="15" w:type="dxa"/>
            </w:tcMar>
            <w:vAlign w:val="bottom"/>
            <w:hideMark/>
          </w:tcPr>
          <w:p w14:paraId="34EA2CF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16CB5C1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297C05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62BA53A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(238</w:t>
            </w:r>
          </w:p>
        </w:tc>
        <w:tc>
          <w:tcPr>
            <w:tcW w:w="50" w:type="pct"/>
            <w:shd w:val="clear" w:color="auto" w:fill="CFF0FC"/>
            <w:noWrap/>
            <w:tcMar>
              <w:top w:w="15" w:type="dxa"/>
              <w:left w:w="0" w:type="dxa"/>
              <w:bottom w:w="0" w:type="dxa"/>
              <w:right w:w="15" w:type="dxa"/>
            </w:tcMar>
            <w:vAlign w:val="bottom"/>
            <w:hideMark/>
          </w:tcPr>
          <w:p w14:paraId="2127C7D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left w:w="0" w:type="dxa"/>
              <w:bottom w:w="0" w:type="dxa"/>
              <w:right w:w="15" w:type="dxa"/>
            </w:tcMar>
            <w:vAlign w:val="bottom"/>
            <w:hideMark/>
          </w:tcPr>
          <w:p w14:paraId="0E2985D4"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69FFD4E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1696A4C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3,587</w:t>
            </w:r>
          </w:p>
        </w:tc>
        <w:tc>
          <w:tcPr>
            <w:tcW w:w="50" w:type="pct"/>
            <w:shd w:val="clear" w:color="auto" w:fill="CFF0FC"/>
            <w:noWrap/>
            <w:tcMar>
              <w:top w:w="15" w:type="dxa"/>
              <w:left w:w="0" w:type="dxa"/>
              <w:bottom w:w="0" w:type="dxa"/>
              <w:right w:w="15" w:type="dxa"/>
            </w:tcMar>
            <w:vAlign w:val="bottom"/>
            <w:hideMark/>
          </w:tcPr>
          <w:p w14:paraId="2C3CA63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2DC039E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27960A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CFF0FC"/>
            <w:noWrap/>
            <w:tcMar>
              <w:top w:w="15" w:type="dxa"/>
              <w:left w:w="0" w:type="dxa"/>
              <w:bottom w:w="0" w:type="dxa"/>
              <w:right w:w="15" w:type="dxa"/>
            </w:tcMar>
            <w:vAlign w:val="bottom"/>
            <w:hideMark/>
          </w:tcPr>
          <w:p w14:paraId="457DC06F"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9,335</w:t>
            </w:r>
          </w:p>
        </w:tc>
        <w:tc>
          <w:tcPr>
            <w:tcW w:w="50" w:type="pct"/>
            <w:shd w:val="clear" w:color="auto" w:fill="CFF0FC"/>
            <w:noWrap/>
            <w:tcMar>
              <w:top w:w="15" w:type="dxa"/>
              <w:left w:w="0" w:type="dxa"/>
              <w:bottom w:w="0" w:type="dxa"/>
              <w:right w:w="15" w:type="dxa"/>
            </w:tcMar>
            <w:vAlign w:val="bottom"/>
            <w:hideMark/>
          </w:tcPr>
          <w:p w14:paraId="044C2D0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7968430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FE13DF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6F11EF8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117</w:t>
            </w:r>
          </w:p>
        </w:tc>
        <w:tc>
          <w:tcPr>
            <w:tcW w:w="50" w:type="pct"/>
            <w:shd w:val="clear" w:color="auto" w:fill="CFF0FC"/>
            <w:noWrap/>
            <w:tcMar>
              <w:top w:w="15" w:type="dxa"/>
              <w:left w:w="0" w:type="dxa"/>
              <w:bottom w:w="0" w:type="dxa"/>
              <w:right w:w="15" w:type="dxa"/>
            </w:tcMar>
            <w:vAlign w:val="bottom"/>
            <w:hideMark/>
          </w:tcPr>
          <w:p w14:paraId="1E1F425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30401ED4"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6EB791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32914B8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9,452</w:t>
            </w:r>
          </w:p>
        </w:tc>
        <w:tc>
          <w:tcPr>
            <w:tcW w:w="50" w:type="pct"/>
            <w:shd w:val="clear" w:color="auto" w:fill="CFF0FC"/>
            <w:noWrap/>
            <w:tcMar>
              <w:top w:w="15" w:type="dxa"/>
              <w:left w:w="0" w:type="dxa"/>
              <w:bottom w:w="0" w:type="dxa"/>
              <w:right w:w="15" w:type="dxa"/>
            </w:tcMar>
            <w:vAlign w:val="bottom"/>
            <w:hideMark/>
          </w:tcPr>
          <w:p w14:paraId="0B0B9AF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39CA4372" w14:textId="77777777">
        <w:trPr>
          <w:divId w:val="1351371128"/>
          <w:jc w:val="center"/>
        </w:trPr>
        <w:tc>
          <w:tcPr>
            <w:tcW w:w="1369" w:type="pct"/>
            <w:shd w:val="clear" w:color="auto" w:fill="FFFFFF"/>
            <w:tcMar>
              <w:top w:w="15" w:type="dxa"/>
              <w:left w:w="0" w:type="dxa"/>
              <w:bottom w:w="0" w:type="dxa"/>
              <w:right w:w="15" w:type="dxa"/>
            </w:tcMar>
            <w:hideMark/>
          </w:tcPr>
          <w:p w14:paraId="294BCD8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Basic earnings per share</w:t>
            </w:r>
          </w:p>
        </w:tc>
        <w:tc>
          <w:tcPr>
            <w:tcW w:w="50" w:type="pct"/>
            <w:shd w:val="clear" w:color="auto" w:fill="FFFFFF"/>
            <w:tcMar>
              <w:top w:w="15" w:type="dxa"/>
              <w:left w:w="0" w:type="dxa"/>
              <w:bottom w:w="0" w:type="dxa"/>
              <w:right w:w="15" w:type="dxa"/>
            </w:tcMar>
            <w:vAlign w:val="bottom"/>
            <w:hideMark/>
          </w:tcPr>
          <w:p w14:paraId="5C19BF7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2D2196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left w:w="0" w:type="dxa"/>
              <w:bottom w:w="0" w:type="dxa"/>
              <w:right w:w="15" w:type="dxa"/>
            </w:tcMar>
            <w:vAlign w:val="bottom"/>
            <w:hideMark/>
          </w:tcPr>
          <w:p w14:paraId="31249B7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0.93</w:t>
            </w:r>
          </w:p>
        </w:tc>
        <w:tc>
          <w:tcPr>
            <w:tcW w:w="50" w:type="pct"/>
            <w:shd w:val="clear" w:color="auto" w:fill="FFFFFF"/>
            <w:noWrap/>
            <w:tcMar>
              <w:top w:w="15" w:type="dxa"/>
              <w:left w:w="0" w:type="dxa"/>
              <w:bottom w:w="0" w:type="dxa"/>
              <w:right w:w="15" w:type="dxa"/>
            </w:tcMar>
            <w:vAlign w:val="bottom"/>
            <w:hideMark/>
          </w:tcPr>
          <w:p w14:paraId="646C2BE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24DCD4F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6E313B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1077793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(0.06</w:t>
            </w:r>
          </w:p>
        </w:tc>
        <w:tc>
          <w:tcPr>
            <w:tcW w:w="50" w:type="pct"/>
            <w:shd w:val="clear" w:color="auto" w:fill="FFFFFF"/>
            <w:noWrap/>
            <w:tcMar>
              <w:top w:w="15" w:type="dxa"/>
              <w:left w:w="0" w:type="dxa"/>
              <w:bottom w:w="0" w:type="dxa"/>
              <w:right w:w="15" w:type="dxa"/>
            </w:tcMar>
            <w:vAlign w:val="bottom"/>
            <w:hideMark/>
          </w:tcPr>
          <w:p w14:paraId="52712B5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tcMar>
              <w:top w:w="15" w:type="dxa"/>
              <w:left w:w="0" w:type="dxa"/>
              <w:bottom w:w="0" w:type="dxa"/>
              <w:right w:w="15" w:type="dxa"/>
            </w:tcMar>
            <w:vAlign w:val="bottom"/>
            <w:hideMark/>
          </w:tcPr>
          <w:p w14:paraId="5A994B1A"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5E306C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3186D99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0.87</w:t>
            </w:r>
          </w:p>
        </w:tc>
        <w:tc>
          <w:tcPr>
            <w:tcW w:w="50" w:type="pct"/>
            <w:shd w:val="clear" w:color="auto" w:fill="FFFFFF"/>
            <w:noWrap/>
            <w:tcMar>
              <w:top w:w="15" w:type="dxa"/>
              <w:left w:w="0" w:type="dxa"/>
              <w:bottom w:w="0" w:type="dxa"/>
              <w:right w:w="15" w:type="dxa"/>
            </w:tcMar>
            <w:vAlign w:val="bottom"/>
            <w:hideMark/>
          </w:tcPr>
          <w:p w14:paraId="1D55D6D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011FA1F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59457F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left w:w="0" w:type="dxa"/>
              <w:bottom w:w="0" w:type="dxa"/>
              <w:right w:w="15" w:type="dxa"/>
            </w:tcMar>
            <w:vAlign w:val="bottom"/>
            <w:hideMark/>
          </w:tcPr>
          <w:p w14:paraId="1700830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2.27</w:t>
            </w:r>
          </w:p>
        </w:tc>
        <w:tc>
          <w:tcPr>
            <w:tcW w:w="50" w:type="pct"/>
            <w:shd w:val="clear" w:color="auto" w:fill="FFFFFF"/>
            <w:noWrap/>
            <w:tcMar>
              <w:top w:w="15" w:type="dxa"/>
              <w:left w:w="0" w:type="dxa"/>
              <w:bottom w:w="0" w:type="dxa"/>
              <w:right w:w="15" w:type="dxa"/>
            </w:tcMar>
            <w:vAlign w:val="bottom"/>
            <w:hideMark/>
          </w:tcPr>
          <w:p w14:paraId="09AF0A4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1B2AB0E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FD200C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4674071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0.03</w:t>
            </w:r>
          </w:p>
        </w:tc>
        <w:tc>
          <w:tcPr>
            <w:tcW w:w="50" w:type="pct"/>
            <w:shd w:val="clear" w:color="auto" w:fill="FFFFFF"/>
            <w:noWrap/>
            <w:tcMar>
              <w:top w:w="15" w:type="dxa"/>
              <w:left w:w="0" w:type="dxa"/>
              <w:bottom w:w="0" w:type="dxa"/>
              <w:right w:w="15" w:type="dxa"/>
            </w:tcMar>
            <w:vAlign w:val="bottom"/>
            <w:hideMark/>
          </w:tcPr>
          <w:p w14:paraId="6C3FE2E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69F19070"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33EF9B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left w:w="0" w:type="dxa"/>
              <w:bottom w:w="0" w:type="dxa"/>
              <w:right w:w="15" w:type="dxa"/>
            </w:tcMar>
            <w:vAlign w:val="bottom"/>
            <w:hideMark/>
          </w:tcPr>
          <w:p w14:paraId="51FEEA4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2.30</w:t>
            </w:r>
          </w:p>
        </w:tc>
        <w:tc>
          <w:tcPr>
            <w:tcW w:w="50" w:type="pct"/>
            <w:shd w:val="clear" w:color="auto" w:fill="FFFFFF"/>
            <w:noWrap/>
            <w:tcMar>
              <w:top w:w="15" w:type="dxa"/>
              <w:left w:w="0" w:type="dxa"/>
              <w:bottom w:w="0" w:type="dxa"/>
              <w:right w:w="15" w:type="dxa"/>
            </w:tcMar>
            <w:vAlign w:val="bottom"/>
            <w:hideMark/>
          </w:tcPr>
          <w:p w14:paraId="3B6F598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2C08B723" w14:textId="77777777">
        <w:trPr>
          <w:divId w:val="1351371128"/>
          <w:jc w:val="center"/>
        </w:trPr>
        <w:tc>
          <w:tcPr>
            <w:tcW w:w="1369" w:type="pct"/>
            <w:shd w:val="clear" w:color="auto" w:fill="CFF0FC"/>
            <w:tcMar>
              <w:top w:w="15" w:type="dxa"/>
              <w:left w:w="0" w:type="dxa"/>
              <w:bottom w:w="0" w:type="dxa"/>
              <w:right w:w="15" w:type="dxa"/>
            </w:tcMar>
            <w:hideMark/>
          </w:tcPr>
          <w:p w14:paraId="1F8A371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Diluted earnings per share</w:t>
            </w:r>
          </w:p>
        </w:tc>
        <w:tc>
          <w:tcPr>
            <w:tcW w:w="50" w:type="pct"/>
            <w:shd w:val="clear" w:color="auto" w:fill="CFF0FC"/>
            <w:tcMar>
              <w:top w:w="15" w:type="dxa"/>
              <w:left w:w="0" w:type="dxa"/>
              <w:bottom w:w="0" w:type="dxa"/>
              <w:right w:w="15" w:type="dxa"/>
            </w:tcMar>
            <w:vAlign w:val="bottom"/>
            <w:hideMark/>
          </w:tcPr>
          <w:p w14:paraId="1471576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B3324F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CFF0FC"/>
            <w:noWrap/>
            <w:tcMar>
              <w:top w:w="15" w:type="dxa"/>
              <w:left w:w="0" w:type="dxa"/>
              <w:bottom w:w="0" w:type="dxa"/>
              <w:right w:w="15" w:type="dxa"/>
            </w:tcMar>
            <w:vAlign w:val="bottom"/>
            <w:hideMark/>
          </w:tcPr>
          <w:p w14:paraId="541F19E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0.90</w:t>
            </w:r>
          </w:p>
        </w:tc>
        <w:tc>
          <w:tcPr>
            <w:tcW w:w="50" w:type="pct"/>
            <w:shd w:val="clear" w:color="auto" w:fill="CFF0FC"/>
            <w:noWrap/>
            <w:tcMar>
              <w:top w:w="15" w:type="dxa"/>
              <w:left w:w="0" w:type="dxa"/>
              <w:bottom w:w="0" w:type="dxa"/>
              <w:right w:w="15" w:type="dxa"/>
            </w:tcMar>
            <w:vAlign w:val="bottom"/>
            <w:hideMark/>
          </w:tcPr>
          <w:p w14:paraId="4831E03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3C73F01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6CE156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6B178D4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(0.05</w:t>
            </w:r>
          </w:p>
        </w:tc>
        <w:tc>
          <w:tcPr>
            <w:tcW w:w="50" w:type="pct"/>
            <w:shd w:val="clear" w:color="auto" w:fill="CFF0FC"/>
            <w:noWrap/>
            <w:tcMar>
              <w:top w:w="15" w:type="dxa"/>
              <w:left w:w="0" w:type="dxa"/>
              <w:bottom w:w="0" w:type="dxa"/>
              <w:right w:w="15" w:type="dxa"/>
            </w:tcMar>
            <w:vAlign w:val="bottom"/>
            <w:hideMark/>
          </w:tcPr>
          <w:p w14:paraId="0193782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left w:w="0" w:type="dxa"/>
              <w:bottom w:w="0" w:type="dxa"/>
              <w:right w:w="15" w:type="dxa"/>
            </w:tcMar>
            <w:vAlign w:val="bottom"/>
            <w:hideMark/>
          </w:tcPr>
          <w:p w14:paraId="1174E276"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C20732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13ED890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0.85</w:t>
            </w:r>
          </w:p>
        </w:tc>
        <w:tc>
          <w:tcPr>
            <w:tcW w:w="50" w:type="pct"/>
            <w:shd w:val="clear" w:color="auto" w:fill="CFF0FC"/>
            <w:noWrap/>
            <w:tcMar>
              <w:top w:w="15" w:type="dxa"/>
              <w:left w:w="0" w:type="dxa"/>
              <w:bottom w:w="0" w:type="dxa"/>
              <w:right w:w="15" w:type="dxa"/>
            </w:tcMar>
            <w:vAlign w:val="bottom"/>
            <w:hideMark/>
          </w:tcPr>
          <w:p w14:paraId="1AAF819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5A0BCE8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1FF0C3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CFF0FC"/>
            <w:noWrap/>
            <w:tcMar>
              <w:top w:w="15" w:type="dxa"/>
              <w:left w:w="0" w:type="dxa"/>
              <w:bottom w:w="0" w:type="dxa"/>
              <w:right w:w="15" w:type="dxa"/>
            </w:tcMar>
            <w:vAlign w:val="bottom"/>
            <w:hideMark/>
          </w:tcPr>
          <w:p w14:paraId="0084D83A"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2.21</w:t>
            </w:r>
          </w:p>
        </w:tc>
        <w:tc>
          <w:tcPr>
            <w:tcW w:w="50" w:type="pct"/>
            <w:shd w:val="clear" w:color="auto" w:fill="CFF0FC"/>
            <w:noWrap/>
            <w:tcMar>
              <w:top w:w="15" w:type="dxa"/>
              <w:left w:w="0" w:type="dxa"/>
              <w:bottom w:w="0" w:type="dxa"/>
              <w:right w:w="15" w:type="dxa"/>
            </w:tcMar>
            <w:vAlign w:val="bottom"/>
            <w:hideMark/>
          </w:tcPr>
          <w:p w14:paraId="0367E3A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4395CC3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64C969E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1DF0BBC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0.03</w:t>
            </w:r>
          </w:p>
        </w:tc>
        <w:tc>
          <w:tcPr>
            <w:tcW w:w="50" w:type="pct"/>
            <w:shd w:val="clear" w:color="auto" w:fill="CFF0FC"/>
            <w:noWrap/>
            <w:tcMar>
              <w:top w:w="15" w:type="dxa"/>
              <w:left w:w="0" w:type="dxa"/>
              <w:bottom w:w="0" w:type="dxa"/>
              <w:right w:w="15" w:type="dxa"/>
            </w:tcMar>
            <w:vAlign w:val="bottom"/>
            <w:hideMark/>
          </w:tcPr>
          <w:p w14:paraId="37609A9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101819EF" w14:textId="77777777" w:rsidR="00251D72" w:rsidRDefault="00251D72">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07A78F5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left w:w="0" w:type="dxa"/>
              <w:bottom w:w="0" w:type="dxa"/>
              <w:right w:w="15" w:type="dxa"/>
            </w:tcMar>
            <w:vAlign w:val="bottom"/>
            <w:hideMark/>
          </w:tcPr>
          <w:p w14:paraId="4232A1D8"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2.24</w:t>
            </w:r>
          </w:p>
        </w:tc>
        <w:tc>
          <w:tcPr>
            <w:tcW w:w="50" w:type="pct"/>
            <w:shd w:val="clear" w:color="auto" w:fill="CFF0FC"/>
            <w:noWrap/>
            <w:tcMar>
              <w:top w:w="15" w:type="dxa"/>
              <w:left w:w="0" w:type="dxa"/>
              <w:bottom w:w="0" w:type="dxa"/>
              <w:right w:w="15" w:type="dxa"/>
            </w:tcMar>
            <w:vAlign w:val="bottom"/>
            <w:hideMark/>
          </w:tcPr>
          <w:p w14:paraId="2B77BFE0"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5668D7C" w14:textId="77777777" w:rsidR="00251D72" w:rsidRDefault="00251D72">
      <w:pPr>
        <w:pStyle w:val="a3"/>
        <w:spacing w:before="120" w:beforeAutospacing="0" w:after="0" w:afterAutospacing="0"/>
        <w:jc w:val="both"/>
      </w:pPr>
      <w:r>
        <w:t> </w:t>
      </w:r>
    </w:p>
    <w:p w14:paraId="2A4EAAB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impact of adopting Topic 606 for select historical consolidated balance sheet line items was as follows:</w:t>
      </w:r>
    </w:p>
    <w:p w14:paraId="26F8BC39"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202"/>
        <w:gridCol w:w="122"/>
        <w:gridCol w:w="103"/>
        <w:gridCol w:w="1165"/>
        <w:gridCol w:w="77"/>
        <w:gridCol w:w="122"/>
        <w:gridCol w:w="103"/>
        <w:gridCol w:w="1014"/>
        <w:gridCol w:w="77"/>
        <w:gridCol w:w="123"/>
        <w:gridCol w:w="102"/>
        <w:gridCol w:w="1018"/>
        <w:gridCol w:w="78"/>
      </w:tblGrid>
      <w:tr w:rsidR="00251D72" w14:paraId="17ED634A" w14:textId="77777777">
        <w:trPr>
          <w:divId w:val="1798139462"/>
          <w:jc w:val="center"/>
        </w:trPr>
        <w:tc>
          <w:tcPr>
            <w:tcW w:w="2532" w:type="pct"/>
            <w:shd w:val="clear" w:color="auto" w:fill="FFFFFF"/>
            <w:tcMar>
              <w:top w:w="15" w:type="dxa"/>
              <w:left w:w="0" w:type="dxa"/>
              <w:bottom w:w="0" w:type="dxa"/>
              <w:right w:w="15" w:type="dxa"/>
            </w:tcMar>
            <w:vAlign w:val="bottom"/>
            <w:hideMark/>
          </w:tcPr>
          <w:p w14:paraId="2F59ACF3" w14:textId="77777777" w:rsidR="00251D72" w:rsidRDefault="00251D72">
            <w:pPr>
              <w:pStyle w:val="a3"/>
              <w:spacing w:before="0" w:beforeAutospacing="0" w:after="0" w:afterAutospacing="0"/>
              <w:jc w:val="center"/>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14:paraId="1E4CC2B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339" w:type="pct"/>
            <w:gridSpan w:val="10"/>
            <w:tcBorders>
              <w:bottom w:val="single" w:sz="6" w:space="0" w:color="000000"/>
            </w:tcBorders>
            <w:shd w:val="clear" w:color="auto" w:fill="FFFFFF"/>
            <w:tcMar>
              <w:top w:w="15" w:type="dxa"/>
              <w:left w:w="0" w:type="dxa"/>
              <w:bottom w:w="0" w:type="dxa"/>
              <w:right w:w="15" w:type="dxa"/>
            </w:tcMar>
            <w:vAlign w:val="bottom"/>
            <w:hideMark/>
          </w:tcPr>
          <w:p w14:paraId="01D7AC0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of May 31, 2018</w:t>
            </w:r>
          </w:p>
        </w:tc>
        <w:tc>
          <w:tcPr>
            <w:tcW w:w="50" w:type="pct"/>
            <w:shd w:val="clear" w:color="auto" w:fill="FFFFFF"/>
            <w:noWrap/>
            <w:tcMar>
              <w:top w:w="15" w:type="dxa"/>
              <w:left w:w="0" w:type="dxa"/>
              <w:bottom w:w="0" w:type="dxa"/>
              <w:right w:w="15" w:type="dxa"/>
            </w:tcMar>
            <w:vAlign w:val="bottom"/>
            <w:hideMark/>
          </w:tcPr>
          <w:p w14:paraId="49F0049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49467A3" w14:textId="77777777">
        <w:trPr>
          <w:divId w:val="1798139462"/>
          <w:jc w:val="center"/>
        </w:trPr>
        <w:tc>
          <w:tcPr>
            <w:tcW w:w="2532" w:type="pct"/>
            <w:tcBorders>
              <w:bottom w:val="single" w:sz="6" w:space="0" w:color="000000"/>
            </w:tcBorders>
            <w:shd w:val="clear" w:color="auto" w:fill="FFFFFF"/>
            <w:tcMar>
              <w:top w:w="15" w:type="dxa"/>
              <w:left w:w="0" w:type="dxa"/>
              <w:bottom w:w="0" w:type="dxa"/>
              <w:right w:w="15" w:type="dxa"/>
            </w:tcMar>
            <w:vAlign w:val="bottom"/>
            <w:hideMark/>
          </w:tcPr>
          <w:p w14:paraId="0906C21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7" w:type="pct"/>
            <w:shd w:val="clear" w:color="auto" w:fill="FFFFFF"/>
            <w:tcMar>
              <w:top w:w="15" w:type="dxa"/>
              <w:left w:w="0" w:type="dxa"/>
              <w:bottom w:w="0" w:type="dxa"/>
              <w:right w:w="15" w:type="dxa"/>
            </w:tcMar>
            <w:vAlign w:val="bottom"/>
            <w:hideMark/>
          </w:tcPr>
          <w:p w14:paraId="635176C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476D0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Previously Reported</w:t>
            </w:r>
          </w:p>
        </w:tc>
        <w:tc>
          <w:tcPr>
            <w:tcW w:w="50" w:type="pct"/>
            <w:shd w:val="clear" w:color="auto" w:fill="FFFFFF"/>
            <w:noWrap/>
            <w:tcMar>
              <w:top w:w="15" w:type="dxa"/>
              <w:left w:w="0" w:type="dxa"/>
              <w:bottom w:w="0" w:type="dxa"/>
              <w:right w:w="15" w:type="dxa"/>
            </w:tcMar>
            <w:vAlign w:val="bottom"/>
            <w:hideMark/>
          </w:tcPr>
          <w:p w14:paraId="1A2E046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14:paraId="726C987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B23243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Adjustments</w:t>
            </w:r>
          </w:p>
        </w:tc>
        <w:tc>
          <w:tcPr>
            <w:tcW w:w="50" w:type="pct"/>
            <w:shd w:val="clear" w:color="auto" w:fill="FFFFFF"/>
            <w:noWrap/>
            <w:tcMar>
              <w:top w:w="15" w:type="dxa"/>
              <w:left w:w="0" w:type="dxa"/>
              <w:bottom w:w="0" w:type="dxa"/>
              <w:right w:w="15" w:type="dxa"/>
            </w:tcMar>
            <w:vAlign w:val="bottom"/>
            <w:hideMark/>
          </w:tcPr>
          <w:p w14:paraId="1E322BC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14:paraId="05C62F3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F0CF94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Adjusted</w:t>
            </w:r>
          </w:p>
        </w:tc>
        <w:tc>
          <w:tcPr>
            <w:tcW w:w="50" w:type="pct"/>
            <w:shd w:val="clear" w:color="auto" w:fill="FFFFFF"/>
            <w:noWrap/>
            <w:tcMar>
              <w:top w:w="15" w:type="dxa"/>
              <w:left w:w="0" w:type="dxa"/>
              <w:bottom w:w="0" w:type="dxa"/>
              <w:right w:w="15" w:type="dxa"/>
            </w:tcMar>
            <w:vAlign w:val="bottom"/>
            <w:hideMark/>
          </w:tcPr>
          <w:p w14:paraId="4FC35B5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B0C6C7C" w14:textId="77777777">
        <w:trPr>
          <w:divId w:val="1798139462"/>
          <w:jc w:val="center"/>
        </w:trPr>
        <w:tc>
          <w:tcPr>
            <w:tcW w:w="2532" w:type="pct"/>
            <w:tcBorders>
              <w:top w:val="single" w:sz="6" w:space="0" w:color="000000"/>
            </w:tcBorders>
            <w:shd w:val="clear" w:color="auto" w:fill="CFF0FC"/>
            <w:tcMar>
              <w:top w:w="15" w:type="dxa"/>
              <w:left w:w="0" w:type="dxa"/>
              <w:bottom w:w="0" w:type="dxa"/>
              <w:right w:w="15" w:type="dxa"/>
            </w:tcMar>
            <w:hideMark/>
          </w:tcPr>
          <w:p w14:paraId="1C5886D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Trade receivables, net of allowances for doubtful accounts</w:t>
            </w:r>
          </w:p>
        </w:tc>
        <w:tc>
          <w:tcPr>
            <w:tcW w:w="77" w:type="pct"/>
            <w:shd w:val="clear" w:color="auto" w:fill="CFF0FC"/>
            <w:tcMar>
              <w:top w:w="15" w:type="dxa"/>
              <w:left w:w="0" w:type="dxa"/>
              <w:bottom w:w="0" w:type="dxa"/>
              <w:right w:w="15" w:type="dxa"/>
            </w:tcMar>
            <w:vAlign w:val="bottom"/>
            <w:hideMark/>
          </w:tcPr>
          <w:p w14:paraId="0B38FF6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AA04F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14:paraId="298CE0E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5,279</w:t>
            </w:r>
          </w:p>
        </w:tc>
        <w:tc>
          <w:tcPr>
            <w:tcW w:w="50" w:type="pct"/>
            <w:shd w:val="clear" w:color="auto" w:fill="CFF0FC"/>
            <w:noWrap/>
            <w:tcMar>
              <w:top w:w="15" w:type="dxa"/>
              <w:left w:w="0" w:type="dxa"/>
              <w:bottom w:w="0" w:type="dxa"/>
              <w:right w:w="15" w:type="dxa"/>
            </w:tcMar>
            <w:vAlign w:val="bottom"/>
            <w:hideMark/>
          </w:tcPr>
          <w:p w14:paraId="1C9BE23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left w:w="0" w:type="dxa"/>
              <w:bottom w:w="0" w:type="dxa"/>
              <w:right w:w="15" w:type="dxa"/>
            </w:tcMar>
            <w:vAlign w:val="bottom"/>
            <w:hideMark/>
          </w:tcPr>
          <w:p w14:paraId="234246F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A8B27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tcBorders>
              <w:top w:val="single" w:sz="6" w:space="0" w:color="000000"/>
            </w:tcBorders>
            <w:shd w:val="clear" w:color="auto" w:fill="CFF0FC"/>
            <w:noWrap/>
            <w:tcMar>
              <w:top w:w="15" w:type="dxa"/>
              <w:left w:w="0" w:type="dxa"/>
              <w:bottom w:w="0" w:type="dxa"/>
              <w:right w:w="15" w:type="dxa"/>
            </w:tcMar>
            <w:vAlign w:val="bottom"/>
            <w:hideMark/>
          </w:tcPr>
          <w:p w14:paraId="22D459E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(143</w:t>
            </w:r>
          </w:p>
        </w:tc>
        <w:tc>
          <w:tcPr>
            <w:tcW w:w="50" w:type="pct"/>
            <w:shd w:val="clear" w:color="auto" w:fill="CFF0FC"/>
            <w:noWrap/>
            <w:tcMar>
              <w:top w:w="15" w:type="dxa"/>
              <w:left w:w="0" w:type="dxa"/>
              <w:bottom w:w="0" w:type="dxa"/>
              <w:right w:w="15" w:type="dxa"/>
            </w:tcMar>
            <w:vAlign w:val="bottom"/>
            <w:hideMark/>
          </w:tcPr>
          <w:p w14:paraId="478A9DE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left w:w="0" w:type="dxa"/>
              <w:bottom w:w="0" w:type="dxa"/>
              <w:right w:w="15" w:type="dxa"/>
            </w:tcMar>
            <w:vAlign w:val="bottom"/>
            <w:hideMark/>
          </w:tcPr>
          <w:p w14:paraId="2BD7B73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9C000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tcBorders>
              <w:top w:val="single" w:sz="6" w:space="0" w:color="000000"/>
            </w:tcBorders>
            <w:shd w:val="clear" w:color="auto" w:fill="CFF0FC"/>
            <w:noWrap/>
            <w:tcMar>
              <w:top w:w="15" w:type="dxa"/>
              <w:left w:w="0" w:type="dxa"/>
              <w:bottom w:w="0" w:type="dxa"/>
              <w:right w:w="15" w:type="dxa"/>
            </w:tcMar>
            <w:vAlign w:val="bottom"/>
            <w:hideMark/>
          </w:tcPr>
          <w:p w14:paraId="34BA3150"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5,136</w:t>
            </w:r>
          </w:p>
        </w:tc>
        <w:tc>
          <w:tcPr>
            <w:tcW w:w="50" w:type="pct"/>
            <w:shd w:val="clear" w:color="auto" w:fill="CFF0FC"/>
            <w:noWrap/>
            <w:tcMar>
              <w:top w:w="15" w:type="dxa"/>
              <w:left w:w="0" w:type="dxa"/>
              <w:bottom w:w="0" w:type="dxa"/>
              <w:right w:w="15" w:type="dxa"/>
            </w:tcMar>
            <w:vAlign w:val="bottom"/>
            <w:hideMark/>
          </w:tcPr>
          <w:p w14:paraId="66028DF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0251195B" w14:textId="77777777">
        <w:trPr>
          <w:divId w:val="1798139462"/>
          <w:jc w:val="center"/>
        </w:trPr>
        <w:tc>
          <w:tcPr>
            <w:tcW w:w="2532" w:type="pct"/>
            <w:shd w:val="clear" w:color="auto" w:fill="FFFFFF"/>
            <w:tcMar>
              <w:top w:w="15" w:type="dxa"/>
              <w:left w:w="0" w:type="dxa"/>
              <w:bottom w:w="0" w:type="dxa"/>
              <w:right w:w="15" w:type="dxa"/>
            </w:tcMar>
            <w:hideMark/>
          </w:tcPr>
          <w:p w14:paraId="76AA964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Prepaid expenses and other current assets</w:t>
            </w:r>
          </w:p>
        </w:tc>
        <w:tc>
          <w:tcPr>
            <w:tcW w:w="77" w:type="pct"/>
            <w:shd w:val="clear" w:color="auto" w:fill="FFFFFF"/>
            <w:tcMar>
              <w:top w:w="15" w:type="dxa"/>
              <w:left w:w="0" w:type="dxa"/>
              <w:bottom w:w="0" w:type="dxa"/>
              <w:right w:w="15" w:type="dxa"/>
            </w:tcMar>
            <w:vAlign w:val="bottom"/>
            <w:hideMark/>
          </w:tcPr>
          <w:p w14:paraId="09541BB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AB7903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05" w:type="pct"/>
            <w:shd w:val="clear" w:color="auto" w:fill="FFFFFF"/>
            <w:noWrap/>
            <w:tcMar>
              <w:top w:w="15" w:type="dxa"/>
              <w:left w:w="0" w:type="dxa"/>
              <w:bottom w:w="0" w:type="dxa"/>
              <w:right w:w="15" w:type="dxa"/>
            </w:tcMar>
            <w:vAlign w:val="bottom"/>
            <w:hideMark/>
          </w:tcPr>
          <w:p w14:paraId="6F25A22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3,424</w:t>
            </w:r>
          </w:p>
        </w:tc>
        <w:tc>
          <w:tcPr>
            <w:tcW w:w="50" w:type="pct"/>
            <w:shd w:val="clear" w:color="auto" w:fill="FFFFFF"/>
            <w:noWrap/>
            <w:tcMar>
              <w:top w:w="15" w:type="dxa"/>
              <w:left w:w="0" w:type="dxa"/>
              <w:bottom w:w="0" w:type="dxa"/>
              <w:right w:w="15" w:type="dxa"/>
            </w:tcMar>
            <w:vAlign w:val="bottom"/>
            <w:hideMark/>
          </w:tcPr>
          <w:p w14:paraId="11CA369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left w:w="0" w:type="dxa"/>
              <w:bottom w:w="0" w:type="dxa"/>
              <w:right w:w="15" w:type="dxa"/>
            </w:tcMar>
            <w:vAlign w:val="bottom"/>
            <w:hideMark/>
          </w:tcPr>
          <w:p w14:paraId="159D0DE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52B48F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FFFFFF"/>
            <w:noWrap/>
            <w:tcMar>
              <w:top w:w="15" w:type="dxa"/>
              <w:left w:w="0" w:type="dxa"/>
              <w:bottom w:w="0" w:type="dxa"/>
              <w:right w:w="15" w:type="dxa"/>
            </w:tcMar>
            <w:vAlign w:val="bottom"/>
            <w:hideMark/>
          </w:tcPr>
          <w:p w14:paraId="289ACA6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338</w:t>
            </w:r>
          </w:p>
        </w:tc>
        <w:tc>
          <w:tcPr>
            <w:tcW w:w="50" w:type="pct"/>
            <w:shd w:val="clear" w:color="auto" w:fill="FFFFFF"/>
            <w:noWrap/>
            <w:tcMar>
              <w:top w:w="15" w:type="dxa"/>
              <w:left w:w="0" w:type="dxa"/>
              <w:bottom w:w="0" w:type="dxa"/>
              <w:right w:w="15" w:type="dxa"/>
            </w:tcMar>
            <w:vAlign w:val="bottom"/>
            <w:hideMark/>
          </w:tcPr>
          <w:p w14:paraId="5552A9E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left w:w="0" w:type="dxa"/>
              <w:bottom w:w="0" w:type="dxa"/>
              <w:right w:w="15" w:type="dxa"/>
            </w:tcMar>
            <w:vAlign w:val="bottom"/>
            <w:hideMark/>
          </w:tcPr>
          <w:p w14:paraId="5F4BF0E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F64E74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FFFFFF"/>
            <w:noWrap/>
            <w:tcMar>
              <w:top w:w="15" w:type="dxa"/>
              <w:left w:w="0" w:type="dxa"/>
              <w:bottom w:w="0" w:type="dxa"/>
              <w:right w:w="15" w:type="dxa"/>
            </w:tcMar>
            <w:vAlign w:val="bottom"/>
            <w:hideMark/>
          </w:tcPr>
          <w:p w14:paraId="5D08FB63"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3,762</w:t>
            </w:r>
          </w:p>
        </w:tc>
        <w:tc>
          <w:tcPr>
            <w:tcW w:w="50" w:type="pct"/>
            <w:shd w:val="clear" w:color="auto" w:fill="FFFFFF"/>
            <w:noWrap/>
            <w:tcMar>
              <w:top w:w="15" w:type="dxa"/>
              <w:left w:w="0" w:type="dxa"/>
              <w:bottom w:w="0" w:type="dxa"/>
              <w:right w:w="15" w:type="dxa"/>
            </w:tcMar>
            <w:vAlign w:val="bottom"/>
            <w:hideMark/>
          </w:tcPr>
          <w:p w14:paraId="3CA0DD2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3850C11A" w14:textId="77777777">
        <w:trPr>
          <w:divId w:val="1798139462"/>
          <w:jc w:val="center"/>
        </w:trPr>
        <w:tc>
          <w:tcPr>
            <w:tcW w:w="2532" w:type="pct"/>
            <w:shd w:val="clear" w:color="auto" w:fill="CFF0FC"/>
            <w:tcMar>
              <w:top w:w="15" w:type="dxa"/>
              <w:left w:w="0" w:type="dxa"/>
              <w:bottom w:w="0" w:type="dxa"/>
              <w:right w:w="15" w:type="dxa"/>
            </w:tcMar>
            <w:hideMark/>
          </w:tcPr>
          <w:p w14:paraId="7C46790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Deferred tax assets</w:t>
            </w:r>
          </w:p>
        </w:tc>
        <w:tc>
          <w:tcPr>
            <w:tcW w:w="77" w:type="pct"/>
            <w:shd w:val="clear" w:color="auto" w:fill="CFF0FC"/>
            <w:tcMar>
              <w:top w:w="15" w:type="dxa"/>
              <w:left w:w="0" w:type="dxa"/>
              <w:bottom w:w="0" w:type="dxa"/>
              <w:right w:w="15" w:type="dxa"/>
            </w:tcMar>
            <w:vAlign w:val="bottom"/>
            <w:hideMark/>
          </w:tcPr>
          <w:p w14:paraId="369DA12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83CABD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05" w:type="pct"/>
            <w:shd w:val="clear" w:color="auto" w:fill="CFF0FC"/>
            <w:noWrap/>
            <w:tcMar>
              <w:top w:w="15" w:type="dxa"/>
              <w:left w:w="0" w:type="dxa"/>
              <w:bottom w:w="0" w:type="dxa"/>
              <w:right w:w="15" w:type="dxa"/>
            </w:tcMar>
            <w:vAlign w:val="bottom"/>
            <w:hideMark/>
          </w:tcPr>
          <w:p w14:paraId="2A9919F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1,491</w:t>
            </w:r>
          </w:p>
        </w:tc>
        <w:tc>
          <w:tcPr>
            <w:tcW w:w="50" w:type="pct"/>
            <w:shd w:val="clear" w:color="auto" w:fill="CFF0FC"/>
            <w:noWrap/>
            <w:tcMar>
              <w:top w:w="15" w:type="dxa"/>
              <w:left w:w="0" w:type="dxa"/>
              <w:bottom w:w="0" w:type="dxa"/>
              <w:right w:w="15" w:type="dxa"/>
            </w:tcMar>
            <w:vAlign w:val="bottom"/>
            <w:hideMark/>
          </w:tcPr>
          <w:p w14:paraId="4E850D4A"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left w:w="0" w:type="dxa"/>
              <w:bottom w:w="0" w:type="dxa"/>
              <w:right w:w="15" w:type="dxa"/>
            </w:tcMar>
            <w:vAlign w:val="bottom"/>
            <w:hideMark/>
          </w:tcPr>
          <w:p w14:paraId="615BA87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45A121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CFF0FC"/>
            <w:noWrap/>
            <w:tcMar>
              <w:top w:w="15" w:type="dxa"/>
              <w:left w:w="0" w:type="dxa"/>
              <w:bottom w:w="0" w:type="dxa"/>
              <w:right w:w="15" w:type="dxa"/>
            </w:tcMar>
            <w:vAlign w:val="bottom"/>
            <w:hideMark/>
          </w:tcPr>
          <w:p w14:paraId="5E745BF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(96</w:t>
            </w:r>
          </w:p>
        </w:tc>
        <w:tc>
          <w:tcPr>
            <w:tcW w:w="50" w:type="pct"/>
            <w:shd w:val="clear" w:color="auto" w:fill="CFF0FC"/>
            <w:noWrap/>
            <w:tcMar>
              <w:top w:w="15" w:type="dxa"/>
              <w:left w:w="0" w:type="dxa"/>
              <w:bottom w:w="0" w:type="dxa"/>
              <w:right w:w="15" w:type="dxa"/>
            </w:tcMar>
            <w:vAlign w:val="bottom"/>
            <w:hideMark/>
          </w:tcPr>
          <w:p w14:paraId="30F9C0C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left w:w="0" w:type="dxa"/>
              <w:bottom w:w="0" w:type="dxa"/>
              <w:right w:w="15" w:type="dxa"/>
            </w:tcMar>
            <w:vAlign w:val="bottom"/>
            <w:hideMark/>
          </w:tcPr>
          <w:p w14:paraId="7865007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5CF7FD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CFF0FC"/>
            <w:noWrap/>
            <w:tcMar>
              <w:top w:w="15" w:type="dxa"/>
              <w:left w:w="0" w:type="dxa"/>
              <w:bottom w:w="0" w:type="dxa"/>
              <w:right w:w="15" w:type="dxa"/>
            </w:tcMar>
            <w:vAlign w:val="bottom"/>
            <w:hideMark/>
          </w:tcPr>
          <w:p w14:paraId="146928C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1,395</w:t>
            </w:r>
          </w:p>
        </w:tc>
        <w:tc>
          <w:tcPr>
            <w:tcW w:w="50" w:type="pct"/>
            <w:shd w:val="clear" w:color="auto" w:fill="CFF0FC"/>
            <w:noWrap/>
            <w:tcMar>
              <w:top w:w="15" w:type="dxa"/>
              <w:left w:w="0" w:type="dxa"/>
              <w:bottom w:w="0" w:type="dxa"/>
              <w:right w:w="15" w:type="dxa"/>
            </w:tcMar>
            <w:vAlign w:val="bottom"/>
            <w:hideMark/>
          </w:tcPr>
          <w:p w14:paraId="214D94C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401C478B" w14:textId="77777777">
        <w:trPr>
          <w:divId w:val="1798139462"/>
          <w:jc w:val="center"/>
        </w:trPr>
        <w:tc>
          <w:tcPr>
            <w:tcW w:w="2532" w:type="pct"/>
            <w:shd w:val="clear" w:color="auto" w:fill="FFFFFF"/>
            <w:tcMar>
              <w:top w:w="15" w:type="dxa"/>
              <w:left w:w="0" w:type="dxa"/>
              <w:bottom w:w="0" w:type="dxa"/>
              <w:right w:w="15" w:type="dxa"/>
            </w:tcMar>
            <w:hideMark/>
          </w:tcPr>
          <w:p w14:paraId="0D0CC82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Other non-current assets</w:t>
            </w:r>
          </w:p>
        </w:tc>
        <w:tc>
          <w:tcPr>
            <w:tcW w:w="77" w:type="pct"/>
            <w:shd w:val="clear" w:color="auto" w:fill="FFFFFF"/>
            <w:tcMar>
              <w:top w:w="15" w:type="dxa"/>
              <w:left w:w="0" w:type="dxa"/>
              <w:bottom w:w="0" w:type="dxa"/>
              <w:right w:w="15" w:type="dxa"/>
            </w:tcMar>
            <w:vAlign w:val="bottom"/>
            <w:hideMark/>
          </w:tcPr>
          <w:p w14:paraId="3E6670F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B09229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05" w:type="pct"/>
            <w:shd w:val="clear" w:color="auto" w:fill="FFFFFF"/>
            <w:noWrap/>
            <w:tcMar>
              <w:top w:w="15" w:type="dxa"/>
              <w:left w:w="0" w:type="dxa"/>
              <w:bottom w:w="0" w:type="dxa"/>
              <w:right w:w="15" w:type="dxa"/>
            </w:tcMar>
            <w:vAlign w:val="bottom"/>
            <w:hideMark/>
          </w:tcPr>
          <w:p w14:paraId="28814A7C"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3,487</w:t>
            </w:r>
          </w:p>
        </w:tc>
        <w:tc>
          <w:tcPr>
            <w:tcW w:w="50" w:type="pct"/>
            <w:shd w:val="clear" w:color="auto" w:fill="FFFFFF"/>
            <w:noWrap/>
            <w:tcMar>
              <w:top w:w="15" w:type="dxa"/>
              <w:left w:w="0" w:type="dxa"/>
              <w:bottom w:w="0" w:type="dxa"/>
              <w:right w:w="15" w:type="dxa"/>
            </w:tcMar>
            <w:vAlign w:val="bottom"/>
            <w:hideMark/>
          </w:tcPr>
          <w:p w14:paraId="0313371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left w:w="0" w:type="dxa"/>
              <w:bottom w:w="0" w:type="dxa"/>
              <w:right w:w="15" w:type="dxa"/>
            </w:tcMar>
            <w:vAlign w:val="bottom"/>
            <w:hideMark/>
          </w:tcPr>
          <w:p w14:paraId="133612A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C755BB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FFFFFF"/>
            <w:noWrap/>
            <w:tcMar>
              <w:top w:w="15" w:type="dxa"/>
              <w:left w:w="0" w:type="dxa"/>
              <w:bottom w:w="0" w:type="dxa"/>
              <w:right w:w="15" w:type="dxa"/>
            </w:tcMar>
            <w:vAlign w:val="bottom"/>
            <w:hideMark/>
          </w:tcPr>
          <w:p w14:paraId="5D4C794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488</w:t>
            </w:r>
          </w:p>
        </w:tc>
        <w:tc>
          <w:tcPr>
            <w:tcW w:w="50" w:type="pct"/>
            <w:shd w:val="clear" w:color="auto" w:fill="FFFFFF"/>
            <w:noWrap/>
            <w:tcMar>
              <w:top w:w="15" w:type="dxa"/>
              <w:left w:w="0" w:type="dxa"/>
              <w:bottom w:w="0" w:type="dxa"/>
              <w:right w:w="15" w:type="dxa"/>
            </w:tcMar>
            <w:vAlign w:val="bottom"/>
            <w:hideMark/>
          </w:tcPr>
          <w:p w14:paraId="59D5BE6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left w:w="0" w:type="dxa"/>
              <w:bottom w:w="0" w:type="dxa"/>
              <w:right w:w="15" w:type="dxa"/>
            </w:tcMar>
            <w:vAlign w:val="bottom"/>
            <w:hideMark/>
          </w:tcPr>
          <w:p w14:paraId="77F59FC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4FF5788"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FFFFFF"/>
            <w:noWrap/>
            <w:tcMar>
              <w:top w:w="15" w:type="dxa"/>
              <w:left w:w="0" w:type="dxa"/>
              <w:bottom w:w="0" w:type="dxa"/>
              <w:right w:w="15" w:type="dxa"/>
            </w:tcMar>
            <w:vAlign w:val="bottom"/>
            <w:hideMark/>
          </w:tcPr>
          <w:p w14:paraId="72CDC5C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3,975</w:t>
            </w:r>
          </w:p>
        </w:tc>
        <w:tc>
          <w:tcPr>
            <w:tcW w:w="50" w:type="pct"/>
            <w:shd w:val="clear" w:color="auto" w:fill="FFFFFF"/>
            <w:noWrap/>
            <w:tcMar>
              <w:top w:w="15" w:type="dxa"/>
              <w:left w:w="0" w:type="dxa"/>
              <w:bottom w:w="0" w:type="dxa"/>
              <w:right w:w="15" w:type="dxa"/>
            </w:tcMar>
            <w:vAlign w:val="bottom"/>
            <w:hideMark/>
          </w:tcPr>
          <w:p w14:paraId="5B289D0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2D86568A" w14:textId="77777777">
        <w:trPr>
          <w:divId w:val="1798139462"/>
          <w:jc w:val="center"/>
        </w:trPr>
        <w:tc>
          <w:tcPr>
            <w:tcW w:w="2532" w:type="pct"/>
            <w:shd w:val="clear" w:color="auto" w:fill="CFF0FC"/>
            <w:tcMar>
              <w:top w:w="15" w:type="dxa"/>
              <w:left w:w="0" w:type="dxa"/>
              <w:bottom w:w="0" w:type="dxa"/>
              <w:right w:w="15" w:type="dxa"/>
            </w:tcMar>
            <w:hideMark/>
          </w:tcPr>
          <w:p w14:paraId="17F175F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Total current liabilities</w:t>
            </w:r>
          </w:p>
        </w:tc>
        <w:tc>
          <w:tcPr>
            <w:tcW w:w="77" w:type="pct"/>
            <w:shd w:val="clear" w:color="auto" w:fill="CFF0FC"/>
            <w:tcMar>
              <w:top w:w="15" w:type="dxa"/>
              <w:left w:w="0" w:type="dxa"/>
              <w:bottom w:w="0" w:type="dxa"/>
              <w:right w:w="15" w:type="dxa"/>
            </w:tcMar>
            <w:vAlign w:val="bottom"/>
            <w:hideMark/>
          </w:tcPr>
          <w:p w14:paraId="25474FB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BCAB251"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05" w:type="pct"/>
            <w:shd w:val="clear" w:color="auto" w:fill="CFF0FC"/>
            <w:noWrap/>
            <w:tcMar>
              <w:top w:w="15" w:type="dxa"/>
              <w:left w:w="0" w:type="dxa"/>
              <w:bottom w:w="0" w:type="dxa"/>
              <w:right w:w="15" w:type="dxa"/>
            </w:tcMar>
            <w:vAlign w:val="bottom"/>
            <w:hideMark/>
          </w:tcPr>
          <w:p w14:paraId="6A27B127"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19,195</w:t>
            </w:r>
          </w:p>
        </w:tc>
        <w:tc>
          <w:tcPr>
            <w:tcW w:w="50" w:type="pct"/>
            <w:shd w:val="clear" w:color="auto" w:fill="CFF0FC"/>
            <w:noWrap/>
            <w:tcMar>
              <w:top w:w="15" w:type="dxa"/>
              <w:left w:w="0" w:type="dxa"/>
              <w:bottom w:w="0" w:type="dxa"/>
              <w:right w:w="15" w:type="dxa"/>
            </w:tcMar>
            <w:vAlign w:val="bottom"/>
            <w:hideMark/>
          </w:tcPr>
          <w:p w14:paraId="0FC41C4F"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left w:w="0" w:type="dxa"/>
              <w:bottom w:w="0" w:type="dxa"/>
              <w:right w:w="15" w:type="dxa"/>
            </w:tcMar>
            <w:vAlign w:val="bottom"/>
            <w:hideMark/>
          </w:tcPr>
          <w:p w14:paraId="717EAED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405FAB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CFF0FC"/>
            <w:noWrap/>
            <w:tcMar>
              <w:top w:w="15" w:type="dxa"/>
              <w:left w:w="0" w:type="dxa"/>
              <w:bottom w:w="0" w:type="dxa"/>
              <w:right w:w="15" w:type="dxa"/>
            </w:tcMar>
            <w:vAlign w:val="bottom"/>
            <w:hideMark/>
          </w:tcPr>
          <w:p w14:paraId="146F45ED"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(71</w:t>
            </w:r>
          </w:p>
        </w:tc>
        <w:tc>
          <w:tcPr>
            <w:tcW w:w="50" w:type="pct"/>
            <w:shd w:val="clear" w:color="auto" w:fill="CFF0FC"/>
            <w:noWrap/>
            <w:tcMar>
              <w:top w:w="15" w:type="dxa"/>
              <w:left w:w="0" w:type="dxa"/>
              <w:bottom w:w="0" w:type="dxa"/>
              <w:right w:w="15" w:type="dxa"/>
            </w:tcMar>
            <w:vAlign w:val="bottom"/>
            <w:hideMark/>
          </w:tcPr>
          <w:p w14:paraId="0BDA3E9D"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7" w:type="pct"/>
            <w:shd w:val="clear" w:color="auto" w:fill="CFF0FC"/>
            <w:tcMar>
              <w:top w:w="15" w:type="dxa"/>
              <w:left w:w="0" w:type="dxa"/>
              <w:bottom w:w="0" w:type="dxa"/>
              <w:right w:w="15" w:type="dxa"/>
            </w:tcMar>
            <w:vAlign w:val="bottom"/>
            <w:hideMark/>
          </w:tcPr>
          <w:p w14:paraId="4EA0B24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05E40BD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CFF0FC"/>
            <w:noWrap/>
            <w:tcMar>
              <w:top w:w="15" w:type="dxa"/>
              <w:left w:w="0" w:type="dxa"/>
              <w:bottom w:w="0" w:type="dxa"/>
              <w:right w:w="15" w:type="dxa"/>
            </w:tcMar>
            <w:vAlign w:val="bottom"/>
            <w:hideMark/>
          </w:tcPr>
          <w:p w14:paraId="18A6D382"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19,124</w:t>
            </w:r>
          </w:p>
        </w:tc>
        <w:tc>
          <w:tcPr>
            <w:tcW w:w="50" w:type="pct"/>
            <w:shd w:val="clear" w:color="auto" w:fill="CFF0FC"/>
            <w:noWrap/>
            <w:tcMar>
              <w:top w:w="15" w:type="dxa"/>
              <w:left w:w="0" w:type="dxa"/>
              <w:bottom w:w="0" w:type="dxa"/>
              <w:right w:w="15" w:type="dxa"/>
            </w:tcMar>
            <w:vAlign w:val="bottom"/>
            <w:hideMark/>
          </w:tcPr>
          <w:p w14:paraId="530CCFA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388A8622" w14:textId="77777777">
        <w:trPr>
          <w:divId w:val="1798139462"/>
          <w:jc w:val="center"/>
        </w:trPr>
        <w:tc>
          <w:tcPr>
            <w:tcW w:w="2532" w:type="pct"/>
            <w:shd w:val="clear" w:color="auto" w:fill="FFFFFF"/>
            <w:tcMar>
              <w:top w:w="15" w:type="dxa"/>
              <w:left w:w="0" w:type="dxa"/>
              <w:bottom w:w="0" w:type="dxa"/>
              <w:right w:w="15" w:type="dxa"/>
            </w:tcMar>
            <w:hideMark/>
          </w:tcPr>
          <w:p w14:paraId="15B2BA10"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Total non-current liabilities</w:t>
            </w:r>
          </w:p>
        </w:tc>
        <w:tc>
          <w:tcPr>
            <w:tcW w:w="77" w:type="pct"/>
            <w:shd w:val="clear" w:color="auto" w:fill="FFFFFF"/>
            <w:tcMar>
              <w:top w:w="15" w:type="dxa"/>
              <w:left w:w="0" w:type="dxa"/>
              <w:bottom w:w="0" w:type="dxa"/>
              <w:right w:w="15" w:type="dxa"/>
            </w:tcMar>
            <w:vAlign w:val="bottom"/>
            <w:hideMark/>
          </w:tcPr>
          <w:p w14:paraId="0498A7B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F660DC2"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05" w:type="pct"/>
            <w:shd w:val="clear" w:color="auto" w:fill="FFFFFF"/>
            <w:noWrap/>
            <w:tcMar>
              <w:top w:w="15" w:type="dxa"/>
              <w:left w:w="0" w:type="dxa"/>
              <w:bottom w:w="0" w:type="dxa"/>
              <w:right w:w="15" w:type="dxa"/>
            </w:tcMar>
            <w:vAlign w:val="bottom"/>
            <w:hideMark/>
          </w:tcPr>
          <w:p w14:paraId="392AD139"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71,845</w:t>
            </w:r>
          </w:p>
        </w:tc>
        <w:tc>
          <w:tcPr>
            <w:tcW w:w="50" w:type="pct"/>
            <w:shd w:val="clear" w:color="auto" w:fill="FFFFFF"/>
            <w:noWrap/>
            <w:tcMar>
              <w:top w:w="15" w:type="dxa"/>
              <w:left w:w="0" w:type="dxa"/>
              <w:bottom w:w="0" w:type="dxa"/>
              <w:right w:w="15" w:type="dxa"/>
            </w:tcMar>
            <w:vAlign w:val="bottom"/>
            <w:hideMark/>
          </w:tcPr>
          <w:p w14:paraId="3AA95A6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left w:w="0" w:type="dxa"/>
              <w:bottom w:w="0" w:type="dxa"/>
              <w:right w:w="15" w:type="dxa"/>
            </w:tcMar>
            <w:vAlign w:val="bottom"/>
            <w:hideMark/>
          </w:tcPr>
          <w:p w14:paraId="0DFD6A4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DE2BEE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FFFFFF"/>
            <w:noWrap/>
            <w:tcMar>
              <w:top w:w="15" w:type="dxa"/>
              <w:left w:w="0" w:type="dxa"/>
              <w:bottom w:w="0" w:type="dxa"/>
              <w:right w:w="15" w:type="dxa"/>
            </w:tcMar>
            <w:vAlign w:val="bottom"/>
            <w:hideMark/>
          </w:tcPr>
          <w:p w14:paraId="0EC22B44"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left w:w="0" w:type="dxa"/>
              <w:bottom w:w="0" w:type="dxa"/>
              <w:right w:w="15" w:type="dxa"/>
            </w:tcMar>
            <w:vAlign w:val="bottom"/>
            <w:hideMark/>
          </w:tcPr>
          <w:p w14:paraId="4A027B8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FFFFFF"/>
            <w:tcMar>
              <w:top w:w="15" w:type="dxa"/>
              <w:left w:w="0" w:type="dxa"/>
              <w:bottom w:w="0" w:type="dxa"/>
              <w:right w:w="15" w:type="dxa"/>
            </w:tcMar>
            <w:vAlign w:val="bottom"/>
            <w:hideMark/>
          </w:tcPr>
          <w:p w14:paraId="5C4A1A9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1EA5125"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FFFFFF"/>
            <w:noWrap/>
            <w:tcMar>
              <w:top w:w="15" w:type="dxa"/>
              <w:left w:w="0" w:type="dxa"/>
              <w:bottom w:w="0" w:type="dxa"/>
              <w:right w:w="15" w:type="dxa"/>
            </w:tcMar>
            <w:vAlign w:val="bottom"/>
            <w:hideMark/>
          </w:tcPr>
          <w:p w14:paraId="3537C6D1"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71,854</w:t>
            </w:r>
          </w:p>
        </w:tc>
        <w:tc>
          <w:tcPr>
            <w:tcW w:w="50" w:type="pct"/>
            <w:shd w:val="clear" w:color="auto" w:fill="FFFFFF"/>
            <w:noWrap/>
            <w:tcMar>
              <w:top w:w="15" w:type="dxa"/>
              <w:left w:w="0" w:type="dxa"/>
              <w:bottom w:w="0" w:type="dxa"/>
              <w:right w:w="15" w:type="dxa"/>
            </w:tcMar>
            <w:vAlign w:val="bottom"/>
            <w:hideMark/>
          </w:tcPr>
          <w:p w14:paraId="37D3199E"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251D72" w14:paraId="73B9C33F" w14:textId="77777777">
        <w:trPr>
          <w:divId w:val="1798139462"/>
          <w:jc w:val="center"/>
        </w:trPr>
        <w:tc>
          <w:tcPr>
            <w:tcW w:w="2532" w:type="pct"/>
            <w:shd w:val="clear" w:color="auto" w:fill="CFF0FC"/>
            <w:tcMar>
              <w:top w:w="15" w:type="dxa"/>
              <w:left w:w="0" w:type="dxa"/>
              <w:bottom w:w="0" w:type="dxa"/>
              <w:right w:w="15" w:type="dxa"/>
            </w:tcMar>
            <w:hideMark/>
          </w:tcPr>
          <w:p w14:paraId="3548A7FC"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Total equity</w:t>
            </w:r>
          </w:p>
        </w:tc>
        <w:tc>
          <w:tcPr>
            <w:tcW w:w="77" w:type="pct"/>
            <w:shd w:val="clear" w:color="auto" w:fill="CFF0FC"/>
            <w:tcMar>
              <w:top w:w="15" w:type="dxa"/>
              <w:left w:w="0" w:type="dxa"/>
              <w:bottom w:w="0" w:type="dxa"/>
              <w:right w:w="15" w:type="dxa"/>
            </w:tcMar>
            <w:vAlign w:val="bottom"/>
            <w:hideMark/>
          </w:tcPr>
          <w:p w14:paraId="3F613C06"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04884F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05" w:type="pct"/>
            <w:shd w:val="clear" w:color="auto" w:fill="CFF0FC"/>
            <w:noWrap/>
            <w:tcMar>
              <w:top w:w="15" w:type="dxa"/>
              <w:left w:w="0" w:type="dxa"/>
              <w:bottom w:w="0" w:type="dxa"/>
              <w:right w:w="15" w:type="dxa"/>
            </w:tcMar>
            <w:vAlign w:val="bottom"/>
            <w:hideMark/>
          </w:tcPr>
          <w:p w14:paraId="492239A5"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46,224</w:t>
            </w:r>
          </w:p>
        </w:tc>
        <w:tc>
          <w:tcPr>
            <w:tcW w:w="50" w:type="pct"/>
            <w:shd w:val="clear" w:color="auto" w:fill="CFF0FC"/>
            <w:noWrap/>
            <w:tcMar>
              <w:top w:w="15" w:type="dxa"/>
              <w:left w:w="0" w:type="dxa"/>
              <w:bottom w:w="0" w:type="dxa"/>
              <w:right w:w="15" w:type="dxa"/>
            </w:tcMar>
            <w:vAlign w:val="bottom"/>
            <w:hideMark/>
          </w:tcPr>
          <w:p w14:paraId="410A4C14"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left w:w="0" w:type="dxa"/>
              <w:bottom w:w="0" w:type="dxa"/>
              <w:right w:w="15" w:type="dxa"/>
            </w:tcMar>
            <w:vAlign w:val="bottom"/>
            <w:hideMark/>
          </w:tcPr>
          <w:p w14:paraId="43156CA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7F58D19"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CFF0FC"/>
            <w:noWrap/>
            <w:tcMar>
              <w:top w:w="15" w:type="dxa"/>
              <w:left w:w="0" w:type="dxa"/>
              <w:bottom w:w="0" w:type="dxa"/>
              <w:right w:w="15" w:type="dxa"/>
            </w:tcMar>
            <w:vAlign w:val="bottom"/>
            <w:hideMark/>
          </w:tcPr>
          <w:p w14:paraId="1232B06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649</w:t>
            </w:r>
          </w:p>
        </w:tc>
        <w:tc>
          <w:tcPr>
            <w:tcW w:w="50" w:type="pct"/>
            <w:shd w:val="clear" w:color="auto" w:fill="CFF0FC"/>
            <w:noWrap/>
            <w:tcMar>
              <w:top w:w="15" w:type="dxa"/>
              <w:left w:w="0" w:type="dxa"/>
              <w:bottom w:w="0" w:type="dxa"/>
              <w:right w:w="15" w:type="dxa"/>
            </w:tcMar>
            <w:vAlign w:val="bottom"/>
            <w:hideMark/>
          </w:tcPr>
          <w:p w14:paraId="3DA73637"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7" w:type="pct"/>
            <w:shd w:val="clear" w:color="auto" w:fill="CFF0FC"/>
            <w:tcMar>
              <w:top w:w="15" w:type="dxa"/>
              <w:left w:w="0" w:type="dxa"/>
              <w:bottom w:w="0" w:type="dxa"/>
              <w:right w:w="15" w:type="dxa"/>
            </w:tcMar>
            <w:vAlign w:val="bottom"/>
            <w:hideMark/>
          </w:tcPr>
          <w:p w14:paraId="52D7B60B"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86FAA93" w14:textId="77777777" w:rsidR="00251D72" w:rsidRDefault="00251D72">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14" w:type="pct"/>
            <w:shd w:val="clear" w:color="auto" w:fill="CFF0FC"/>
            <w:noWrap/>
            <w:tcMar>
              <w:top w:w="15" w:type="dxa"/>
              <w:left w:w="0" w:type="dxa"/>
              <w:bottom w:w="0" w:type="dxa"/>
              <w:right w:w="15" w:type="dxa"/>
            </w:tcMar>
            <w:vAlign w:val="bottom"/>
            <w:hideMark/>
          </w:tcPr>
          <w:p w14:paraId="2EEF966E" w14:textId="77777777" w:rsidR="00251D72" w:rsidRDefault="00251D72">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46,873</w:t>
            </w:r>
          </w:p>
        </w:tc>
        <w:tc>
          <w:tcPr>
            <w:tcW w:w="50" w:type="pct"/>
            <w:shd w:val="clear" w:color="auto" w:fill="CFF0FC"/>
            <w:noWrap/>
            <w:tcMar>
              <w:top w:w="15" w:type="dxa"/>
              <w:left w:w="0" w:type="dxa"/>
              <w:bottom w:w="0" w:type="dxa"/>
              <w:right w:w="15" w:type="dxa"/>
            </w:tcMar>
            <w:vAlign w:val="bottom"/>
            <w:hideMark/>
          </w:tcPr>
          <w:p w14:paraId="386AC950"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8844924" w14:textId="77777777" w:rsidR="00251D72" w:rsidRDefault="00251D72">
      <w:pPr>
        <w:pStyle w:val="a3"/>
        <w:spacing w:before="0" w:beforeAutospacing="0" w:after="0" w:afterAutospacing="0"/>
        <w:jc w:val="both"/>
        <w:rPr>
          <w:sz w:val="8"/>
          <w:szCs w:val="8"/>
        </w:rPr>
      </w:pPr>
      <w:r>
        <w:rPr>
          <w:sz w:val="8"/>
          <w:szCs w:val="8"/>
        </w:rPr>
        <w:t> </w:t>
      </w:r>
    </w:p>
    <w:p w14:paraId="45F6AA4B"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73</w:t>
      </w:r>
    </w:p>
    <w:p w14:paraId="22EFCC46" w14:textId="77777777" w:rsidR="00251D72" w:rsidRDefault="00251D72">
      <w:pPr>
        <w:rPr>
          <w:rFonts w:ascii="Times New Roman" w:eastAsia="Times New Roman" w:hAnsi="Times New Roman" w:cs="Times New Roman"/>
          <w:sz w:val="24"/>
          <w:szCs w:val="24"/>
        </w:rPr>
      </w:pPr>
      <w:r>
        <w:rPr>
          <w:rFonts w:eastAsia="Times New Roman"/>
        </w:rPr>
        <w:pict w14:anchorId="5214118C">
          <v:rect id="_x0000_i1099" style="width:415.3pt;height:1.5pt" o:hralign="center" o:hrstd="t" o:hr="t" fillcolor="#a0a0a0" stroked="f"/>
        </w:pict>
      </w:r>
    </w:p>
    <w:p w14:paraId="647C68C7"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13CC81D9"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79E165C"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76CC878F"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1F79655F"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0F32C10F" w14:textId="77777777" w:rsidR="00251D72" w:rsidRDefault="00251D72">
      <w:pPr>
        <w:pStyle w:val="a3"/>
        <w:spacing w:before="0" w:beforeAutospacing="0" w:after="0" w:afterAutospacing="0"/>
        <w:rPr>
          <w:sz w:val="20"/>
          <w:szCs w:val="20"/>
        </w:rPr>
      </w:pPr>
      <w:r>
        <w:rPr>
          <w:sz w:val="20"/>
          <w:szCs w:val="20"/>
        </w:rPr>
        <w:t> </w:t>
      </w:r>
    </w:p>
    <w:p w14:paraId="2925243B" w14:textId="77777777" w:rsidR="00251D72" w:rsidRDefault="00251D72">
      <w:pPr>
        <w:pStyle w:val="a3"/>
        <w:spacing w:before="120" w:beforeAutospacing="0" w:after="0" w:afterAutospacing="0"/>
        <w:jc w:val="both"/>
        <w:rPr>
          <w:rFonts w:ascii="Calibri" w:hAnsi="Calibri" w:cs="Calibri"/>
          <w:sz w:val="20"/>
          <w:szCs w:val="20"/>
        </w:rPr>
      </w:pPr>
      <w:bookmarkStart w:id="113" w:name="_AEIOULastRenderedPageBreakAEIOU76"/>
      <w:bookmarkEnd w:id="113"/>
      <w:r>
        <w:rPr>
          <w:rFonts w:ascii="Calibri" w:hAnsi="Calibri" w:cs="Calibri"/>
          <w:sz w:val="20"/>
          <w:szCs w:val="20"/>
        </w:rPr>
        <w:t xml:space="preserve">In addition, in fiscal 2019, we also adopted the following Accounting Standards Updates, none of which had a material impact upon adoption or for any of the periods presented to our reported financial position, results of operations or cash flows: </w:t>
      </w:r>
    </w:p>
    <w:tbl>
      <w:tblPr>
        <w:tblW w:w="5000" w:type="pct"/>
        <w:tblCellMar>
          <w:left w:w="0" w:type="dxa"/>
          <w:right w:w="0" w:type="dxa"/>
        </w:tblCellMar>
        <w:tblLook w:val="04A0" w:firstRow="1" w:lastRow="0" w:firstColumn="1" w:lastColumn="0" w:noHBand="0" w:noVBand="1"/>
      </w:tblPr>
      <w:tblGrid>
        <w:gridCol w:w="319"/>
        <w:gridCol w:w="239"/>
        <w:gridCol w:w="7748"/>
      </w:tblGrid>
      <w:tr w:rsidR="00251D72" w14:paraId="5162A72F" w14:textId="77777777">
        <w:tc>
          <w:tcPr>
            <w:tcW w:w="192" w:type="pct"/>
            <w:noWrap/>
            <w:hideMark/>
          </w:tcPr>
          <w:p w14:paraId="10EBC5BA"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400D1F53"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2779A2E"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ASU 2018-15, </w:t>
            </w:r>
            <w:r>
              <w:rPr>
                <w:rFonts w:ascii="Calibri" w:hAnsi="Calibri" w:cs="Calibri"/>
                <w:i/>
                <w:iCs/>
                <w:sz w:val="20"/>
                <w:szCs w:val="20"/>
              </w:rPr>
              <w:t>Intangibles—Goodwill and Other—Internal-Use Software (Subtopic 350-40): Customer’s Accounting for Implementation Costs Incurred in a Cloud Computing Arrangement That Is a Service Contract</w:t>
            </w:r>
            <w:r>
              <w:rPr>
                <w:rFonts w:ascii="Calibri" w:hAnsi="Calibri" w:cs="Calibri"/>
                <w:sz w:val="20"/>
                <w:szCs w:val="20"/>
              </w:rPr>
              <w:t xml:space="preserve"> (ASU 2018-15); </w:t>
            </w:r>
          </w:p>
        </w:tc>
      </w:tr>
    </w:tbl>
    <w:p w14:paraId="50B4930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239"/>
        <w:gridCol w:w="7748"/>
      </w:tblGrid>
      <w:tr w:rsidR="00251D72" w14:paraId="2248483D" w14:textId="77777777">
        <w:tc>
          <w:tcPr>
            <w:tcW w:w="192" w:type="pct"/>
            <w:noWrap/>
            <w:hideMark/>
          </w:tcPr>
          <w:p w14:paraId="3A7A9040"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0AFCAD03"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A8603B0"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ASU 2018-14, </w:t>
            </w:r>
            <w:r>
              <w:rPr>
                <w:rFonts w:ascii="Calibri" w:hAnsi="Calibri" w:cs="Calibri"/>
                <w:i/>
                <w:iCs/>
                <w:sz w:val="20"/>
                <w:szCs w:val="20"/>
              </w:rPr>
              <w:t>Compensation—Retirement Benefits—Defined Benefit Plans—General (Topic 715-20): Disclosure Framework—Changes to the Disclosure Requirements for Defined Benefit Plans</w:t>
            </w:r>
            <w:r>
              <w:rPr>
                <w:rFonts w:ascii="Calibri" w:hAnsi="Calibri" w:cs="Calibri"/>
                <w:sz w:val="20"/>
                <w:szCs w:val="20"/>
              </w:rPr>
              <w:t xml:space="preserve"> (ASU 2018-14);</w:t>
            </w:r>
          </w:p>
        </w:tc>
      </w:tr>
    </w:tbl>
    <w:p w14:paraId="4A0802B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239"/>
        <w:gridCol w:w="7748"/>
      </w:tblGrid>
      <w:tr w:rsidR="00251D72" w14:paraId="665915F9" w14:textId="77777777">
        <w:tc>
          <w:tcPr>
            <w:tcW w:w="192" w:type="pct"/>
            <w:noWrap/>
            <w:hideMark/>
          </w:tcPr>
          <w:p w14:paraId="305CBC96"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70BB905E"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69E6A1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ASU 2018-13, </w:t>
            </w:r>
            <w:r>
              <w:rPr>
                <w:rFonts w:ascii="Calibri" w:hAnsi="Calibri" w:cs="Calibri"/>
                <w:i/>
                <w:iCs/>
                <w:sz w:val="20"/>
                <w:szCs w:val="20"/>
              </w:rPr>
              <w:t>Fair Value Measurement (Topic 820): Disclosure Framework—Changes to the Disclosure Requirements for Fair Value Measurement</w:t>
            </w:r>
            <w:r>
              <w:rPr>
                <w:rFonts w:ascii="Calibri" w:hAnsi="Calibri" w:cs="Calibri"/>
                <w:sz w:val="20"/>
                <w:szCs w:val="20"/>
              </w:rPr>
              <w:t xml:space="preserve"> (ASU 2018-13);</w:t>
            </w:r>
          </w:p>
        </w:tc>
      </w:tr>
    </w:tbl>
    <w:p w14:paraId="02ACE9F2"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239"/>
        <w:gridCol w:w="7748"/>
      </w:tblGrid>
      <w:tr w:rsidR="00251D72" w14:paraId="1F1C69F7" w14:textId="77777777">
        <w:tc>
          <w:tcPr>
            <w:tcW w:w="192" w:type="pct"/>
            <w:noWrap/>
            <w:hideMark/>
          </w:tcPr>
          <w:p w14:paraId="3E979F63"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59CA74D4"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6F0CE05"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ASU 2018-02, </w:t>
            </w:r>
            <w:r>
              <w:rPr>
                <w:rFonts w:ascii="Calibri" w:hAnsi="Calibri" w:cs="Calibri"/>
                <w:i/>
                <w:iCs/>
                <w:sz w:val="20"/>
                <w:szCs w:val="20"/>
              </w:rPr>
              <w:t xml:space="preserve">Income Statement—Reporting Comprehensive Income (Topic 220): Reclassification of Certain Tax Effects from Accumulated Other Comprehensive Income </w:t>
            </w:r>
            <w:r>
              <w:rPr>
                <w:rFonts w:ascii="Calibri" w:hAnsi="Calibri" w:cs="Calibri"/>
                <w:sz w:val="20"/>
                <w:szCs w:val="20"/>
              </w:rPr>
              <w:t>(ASU 2018-02); and</w:t>
            </w:r>
          </w:p>
        </w:tc>
      </w:tr>
    </w:tbl>
    <w:p w14:paraId="2019DB89"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239"/>
        <w:gridCol w:w="7748"/>
      </w:tblGrid>
      <w:tr w:rsidR="00251D72" w14:paraId="1A82D6A6" w14:textId="77777777">
        <w:tc>
          <w:tcPr>
            <w:tcW w:w="192" w:type="pct"/>
            <w:noWrap/>
            <w:hideMark/>
          </w:tcPr>
          <w:p w14:paraId="1B07D018" w14:textId="77777777" w:rsidR="00251D72" w:rsidRDefault="00251D72">
            <w:pPr>
              <w:pStyle w:val="a3"/>
              <w:spacing w:before="120" w:beforeAutospacing="0" w:after="0" w:afterAutospacing="0"/>
              <w:jc w:val="both"/>
              <w:rPr>
                <w:sz w:val="20"/>
                <w:szCs w:val="20"/>
              </w:rPr>
            </w:pPr>
            <w:r>
              <w:rPr>
                <w:sz w:val="20"/>
                <w:szCs w:val="20"/>
              </w:rPr>
              <w:t> </w:t>
            </w:r>
          </w:p>
        </w:tc>
        <w:tc>
          <w:tcPr>
            <w:tcW w:w="144" w:type="pct"/>
            <w:noWrap/>
            <w:hideMark/>
          </w:tcPr>
          <w:p w14:paraId="15C6DA7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8B81ED0"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ASU 2016-01, </w:t>
            </w:r>
            <w:r>
              <w:rPr>
                <w:rFonts w:ascii="Calibri" w:hAnsi="Calibri" w:cs="Calibri"/>
                <w:i/>
                <w:iCs/>
                <w:sz w:val="20"/>
                <w:szCs w:val="20"/>
              </w:rPr>
              <w:t>Financial Instruments—Overall (Subtopic 825-10): Recognition and Measurement of Financial Assets and Financial Liabilities</w:t>
            </w:r>
            <w:r>
              <w:rPr>
                <w:rFonts w:ascii="Calibri" w:hAnsi="Calibri" w:cs="Calibri"/>
                <w:sz w:val="20"/>
                <w:szCs w:val="20"/>
              </w:rPr>
              <w:t xml:space="preserve"> (ASU 2016-01).</w:t>
            </w:r>
          </w:p>
        </w:tc>
      </w:tr>
    </w:tbl>
    <w:p w14:paraId="287163EA"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Impacts of the U.S. Tax Cuts and Jobs Act of 2017</w:t>
      </w:r>
    </w:p>
    <w:p w14:paraId="2112D80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comparability of our operating results in fiscal 2019 compared to the corresponding prior year periods, and of our consolidated balance sheets as of May 31, 2019 relative to May 31, 2018, was impacted by the U.S. Tax Cuts and Jobs Act of 2017 (the Tax Act), which was effective for us in our third quarter of fiscal 2018. The Tax Act reduced the U.S. federal corporate tax rate from 35% to 21%; created a quasi-territorial tax system that generally allows companies to repatriate certain foreign source earnings without incurring additional U.S. income tax for such earnings generated after December 31, 2017; generally required companies to pay a one-time transition tax pursuant to a payment schedule that settles the tax over multiple future years on certain foreign subsidiary earnings generated prior to December 31, 2017 that, in substantial part, were previously tax deferred; created new taxes on certain foreign sourced earnings; limited deductibility of certain future compensation arrangements to certain highly compensated employees; and provided tax incentives for the exportation of U.S. products to foreign jurisdictions and for the purchase of qualifying capital equipment, among other provisions. As a result, we recorded a provisional charge to income tax expense of $6.9 billion in fiscal 2018, which, pursuant to SEC Staff Accounting Bulletin No. 118 (SAB 118), included a $7.8 billion provisional charge related to the one-time transition tax on certain foreign subsidiary earnings and a provisional $911 million of income tax benefit related to the remeasurement of our net deferred tax assets and liabilities. During fiscal 2019, we completed our analysis of the impacts of the Tax Act and recorded an income tax benefit of $529 million in accordance with SAB 118 related to adjustments to our estimates of the one-time transition tax on certain foreign subsidiary earnings and an income tax expense of $140 million in accordance with SAB 118 related to the remeasurement of our net deferred tax assets and liabilities</w:t>
      </w:r>
      <w:r>
        <w:rPr>
          <w:rFonts w:ascii="Calibri" w:hAnsi="Calibri" w:cs="Calibri"/>
        </w:rPr>
        <w:t>.</w:t>
      </w:r>
    </w:p>
    <w:p w14:paraId="6AF68471"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Use of Estimates</w:t>
      </w:r>
    </w:p>
    <w:p w14:paraId="0E43E594" w14:textId="77777777" w:rsidR="00251D72" w:rsidRDefault="00251D72">
      <w:pPr>
        <w:pStyle w:val="a3"/>
        <w:spacing w:before="120" w:beforeAutospacing="0" w:after="0" w:afterAutospacing="0"/>
        <w:jc w:val="both"/>
        <w:rPr>
          <w:rFonts w:ascii="Calibri" w:hAnsi="Calibri" w:cs="Calibri"/>
          <w:sz w:val="20"/>
          <w:szCs w:val="20"/>
        </w:rPr>
      </w:pPr>
      <w:bookmarkStart w:id="114" w:name="_AEIOULastRenderedPageBreakAEIOU77"/>
      <w:bookmarkEnd w:id="114"/>
      <w:r>
        <w:rPr>
          <w:rFonts w:ascii="Calibri" w:hAnsi="Calibri" w:cs="Calibri"/>
          <w:sz w:val="20"/>
          <w:szCs w:val="20"/>
        </w:rPr>
        <w:t xml:space="preserve">Our consolidated financial statements are prepared in accordance with U.S. generally accepted accounting principles (GAAP) as set forth in the Financial Accounting Standards Board’s (FASB) Accounting Standards Codification (ASC), and we consider the various staff accounting bulletins and other applicable guidance issued by the SEC. These accounting principles require us to make certain estimates, judgments and assumptions. We believe that the estimates, judgments and assumptions upon which we rely are reasonable based upon information available to us at the time that these estimates, judgments and assumptions are made. These estimates, judgments and assumptions can affect the reported amounts of assets and liabilities as of the date of the financial statements as well as the reported amounts of revenues and expenses during the periods presented. </w:t>
      </w:r>
    </w:p>
    <w:p w14:paraId="5DCB226D"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74</w:t>
      </w:r>
    </w:p>
    <w:p w14:paraId="54F48A43" w14:textId="77777777" w:rsidR="00251D72" w:rsidRDefault="00251D72">
      <w:pPr>
        <w:rPr>
          <w:rFonts w:ascii="Times New Roman" w:eastAsia="Times New Roman" w:hAnsi="Times New Roman" w:cs="Times New Roman"/>
          <w:sz w:val="24"/>
          <w:szCs w:val="24"/>
        </w:rPr>
      </w:pPr>
      <w:r>
        <w:rPr>
          <w:rFonts w:eastAsia="Times New Roman"/>
        </w:rPr>
        <w:pict w14:anchorId="66F1FB7A">
          <v:rect id="_x0000_i1100" style="width:415.3pt;height:1.5pt" o:hralign="center" o:hrstd="t" o:hr="t" fillcolor="#a0a0a0" stroked="f"/>
        </w:pict>
      </w:r>
    </w:p>
    <w:p w14:paraId="4468FDF0"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AE2B29D"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5EADD05"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0E2DD433"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0F3251AB"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1873B5E3" w14:textId="77777777" w:rsidR="00251D72" w:rsidRDefault="00251D72">
      <w:pPr>
        <w:pStyle w:val="a3"/>
        <w:spacing w:before="0" w:beforeAutospacing="0" w:after="0" w:afterAutospacing="0"/>
        <w:rPr>
          <w:sz w:val="20"/>
          <w:szCs w:val="20"/>
        </w:rPr>
      </w:pPr>
      <w:r>
        <w:rPr>
          <w:sz w:val="20"/>
          <w:szCs w:val="20"/>
        </w:rPr>
        <w:t> </w:t>
      </w:r>
    </w:p>
    <w:p w14:paraId="2A1571C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To the extent that there are differences between these estimates, judgments or assumptions and actual results, our consolidated financial statements will be affected. In many cases, the accounting treatment of a particular transaction is specifically dictated by GAAP and does not require management’s judgment in its application. There are also areas in which management’s judgment in selecting among available alternatives would not produce a materially different result.</w:t>
      </w:r>
    </w:p>
    <w:p w14:paraId="13B993A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Revenue Recognition </w:t>
      </w:r>
    </w:p>
    <w:p w14:paraId="5161B99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sources of revenues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39C98F3" w14:textId="77777777">
        <w:tc>
          <w:tcPr>
            <w:tcW w:w="262" w:type="pct"/>
            <w:noWrap/>
            <w:hideMark/>
          </w:tcPr>
          <w:p w14:paraId="2D19CCD8"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1D43F07"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5682D119"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cloud and license revenues, which include the sale of: cloud services and license support; and cloud licenses and on-premise licenses, which typically represent perpetual software licenses purchased by customers for use in both cloud and on-premise IT environments; </w:t>
            </w:r>
          </w:p>
        </w:tc>
      </w:tr>
    </w:tbl>
    <w:p w14:paraId="59A49F8E"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1F7BA2BA" w14:textId="77777777">
        <w:tc>
          <w:tcPr>
            <w:tcW w:w="262" w:type="pct"/>
            <w:noWrap/>
            <w:hideMark/>
          </w:tcPr>
          <w:p w14:paraId="1B89FF67"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1817CCB7"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415481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hardware revenues, which include the sale of hardware products, including Oracle Engineered Systems, servers, and storage products, and industry-specific hardware; and hardware support revenues; and </w:t>
            </w:r>
          </w:p>
        </w:tc>
      </w:tr>
    </w:tbl>
    <w:p w14:paraId="651E8386"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78078C31" w14:textId="77777777">
        <w:tc>
          <w:tcPr>
            <w:tcW w:w="262" w:type="pct"/>
            <w:noWrap/>
            <w:hideMark/>
          </w:tcPr>
          <w:p w14:paraId="5EA8903B"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03B21E80"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6348B9AA"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services revenues, which are earned from providing cloud-, license- and hardware-related services including consulting, advanced customer support and education services.</w:t>
            </w:r>
          </w:p>
        </w:tc>
      </w:tr>
    </w:tbl>
    <w:p w14:paraId="549A210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License support revenues are typically generated through the sale of license support contracts related to cloud license and on-premise licenses purchased by our customers at their option. License support contracts provide customers with rights to unspecified software product upgrades, maintenance releases and patches released during the term of the support period and include internet access to technical content, as well as internet and telephone access to technical support personnel. License support contracts are generally priced as a percentage of the net cloud license and on-premise license fees. Substantially all of our customers elect to renew their license support contracts annually.</w:t>
      </w:r>
    </w:p>
    <w:p w14:paraId="37F29CE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Cloud services revenues include revenues from Oracle Cloud Software-as-a-Service and Infrastructure-as-a-Service (SaaS and IaaS, respectively, and collectively, Oracle Cloud Services) offerings which deliver applications and infrastructure technologies, respectively, via cloud-based deployment models that we develop functionality for, provide unspecified updates and enhancements for, host, manage, upgrade and support and that customers access by entering into a subscription agreement with us for a stated period. Our IaaS offerings also include Oracle Managed Cloud Services, which are designed to provide comprehensive software and hardware management, maintenance and security services for customer cloud-based, on-premise or other IT infrastructure for a fee for a stated term. </w:t>
      </w:r>
    </w:p>
    <w:p w14:paraId="717A380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Cloud license and on-premise license revenues primarily represent amounts earned from granting customers perpetual licenses to use our database, middleware, application and industry-specific software products, which our customers use for cloud-based, on-premise and other IT environments. The vast majority of our cloud license and on-premise license arrangements include license support contracts, which are entered into at the customer’s option. </w:t>
      </w:r>
    </w:p>
    <w:p w14:paraId="78C5981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Revenues from the sale of hardware products represent amounts earned primarily from the sale of our Oracle Engineered Systems, computer servers, storage, and industry-specific hardware. Our hardware support offerings generally provide customers with software updates for the software components that are essential to the functionality of the hardware products purchased and can also include product repairs, maintenance services and technical support services. Hardware support contracts are generally priced as a percentage of the net hardware products fees.</w:t>
      </w:r>
    </w:p>
    <w:p w14:paraId="4F68F2A3" w14:textId="77777777" w:rsidR="00251D72" w:rsidRDefault="00251D72">
      <w:pPr>
        <w:pStyle w:val="a3"/>
        <w:spacing w:before="120" w:beforeAutospacing="0" w:after="0" w:afterAutospacing="0"/>
        <w:jc w:val="both"/>
        <w:rPr>
          <w:rFonts w:ascii="Calibri" w:hAnsi="Calibri" w:cs="Calibri"/>
          <w:sz w:val="20"/>
          <w:szCs w:val="20"/>
        </w:rPr>
      </w:pPr>
      <w:bookmarkStart w:id="115" w:name="_AEIOULastRenderedPageBreakAEIOU78"/>
      <w:bookmarkEnd w:id="115"/>
      <w:r>
        <w:rPr>
          <w:rFonts w:ascii="Calibri" w:hAnsi="Calibri" w:cs="Calibri"/>
          <w:sz w:val="20"/>
          <w:szCs w:val="20"/>
        </w:rPr>
        <w:t xml:space="preserve">Our services are offered to customers as standalone arrangements or as a part of arrangements to customers buying other products and services. Our consulting services are designed to help our customers to, among others, deploy, architect, integrate, upgrade and secure their investments in Oracle applications and infrastructure technologies. Our advanced customer support services are offered as standalone arrangements or as a part of </w:t>
      </w:r>
    </w:p>
    <w:p w14:paraId="0831454A"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75</w:t>
      </w:r>
    </w:p>
    <w:p w14:paraId="653BD4D6" w14:textId="77777777" w:rsidR="00251D72" w:rsidRDefault="00251D72">
      <w:pPr>
        <w:rPr>
          <w:rFonts w:ascii="Times New Roman" w:eastAsia="Times New Roman" w:hAnsi="Times New Roman" w:cs="Times New Roman"/>
          <w:sz w:val="24"/>
          <w:szCs w:val="24"/>
        </w:rPr>
      </w:pPr>
      <w:r>
        <w:rPr>
          <w:rFonts w:eastAsia="Times New Roman"/>
        </w:rPr>
        <w:pict w14:anchorId="6C496C6E">
          <v:rect id="_x0000_i1101" style="width:415.3pt;height:1.5pt" o:hralign="center" o:hrstd="t" o:hr="t" fillcolor="#a0a0a0" stroked="f"/>
        </w:pict>
      </w:r>
    </w:p>
    <w:p w14:paraId="4361155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E7CB79E"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19D22C2"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544B37C7"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64A7BC2F"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11EB50B0" w14:textId="77777777" w:rsidR="00251D72" w:rsidRDefault="00251D72">
      <w:pPr>
        <w:pStyle w:val="a3"/>
        <w:spacing w:before="0" w:beforeAutospacing="0" w:after="0" w:afterAutospacing="0"/>
        <w:rPr>
          <w:sz w:val="20"/>
          <w:szCs w:val="20"/>
        </w:rPr>
      </w:pPr>
      <w:r>
        <w:rPr>
          <w:sz w:val="20"/>
          <w:szCs w:val="20"/>
        </w:rPr>
        <w:t> </w:t>
      </w:r>
    </w:p>
    <w:p w14:paraId="0B831BD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arrangements to customers buying other products and services. We offer these advanced customer support services to Oracle customers to enable increased performance and higher availability of Oracle products and services. Education services include instructor-led, media-based and internet-based training in the use of our cloud, software and hardware products. </w:t>
      </w:r>
    </w:p>
    <w:p w14:paraId="3FD0183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Topic 606 is a single standard for revenue recognition that applies to all of our cloud, license, hardware and services arrangements and generally requires revenues to be recognized upon the transfer of control of promised goods or services provided to our customers, reflecting the amount of consideration we expect to receive for those goods or services. Pursuant to Topic 606,</w:t>
      </w:r>
      <w:r>
        <w:rPr>
          <w:rFonts w:ascii="Calibri" w:hAnsi="Calibri" w:cs="Calibri"/>
          <w:color w:val="000000"/>
          <w:sz w:val="20"/>
          <w:szCs w:val="20"/>
        </w:rPr>
        <w:t xml:space="preserve"> revenues are recognized upon the application of the following steps:</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F793096" w14:textId="77777777">
        <w:tc>
          <w:tcPr>
            <w:tcW w:w="262" w:type="pct"/>
            <w:noWrap/>
            <w:hideMark/>
          </w:tcPr>
          <w:p w14:paraId="2D3ED625"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EAA1831"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E6EE5F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identification of the contract, or contracts, with a customer;</w:t>
            </w:r>
          </w:p>
        </w:tc>
      </w:tr>
    </w:tbl>
    <w:p w14:paraId="2749CE00" w14:textId="77777777" w:rsidR="00251D72" w:rsidRDefault="00251D72">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65B851B1" w14:textId="77777777">
        <w:tc>
          <w:tcPr>
            <w:tcW w:w="262" w:type="pct"/>
            <w:noWrap/>
            <w:hideMark/>
          </w:tcPr>
          <w:p w14:paraId="557091DE" w14:textId="77777777" w:rsidR="00251D72" w:rsidRDefault="00251D72">
            <w:pPr>
              <w:pStyle w:val="a3"/>
              <w:spacing w:before="0" w:beforeAutospacing="0" w:after="0" w:afterAutospacing="0"/>
              <w:jc w:val="both"/>
              <w:rPr>
                <w:sz w:val="20"/>
                <w:szCs w:val="20"/>
              </w:rPr>
            </w:pPr>
            <w:r>
              <w:rPr>
                <w:sz w:val="20"/>
                <w:szCs w:val="20"/>
              </w:rPr>
              <w:t> </w:t>
            </w:r>
          </w:p>
        </w:tc>
        <w:tc>
          <w:tcPr>
            <w:tcW w:w="131" w:type="pct"/>
            <w:noWrap/>
            <w:hideMark/>
          </w:tcPr>
          <w:p w14:paraId="5A98D082" w14:textId="77777777" w:rsidR="00251D72" w:rsidRDefault="00251D72">
            <w:pPr>
              <w:pStyle w:val="a3"/>
              <w:spacing w:before="0" w:beforeAutospacing="0" w:after="0" w:afterAutospacing="0"/>
              <w:jc w:val="both"/>
              <w:rPr>
                <w:sz w:val="20"/>
                <w:szCs w:val="20"/>
              </w:rPr>
            </w:pPr>
            <w:r>
              <w:rPr>
                <w:sz w:val="20"/>
                <w:szCs w:val="20"/>
              </w:rPr>
              <w:t>•</w:t>
            </w:r>
          </w:p>
        </w:tc>
        <w:tc>
          <w:tcPr>
            <w:tcW w:w="0" w:type="auto"/>
            <w:hideMark/>
          </w:tcPr>
          <w:p w14:paraId="3383E36B" w14:textId="77777777" w:rsidR="00251D72" w:rsidRDefault="00251D72">
            <w:pPr>
              <w:pStyle w:val="a3"/>
              <w:spacing w:before="0" w:beforeAutospacing="0" w:after="0" w:afterAutospacing="0"/>
              <w:jc w:val="both"/>
              <w:rPr>
                <w:sz w:val="20"/>
                <w:szCs w:val="20"/>
              </w:rPr>
            </w:pPr>
            <w:r>
              <w:rPr>
                <w:rFonts w:ascii="Calibri" w:hAnsi="Calibri" w:cs="Calibri"/>
                <w:sz w:val="20"/>
                <w:szCs w:val="20"/>
              </w:rPr>
              <w:t>identification of the performance obligations in the contract;</w:t>
            </w:r>
          </w:p>
        </w:tc>
      </w:tr>
    </w:tbl>
    <w:p w14:paraId="6B22DAA0" w14:textId="77777777" w:rsidR="00251D72" w:rsidRDefault="00251D72">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46B8771" w14:textId="77777777">
        <w:tc>
          <w:tcPr>
            <w:tcW w:w="262" w:type="pct"/>
            <w:noWrap/>
            <w:hideMark/>
          </w:tcPr>
          <w:p w14:paraId="332A1879" w14:textId="77777777" w:rsidR="00251D72" w:rsidRDefault="00251D72">
            <w:pPr>
              <w:pStyle w:val="a3"/>
              <w:spacing w:before="0" w:beforeAutospacing="0" w:after="0" w:afterAutospacing="0"/>
              <w:jc w:val="both"/>
              <w:rPr>
                <w:sz w:val="20"/>
                <w:szCs w:val="20"/>
              </w:rPr>
            </w:pPr>
            <w:r>
              <w:rPr>
                <w:sz w:val="20"/>
                <w:szCs w:val="20"/>
              </w:rPr>
              <w:t> </w:t>
            </w:r>
          </w:p>
        </w:tc>
        <w:tc>
          <w:tcPr>
            <w:tcW w:w="131" w:type="pct"/>
            <w:noWrap/>
            <w:hideMark/>
          </w:tcPr>
          <w:p w14:paraId="70F9A69B" w14:textId="77777777" w:rsidR="00251D72" w:rsidRDefault="00251D72">
            <w:pPr>
              <w:pStyle w:val="a3"/>
              <w:spacing w:before="0" w:beforeAutospacing="0" w:after="0" w:afterAutospacing="0"/>
              <w:jc w:val="both"/>
              <w:rPr>
                <w:sz w:val="20"/>
                <w:szCs w:val="20"/>
              </w:rPr>
            </w:pPr>
            <w:r>
              <w:rPr>
                <w:sz w:val="20"/>
                <w:szCs w:val="20"/>
              </w:rPr>
              <w:t>•</w:t>
            </w:r>
          </w:p>
        </w:tc>
        <w:tc>
          <w:tcPr>
            <w:tcW w:w="0" w:type="auto"/>
            <w:hideMark/>
          </w:tcPr>
          <w:p w14:paraId="3479818B" w14:textId="77777777" w:rsidR="00251D72" w:rsidRDefault="00251D72">
            <w:pPr>
              <w:pStyle w:val="a3"/>
              <w:spacing w:before="0" w:beforeAutospacing="0" w:after="0" w:afterAutospacing="0"/>
              <w:jc w:val="both"/>
              <w:rPr>
                <w:sz w:val="20"/>
                <w:szCs w:val="20"/>
              </w:rPr>
            </w:pPr>
            <w:r>
              <w:rPr>
                <w:rFonts w:ascii="Calibri" w:hAnsi="Calibri" w:cs="Calibri"/>
                <w:sz w:val="20"/>
                <w:szCs w:val="20"/>
              </w:rPr>
              <w:t>determination of the transaction price;</w:t>
            </w:r>
          </w:p>
        </w:tc>
      </w:tr>
    </w:tbl>
    <w:p w14:paraId="1C37BAA4" w14:textId="77777777" w:rsidR="00251D72" w:rsidRDefault="00251D72">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4ED847D" w14:textId="77777777">
        <w:tc>
          <w:tcPr>
            <w:tcW w:w="262" w:type="pct"/>
            <w:noWrap/>
            <w:hideMark/>
          </w:tcPr>
          <w:p w14:paraId="20FFEF16" w14:textId="77777777" w:rsidR="00251D72" w:rsidRDefault="00251D72">
            <w:pPr>
              <w:pStyle w:val="a3"/>
              <w:spacing w:before="0" w:beforeAutospacing="0" w:after="0" w:afterAutospacing="0"/>
              <w:jc w:val="both"/>
              <w:rPr>
                <w:sz w:val="20"/>
                <w:szCs w:val="20"/>
              </w:rPr>
            </w:pPr>
            <w:r>
              <w:rPr>
                <w:sz w:val="20"/>
                <w:szCs w:val="20"/>
              </w:rPr>
              <w:t> </w:t>
            </w:r>
          </w:p>
        </w:tc>
        <w:tc>
          <w:tcPr>
            <w:tcW w:w="131" w:type="pct"/>
            <w:noWrap/>
            <w:hideMark/>
          </w:tcPr>
          <w:p w14:paraId="1583D9BD" w14:textId="77777777" w:rsidR="00251D72" w:rsidRDefault="00251D72">
            <w:pPr>
              <w:pStyle w:val="a3"/>
              <w:spacing w:before="0" w:beforeAutospacing="0" w:after="0" w:afterAutospacing="0"/>
              <w:jc w:val="both"/>
              <w:rPr>
                <w:sz w:val="20"/>
                <w:szCs w:val="20"/>
              </w:rPr>
            </w:pPr>
            <w:r>
              <w:rPr>
                <w:sz w:val="20"/>
                <w:szCs w:val="20"/>
              </w:rPr>
              <w:t>•</w:t>
            </w:r>
          </w:p>
        </w:tc>
        <w:tc>
          <w:tcPr>
            <w:tcW w:w="0" w:type="auto"/>
            <w:hideMark/>
          </w:tcPr>
          <w:p w14:paraId="7E44EAB8" w14:textId="77777777" w:rsidR="00251D72" w:rsidRDefault="00251D72">
            <w:pPr>
              <w:pStyle w:val="a3"/>
              <w:spacing w:before="0" w:beforeAutospacing="0" w:after="0" w:afterAutospacing="0"/>
              <w:jc w:val="both"/>
              <w:rPr>
                <w:sz w:val="20"/>
                <w:szCs w:val="20"/>
              </w:rPr>
            </w:pPr>
            <w:r>
              <w:rPr>
                <w:rFonts w:ascii="Calibri" w:hAnsi="Calibri" w:cs="Calibri"/>
                <w:sz w:val="20"/>
                <w:szCs w:val="20"/>
              </w:rPr>
              <w:t xml:space="preserve">allocation of the transaction price to the performance obligations in the contract; and </w:t>
            </w:r>
          </w:p>
        </w:tc>
      </w:tr>
    </w:tbl>
    <w:p w14:paraId="17007BC4" w14:textId="77777777" w:rsidR="00251D72" w:rsidRDefault="00251D72">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3DE5AD87" w14:textId="77777777">
        <w:tc>
          <w:tcPr>
            <w:tcW w:w="262" w:type="pct"/>
            <w:noWrap/>
            <w:hideMark/>
          </w:tcPr>
          <w:p w14:paraId="0898C534" w14:textId="77777777" w:rsidR="00251D72" w:rsidRDefault="00251D72">
            <w:pPr>
              <w:pStyle w:val="a3"/>
              <w:spacing w:before="0" w:beforeAutospacing="0" w:after="0" w:afterAutospacing="0"/>
              <w:jc w:val="both"/>
              <w:rPr>
                <w:sz w:val="20"/>
                <w:szCs w:val="20"/>
              </w:rPr>
            </w:pPr>
            <w:r>
              <w:rPr>
                <w:sz w:val="20"/>
                <w:szCs w:val="20"/>
              </w:rPr>
              <w:t> </w:t>
            </w:r>
          </w:p>
        </w:tc>
        <w:tc>
          <w:tcPr>
            <w:tcW w:w="131" w:type="pct"/>
            <w:noWrap/>
            <w:hideMark/>
          </w:tcPr>
          <w:p w14:paraId="67D21BCD" w14:textId="77777777" w:rsidR="00251D72" w:rsidRDefault="00251D72">
            <w:pPr>
              <w:pStyle w:val="a3"/>
              <w:spacing w:before="0" w:beforeAutospacing="0" w:after="0" w:afterAutospacing="0"/>
              <w:jc w:val="both"/>
              <w:rPr>
                <w:sz w:val="20"/>
                <w:szCs w:val="20"/>
              </w:rPr>
            </w:pPr>
            <w:r>
              <w:rPr>
                <w:sz w:val="20"/>
                <w:szCs w:val="20"/>
              </w:rPr>
              <w:t>•</w:t>
            </w:r>
          </w:p>
        </w:tc>
        <w:tc>
          <w:tcPr>
            <w:tcW w:w="0" w:type="auto"/>
            <w:hideMark/>
          </w:tcPr>
          <w:p w14:paraId="0281855B" w14:textId="77777777" w:rsidR="00251D72" w:rsidRDefault="00251D72">
            <w:pPr>
              <w:pStyle w:val="a3"/>
              <w:spacing w:before="0" w:beforeAutospacing="0" w:after="0" w:afterAutospacing="0"/>
              <w:jc w:val="both"/>
              <w:rPr>
                <w:sz w:val="20"/>
                <w:szCs w:val="20"/>
              </w:rPr>
            </w:pPr>
            <w:r>
              <w:rPr>
                <w:rFonts w:ascii="Calibri" w:hAnsi="Calibri" w:cs="Calibri"/>
                <w:sz w:val="20"/>
                <w:szCs w:val="20"/>
              </w:rPr>
              <w:t>recognition of revenues when, or as, the contractual performance obligations are satisfied.</w:t>
            </w:r>
          </w:p>
        </w:tc>
      </w:tr>
    </w:tbl>
    <w:p w14:paraId="2F3EFA1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timing of revenue recognition may differ from the timing of invoicing to our customers. We record an unbilled receivable, which is included within accounts receivable on our consolidated balance sheets, when revenue is recognized prior to invoicing. We record deferred revenues on our consolidated balance sheets when revenues are recognized subsequent to cash collection for an invoice. Our standard payment terms are generally net 30 days but may vary. Invoices for cloud license and on-premise licenses and hardware products are generally issued when the license is made available for customer use or upon delivery to the customer of the hardware product. Invoices for license support and hardware support contracts are generally invoiced annually in advance. Cloud SaaS and IaaS contracts are generally invoiced annually, quarterly or monthly in advance. Services are generally invoiced in advance or as the services are performed. Most contracts that contain a financing component are contracts financed through our financing division. The transaction price for a contract that is financed through our financing division is adjusted to reflect the time value of money and interest revenue is recorded as a component of non-operating income, net within our consolidated statements of operations based on market rates in the country in which the transaction is being financed.  </w:t>
      </w:r>
    </w:p>
    <w:p w14:paraId="1E0D6AB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revenue arrangements generally include standard warranty or service level provisions that our arrangements will perform and operate in all material respects as defined in the respective agreements, the financial impacts of which have historically been and are expected to continue to be insignificant. Our arrangements generally do not include a general right of return relative to the delivered products or services. We recognize revenues net of any taxes collected from customers, which are subsequently remitted to governmental authorities.</w:t>
      </w:r>
    </w:p>
    <w:p w14:paraId="03C311CC" w14:textId="77777777" w:rsidR="00251D72" w:rsidRDefault="00251D72">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Revenue Recognition for Cloud Services</w:t>
      </w:r>
    </w:p>
    <w:p w14:paraId="6D8E7E7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Revenues from cloud services provided on a subscription basis are generally recognized ratably over the contractual period that the services are delivered, beginning on the date our service is made available to our customers. We recognize revenue ratably because the customer receives and consumes the benefits of the cloud services throughout the contract period. Revenues from cloud services provided on a consumption basis, such as metered services, are generally recognized based on the utilization of the services by the customer. </w:t>
      </w:r>
    </w:p>
    <w:p w14:paraId="0E97C19B" w14:textId="77777777" w:rsidR="00251D72" w:rsidRDefault="00251D72">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Revenue Recognition for License Support and Hardware Support</w:t>
      </w:r>
    </w:p>
    <w:p w14:paraId="6EEB0756" w14:textId="77777777" w:rsidR="00251D72" w:rsidRDefault="00251D72">
      <w:pPr>
        <w:pStyle w:val="a3"/>
        <w:spacing w:before="120" w:beforeAutospacing="0" w:after="0" w:afterAutospacing="0"/>
        <w:jc w:val="both"/>
        <w:rPr>
          <w:rFonts w:ascii="Calibri" w:hAnsi="Calibri" w:cs="Calibri"/>
          <w:color w:val="000000"/>
          <w:sz w:val="20"/>
          <w:szCs w:val="20"/>
        </w:rPr>
      </w:pPr>
      <w:bookmarkStart w:id="116" w:name="_AEIOULastRenderedPageBreakAEIOU79"/>
      <w:bookmarkEnd w:id="116"/>
      <w:r>
        <w:rPr>
          <w:rFonts w:ascii="Calibri" w:hAnsi="Calibri" w:cs="Calibri"/>
          <w:color w:val="000000"/>
          <w:sz w:val="20"/>
          <w:szCs w:val="20"/>
        </w:rPr>
        <w:t xml:space="preserve">Oracle’s primary performance obligations with respect to license support contracts and hardware support contracts are to provide customers with technical support as needed and unspecified software product upgrades, maintenance releases and patches during the term of the support period, if and when they are available. Oracle is obligated to make the license and hardware support services available continuously throughout the contract </w:t>
      </w:r>
    </w:p>
    <w:p w14:paraId="498558A4"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76</w:t>
      </w:r>
    </w:p>
    <w:p w14:paraId="1BA662B9" w14:textId="77777777" w:rsidR="00251D72" w:rsidRDefault="00251D72">
      <w:pPr>
        <w:rPr>
          <w:rFonts w:ascii="Times New Roman" w:eastAsia="Times New Roman" w:hAnsi="Times New Roman" w:cs="Times New Roman"/>
          <w:sz w:val="24"/>
          <w:szCs w:val="24"/>
        </w:rPr>
      </w:pPr>
      <w:r>
        <w:rPr>
          <w:rFonts w:eastAsia="Times New Roman"/>
        </w:rPr>
        <w:pict w14:anchorId="57D1B47E">
          <v:rect id="_x0000_i1102" style="width:415.3pt;height:1.5pt" o:hralign="center" o:hrstd="t" o:hr="t" fillcolor="#a0a0a0" stroked="f"/>
        </w:pict>
      </w:r>
    </w:p>
    <w:p w14:paraId="59261033"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44848D3"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41E8765"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23CDEC6"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143B046F"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3725DA23" w14:textId="77777777" w:rsidR="00251D72" w:rsidRDefault="00251D72">
      <w:pPr>
        <w:pStyle w:val="a3"/>
        <w:spacing w:before="0" w:beforeAutospacing="0" w:after="0" w:afterAutospacing="0"/>
        <w:rPr>
          <w:sz w:val="20"/>
          <w:szCs w:val="20"/>
        </w:rPr>
      </w:pPr>
      <w:r>
        <w:rPr>
          <w:sz w:val="20"/>
          <w:szCs w:val="20"/>
        </w:rPr>
        <w:t> </w:t>
      </w:r>
    </w:p>
    <w:p w14:paraId="422E32F4" w14:textId="77777777" w:rsidR="00251D72" w:rsidRDefault="00251D72">
      <w:pPr>
        <w:pStyle w:val="a3"/>
        <w:spacing w:before="120" w:beforeAutospacing="0" w:after="0" w:afterAutospacing="0"/>
        <w:jc w:val="both"/>
        <w:rPr>
          <w:rFonts w:ascii="Calibri" w:hAnsi="Calibri" w:cs="Calibri"/>
          <w:color w:val="000000"/>
          <w:sz w:val="20"/>
          <w:szCs w:val="20"/>
        </w:rPr>
      </w:pPr>
      <w:r>
        <w:rPr>
          <w:rFonts w:ascii="Calibri" w:hAnsi="Calibri" w:cs="Calibri"/>
          <w:color w:val="000000"/>
          <w:sz w:val="20"/>
          <w:szCs w:val="20"/>
        </w:rPr>
        <w:t xml:space="preserve">period. Therefore, revenues for license support contracts and hardware support contracts are generally recognized ratably over the contractual periods that the support services are provided.   </w:t>
      </w:r>
    </w:p>
    <w:p w14:paraId="01658400" w14:textId="77777777" w:rsidR="00251D72" w:rsidRDefault="00251D72">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Revenue Recognition for Cloud License and On-Premise License</w:t>
      </w:r>
    </w:p>
    <w:p w14:paraId="2E85A0C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Revenues from distinct cloud license and on-premise license performance obligations are generally recognized upfront at the point in time</w:t>
      </w:r>
      <w:r>
        <w:rPr>
          <w:rFonts w:ascii="Calibri" w:hAnsi="Calibri" w:cs="Calibri"/>
          <w:i/>
          <w:iCs/>
          <w:sz w:val="20"/>
          <w:szCs w:val="20"/>
        </w:rPr>
        <w:t xml:space="preserve"> </w:t>
      </w:r>
      <w:r>
        <w:rPr>
          <w:rFonts w:ascii="Calibri" w:hAnsi="Calibri" w:cs="Calibri"/>
          <w:sz w:val="20"/>
          <w:szCs w:val="20"/>
        </w:rPr>
        <w:t>when the software is made available to the customer to download and use. Revenues from usage-based royalty arrangements for distinct cloud licenses and on-premise licenses are recognized at the point in time when the software end user usage occurs. For usage-based royalty arrangements with a fixed minimum guarantee amount, the minimum amount is generally recognized upfront when the software is made available to the royalty customer.</w:t>
      </w:r>
    </w:p>
    <w:p w14:paraId="5776F081" w14:textId="77777777" w:rsidR="00251D72" w:rsidRDefault="00251D72">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Revenue Recognition for Hardware Products</w:t>
      </w:r>
    </w:p>
    <w:p w14:paraId="08F558E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hardware product and related software, such as an operating system or firmware, are highly interdependent and interrelated and are accounted for as a combined performance obligation. The revenues for this combined performance obligation are generally recognized at the point in time that the hardware product is delivered to the customer and ownership is transferred to the customer.</w:t>
      </w:r>
    </w:p>
    <w:p w14:paraId="47602B0C" w14:textId="77777777" w:rsidR="00251D72" w:rsidRDefault="00251D72">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 xml:space="preserve">Revenue Recognition for Services </w:t>
      </w:r>
    </w:p>
    <w:p w14:paraId="4F604DB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Services revenues are generally recognized over time as the services are performed. Revenues for fixed price services are generally recognized over time applying input methods to estimate progress to completion. Revenues for consumption-based services are generally recognized as the services are performed.</w:t>
      </w:r>
    </w:p>
    <w:p w14:paraId="3C933875" w14:textId="77777777" w:rsidR="00251D72" w:rsidRDefault="00251D72">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 xml:space="preserve">Allocation of the Transaction Price for Contracts that have Multiple Performance Obligations </w:t>
      </w:r>
    </w:p>
    <w:p w14:paraId="76E9B07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Many of our contracts include multiple performance obligations. Judgment is required in determining whether each performance obligation is distinct. Oracle products and services generally do not require a significant amount of integration or interdependency; therefore, our products and services are generally not combined. We allocate the transaction price for each contract to each performance obligation based on the relative standalone selling price (SSP) for each performance obligation within each contract. </w:t>
      </w:r>
    </w:p>
    <w:p w14:paraId="7E2324B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use judgment in determining the SSP for products and services. For substantially all performance obligations except cloud licenses and on-premise licenses, we are able to establish the SSP based on the observable prices of products or services sold separately in comparable circumstances to similar customers. We typically establish an SSP range for our products and services which is reassessed on a periodic basis or when facts and circumstances change. Our cloud licenses and on-premise licenses have not historically been sold on a standalone basis, as the vast majority of all customers elect to purchase license support contracts at the time of a cloud license and on-premise license purchase. License support contracts are generally priced as a percentage of the net fees paid by the customer to access the license. We are unable to establish the SSP for our cloud licenses and on-premise licenses based on observable prices given the same products are sold for a broad range of amounts (that is, the selling price is highly variable) and a representative SSP is not discernible from past transactions or other observable evidence. As a result, the SSP for a cloud license and an on-premise license included in a contract with multiple performance obligations is determined by applying a residual approach whereby all other performance obligations within a contract are first allocated a portion of the transaction price based upon their respective SSPs, with any residual amount of transaction price allocated to cloud license and on-premise license revenues.</w:t>
      </w:r>
    </w:p>
    <w:p w14:paraId="25443A8D"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77</w:t>
      </w:r>
    </w:p>
    <w:p w14:paraId="4587045F" w14:textId="77777777" w:rsidR="00251D72" w:rsidRDefault="00251D72">
      <w:pPr>
        <w:rPr>
          <w:rFonts w:ascii="Times New Roman" w:eastAsia="Times New Roman" w:hAnsi="Times New Roman" w:cs="Times New Roman"/>
          <w:sz w:val="24"/>
          <w:szCs w:val="24"/>
        </w:rPr>
      </w:pPr>
      <w:r>
        <w:rPr>
          <w:rFonts w:eastAsia="Times New Roman"/>
        </w:rPr>
        <w:pict w14:anchorId="23061B6B">
          <v:rect id="_x0000_i1103" style="width:415.3pt;height:1.5pt" o:hralign="center" o:hrstd="t" o:hr="t" fillcolor="#a0a0a0" stroked="f"/>
        </w:pict>
      </w:r>
    </w:p>
    <w:p w14:paraId="67BF7F7C"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88AA31F"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9A0A564"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62F5D1F4"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0B847BAC"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74893CE3" w14:textId="77777777" w:rsidR="00251D72" w:rsidRDefault="00251D72">
      <w:pPr>
        <w:pStyle w:val="a3"/>
        <w:spacing w:before="0" w:beforeAutospacing="0" w:after="0" w:afterAutospacing="0"/>
        <w:rPr>
          <w:sz w:val="20"/>
          <w:szCs w:val="20"/>
        </w:rPr>
      </w:pPr>
      <w:r>
        <w:rPr>
          <w:sz w:val="20"/>
          <w:szCs w:val="20"/>
        </w:rPr>
        <w:t> </w:t>
      </w:r>
    </w:p>
    <w:p w14:paraId="4FF1D4A3" w14:textId="77777777" w:rsidR="00251D72" w:rsidRDefault="00251D72">
      <w:pPr>
        <w:pStyle w:val="a3"/>
        <w:shd w:val="clear" w:color="auto" w:fill="FFFFFF"/>
        <w:spacing w:before="240" w:beforeAutospacing="0" w:after="120" w:afterAutospacing="0"/>
        <w:rPr>
          <w:rFonts w:ascii="Calibri" w:hAnsi="Calibri" w:cs="Calibri"/>
          <w:i/>
          <w:iCs/>
          <w:color w:val="000000"/>
          <w:sz w:val="20"/>
          <w:szCs w:val="20"/>
        </w:rPr>
      </w:pPr>
      <w:bookmarkStart w:id="117" w:name="_AEIOULastRenderedPageBreakAEIOU80"/>
      <w:bookmarkEnd w:id="117"/>
      <w:r>
        <w:rPr>
          <w:rFonts w:ascii="Calibri" w:hAnsi="Calibri" w:cs="Calibri"/>
          <w:i/>
          <w:iCs/>
          <w:color w:val="000000"/>
          <w:sz w:val="20"/>
          <w:szCs w:val="20"/>
        </w:rPr>
        <w:t>Remaining Performance Obligations from Customer Contracts</w:t>
      </w:r>
    </w:p>
    <w:p w14:paraId="0B775AF1" w14:textId="77777777" w:rsidR="00251D72" w:rsidRDefault="00251D72">
      <w:pPr>
        <w:pStyle w:val="a3"/>
        <w:shd w:val="clear" w:color="auto" w:fill="FFFFFF"/>
        <w:spacing w:before="0" w:beforeAutospacing="0" w:after="120" w:afterAutospacing="0"/>
        <w:jc w:val="both"/>
        <w:rPr>
          <w:rFonts w:ascii="Calibri" w:hAnsi="Calibri" w:cs="Calibri"/>
          <w:color w:val="000000"/>
          <w:sz w:val="20"/>
          <w:szCs w:val="20"/>
        </w:rPr>
      </w:pPr>
      <w:r>
        <w:rPr>
          <w:rFonts w:ascii="Calibri" w:hAnsi="Calibri" w:cs="Calibri"/>
          <w:color w:val="000000"/>
          <w:sz w:val="20"/>
          <w:szCs w:val="20"/>
        </w:rPr>
        <w:t xml:space="preserve">Trade receivables, net of allowance for doubtful accounts, and deferred revenues are reported net of related uncollected deferred revenues in our consolidated balance sheets as of May 31, 2019 and 2018. </w:t>
      </w:r>
    </w:p>
    <w:p w14:paraId="7CE88E56" w14:textId="77777777" w:rsidR="00251D72" w:rsidRDefault="00251D72">
      <w:pPr>
        <w:pStyle w:val="a3"/>
        <w:shd w:val="clear" w:color="auto" w:fill="FFFFFF"/>
        <w:spacing w:before="0" w:beforeAutospacing="0" w:after="120" w:afterAutospacing="0"/>
        <w:jc w:val="both"/>
        <w:rPr>
          <w:rFonts w:ascii="Calibri" w:hAnsi="Calibri" w:cs="Calibri"/>
          <w:color w:val="000000"/>
          <w:sz w:val="20"/>
          <w:szCs w:val="20"/>
        </w:rPr>
      </w:pPr>
      <w:r>
        <w:rPr>
          <w:rFonts w:ascii="Calibri" w:hAnsi="Calibri" w:cs="Calibri"/>
          <w:color w:val="000000"/>
          <w:sz w:val="20"/>
          <w:szCs w:val="20"/>
        </w:rPr>
        <w:t>The amount of revenues recognized during the year ended May 31, 2019 that were included in the opening deferred revenues balance as of May 31, 2018 was approximately $8.3 billion. Revenues recognized from performance obligations satisfied in prior periods and impairment losses recognized on our receivables were immaterial during each year ended May 31, 2019, 2018 and 2017.  </w:t>
      </w:r>
    </w:p>
    <w:p w14:paraId="00A981B1" w14:textId="77777777" w:rsidR="00251D72" w:rsidRDefault="00251D72">
      <w:pPr>
        <w:pStyle w:val="a3"/>
        <w:shd w:val="clear" w:color="auto" w:fill="FFFFFF"/>
        <w:spacing w:before="0" w:beforeAutospacing="0" w:after="120" w:afterAutospacing="0"/>
        <w:jc w:val="both"/>
        <w:rPr>
          <w:rFonts w:ascii="Calibri" w:hAnsi="Calibri" w:cs="Calibri"/>
          <w:color w:val="000000"/>
          <w:sz w:val="20"/>
          <w:szCs w:val="20"/>
        </w:rPr>
      </w:pPr>
      <w:r>
        <w:rPr>
          <w:rFonts w:ascii="Calibri" w:hAnsi="Calibri" w:cs="Calibri"/>
          <w:color w:val="000000"/>
          <w:sz w:val="20"/>
          <w:szCs w:val="20"/>
        </w:rPr>
        <w:t>Remaining performance obligations represent contracted revenues that had not yet been recognized, and include deferred revenues; invoices that have been issued to customers but were uncollected and have not been recognized as revenues; and amounts that will be invoiced and recognized as revenues in future periods. The volumes and amounts of customer contracts that we book and total revenues that we recognize are impacted by a variety of seasonal factors. In each fiscal year, the amounts and volumes of contracting activity and our total revenues are typically highest in our fourth fiscal quarter and lowest in our first fiscal quarter. These seasonal impacts influence how our remaining performance obligations change over time. As of May 31, 2019, our remaining performance obligations were $36.2 billion, approximately 62% of which we expect to recognize as revenues over the next twelve months and the remainder thereafter.</w:t>
      </w:r>
    </w:p>
    <w:p w14:paraId="01E10DF0" w14:textId="77777777" w:rsidR="00251D72" w:rsidRDefault="00251D72">
      <w:pPr>
        <w:pStyle w:val="a3"/>
        <w:spacing w:before="120" w:beforeAutospacing="0" w:after="0" w:afterAutospacing="0"/>
        <w:jc w:val="both"/>
        <w:rPr>
          <w:rFonts w:ascii="Calibri" w:hAnsi="Calibri" w:cs="Calibri"/>
          <w:color w:val="000000"/>
          <w:sz w:val="20"/>
          <w:szCs w:val="20"/>
        </w:rPr>
      </w:pPr>
      <w:r>
        <w:rPr>
          <w:rFonts w:ascii="Calibri" w:hAnsi="Calibri" w:cs="Calibri"/>
          <w:color w:val="000000"/>
          <w:sz w:val="20"/>
          <w:szCs w:val="20"/>
        </w:rPr>
        <w:t>Refer to Note 15 for our discussion of revenues disaggregation.</w:t>
      </w:r>
    </w:p>
    <w:p w14:paraId="31E0713A" w14:textId="77777777" w:rsidR="00251D72" w:rsidRDefault="00251D72">
      <w:pPr>
        <w:pStyle w:val="a3"/>
        <w:spacing w:before="240" w:beforeAutospacing="0" w:after="0" w:afterAutospacing="0"/>
        <w:jc w:val="both"/>
        <w:rPr>
          <w:rFonts w:ascii="Calibri" w:hAnsi="Calibri" w:cs="Calibri"/>
          <w:i/>
          <w:iCs/>
          <w:color w:val="000000"/>
          <w:sz w:val="20"/>
          <w:szCs w:val="20"/>
        </w:rPr>
      </w:pPr>
      <w:r>
        <w:rPr>
          <w:rFonts w:ascii="Calibri" w:hAnsi="Calibri" w:cs="Calibri"/>
          <w:i/>
          <w:iCs/>
          <w:color w:val="000000"/>
          <w:sz w:val="20"/>
          <w:szCs w:val="20"/>
        </w:rPr>
        <w:t>Sales of Financing Receivables</w:t>
      </w:r>
    </w:p>
    <w:p w14:paraId="0A649686" w14:textId="77777777" w:rsidR="00251D72" w:rsidRDefault="00251D72">
      <w:pPr>
        <w:pStyle w:val="a3"/>
        <w:spacing w:before="120" w:beforeAutospacing="0" w:after="0" w:afterAutospacing="0"/>
        <w:jc w:val="both"/>
        <w:rPr>
          <w:rFonts w:ascii="Calibri" w:hAnsi="Calibri" w:cs="Calibri"/>
          <w:color w:val="000000"/>
          <w:sz w:val="20"/>
          <w:szCs w:val="20"/>
        </w:rPr>
      </w:pPr>
      <w:r>
        <w:rPr>
          <w:rFonts w:ascii="Calibri" w:hAnsi="Calibri" w:cs="Calibri"/>
          <w:color w:val="000000"/>
          <w:sz w:val="20"/>
          <w:szCs w:val="20"/>
        </w:rPr>
        <w:t>We offer certain of our customers the option to acquire our software products, hardware products and services offerings through separate long-term payment contracts. We generally sell these contracts that we have financed for our customers on a non-recourse basis to financial institutions within 90 days of the contracts’ dates of execution. We record the transfers of amounts due from customers to financial institutions as sales of financing receivables because we are considered to have surrendered control of these financing receivables. During fiscal 2019, 2018 and 2017, $1.8 billion, $1.7 billion and $1.6 billion, respectively, of our financing receivables were sold to financial institutions.</w:t>
      </w:r>
    </w:p>
    <w:p w14:paraId="4FEF52B5"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Business Combinations</w:t>
      </w:r>
    </w:p>
    <w:p w14:paraId="2B44B88B" w14:textId="77777777" w:rsidR="00251D72" w:rsidRDefault="00251D72">
      <w:pPr>
        <w:pStyle w:val="a3"/>
        <w:spacing w:before="120" w:beforeAutospacing="0" w:after="0" w:afterAutospacing="0"/>
        <w:jc w:val="both"/>
        <w:rPr>
          <w:rFonts w:ascii="Calibri" w:hAnsi="Calibri" w:cs="Calibri"/>
          <w:sz w:val="20"/>
          <w:szCs w:val="20"/>
        </w:rPr>
      </w:pPr>
      <w:bookmarkStart w:id="118" w:name="_AEIOULastRenderedPageBreakAEIOU81"/>
      <w:bookmarkEnd w:id="118"/>
      <w:r>
        <w:rPr>
          <w:rFonts w:ascii="Calibri" w:hAnsi="Calibri" w:cs="Calibri"/>
          <w:sz w:val="20"/>
          <w:szCs w:val="20"/>
        </w:rPr>
        <w:t xml:space="preserve">We apply the provisions of ASC 805, </w:t>
      </w:r>
      <w:r>
        <w:rPr>
          <w:rFonts w:ascii="Calibri" w:hAnsi="Calibri" w:cs="Calibri"/>
          <w:i/>
          <w:iCs/>
          <w:sz w:val="20"/>
          <w:szCs w:val="20"/>
        </w:rPr>
        <w:t>Business Combinations</w:t>
      </w:r>
      <w:r>
        <w:rPr>
          <w:rFonts w:ascii="Calibri" w:hAnsi="Calibri" w:cs="Calibri"/>
          <w:sz w:val="20"/>
          <w:szCs w:val="20"/>
        </w:rPr>
        <w:t xml:space="preserve"> (ASC 805), in accounting for our acquisitions. ASC 805 requires that we evaluate whether a transaction pertains to an acquisition of assets, or to an acquisition of a business. A business is defined as an integrated set of assets and activities that is capable of being conducted and managed for the purpose of providing a return to investors. Asset acquisitions are accounted for by allocating the cost of the acquisition to the individual assets and liabilities assumed on a relative fair value basis; whereas the acquisition of a business requires us to recognize separately from goodwill the assets acquired and the liabilities assumed at the acquisition date fair values. Goodwill as of the acquisition date is measured as the excess of consideration transferred over the net of the acquisition date fair values of the assets acquired and the liabilities assumed. While we use our best estimates and assumptions to accurately value assets acquired and liabilities assumed at the acquisition date as well as any contingent consideration, where applicable, our estimates are inherently uncertain and subject to refinement. As a result, during the measurement period, which may be up to one year from the acquisition date, we record adjustments to the assets acquired and liabilities assumed with the corresponding offset to goodwill. Upon the conclusion of the measurement period or final determination of the values of assets acquired or liabilities assumed, whichever comes first, any subsequent adjustments are recorded to our consolidated statements of operations. Costs to exit or restructure certain activities of an acquired company or our internal operations are accounted for as termination and exit costs pursuant to ASC 420, </w:t>
      </w:r>
      <w:r>
        <w:rPr>
          <w:rFonts w:ascii="Calibri" w:hAnsi="Calibri" w:cs="Calibri"/>
          <w:i/>
          <w:iCs/>
          <w:sz w:val="20"/>
          <w:szCs w:val="20"/>
        </w:rPr>
        <w:t>Exit or Disposal Cost Obligations</w:t>
      </w:r>
      <w:r>
        <w:rPr>
          <w:rFonts w:ascii="Calibri" w:hAnsi="Calibri" w:cs="Calibri"/>
          <w:sz w:val="20"/>
          <w:szCs w:val="20"/>
        </w:rPr>
        <w:t xml:space="preserve">, and are accounted for separately from the business combination. A liability for costs associated with an exit or disposal activity is recognized and measured at its fair value in our consolidated statement of </w:t>
      </w:r>
    </w:p>
    <w:p w14:paraId="066872EF"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78</w:t>
      </w:r>
    </w:p>
    <w:p w14:paraId="700DE468" w14:textId="77777777" w:rsidR="00251D72" w:rsidRDefault="00251D72">
      <w:pPr>
        <w:rPr>
          <w:rFonts w:ascii="Times New Roman" w:eastAsia="Times New Roman" w:hAnsi="Times New Roman" w:cs="Times New Roman"/>
          <w:sz w:val="24"/>
          <w:szCs w:val="24"/>
        </w:rPr>
      </w:pPr>
      <w:r>
        <w:rPr>
          <w:rFonts w:eastAsia="Times New Roman"/>
        </w:rPr>
        <w:pict w14:anchorId="3C56A2F3">
          <v:rect id="_x0000_i1104" style="width:415.3pt;height:1.5pt" o:hralign="center" o:hrstd="t" o:hr="t" fillcolor="#a0a0a0" stroked="f"/>
        </w:pict>
      </w:r>
    </w:p>
    <w:p w14:paraId="600062B7"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9D7E6EB"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AC27015"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50529DA2"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0C763F0C"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2F5D781E" w14:textId="77777777" w:rsidR="00251D72" w:rsidRDefault="00251D72">
      <w:pPr>
        <w:pStyle w:val="a3"/>
        <w:spacing w:before="0" w:beforeAutospacing="0" w:after="0" w:afterAutospacing="0"/>
        <w:rPr>
          <w:sz w:val="20"/>
          <w:szCs w:val="20"/>
        </w:rPr>
      </w:pPr>
      <w:r>
        <w:rPr>
          <w:sz w:val="20"/>
          <w:szCs w:val="20"/>
        </w:rPr>
        <w:t> </w:t>
      </w:r>
    </w:p>
    <w:p w14:paraId="2FD5D8B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operations in the period in which the liability is incurred. When estimating the fair value of facility restructuring activities, assumptions are applied regarding estimated sub-lease payments to be received, which can differ from actual results. This may require us to revise our initial estimates which may affect our results of operations and financial position in the period the revision is made.</w:t>
      </w:r>
    </w:p>
    <w:p w14:paraId="39E69DD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For a given acquisition, we may identify certain pre-acquisition contingencies as of the acquisition date and may extend our review and evaluation of these pre-acquisition contingencies throughout the measurement period in order to obtain sufficient information to assess whether we include these contingencies as a part of the fair value estimates of assets acquired and liabilities assumed and, if so, to determine their estimated amounts. If we cannot reasonably determine the fair value of a non-income tax related pre-acquisition contingency by the end of the measurement period, which is generally the case given the nature of such matters, we will recognize an asset or a liability for such pre-acquisition contingency if: (1) it is probable that an asset existed or a liability had been incurred at the acquisition date and (2) the amount of the asset or liability can be reasonably estimated. Subsequent to the measurement period, changes in our estimates of such contingencies will affect earnings and could have a material effect on our results of operations and financial position.</w:t>
      </w:r>
    </w:p>
    <w:p w14:paraId="5F42535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addition, uncertain tax positions and tax related valuation allowances assumed in connection with a business combination are initially estimated as of the acquisition date. We reevaluate these items quarterly based upon facts and circumstances that existed as of the acquisition date with any adjustments to our preliminary estimates being recorded to goodwill if identified within the measurement period. Subsequent to the measurement period or our final determination of the tax allowance’s or contingency’s estimated value, whichever comes first, changes to these uncertain tax positions and tax related valuation allowances will affect our provision for income taxes in our consolidated statement of operations and could have a material impact on our results of operations and financial position.</w:t>
      </w:r>
    </w:p>
    <w:p w14:paraId="0E850635"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Marketable and Non-Marketable Securities </w:t>
      </w:r>
    </w:p>
    <w:p w14:paraId="204BD68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In accordance with ASC 320, </w:t>
      </w:r>
      <w:r>
        <w:rPr>
          <w:rFonts w:ascii="Calibri" w:hAnsi="Calibri" w:cs="Calibri"/>
          <w:i/>
          <w:iCs/>
          <w:sz w:val="20"/>
          <w:szCs w:val="20"/>
        </w:rPr>
        <w:t>Investments</w:t>
      </w:r>
      <w:r>
        <w:rPr>
          <w:rFonts w:ascii="Calibri" w:hAnsi="Calibri" w:cs="Calibri"/>
          <w:sz w:val="20"/>
          <w:szCs w:val="20"/>
        </w:rPr>
        <w:t>—</w:t>
      </w:r>
      <w:r>
        <w:rPr>
          <w:rFonts w:ascii="Calibri" w:hAnsi="Calibri" w:cs="Calibri"/>
          <w:i/>
          <w:iCs/>
          <w:sz w:val="20"/>
          <w:szCs w:val="20"/>
        </w:rPr>
        <w:t xml:space="preserve">Debt and Equity Securities, </w:t>
      </w:r>
      <w:r>
        <w:rPr>
          <w:rFonts w:ascii="Calibri" w:hAnsi="Calibri" w:cs="Calibri"/>
          <w:sz w:val="20"/>
          <w:szCs w:val="20"/>
        </w:rPr>
        <w:t>and based on our intentions regarding these instruments, we classify substantially all of our marketable debt securities as available-for-sale. Marketable debt securities classified as available-for-sale are reported at fair value, with all unrealized gains (losses) reflected net of tax in stockholders’ equity on our consolidated balance sheets, and as a line item in our consolidated statements of comprehensive income. If we determine that an investment has an other than temporary decline in fair value, we recognize the investment loss in non-operating income, net in the accompanying consolidated statements of operations. We periodically evaluate our investments to determine if impairment charges are required. Substantially all of our marketable debt investments are classified as current based on the nature of the investments and their availability for use in current operations.</w:t>
      </w:r>
    </w:p>
    <w:p w14:paraId="1872BB0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Investments in equity securities, other than equity method investments, are recorded at fair value, if fair value is readily determinable. We hold investments in certain non-marketable equity securities with no readily determinable fair values in which we do not have a controlling interest or significant influence. Upon adoption of ASU 2016-01 effective June 1, 2018, we have elected to measure these equity securities at cost, less any impairment, adjusted for observable price changes from orderly transactions for identical or similar investments of the same issuer. Prior to our adoption of ASU 2016-01 these equity securities were recorded at cost, less any impairment. Our non-marketable equity securities are included in other non-current assets in the accompanying consolidated balance sheets and are subject to periodic impairment reviews. </w:t>
      </w:r>
    </w:p>
    <w:p w14:paraId="047D2920"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79</w:t>
      </w:r>
    </w:p>
    <w:p w14:paraId="509F6B98" w14:textId="77777777" w:rsidR="00251D72" w:rsidRDefault="00251D72">
      <w:pPr>
        <w:rPr>
          <w:rFonts w:ascii="Times New Roman" w:eastAsia="Times New Roman" w:hAnsi="Times New Roman" w:cs="Times New Roman"/>
          <w:sz w:val="24"/>
          <w:szCs w:val="24"/>
        </w:rPr>
      </w:pPr>
      <w:r>
        <w:rPr>
          <w:rFonts w:eastAsia="Times New Roman"/>
        </w:rPr>
        <w:pict w14:anchorId="62B61E44">
          <v:rect id="_x0000_i1105" style="width:415.3pt;height:1.5pt" o:hralign="center" o:hrstd="t" o:hr="t" fillcolor="#a0a0a0" stroked="f"/>
        </w:pict>
      </w:r>
    </w:p>
    <w:p w14:paraId="0EEF7E30"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14C8B45B"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2BBD462"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ACF9ED3"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7A0CDBCA"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5A58DE1A" w14:textId="77777777" w:rsidR="00251D72" w:rsidRDefault="00251D72">
      <w:pPr>
        <w:pStyle w:val="a3"/>
        <w:spacing w:before="0" w:beforeAutospacing="0" w:after="0" w:afterAutospacing="0"/>
        <w:rPr>
          <w:sz w:val="20"/>
          <w:szCs w:val="20"/>
        </w:rPr>
      </w:pPr>
      <w:r>
        <w:rPr>
          <w:sz w:val="20"/>
          <w:szCs w:val="20"/>
        </w:rPr>
        <w:t> </w:t>
      </w:r>
    </w:p>
    <w:p w14:paraId="1E4D5FE4" w14:textId="77777777" w:rsidR="00251D72" w:rsidRDefault="00251D72">
      <w:pPr>
        <w:pStyle w:val="a3"/>
        <w:spacing w:before="240" w:beforeAutospacing="0" w:after="0" w:afterAutospacing="0"/>
        <w:jc w:val="both"/>
        <w:rPr>
          <w:rFonts w:ascii="Calibri" w:hAnsi="Calibri" w:cs="Calibri"/>
          <w:b/>
          <w:bCs/>
          <w:sz w:val="20"/>
          <w:szCs w:val="20"/>
        </w:rPr>
      </w:pPr>
      <w:bookmarkStart w:id="119" w:name="_AEIOULastRenderedPageBreakAEIOU82"/>
      <w:bookmarkEnd w:id="119"/>
      <w:r>
        <w:rPr>
          <w:rFonts w:ascii="Calibri" w:hAnsi="Calibri" w:cs="Calibri"/>
          <w:b/>
          <w:bCs/>
          <w:sz w:val="20"/>
          <w:szCs w:val="20"/>
        </w:rPr>
        <w:t>Fair Values of Financial Instruments</w:t>
      </w:r>
    </w:p>
    <w:p w14:paraId="19647C8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apply the provisions of ASC 820, </w:t>
      </w:r>
      <w:r>
        <w:rPr>
          <w:rFonts w:ascii="Calibri" w:hAnsi="Calibri" w:cs="Calibri"/>
          <w:i/>
          <w:iCs/>
          <w:sz w:val="20"/>
          <w:szCs w:val="20"/>
        </w:rPr>
        <w:t xml:space="preserve">Fair Value Measurement </w:t>
      </w:r>
      <w:r>
        <w:rPr>
          <w:rFonts w:ascii="Calibri" w:hAnsi="Calibri" w:cs="Calibri"/>
          <w:sz w:val="20"/>
          <w:szCs w:val="20"/>
        </w:rPr>
        <w:t xml:space="preserve">(ASC 820), to our assets and liabilities that we are required to measure at fair value pursuant to other accounting standards, including our investments in marketable debt and equity securities and our derivative financial instruments. </w:t>
      </w:r>
    </w:p>
    <w:p w14:paraId="3F09301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The additional disclosures regarding our fair value measurements are included in Note 4. </w:t>
      </w:r>
    </w:p>
    <w:p w14:paraId="5E85AF6D"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Allowances for Doubtful Accounts </w:t>
      </w:r>
    </w:p>
    <w:p w14:paraId="49A7CBB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record allowances for doubtful accounts based upon a specific review of all significant outstanding invoices. For those invoices not specifically reviewed, provisions are provided at differing rates, based upon the age of the receivable, the collection history associated with the geographic region that the receivable was recorded in and current economic trends. </w:t>
      </w:r>
      <w:r>
        <w:rPr>
          <w:rFonts w:ascii="Calibri" w:hAnsi="Calibri" w:cs="Calibri"/>
          <w:color w:val="000000"/>
          <w:sz w:val="20"/>
          <w:szCs w:val="20"/>
        </w:rPr>
        <w:t>We write-off a receivable and charge it against its recorded allowance when we have exhausted our collection efforts without success.</w:t>
      </w:r>
    </w:p>
    <w:p w14:paraId="453F8453"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Concentrations of Risk </w:t>
      </w:r>
    </w:p>
    <w:p w14:paraId="30C4314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Financial instruments that are potentially subject to concentrations of credit risk consist primarily of cash and cash equivalents, marketable securities, derivatives and trade receivables. Our cash and cash equivalents are generally held with large, diverse financial institutions worldwide to reduce the amount of exposure to any single financial institution. Investment policies have been implemented that limit purchases of marketable debt securities to investment-grade securities. Our derivative contracts are transacted with various financial institutions with high credit standings and any exposure to counterparty credit-related losses in these contracts is largely mitigated with collateral security agreements that provide for collateral to be received or posted when the net fair values of these contracts fluctuate from contractually established thresholds. We generally do not require collateral to secure accounts receivable. The risk with respect to trade receivables is mitigated by credit evaluations we perform on our customers, the short duration of our payment terms for the significant majority of our customer contracts and by the diversification of our customer base. No single customer accounted for 10% or more of our total revenues in fiscal 2019, 2018 or 2017.</w:t>
      </w:r>
    </w:p>
    <w:p w14:paraId="71A260E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outsource the manufacturing, assembly and delivery of certain of our hardware products to a variety of companies, many of which are located outside the U.S. Further, we have simplified our supply chain processes by reducing the number of third-party manufacturing partners and the number of locations where these third-party manufacturers build our hardware products. Any inability of these third-party manufacturing partners to deliver the contracted services for our hardware products could adversely impact future operating results of our hardware business. </w:t>
      </w:r>
    </w:p>
    <w:p w14:paraId="7D6D6DE3"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Inventories</w:t>
      </w:r>
    </w:p>
    <w:p w14:paraId="6A1D9F2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Inventories are stated at the lower of cost or net realizable value. Cost is computed using standard cost, which approximates actual cost, on a first-in, first-out basis. We evaluate our ending inventories for estimated excess quantities and obsolescence. This evaluation includes analysis of sales levels by product and projections of future demand within specific time horizons (generally six to nine months). Inventories in excess of future demand are written down and charged to hardware expenses. In addition, we assess the impact of changing technology to our inventories and we write down inventories that are considered obsolete. At the point of loss recognition, a new, lower-cost basis for that inventory is established, and subsequent changes in facts and circumstances do not result in the restoration or increase in that newly established cost basis. Inventories are included in prepaid expenses and other current assets in our consolidated balance sheets and totaled $320 million and $398 million at May 31, 2019 and 2018, respectively.</w:t>
      </w:r>
    </w:p>
    <w:p w14:paraId="0D6FF84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80</w:t>
      </w:r>
    </w:p>
    <w:p w14:paraId="1B94BCD2" w14:textId="77777777" w:rsidR="00251D72" w:rsidRDefault="00251D72">
      <w:pPr>
        <w:rPr>
          <w:rFonts w:ascii="Times New Roman" w:eastAsia="Times New Roman" w:hAnsi="Times New Roman" w:cs="Times New Roman"/>
          <w:sz w:val="24"/>
          <w:szCs w:val="24"/>
        </w:rPr>
      </w:pPr>
      <w:r>
        <w:rPr>
          <w:rFonts w:eastAsia="Times New Roman"/>
        </w:rPr>
        <w:pict w14:anchorId="7FB3F64F">
          <v:rect id="_x0000_i1106" style="width:415.3pt;height:1.5pt" o:hralign="center" o:hrstd="t" o:hr="t" fillcolor="#a0a0a0" stroked="f"/>
        </w:pict>
      </w:r>
    </w:p>
    <w:p w14:paraId="341C95E3"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7AEF7E3"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E6891D0"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CAEA3F1"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42D4240D"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5F77D5D8" w14:textId="77777777" w:rsidR="00251D72" w:rsidRDefault="00251D72">
      <w:pPr>
        <w:pStyle w:val="a3"/>
        <w:spacing w:before="0" w:beforeAutospacing="0" w:after="0" w:afterAutospacing="0"/>
        <w:rPr>
          <w:sz w:val="20"/>
          <w:szCs w:val="20"/>
        </w:rPr>
      </w:pPr>
      <w:r>
        <w:rPr>
          <w:sz w:val="20"/>
          <w:szCs w:val="20"/>
        </w:rPr>
        <w:t> </w:t>
      </w:r>
    </w:p>
    <w:p w14:paraId="1353B87B" w14:textId="77777777" w:rsidR="00251D72" w:rsidRDefault="00251D72">
      <w:pPr>
        <w:pStyle w:val="a3"/>
        <w:spacing w:before="240" w:beforeAutospacing="0" w:after="0" w:afterAutospacing="0"/>
        <w:jc w:val="both"/>
        <w:rPr>
          <w:rFonts w:ascii="Calibri" w:hAnsi="Calibri" w:cs="Calibri"/>
          <w:b/>
          <w:bCs/>
          <w:sz w:val="20"/>
          <w:szCs w:val="20"/>
        </w:rPr>
      </w:pPr>
      <w:bookmarkStart w:id="120" w:name="_AEIOULastRenderedPageBreakAEIOU83"/>
      <w:bookmarkEnd w:id="120"/>
      <w:r>
        <w:rPr>
          <w:rFonts w:ascii="Calibri" w:hAnsi="Calibri" w:cs="Calibri"/>
          <w:b/>
          <w:bCs/>
          <w:sz w:val="20"/>
          <w:szCs w:val="20"/>
        </w:rPr>
        <w:t xml:space="preserve">Other Receivables </w:t>
      </w:r>
    </w:p>
    <w:p w14:paraId="0DD9079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Other receivables represent value-added tax and sales tax receivables associated with the sale of our products and services to third parties. Other receivables are included in prepaid expenses and other current assets in our consolidated balance sheets and totaled $776 million and $802 million at May 31, 2019 and 2018, respectively.</w:t>
      </w:r>
    </w:p>
    <w:p w14:paraId="5A04516A"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Deferred Sales Commissions</w:t>
      </w:r>
    </w:p>
    <w:p w14:paraId="72B4467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defer sales commissions earned by our sales force that are considered to be incremental and recoverable costs of obtaining a cloud, license support and hardware support contract. Initial sales commissions for the majority of these aforementioned contracts are generally deferred and amortized on a straight-line basis over a period of benefit that we estimate to be four to five years. We determine the period of benefit by taking into consideration the historical and expected durations of our customer contracts, the expected useful lives of our technologies, and other factors. Sales commissions for renewal contracts relating to our cloud-based arrangements are generally deferred and then amortized on a straight-line basis over the related contractual renewal period, which is generally one to three years. Amortization of deferred sales commissions is included as a component of sales and marketing expenses in our consolidated statements of operations. </w:t>
      </w:r>
    </w:p>
    <w:p w14:paraId="09013AB3"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Property, Plant and Equipment</w:t>
      </w:r>
    </w:p>
    <w:p w14:paraId="0F35A04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Property, plant and equipment are stated at the lower of cost or realizable value, net of accumulated depreciation. Depreciation is computed using the straight-line method based on estimated useful lives of the assets, which range from one to 40 years. Leasehold improvements are amortized over the lesser of the estimated useful lives of the improvements or the lease terms, as appropriate. Property, plant and equipment are periodically reviewed for impairment whenever events or changes in circumstances indicate that the carrying amount of an asset may not be recoverable. We did not recognize any significant property impairment charges in fiscal 2019, 2018 or 2017.</w:t>
      </w:r>
    </w:p>
    <w:p w14:paraId="17535117"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Goodwill, Intangible Assets and Impairment Assessments</w:t>
      </w:r>
    </w:p>
    <w:p w14:paraId="725A8BC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Goodwill represents the excess of the purchase price in a business combination over the fair value of net tangible and intangible assets acquired. Intangible assets that are not considered to have an indefinite useful life are amortized over their useful lives, which generally range from one to 10 years. Each period we evaluate the estimated remaining useful lives of purchased intangible assets and whether events or changes in circumstances warrant a revision to the remaining periods of amortization. </w:t>
      </w:r>
    </w:p>
    <w:p w14:paraId="16B19336" w14:textId="77777777" w:rsidR="00251D72" w:rsidRDefault="00251D72">
      <w:pPr>
        <w:pStyle w:val="a3"/>
        <w:spacing w:before="120" w:beforeAutospacing="0" w:after="0" w:afterAutospacing="0"/>
        <w:jc w:val="both"/>
        <w:rPr>
          <w:rFonts w:ascii="Calibri" w:hAnsi="Calibri" w:cs="Calibri"/>
          <w:sz w:val="20"/>
          <w:szCs w:val="20"/>
        </w:rPr>
      </w:pPr>
      <w:bookmarkStart w:id="121" w:name="_AEIOULastRenderedPageBreakAEIOU84"/>
      <w:bookmarkEnd w:id="121"/>
      <w:r>
        <w:rPr>
          <w:rFonts w:ascii="Calibri" w:hAnsi="Calibri" w:cs="Calibri"/>
          <w:sz w:val="20"/>
          <w:szCs w:val="20"/>
        </w:rPr>
        <w:t xml:space="preserve">The carrying amounts of our goodwill and intangible assets are periodically reviewed for impairment (at least annually for goodwill and indefinite lived intangible assets) and whenever events or changes in circumstances indicate that the carrying value of these assets may not be recoverable. When goodwill is assessed for impairment, we have the option to perform an assessment of qualitative factors of impairment (optional assessment) prior to necessitating a quantitative impairment test. Should the optional assessment be used for any given fiscal year, qualitative factors to consider for a reporting unit include: cost factors; financial performance; legal, regulatory, contractual, political, business, or other factors; entity specific factors; industry and market considerations; macroeconomic conditions; and other relevant events and factors affecting the reporting unit. If we determine in the qualitative assessment that it is more likely than not that the fair value of the reporting unit is less than its carrying value, a quantitative test is then performed. Otherwise, no further testing is required. For those reporting units tested using a quantitative approach, we compare the fair value of each reporting unit with the carrying amount of the reporting unit, including goodwill. To determine the fair value of each reporting unit we utilize estimates, judgments and assumptions including estimated future cash flows the reporting unit is expected to generate on a discounted basis; the discount rate used as a part of the discounted cash flow analysis; future economic and market conditions; and market comparables of peer companies, among others. If, as per the quantitative test, the estimated fair value of the reporting unit is less than the carrying amount of the reporting unit, impairment is recognized for the difference, limited to the amount of goodwill recognized for the reporting </w:t>
      </w:r>
    </w:p>
    <w:p w14:paraId="35693564"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81</w:t>
      </w:r>
    </w:p>
    <w:p w14:paraId="20320EB4" w14:textId="77777777" w:rsidR="00251D72" w:rsidRDefault="00251D72">
      <w:pPr>
        <w:rPr>
          <w:rFonts w:ascii="Times New Roman" w:eastAsia="Times New Roman" w:hAnsi="Times New Roman" w:cs="Times New Roman"/>
          <w:sz w:val="24"/>
          <w:szCs w:val="24"/>
        </w:rPr>
      </w:pPr>
      <w:r>
        <w:rPr>
          <w:rFonts w:eastAsia="Times New Roman"/>
        </w:rPr>
        <w:pict w14:anchorId="35FD2C36">
          <v:rect id="_x0000_i1107" style="width:415.3pt;height:1.5pt" o:hralign="center" o:hrstd="t" o:hr="t" fillcolor="#a0a0a0" stroked="f"/>
        </w:pict>
      </w:r>
    </w:p>
    <w:p w14:paraId="3B6ACCE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B43BEFF"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4102E087"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66C751C"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29D57363"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7CB869FD" w14:textId="77777777" w:rsidR="00251D72" w:rsidRDefault="00251D72">
      <w:pPr>
        <w:pStyle w:val="a3"/>
        <w:spacing w:before="0" w:beforeAutospacing="0" w:after="0" w:afterAutospacing="0"/>
        <w:rPr>
          <w:sz w:val="20"/>
          <w:szCs w:val="20"/>
        </w:rPr>
      </w:pPr>
      <w:r>
        <w:rPr>
          <w:sz w:val="20"/>
          <w:szCs w:val="20"/>
        </w:rPr>
        <w:t> </w:t>
      </w:r>
    </w:p>
    <w:p w14:paraId="49C7049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unit. Our most recent goodwill impairment analysis was performed on March 1, 2019 and did not result in a goodwill impairment charge. We did not recognize impairment charges in fiscal 2018 or 2017.</w:t>
      </w:r>
    </w:p>
    <w:p w14:paraId="73092F6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Recoverability of finite lived intangible assets is measured by comparison of the carrying amount of the asset to the future undiscounted cash flows the asset is expected to generate. Recoverability of indefinite lived intangible assets is measured by comparison of the carrying amount of the asset to its fair value. If the asset is considered to be impaired, the amount of any impairment is measured as the difference between the carrying value and the fair value of the impaired asset. We did not recognize any intangible asset impairment charges in fiscal 2019, 2018 or 2017. At least annually, we assess the useful lives of our finite lived intangible assets and may adjust the period over which these assets are amortized whenever events or changes in circumstances indicate that a shorter amortization period is more reflective of the period in which these assets contribute to our cash flows. </w:t>
      </w:r>
    </w:p>
    <w:p w14:paraId="426BCAD2"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Derivative Financial Instruments</w:t>
      </w:r>
    </w:p>
    <w:p w14:paraId="3C50BCD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During fiscal 2019, 2018 and 2017, we used derivative financial instruments to manage foreign currency and interest rate risks (see Note 10 below for additional information). We do not use derivative financial instruments for trading purposes. We account for these instruments in accordance with ASC 815,</w:t>
      </w:r>
      <w:r>
        <w:rPr>
          <w:rFonts w:ascii="Calibri" w:hAnsi="Calibri" w:cs="Calibri"/>
          <w:i/>
          <w:iCs/>
          <w:sz w:val="20"/>
          <w:szCs w:val="20"/>
        </w:rPr>
        <w:t xml:space="preserve"> Derivatives and Hedging </w:t>
      </w:r>
      <w:r>
        <w:rPr>
          <w:rFonts w:ascii="Calibri" w:hAnsi="Calibri" w:cs="Calibri"/>
          <w:sz w:val="20"/>
          <w:szCs w:val="20"/>
        </w:rPr>
        <w:t xml:space="preserve">(ASC 815), which requires that every derivative instrument be recorded on the balance sheet as either an asset or liability measured at its fair value as of each reporting date. ASC 815 also requires that changes in our derivatives’ fair values be recognized in earnings, unless specific hedge accounting and documentation criteria are met (i.e., the instruments are accounted for as hedges). </w:t>
      </w:r>
    </w:p>
    <w:p w14:paraId="006898A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The accounting for changes in the fair value of a derivative depends on the intended use of the derivative and the resulting designation. For a derivative instrument designated as a fair value hedge, loss or gain attributable to the risk being hedged is recognized in earnings in the period of change with a corresponding earnings offset recorded to the item for which the risk is being hedged. </w:t>
      </w:r>
    </w:p>
    <w:p w14:paraId="47B5531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For a derivative instrument designated as a cash flow hedge, each reporting period we record the change in fair value of the derivative to AOCL in our consolidated balance sheets, and the change is reclassified to earnings when the hedged item affects earnings.</w:t>
      </w:r>
    </w:p>
    <w:p w14:paraId="1241DFC5"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Legal and Other Contingencies</w:t>
      </w:r>
    </w:p>
    <w:p w14:paraId="043249D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are currently involved in various claims and legal proceedings. Quarterly, we review the status of each significant matter and assess our potential financial exposure. Descriptions of our accounting policies associated with contingencies assumed as a part of a business combination are provided under “Business Combinations” above. For legal and other contingencies that are not a part of a business combination or related to income taxes, we accrue a liability for an estimated loss if the potential loss from any claim or legal proceeding is considered probable, and the amount can be reasonably estimated. Note 17 below provides additional information regarding certain of our legal contingencies.</w:t>
      </w:r>
    </w:p>
    <w:p w14:paraId="18472BE0"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Shipping and Handling Costs</w:t>
      </w:r>
    </w:p>
    <w:p w14:paraId="7D6AEC6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shipping and handling costs for hardware products sales are included in hardware expenses for all periods presented.</w:t>
      </w:r>
    </w:p>
    <w:p w14:paraId="09FBA521"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Foreign Currency</w:t>
      </w:r>
    </w:p>
    <w:p w14:paraId="15FA8C94" w14:textId="77777777" w:rsidR="00251D72" w:rsidRDefault="00251D72">
      <w:pPr>
        <w:pStyle w:val="a3"/>
        <w:spacing w:before="120" w:beforeAutospacing="0" w:after="0" w:afterAutospacing="0"/>
        <w:jc w:val="both"/>
        <w:rPr>
          <w:rFonts w:ascii="Calibri" w:hAnsi="Calibri" w:cs="Calibri"/>
          <w:sz w:val="20"/>
          <w:szCs w:val="20"/>
        </w:rPr>
      </w:pPr>
      <w:bookmarkStart w:id="122" w:name="_AEIOULastRenderedPageBreakAEIOU85"/>
      <w:bookmarkEnd w:id="122"/>
      <w:r>
        <w:rPr>
          <w:rFonts w:ascii="Calibri" w:hAnsi="Calibri" w:cs="Calibri"/>
          <w:sz w:val="20"/>
          <w:szCs w:val="20"/>
        </w:rPr>
        <w:t xml:space="preserve">We transact business in various foreign currencies. In general, the functional currency of a foreign operation is the local country’s currency. Consequently, revenues and expenses of operations outside the U.S. are translated into U.S. Dollars using weighted-average exchange rates while assets and liabilities of operations outside the U.S. are translated into U.S. Dollars using exchange rates at the balance sheet dates. The effects of foreign currency translation adjustments are included in stockholders’ equity as a component of AOCL in the accompanying </w:t>
      </w:r>
    </w:p>
    <w:p w14:paraId="47EFB5F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82</w:t>
      </w:r>
    </w:p>
    <w:p w14:paraId="5224F1BD" w14:textId="77777777" w:rsidR="00251D72" w:rsidRDefault="00251D72">
      <w:pPr>
        <w:rPr>
          <w:rFonts w:ascii="Times New Roman" w:eastAsia="Times New Roman" w:hAnsi="Times New Roman" w:cs="Times New Roman"/>
          <w:sz w:val="24"/>
          <w:szCs w:val="24"/>
        </w:rPr>
      </w:pPr>
      <w:r>
        <w:rPr>
          <w:rFonts w:eastAsia="Times New Roman"/>
        </w:rPr>
        <w:pict w14:anchorId="4C95E2AB">
          <v:rect id="_x0000_i1108" style="width:415.3pt;height:1.5pt" o:hralign="center" o:hrstd="t" o:hr="t" fillcolor="#a0a0a0" stroked="f"/>
        </w:pict>
      </w:r>
    </w:p>
    <w:p w14:paraId="6E5AC92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BE3FA25"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4002598"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74AF3559"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009E7E36"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5B5CA03A" w14:textId="77777777" w:rsidR="00251D72" w:rsidRDefault="00251D72">
      <w:pPr>
        <w:pStyle w:val="a3"/>
        <w:spacing w:before="0" w:beforeAutospacing="0" w:after="0" w:afterAutospacing="0"/>
        <w:rPr>
          <w:sz w:val="20"/>
          <w:szCs w:val="20"/>
        </w:rPr>
      </w:pPr>
      <w:r>
        <w:rPr>
          <w:sz w:val="20"/>
          <w:szCs w:val="20"/>
        </w:rPr>
        <w:t> </w:t>
      </w:r>
    </w:p>
    <w:p w14:paraId="0B7BBD4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consolidated balance sheets and related periodic movements are summarized as a line item in our consolidated statements of comprehensive income. Net foreign exchange transaction losses included in non-operating income, net in the accompanying consolidated statements of operations were $111 million, $74 million and $152 million in fiscal 2019, 2018 and 2017, respectively.</w:t>
      </w:r>
    </w:p>
    <w:p w14:paraId="2518CA19"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Stock-Based Compensation </w:t>
      </w:r>
    </w:p>
    <w:p w14:paraId="430DE63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account for share-based payments to employees, including grants of service-based restricted stock awards, performance-based restricted stock awards (PSUs), service-based employee stock options, performance-based stock options (PSOs), and purchases under employee stock purchase plans in accordance with ASC 718, </w:t>
      </w:r>
      <w:r>
        <w:rPr>
          <w:rFonts w:ascii="Calibri" w:hAnsi="Calibri" w:cs="Calibri"/>
          <w:i/>
          <w:iCs/>
          <w:sz w:val="20"/>
          <w:szCs w:val="20"/>
        </w:rPr>
        <w:t>Compensation</w:t>
      </w:r>
      <w:r>
        <w:rPr>
          <w:rFonts w:ascii="Calibri" w:hAnsi="Calibri" w:cs="Calibri"/>
          <w:sz w:val="20"/>
          <w:szCs w:val="20"/>
        </w:rPr>
        <w:t>—</w:t>
      </w:r>
      <w:r>
        <w:rPr>
          <w:rFonts w:ascii="Calibri" w:hAnsi="Calibri" w:cs="Calibri"/>
          <w:i/>
          <w:iCs/>
          <w:sz w:val="20"/>
          <w:szCs w:val="20"/>
        </w:rPr>
        <w:t>Stock Compensation,</w:t>
      </w:r>
      <w:r>
        <w:rPr>
          <w:rFonts w:ascii="Calibri" w:hAnsi="Calibri" w:cs="Calibri"/>
          <w:sz w:val="20"/>
          <w:szCs w:val="20"/>
        </w:rPr>
        <w:t xml:space="preserve"> which requires that share-based payments (to the extent they are compensatory) be recognized in our consolidated statements of operations based on their fair values. We account for forfeitures of stock-based awards as they occur. </w:t>
      </w:r>
    </w:p>
    <w:p w14:paraId="0746A51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For our service-based stock awards, we recognize stock-based compensation expense on a straight-line basis over the service period of the award, which is generally four years.</w:t>
      </w:r>
    </w:p>
    <w:p w14:paraId="3C38A25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For our PSUs and PSOs, we recognize stock-based compensation expense on a straight-line basis over the longer of the derived, explicit or implicit service period (which is the period of time expected for the performance condition to be satisfied). During our interim and annual reporting periods, stock-based compensation expense is recorded based on expected attainment of performance targets. Changes in our estimates of the expected attainment of performance targets that result in a change in the number of shares that are expected to vest, or changes in our estimates of implicit service periods, may cause the amount of stock-based compensation expense that we record for each interim reporting period to vary. Any changes in estimates that impact our expectation of the number of shares that are expected to vest are reflected in the amount of stock-based compensation expense that we recognize for each PSU or PSO tranche on a cumulative catch up basis during each interim reporting period in which such estimates are altered. Changes in estimates of the implicit service periods are recognized prospectively. </w:t>
      </w:r>
    </w:p>
    <w:p w14:paraId="63B90A3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record deferred tax assets for stock-based compensation awards that result in deductions on certain of our income tax returns based on the amount of stock-based compensation recognized in each reporting period and the fair values attributable to the vested portion of stock awards assumed in connection with a business combination at the statutory tax rates in the jurisdictions that we are able to recognize such tax deductions. The impacts of the actual tax deductions for stock-based awards that are realized in these jurisdictions are generally recognized in the reporting period that a restricted stock-based award vests or a stock option is exercised with any shortfall/windfall relative to the deferred tax asset established recorded as a discrete detriment/benefit to our provision for income taxes in such period. </w:t>
      </w:r>
    </w:p>
    <w:p w14:paraId="4CCAEB87"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Advertising </w:t>
      </w:r>
    </w:p>
    <w:p w14:paraId="1FBA6F5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All advertising costs are expensed as incurred. Advertising expenses, which were included within sales and marketing expenses, were $169 million, $138 million and $95 million in fiscal 2019, 2018 and 2017, respectively.</w:t>
      </w:r>
    </w:p>
    <w:p w14:paraId="4E4D1EA9"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Research and Development Costs and Software Development Costs</w:t>
      </w:r>
    </w:p>
    <w:p w14:paraId="7F9E27F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All research and development costs are expensed as incurred in accordance with ASC 730, </w:t>
      </w:r>
      <w:r>
        <w:rPr>
          <w:rFonts w:ascii="Calibri" w:hAnsi="Calibri" w:cs="Calibri"/>
          <w:i/>
          <w:iCs/>
          <w:sz w:val="20"/>
          <w:szCs w:val="20"/>
        </w:rPr>
        <w:t>Research and Development</w:t>
      </w:r>
      <w:r>
        <w:rPr>
          <w:rFonts w:ascii="Calibri" w:hAnsi="Calibri" w:cs="Calibri"/>
          <w:sz w:val="20"/>
          <w:szCs w:val="20"/>
        </w:rPr>
        <w:t xml:space="preserve">. Software development costs required to be capitalized under ASC 985-20, </w:t>
      </w:r>
      <w:r>
        <w:rPr>
          <w:rFonts w:ascii="Calibri" w:hAnsi="Calibri" w:cs="Calibri"/>
          <w:i/>
          <w:iCs/>
          <w:sz w:val="20"/>
          <w:szCs w:val="20"/>
        </w:rPr>
        <w:t>Costs of Software to be Sold, Leased or Marketed,</w:t>
      </w:r>
      <w:r>
        <w:rPr>
          <w:rFonts w:ascii="Calibri" w:hAnsi="Calibri" w:cs="Calibri"/>
          <w:sz w:val="20"/>
          <w:szCs w:val="20"/>
        </w:rPr>
        <w:t xml:space="preserve"> and under ASC 350-40, </w:t>
      </w:r>
      <w:r>
        <w:rPr>
          <w:rFonts w:ascii="Calibri" w:hAnsi="Calibri" w:cs="Calibri"/>
          <w:i/>
          <w:iCs/>
          <w:sz w:val="20"/>
          <w:szCs w:val="20"/>
        </w:rPr>
        <w:t>Internal-Use Software,</w:t>
      </w:r>
      <w:r>
        <w:rPr>
          <w:rFonts w:ascii="Calibri" w:hAnsi="Calibri" w:cs="Calibri"/>
          <w:sz w:val="20"/>
          <w:szCs w:val="20"/>
        </w:rPr>
        <w:t xml:space="preserve"> were not material to our consolidated financial statements in fiscal 2019, 2018 and 2017. </w:t>
      </w:r>
    </w:p>
    <w:p w14:paraId="7170F2A5"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83</w:t>
      </w:r>
    </w:p>
    <w:p w14:paraId="151986C6" w14:textId="77777777" w:rsidR="00251D72" w:rsidRDefault="00251D72">
      <w:pPr>
        <w:rPr>
          <w:rFonts w:ascii="Times New Roman" w:eastAsia="Times New Roman" w:hAnsi="Times New Roman" w:cs="Times New Roman"/>
          <w:sz w:val="24"/>
          <w:szCs w:val="24"/>
        </w:rPr>
      </w:pPr>
      <w:r>
        <w:rPr>
          <w:rFonts w:eastAsia="Times New Roman"/>
        </w:rPr>
        <w:pict w14:anchorId="2D2585CD">
          <v:rect id="_x0000_i1109" style="width:415.3pt;height:1.5pt" o:hralign="center" o:hrstd="t" o:hr="t" fillcolor="#a0a0a0" stroked="f"/>
        </w:pict>
      </w:r>
    </w:p>
    <w:p w14:paraId="0F5423E3"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9F179A8"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FD4F2BB"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1770BB77"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5AD47B4D"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248B2638" w14:textId="77777777" w:rsidR="00251D72" w:rsidRDefault="00251D72">
      <w:pPr>
        <w:pStyle w:val="a3"/>
        <w:spacing w:before="0" w:beforeAutospacing="0" w:after="0" w:afterAutospacing="0"/>
        <w:rPr>
          <w:sz w:val="20"/>
          <w:szCs w:val="20"/>
        </w:rPr>
      </w:pPr>
      <w:r>
        <w:rPr>
          <w:sz w:val="20"/>
          <w:szCs w:val="20"/>
        </w:rPr>
        <w:t> </w:t>
      </w:r>
    </w:p>
    <w:p w14:paraId="094605BE" w14:textId="77777777" w:rsidR="00251D72" w:rsidRDefault="00251D72">
      <w:pPr>
        <w:pStyle w:val="a3"/>
        <w:spacing w:before="240" w:beforeAutospacing="0" w:after="0" w:afterAutospacing="0"/>
        <w:jc w:val="both"/>
        <w:rPr>
          <w:rFonts w:ascii="Calibri" w:hAnsi="Calibri" w:cs="Calibri"/>
          <w:b/>
          <w:bCs/>
          <w:sz w:val="20"/>
          <w:szCs w:val="20"/>
        </w:rPr>
      </w:pPr>
      <w:bookmarkStart w:id="123" w:name="_AEIOULastRenderedPageBreakAEIOU86"/>
      <w:bookmarkEnd w:id="123"/>
      <w:r>
        <w:rPr>
          <w:rFonts w:ascii="Calibri" w:hAnsi="Calibri" w:cs="Calibri"/>
          <w:b/>
          <w:bCs/>
          <w:sz w:val="20"/>
          <w:szCs w:val="20"/>
        </w:rPr>
        <w:t>Acquisition Related and Other Expenses</w:t>
      </w:r>
    </w:p>
    <w:p w14:paraId="5E5703D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Acquisition related and other expenses consist of personnel related costs and stock-based compensation for transitional and certain other employees, integration related professional services, and certain business combination adjustments including certain adjustments after the measurement period has ended and certain other operating items, net.</w:t>
      </w:r>
    </w:p>
    <w:p w14:paraId="4B3C3E2E"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775"/>
        <w:gridCol w:w="100"/>
        <w:gridCol w:w="117"/>
        <w:gridCol w:w="883"/>
        <w:gridCol w:w="76"/>
        <w:gridCol w:w="98"/>
        <w:gridCol w:w="117"/>
        <w:gridCol w:w="884"/>
        <w:gridCol w:w="73"/>
        <w:gridCol w:w="101"/>
        <w:gridCol w:w="117"/>
        <w:gridCol w:w="889"/>
        <w:gridCol w:w="76"/>
      </w:tblGrid>
      <w:tr w:rsidR="00251D72" w14:paraId="21AD96E0" w14:textId="77777777">
        <w:trPr>
          <w:divId w:val="255670554"/>
          <w:jc w:val="center"/>
        </w:trPr>
        <w:tc>
          <w:tcPr>
            <w:tcW w:w="2880" w:type="pct"/>
            <w:shd w:val="clear" w:color="auto" w:fill="FFFFFF"/>
            <w:tcMar>
              <w:top w:w="15" w:type="dxa"/>
              <w:left w:w="0" w:type="dxa"/>
              <w:bottom w:w="0" w:type="dxa"/>
              <w:right w:w="15" w:type="dxa"/>
            </w:tcMar>
            <w:vAlign w:val="bottom"/>
            <w:hideMark/>
          </w:tcPr>
          <w:p w14:paraId="612A3F14" w14:textId="77777777" w:rsidR="00251D72" w:rsidRDefault="00251D72">
            <w:pPr>
              <w:rPr>
                <w:sz w:val="12"/>
                <w:szCs w:val="12"/>
              </w:rPr>
            </w:pPr>
          </w:p>
        </w:tc>
        <w:tc>
          <w:tcPr>
            <w:tcW w:w="67" w:type="pct"/>
            <w:shd w:val="clear" w:color="auto" w:fill="FFFFFF"/>
            <w:tcMar>
              <w:top w:w="15" w:type="dxa"/>
              <w:left w:w="0" w:type="dxa"/>
              <w:bottom w:w="0" w:type="dxa"/>
              <w:right w:w="15" w:type="dxa"/>
            </w:tcMar>
            <w:vAlign w:val="bottom"/>
            <w:hideMark/>
          </w:tcPr>
          <w:p w14:paraId="2CC2D05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001" w:type="pct"/>
            <w:gridSpan w:val="10"/>
            <w:tcBorders>
              <w:bottom w:val="single" w:sz="6" w:space="0" w:color="000000"/>
            </w:tcBorders>
            <w:shd w:val="clear" w:color="auto" w:fill="FFFFFF"/>
            <w:tcMar>
              <w:top w:w="15" w:type="dxa"/>
              <w:left w:w="0" w:type="dxa"/>
              <w:bottom w:w="0" w:type="dxa"/>
              <w:right w:w="15" w:type="dxa"/>
            </w:tcMar>
            <w:vAlign w:val="bottom"/>
            <w:hideMark/>
          </w:tcPr>
          <w:p w14:paraId="48BF469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6D02DB8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BB4BAEE" w14:textId="77777777">
        <w:trPr>
          <w:divId w:val="255670554"/>
          <w:jc w:val="center"/>
        </w:trPr>
        <w:tc>
          <w:tcPr>
            <w:tcW w:w="2880" w:type="pct"/>
            <w:tcBorders>
              <w:bottom w:val="single" w:sz="6" w:space="0" w:color="000000"/>
            </w:tcBorders>
            <w:shd w:val="clear" w:color="auto" w:fill="FFFFFF"/>
            <w:tcMar>
              <w:top w:w="15" w:type="dxa"/>
              <w:left w:w="0" w:type="dxa"/>
              <w:bottom w:w="0" w:type="dxa"/>
              <w:right w:w="15" w:type="dxa"/>
            </w:tcMar>
            <w:vAlign w:val="bottom"/>
            <w:hideMark/>
          </w:tcPr>
          <w:p w14:paraId="1B81E38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7" w:type="pct"/>
            <w:shd w:val="clear" w:color="auto" w:fill="FFFFFF"/>
            <w:tcMar>
              <w:top w:w="15" w:type="dxa"/>
              <w:left w:w="0" w:type="dxa"/>
              <w:bottom w:w="0" w:type="dxa"/>
              <w:right w:w="15" w:type="dxa"/>
            </w:tcMar>
            <w:vAlign w:val="bottom"/>
            <w:hideMark/>
          </w:tcPr>
          <w:p w14:paraId="61023E7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E23D45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F96F24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4CD8E58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EB640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5C6972E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5468F1C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0F9F6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4762286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D8E4D64" w14:textId="77777777">
        <w:trPr>
          <w:divId w:val="255670554"/>
          <w:jc w:val="center"/>
        </w:trPr>
        <w:tc>
          <w:tcPr>
            <w:tcW w:w="2880" w:type="pct"/>
            <w:tcBorders>
              <w:top w:val="single" w:sz="6" w:space="0" w:color="000000"/>
            </w:tcBorders>
            <w:shd w:val="clear" w:color="auto" w:fill="CFF0FC"/>
            <w:tcMar>
              <w:top w:w="15" w:type="dxa"/>
              <w:left w:w="0" w:type="dxa"/>
              <w:bottom w:w="0" w:type="dxa"/>
              <w:right w:w="15" w:type="dxa"/>
            </w:tcMar>
            <w:hideMark/>
          </w:tcPr>
          <w:p w14:paraId="7F7409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67" w:type="pct"/>
            <w:shd w:val="clear" w:color="auto" w:fill="CFF0FC"/>
            <w:tcMar>
              <w:top w:w="15" w:type="dxa"/>
              <w:left w:w="0" w:type="dxa"/>
              <w:bottom w:w="0" w:type="dxa"/>
              <w:right w:w="15" w:type="dxa"/>
            </w:tcMar>
            <w:vAlign w:val="bottom"/>
            <w:hideMark/>
          </w:tcPr>
          <w:p w14:paraId="2191504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C1858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412CDF7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left w:w="0" w:type="dxa"/>
              <w:bottom w:w="0" w:type="dxa"/>
              <w:right w:w="15" w:type="dxa"/>
            </w:tcMar>
            <w:vAlign w:val="bottom"/>
            <w:hideMark/>
          </w:tcPr>
          <w:p w14:paraId="7186AEE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left w:w="0" w:type="dxa"/>
              <w:bottom w:w="0" w:type="dxa"/>
              <w:right w:w="15" w:type="dxa"/>
            </w:tcMar>
            <w:vAlign w:val="bottom"/>
            <w:hideMark/>
          </w:tcPr>
          <w:p w14:paraId="56EFB9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BA421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1586D21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CFF0FC"/>
            <w:noWrap/>
            <w:tcMar>
              <w:top w:w="15" w:type="dxa"/>
              <w:left w:w="0" w:type="dxa"/>
              <w:bottom w:w="0" w:type="dxa"/>
              <w:right w:w="15" w:type="dxa"/>
            </w:tcMar>
            <w:vAlign w:val="bottom"/>
            <w:hideMark/>
          </w:tcPr>
          <w:p w14:paraId="70366C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left w:w="0" w:type="dxa"/>
              <w:bottom w:w="0" w:type="dxa"/>
              <w:right w:w="15" w:type="dxa"/>
            </w:tcMar>
            <w:vAlign w:val="bottom"/>
            <w:hideMark/>
          </w:tcPr>
          <w:p w14:paraId="72E8D5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6695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1F74698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CFF0FC"/>
            <w:noWrap/>
            <w:tcMar>
              <w:top w:w="15" w:type="dxa"/>
              <w:left w:w="0" w:type="dxa"/>
              <w:bottom w:w="0" w:type="dxa"/>
              <w:right w:w="15" w:type="dxa"/>
            </w:tcMar>
            <w:vAlign w:val="bottom"/>
            <w:hideMark/>
          </w:tcPr>
          <w:p w14:paraId="50007B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3F75D0C" w14:textId="77777777">
        <w:trPr>
          <w:divId w:val="255670554"/>
          <w:jc w:val="center"/>
        </w:trPr>
        <w:tc>
          <w:tcPr>
            <w:tcW w:w="2880" w:type="pct"/>
            <w:shd w:val="clear" w:color="auto" w:fill="FFFFFF"/>
            <w:tcMar>
              <w:top w:w="15" w:type="dxa"/>
              <w:left w:w="0" w:type="dxa"/>
              <w:bottom w:w="0" w:type="dxa"/>
              <w:right w:w="15" w:type="dxa"/>
            </w:tcMar>
            <w:hideMark/>
          </w:tcPr>
          <w:p w14:paraId="173BCD2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67" w:type="pct"/>
            <w:shd w:val="clear" w:color="auto" w:fill="FFFFFF"/>
            <w:tcMar>
              <w:top w:w="15" w:type="dxa"/>
              <w:left w:w="0" w:type="dxa"/>
              <w:bottom w:w="0" w:type="dxa"/>
              <w:right w:w="15" w:type="dxa"/>
            </w:tcMar>
            <w:vAlign w:val="bottom"/>
            <w:hideMark/>
          </w:tcPr>
          <w:p w14:paraId="6C39D9C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64C99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6F966A1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871C69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left w:w="0" w:type="dxa"/>
              <w:bottom w:w="0" w:type="dxa"/>
              <w:right w:w="15" w:type="dxa"/>
            </w:tcMar>
            <w:vAlign w:val="bottom"/>
            <w:hideMark/>
          </w:tcPr>
          <w:p w14:paraId="3FDC303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31E7E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7E9B28F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217E881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left w:w="0" w:type="dxa"/>
              <w:bottom w:w="0" w:type="dxa"/>
              <w:right w:w="15" w:type="dxa"/>
            </w:tcMar>
            <w:vAlign w:val="bottom"/>
            <w:hideMark/>
          </w:tcPr>
          <w:p w14:paraId="0E37621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BA419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6D7299F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FFFFFF"/>
            <w:noWrap/>
            <w:tcMar>
              <w:top w:w="15" w:type="dxa"/>
              <w:left w:w="0" w:type="dxa"/>
              <w:bottom w:w="0" w:type="dxa"/>
              <w:right w:w="15" w:type="dxa"/>
            </w:tcMar>
            <w:vAlign w:val="bottom"/>
            <w:hideMark/>
          </w:tcPr>
          <w:p w14:paraId="6089726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8562699" w14:textId="77777777">
        <w:trPr>
          <w:divId w:val="255670554"/>
          <w:jc w:val="center"/>
        </w:trPr>
        <w:tc>
          <w:tcPr>
            <w:tcW w:w="2880" w:type="pct"/>
            <w:shd w:val="clear" w:color="auto" w:fill="CFF0FC"/>
            <w:tcMar>
              <w:top w:w="15" w:type="dxa"/>
              <w:left w:w="0" w:type="dxa"/>
              <w:bottom w:w="0" w:type="dxa"/>
              <w:right w:w="15" w:type="dxa"/>
            </w:tcMar>
            <w:hideMark/>
          </w:tcPr>
          <w:p w14:paraId="13B9579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Professional fees and other, net</w:t>
            </w:r>
          </w:p>
        </w:tc>
        <w:tc>
          <w:tcPr>
            <w:tcW w:w="67" w:type="pct"/>
            <w:shd w:val="clear" w:color="auto" w:fill="CFF0FC"/>
            <w:tcMar>
              <w:top w:w="15" w:type="dxa"/>
              <w:left w:w="0" w:type="dxa"/>
              <w:bottom w:w="0" w:type="dxa"/>
              <w:right w:w="15" w:type="dxa"/>
            </w:tcMar>
            <w:vAlign w:val="bottom"/>
            <w:hideMark/>
          </w:tcPr>
          <w:p w14:paraId="486251F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EE375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13CE8FB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CFF0FC"/>
            <w:noWrap/>
            <w:tcMar>
              <w:top w:w="15" w:type="dxa"/>
              <w:left w:w="0" w:type="dxa"/>
              <w:bottom w:w="0" w:type="dxa"/>
              <w:right w:w="15" w:type="dxa"/>
            </w:tcMar>
            <w:vAlign w:val="bottom"/>
            <w:hideMark/>
          </w:tcPr>
          <w:p w14:paraId="766C9B2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left w:w="0" w:type="dxa"/>
              <w:bottom w:w="0" w:type="dxa"/>
              <w:right w:w="15" w:type="dxa"/>
            </w:tcMar>
            <w:vAlign w:val="bottom"/>
            <w:hideMark/>
          </w:tcPr>
          <w:p w14:paraId="3F89E79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854D7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1CF9930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left w:w="0" w:type="dxa"/>
              <w:bottom w:w="0" w:type="dxa"/>
              <w:right w:w="15" w:type="dxa"/>
            </w:tcMar>
            <w:vAlign w:val="bottom"/>
            <w:hideMark/>
          </w:tcPr>
          <w:p w14:paraId="2D89D08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left w:w="0" w:type="dxa"/>
              <w:bottom w:w="0" w:type="dxa"/>
              <w:right w:w="15" w:type="dxa"/>
            </w:tcMar>
            <w:vAlign w:val="bottom"/>
            <w:hideMark/>
          </w:tcPr>
          <w:p w14:paraId="1B1291B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6D8A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2F795CB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left w:w="0" w:type="dxa"/>
              <w:bottom w:w="0" w:type="dxa"/>
              <w:right w:w="15" w:type="dxa"/>
            </w:tcMar>
            <w:vAlign w:val="bottom"/>
            <w:hideMark/>
          </w:tcPr>
          <w:p w14:paraId="5DE654F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8188AE7" w14:textId="77777777">
        <w:trPr>
          <w:divId w:val="255670554"/>
          <w:jc w:val="center"/>
        </w:trPr>
        <w:tc>
          <w:tcPr>
            <w:tcW w:w="2880" w:type="pct"/>
            <w:shd w:val="clear" w:color="auto" w:fill="FFFFFF"/>
            <w:tcMar>
              <w:top w:w="15" w:type="dxa"/>
              <w:left w:w="0" w:type="dxa"/>
              <w:bottom w:w="0" w:type="dxa"/>
              <w:right w:w="15" w:type="dxa"/>
            </w:tcMar>
            <w:hideMark/>
          </w:tcPr>
          <w:p w14:paraId="4C13B5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67" w:type="pct"/>
            <w:shd w:val="clear" w:color="auto" w:fill="FFFFFF"/>
            <w:tcMar>
              <w:top w:w="15" w:type="dxa"/>
              <w:left w:w="0" w:type="dxa"/>
              <w:bottom w:w="0" w:type="dxa"/>
              <w:right w:w="15" w:type="dxa"/>
            </w:tcMar>
            <w:vAlign w:val="bottom"/>
            <w:hideMark/>
          </w:tcPr>
          <w:p w14:paraId="2B266A8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BD2A3D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5AE59D7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left w:w="0" w:type="dxa"/>
              <w:bottom w:w="0" w:type="dxa"/>
              <w:right w:w="15" w:type="dxa"/>
            </w:tcMar>
            <w:vAlign w:val="bottom"/>
            <w:hideMark/>
          </w:tcPr>
          <w:p w14:paraId="35D7D1C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7" w:type="pct"/>
            <w:shd w:val="clear" w:color="auto" w:fill="FFFFFF"/>
            <w:tcMar>
              <w:top w:w="15" w:type="dxa"/>
              <w:left w:w="0" w:type="dxa"/>
              <w:bottom w:w="0" w:type="dxa"/>
              <w:right w:w="15" w:type="dxa"/>
            </w:tcMar>
            <w:vAlign w:val="bottom"/>
            <w:hideMark/>
          </w:tcPr>
          <w:p w14:paraId="339875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AF1A1E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22DCDE5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E4B0ED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left w:w="0" w:type="dxa"/>
              <w:bottom w:w="0" w:type="dxa"/>
              <w:right w:w="15" w:type="dxa"/>
            </w:tcMar>
            <w:vAlign w:val="bottom"/>
            <w:hideMark/>
          </w:tcPr>
          <w:p w14:paraId="708445E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D79E6C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6896A3D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FFFFFF"/>
            <w:noWrap/>
            <w:tcMar>
              <w:top w:w="15" w:type="dxa"/>
              <w:left w:w="0" w:type="dxa"/>
              <w:bottom w:w="0" w:type="dxa"/>
              <w:right w:w="15" w:type="dxa"/>
            </w:tcMar>
            <w:vAlign w:val="bottom"/>
            <w:hideMark/>
          </w:tcPr>
          <w:p w14:paraId="7617BF7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4D85089B" w14:textId="77777777">
        <w:trPr>
          <w:divId w:val="255670554"/>
          <w:jc w:val="center"/>
        </w:trPr>
        <w:tc>
          <w:tcPr>
            <w:tcW w:w="2880" w:type="pct"/>
            <w:shd w:val="clear" w:color="auto" w:fill="CFF0FC"/>
            <w:tcMar>
              <w:top w:w="15" w:type="dxa"/>
              <w:left w:w="0" w:type="dxa"/>
              <w:bottom w:w="0" w:type="dxa"/>
              <w:right w:w="15" w:type="dxa"/>
            </w:tcMar>
            <w:hideMark/>
          </w:tcPr>
          <w:p w14:paraId="30957797"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67" w:type="pct"/>
            <w:shd w:val="clear" w:color="auto" w:fill="CFF0FC"/>
            <w:tcMar>
              <w:top w:w="15" w:type="dxa"/>
              <w:left w:w="0" w:type="dxa"/>
              <w:bottom w:w="0" w:type="dxa"/>
              <w:right w:w="15" w:type="dxa"/>
            </w:tcMar>
            <w:vAlign w:val="bottom"/>
            <w:hideMark/>
          </w:tcPr>
          <w:p w14:paraId="7119B41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1FE20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2FF00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CFF0FC"/>
            <w:noWrap/>
            <w:tcMar>
              <w:top w:w="15" w:type="dxa"/>
              <w:left w:w="0" w:type="dxa"/>
              <w:bottom w:w="0" w:type="dxa"/>
              <w:right w:w="15" w:type="dxa"/>
            </w:tcMar>
            <w:vAlign w:val="bottom"/>
            <w:hideMark/>
          </w:tcPr>
          <w:p w14:paraId="761723B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left w:w="0" w:type="dxa"/>
              <w:bottom w:w="0" w:type="dxa"/>
              <w:right w:w="15" w:type="dxa"/>
            </w:tcMar>
            <w:vAlign w:val="bottom"/>
            <w:hideMark/>
          </w:tcPr>
          <w:p w14:paraId="70C1192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EF2E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4D4370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w:t>
            </w:r>
          </w:p>
        </w:tc>
        <w:tc>
          <w:tcPr>
            <w:tcW w:w="50" w:type="pct"/>
            <w:shd w:val="clear" w:color="auto" w:fill="CFF0FC"/>
            <w:noWrap/>
            <w:tcMar>
              <w:top w:w="15" w:type="dxa"/>
              <w:left w:w="0" w:type="dxa"/>
              <w:bottom w:w="0" w:type="dxa"/>
              <w:right w:w="15" w:type="dxa"/>
            </w:tcMar>
            <w:vAlign w:val="bottom"/>
            <w:hideMark/>
          </w:tcPr>
          <w:p w14:paraId="5C4EF86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left w:w="0" w:type="dxa"/>
              <w:bottom w:w="0" w:type="dxa"/>
              <w:right w:w="15" w:type="dxa"/>
            </w:tcMar>
            <w:vAlign w:val="bottom"/>
            <w:hideMark/>
          </w:tcPr>
          <w:p w14:paraId="5C9D705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EBDE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CD2C1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103</w:t>
            </w:r>
          </w:p>
        </w:tc>
        <w:tc>
          <w:tcPr>
            <w:tcW w:w="50" w:type="pct"/>
            <w:shd w:val="clear" w:color="auto" w:fill="CFF0FC"/>
            <w:noWrap/>
            <w:tcMar>
              <w:top w:w="15" w:type="dxa"/>
              <w:left w:w="0" w:type="dxa"/>
              <w:bottom w:w="0" w:type="dxa"/>
              <w:right w:w="15" w:type="dxa"/>
            </w:tcMar>
            <w:vAlign w:val="bottom"/>
            <w:hideMark/>
          </w:tcPr>
          <w:p w14:paraId="2F222F80"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3A80A9D"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Non-Operating Income, net</w:t>
      </w:r>
    </w:p>
    <w:p w14:paraId="60ABD684" w14:textId="77777777" w:rsidR="00251D72" w:rsidRDefault="00251D72">
      <w:pPr>
        <w:pStyle w:val="a3"/>
        <w:spacing w:before="120" w:beforeAutospacing="0" w:after="0" w:afterAutospacing="0"/>
        <w:jc w:val="both"/>
        <w:rPr>
          <w:rFonts w:ascii="Calibri" w:hAnsi="Calibri" w:cs="Calibri"/>
          <w:color w:val="000000"/>
          <w:sz w:val="20"/>
          <w:szCs w:val="20"/>
        </w:rPr>
      </w:pPr>
      <w:r>
        <w:rPr>
          <w:rFonts w:ascii="Calibri" w:hAnsi="Calibri" w:cs="Calibri"/>
          <w:color w:val="000000"/>
          <w:sz w:val="20"/>
          <w:szCs w:val="20"/>
          <w:shd w:val="clear" w:color="auto" w:fill="FFFFFF"/>
        </w:rPr>
        <w:t>Non-operating income, net consists primarily of interest income, net foreign currency exchange losses, the noncontrolling interests in the net profits of our majority-owned subsidiaries (primarily Oracle Financial Services Software Limited and Oracle Corporation Japan) and net other income, including net realized gains and losses related to all of our investments, net unrealized gains and losses related to the small portion of our investment portfolio related to our deferred compensation plan, net unrealized gains and losses related to certain equity securities and non-service net periodic pension income (losses).</w:t>
      </w:r>
    </w:p>
    <w:p w14:paraId="3B51699C" w14:textId="77777777" w:rsidR="00251D72" w:rsidRDefault="00251D72">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764"/>
        <w:gridCol w:w="103"/>
        <w:gridCol w:w="117"/>
        <w:gridCol w:w="883"/>
        <w:gridCol w:w="76"/>
        <w:gridCol w:w="102"/>
        <w:gridCol w:w="117"/>
        <w:gridCol w:w="884"/>
        <w:gridCol w:w="76"/>
        <w:gridCol w:w="102"/>
        <w:gridCol w:w="117"/>
        <w:gridCol w:w="889"/>
        <w:gridCol w:w="76"/>
      </w:tblGrid>
      <w:tr w:rsidR="00251D72" w14:paraId="3D58F4AF" w14:textId="77777777">
        <w:trPr>
          <w:divId w:val="4677392"/>
          <w:jc w:val="center"/>
        </w:trPr>
        <w:tc>
          <w:tcPr>
            <w:tcW w:w="2874" w:type="pct"/>
            <w:shd w:val="clear" w:color="auto" w:fill="FFFFFF"/>
            <w:tcMar>
              <w:top w:w="15" w:type="dxa"/>
              <w:left w:w="0" w:type="dxa"/>
              <w:bottom w:w="0" w:type="dxa"/>
              <w:right w:w="15" w:type="dxa"/>
            </w:tcMar>
            <w:vAlign w:val="bottom"/>
            <w:hideMark/>
          </w:tcPr>
          <w:p w14:paraId="3D4D4F7A" w14:textId="77777777" w:rsidR="00251D72" w:rsidRDefault="00251D72">
            <w:pPr>
              <w:pStyle w:val="a3"/>
              <w:spacing w:before="0" w:beforeAutospacing="0" w:after="0" w:afterAutospacing="0"/>
              <w:jc w:val="center"/>
              <w:rPr>
                <w:sz w:val="15"/>
                <w:szCs w:val="15"/>
              </w:rPr>
            </w:pPr>
            <w:r>
              <w:rPr>
                <w:sz w:val="15"/>
                <w:szCs w:val="15"/>
              </w:rPr>
              <w:t> </w:t>
            </w:r>
          </w:p>
        </w:tc>
        <w:tc>
          <w:tcPr>
            <w:tcW w:w="69" w:type="pct"/>
            <w:shd w:val="clear" w:color="auto" w:fill="FFFFFF"/>
            <w:tcMar>
              <w:top w:w="15" w:type="dxa"/>
              <w:left w:w="0" w:type="dxa"/>
              <w:bottom w:w="0" w:type="dxa"/>
              <w:right w:w="15" w:type="dxa"/>
            </w:tcMar>
            <w:vAlign w:val="bottom"/>
            <w:hideMark/>
          </w:tcPr>
          <w:p w14:paraId="59EED1F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005" w:type="pct"/>
            <w:gridSpan w:val="10"/>
            <w:tcBorders>
              <w:bottom w:val="single" w:sz="6" w:space="0" w:color="000000"/>
            </w:tcBorders>
            <w:shd w:val="clear" w:color="auto" w:fill="FFFFFF"/>
            <w:tcMar>
              <w:top w:w="15" w:type="dxa"/>
              <w:left w:w="0" w:type="dxa"/>
              <w:bottom w:w="0" w:type="dxa"/>
              <w:right w:w="15" w:type="dxa"/>
            </w:tcMar>
            <w:vAlign w:val="bottom"/>
            <w:hideMark/>
          </w:tcPr>
          <w:p w14:paraId="39F8BD2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167C65C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F403A5D" w14:textId="77777777">
        <w:trPr>
          <w:divId w:val="4677392"/>
          <w:jc w:val="center"/>
        </w:trPr>
        <w:tc>
          <w:tcPr>
            <w:tcW w:w="2874" w:type="pct"/>
            <w:tcBorders>
              <w:bottom w:val="single" w:sz="6" w:space="0" w:color="000000"/>
            </w:tcBorders>
            <w:shd w:val="clear" w:color="auto" w:fill="FFFFFF"/>
            <w:tcMar>
              <w:top w:w="15" w:type="dxa"/>
              <w:left w:w="0" w:type="dxa"/>
              <w:bottom w:w="0" w:type="dxa"/>
              <w:right w:w="15" w:type="dxa"/>
            </w:tcMar>
            <w:vAlign w:val="bottom"/>
            <w:hideMark/>
          </w:tcPr>
          <w:p w14:paraId="18AFA74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9" w:type="pct"/>
            <w:shd w:val="clear" w:color="auto" w:fill="FFFFFF"/>
            <w:tcMar>
              <w:top w:w="15" w:type="dxa"/>
              <w:left w:w="0" w:type="dxa"/>
              <w:bottom w:w="0" w:type="dxa"/>
              <w:right w:w="15" w:type="dxa"/>
            </w:tcMar>
            <w:vAlign w:val="bottom"/>
            <w:hideMark/>
          </w:tcPr>
          <w:p w14:paraId="25B22AF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27E29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82D451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7BBFD1E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E4694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3DA6B07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3ECC948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69F97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0193696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2E2F07E" w14:textId="77777777">
        <w:trPr>
          <w:divId w:val="4677392"/>
          <w:jc w:val="center"/>
        </w:trPr>
        <w:tc>
          <w:tcPr>
            <w:tcW w:w="2874" w:type="pct"/>
            <w:tcBorders>
              <w:top w:val="single" w:sz="6" w:space="0" w:color="000000"/>
            </w:tcBorders>
            <w:shd w:val="clear" w:color="auto" w:fill="CFF0FC"/>
            <w:tcMar>
              <w:top w:w="15" w:type="dxa"/>
              <w:left w:w="0" w:type="dxa"/>
              <w:bottom w:w="0" w:type="dxa"/>
              <w:right w:w="15" w:type="dxa"/>
            </w:tcMar>
            <w:hideMark/>
          </w:tcPr>
          <w:p w14:paraId="2E0BCB5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Interest income</w:t>
            </w:r>
          </w:p>
        </w:tc>
        <w:tc>
          <w:tcPr>
            <w:tcW w:w="69" w:type="pct"/>
            <w:shd w:val="clear" w:color="auto" w:fill="CFF0FC"/>
            <w:tcMar>
              <w:top w:w="15" w:type="dxa"/>
              <w:left w:w="0" w:type="dxa"/>
              <w:bottom w:w="0" w:type="dxa"/>
              <w:right w:w="15" w:type="dxa"/>
            </w:tcMar>
            <w:vAlign w:val="bottom"/>
            <w:hideMark/>
          </w:tcPr>
          <w:p w14:paraId="1585A25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B2976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586607F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1,092</w:t>
            </w:r>
          </w:p>
        </w:tc>
        <w:tc>
          <w:tcPr>
            <w:tcW w:w="50" w:type="pct"/>
            <w:shd w:val="clear" w:color="auto" w:fill="CFF0FC"/>
            <w:noWrap/>
            <w:tcMar>
              <w:top w:w="15" w:type="dxa"/>
              <w:left w:w="0" w:type="dxa"/>
              <w:bottom w:w="0" w:type="dxa"/>
              <w:right w:w="15" w:type="dxa"/>
            </w:tcMar>
            <w:vAlign w:val="bottom"/>
            <w:hideMark/>
          </w:tcPr>
          <w:p w14:paraId="5D4B84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3523A48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6AEC7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27FD5D0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1,203</w:t>
            </w:r>
          </w:p>
        </w:tc>
        <w:tc>
          <w:tcPr>
            <w:tcW w:w="50" w:type="pct"/>
            <w:shd w:val="clear" w:color="auto" w:fill="CFF0FC"/>
            <w:noWrap/>
            <w:tcMar>
              <w:top w:w="15" w:type="dxa"/>
              <w:left w:w="0" w:type="dxa"/>
              <w:bottom w:w="0" w:type="dxa"/>
              <w:right w:w="15" w:type="dxa"/>
            </w:tcMar>
            <w:vAlign w:val="bottom"/>
            <w:hideMark/>
          </w:tcPr>
          <w:p w14:paraId="3DE6B54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56C62A0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4848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14:paraId="6F05F88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804</w:t>
            </w:r>
          </w:p>
        </w:tc>
        <w:tc>
          <w:tcPr>
            <w:tcW w:w="50" w:type="pct"/>
            <w:shd w:val="clear" w:color="auto" w:fill="CFF0FC"/>
            <w:noWrap/>
            <w:tcMar>
              <w:top w:w="15" w:type="dxa"/>
              <w:left w:w="0" w:type="dxa"/>
              <w:bottom w:w="0" w:type="dxa"/>
              <w:right w:w="15" w:type="dxa"/>
            </w:tcMar>
            <w:vAlign w:val="bottom"/>
            <w:hideMark/>
          </w:tcPr>
          <w:p w14:paraId="531C61D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160271E" w14:textId="77777777">
        <w:trPr>
          <w:divId w:val="4677392"/>
          <w:jc w:val="center"/>
        </w:trPr>
        <w:tc>
          <w:tcPr>
            <w:tcW w:w="2874" w:type="pct"/>
            <w:shd w:val="clear" w:color="auto" w:fill="FFFFFF"/>
            <w:tcMar>
              <w:top w:w="15" w:type="dxa"/>
              <w:left w:w="0" w:type="dxa"/>
              <w:bottom w:w="0" w:type="dxa"/>
              <w:right w:w="15" w:type="dxa"/>
            </w:tcMar>
            <w:hideMark/>
          </w:tcPr>
          <w:p w14:paraId="5730D4C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69" w:type="pct"/>
            <w:shd w:val="clear" w:color="auto" w:fill="FFFFFF"/>
            <w:tcMar>
              <w:top w:w="15" w:type="dxa"/>
              <w:left w:w="0" w:type="dxa"/>
              <w:bottom w:w="0" w:type="dxa"/>
              <w:right w:w="15" w:type="dxa"/>
            </w:tcMar>
            <w:vAlign w:val="bottom"/>
            <w:hideMark/>
          </w:tcPr>
          <w:p w14:paraId="075EFF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6F627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6622681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(111</w:t>
            </w:r>
          </w:p>
        </w:tc>
        <w:tc>
          <w:tcPr>
            <w:tcW w:w="50" w:type="pct"/>
            <w:shd w:val="clear" w:color="auto" w:fill="FFFFFF"/>
            <w:noWrap/>
            <w:tcMar>
              <w:top w:w="15" w:type="dxa"/>
              <w:left w:w="0" w:type="dxa"/>
              <w:bottom w:w="0" w:type="dxa"/>
              <w:right w:w="15" w:type="dxa"/>
            </w:tcMar>
            <w:vAlign w:val="bottom"/>
            <w:hideMark/>
          </w:tcPr>
          <w:p w14:paraId="510139C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left w:w="0" w:type="dxa"/>
              <w:bottom w:w="0" w:type="dxa"/>
              <w:right w:w="15" w:type="dxa"/>
            </w:tcMar>
            <w:vAlign w:val="bottom"/>
            <w:hideMark/>
          </w:tcPr>
          <w:p w14:paraId="3711D92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C3F1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721E2B0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(74</w:t>
            </w:r>
          </w:p>
        </w:tc>
        <w:tc>
          <w:tcPr>
            <w:tcW w:w="50" w:type="pct"/>
            <w:shd w:val="clear" w:color="auto" w:fill="FFFFFF"/>
            <w:noWrap/>
            <w:tcMar>
              <w:top w:w="15" w:type="dxa"/>
              <w:left w:w="0" w:type="dxa"/>
              <w:bottom w:w="0" w:type="dxa"/>
              <w:right w:w="15" w:type="dxa"/>
            </w:tcMar>
            <w:vAlign w:val="bottom"/>
            <w:hideMark/>
          </w:tcPr>
          <w:p w14:paraId="0A65113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left w:w="0" w:type="dxa"/>
              <w:bottom w:w="0" w:type="dxa"/>
              <w:right w:w="15" w:type="dxa"/>
            </w:tcMar>
            <w:vAlign w:val="bottom"/>
            <w:hideMark/>
          </w:tcPr>
          <w:p w14:paraId="62535AC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2CF5E2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left w:w="0" w:type="dxa"/>
              <w:bottom w:w="0" w:type="dxa"/>
              <w:right w:w="15" w:type="dxa"/>
            </w:tcMar>
            <w:vAlign w:val="bottom"/>
            <w:hideMark/>
          </w:tcPr>
          <w:p w14:paraId="585C361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(152</w:t>
            </w:r>
          </w:p>
        </w:tc>
        <w:tc>
          <w:tcPr>
            <w:tcW w:w="50" w:type="pct"/>
            <w:shd w:val="clear" w:color="auto" w:fill="FFFFFF"/>
            <w:noWrap/>
            <w:tcMar>
              <w:top w:w="15" w:type="dxa"/>
              <w:left w:w="0" w:type="dxa"/>
              <w:bottom w:w="0" w:type="dxa"/>
              <w:right w:w="15" w:type="dxa"/>
            </w:tcMar>
            <w:vAlign w:val="bottom"/>
            <w:hideMark/>
          </w:tcPr>
          <w:p w14:paraId="6494F3F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3808045C" w14:textId="77777777">
        <w:trPr>
          <w:divId w:val="4677392"/>
          <w:jc w:val="center"/>
        </w:trPr>
        <w:tc>
          <w:tcPr>
            <w:tcW w:w="2874" w:type="pct"/>
            <w:shd w:val="clear" w:color="auto" w:fill="CFF0FC"/>
            <w:tcMar>
              <w:top w:w="15" w:type="dxa"/>
              <w:left w:w="0" w:type="dxa"/>
              <w:bottom w:w="0" w:type="dxa"/>
              <w:right w:w="15" w:type="dxa"/>
            </w:tcMar>
            <w:hideMark/>
          </w:tcPr>
          <w:p w14:paraId="20C9825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69" w:type="pct"/>
            <w:shd w:val="clear" w:color="auto" w:fill="CFF0FC"/>
            <w:tcMar>
              <w:top w:w="15" w:type="dxa"/>
              <w:left w:w="0" w:type="dxa"/>
              <w:bottom w:w="0" w:type="dxa"/>
              <w:right w:w="15" w:type="dxa"/>
            </w:tcMar>
            <w:vAlign w:val="bottom"/>
            <w:hideMark/>
          </w:tcPr>
          <w:p w14:paraId="6D991DC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18A95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1B25829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(152</w:t>
            </w:r>
          </w:p>
        </w:tc>
        <w:tc>
          <w:tcPr>
            <w:tcW w:w="50" w:type="pct"/>
            <w:shd w:val="clear" w:color="auto" w:fill="CFF0FC"/>
            <w:noWrap/>
            <w:tcMar>
              <w:top w:w="15" w:type="dxa"/>
              <w:left w:w="0" w:type="dxa"/>
              <w:bottom w:w="0" w:type="dxa"/>
              <w:right w:w="15" w:type="dxa"/>
            </w:tcMar>
            <w:vAlign w:val="bottom"/>
            <w:hideMark/>
          </w:tcPr>
          <w:p w14:paraId="090FAAB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left w:w="0" w:type="dxa"/>
              <w:bottom w:w="0" w:type="dxa"/>
              <w:right w:w="15" w:type="dxa"/>
            </w:tcMar>
            <w:vAlign w:val="bottom"/>
            <w:hideMark/>
          </w:tcPr>
          <w:p w14:paraId="3915938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C9D32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58B7281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(135</w:t>
            </w:r>
          </w:p>
        </w:tc>
        <w:tc>
          <w:tcPr>
            <w:tcW w:w="50" w:type="pct"/>
            <w:shd w:val="clear" w:color="auto" w:fill="CFF0FC"/>
            <w:noWrap/>
            <w:tcMar>
              <w:top w:w="15" w:type="dxa"/>
              <w:left w:w="0" w:type="dxa"/>
              <w:bottom w:w="0" w:type="dxa"/>
              <w:right w:w="15" w:type="dxa"/>
            </w:tcMar>
            <w:vAlign w:val="bottom"/>
            <w:hideMark/>
          </w:tcPr>
          <w:p w14:paraId="058A8D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left w:w="0" w:type="dxa"/>
              <w:bottom w:w="0" w:type="dxa"/>
              <w:right w:w="15" w:type="dxa"/>
            </w:tcMar>
            <w:vAlign w:val="bottom"/>
            <w:hideMark/>
          </w:tcPr>
          <w:p w14:paraId="2F74333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DE79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left w:w="0" w:type="dxa"/>
              <w:bottom w:w="0" w:type="dxa"/>
              <w:right w:w="15" w:type="dxa"/>
            </w:tcMar>
            <w:vAlign w:val="bottom"/>
            <w:hideMark/>
          </w:tcPr>
          <w:p w14:paraId="4CD8173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(118</w:t>
            </w:r>
          </w:p>
        </w:tc>
        <w:tc>
          <w:tcPr>
            <w:tcW w:w="50" w:type="pct"/>
            <w:shd w:val="clear" w:color="auto" w:fill="CFF0FC"/>
            <w:noWrap/>
            <w:tcMar>
              <w:top w:w="15" w:type="dxa"/>
              <w:left w:w="0" w:type="dxa"/>
              <w:bottom w:w="0" w:type="dxa"/>
              <w:right w:w="15" w:type="dxa"/>
            </w:tcMar>
            <w:vAlign w:val="bottom"/>
            <w:hideMark/>
          </w:tcPr>
          <w:p w14:paraId="1900354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72EE8E3D" w14:textId="77777777">
        <w:trPr>
          <w:divId w:val="4677392"/>
          <w:jc w:val="center"/>
        </w:trPr>
        <w:tc>
          <w:tcPr>
            <w:tcW w:w="2874" w:type="pct"/>
            <w:shd w:val="clear" w:color="auto" w:fill="FFFFFF"/>
            <w:tcMar>
              <w:top w:w="15" w:type="dxa"/>
              <w:left w:w="0" w:type="dxa"/>
              <w:bottom w:w="0" w:type="dxa"/>
              <w:right w:w="15" w:type="dxa"/>
            </w:tcMar>
            <w:hideMark/>
          </w:tcPr>
          <w:p w14:paraId="269C200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Other income, net</w:t>
            </w:r>
          </w:p>
        </w:tc>
        <w:tc>
          <w:tcPr>
            <w:tcW w:w="69" w:type="pct"/>
            <w:shd w:val="clear" w:color="auto" w:fill="FFFFFF"/>
            <w:tcMar>
              <w:top w:w="15" w:type="dxa"/>
              <w:left w:w="0" w:type="dxa"/>
              <w:bottom w:w="0" w:type="dxa"/>
              <w:right w:w="15" w:type="dxa"/>
            </w:tcMar>
            <w:vAlign w:val="bottom"/>
            <w:hideMark/>
          </w:tcPr>
          <w:p w14:paraId="4E8587E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3BAACA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5B7FAFA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4C81AFA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left w:w="0" w:type="dxa"/>
              <w:bottom w:w="0" w:type="dxa"/>
              <w:right w:w="15" w:type="dxa"/>
            </w:tcMar>
            <w:vAlign w:val="bottom"/>
            <w:hideMark/>
          </w:tcPr>
          <w:p w14:paraId="263C25F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C88F9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5DE21B1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191</w:t>
            </w:r>
          </w:p>
        </w:tc>
        <w:tc>
          <w:tcPr>
            <w:tcW w:w="50" w:type="pct"/>
            <w:shd w:val="clear" w:color="auto" w:fill="FFFFFF"/>
            <w:noWrap/>
            <w:tcMar>
              <w:top w:w="15" w:type="dxa"/>
              <w:left w:w="0" w:type="dxa"/>
              <w:bottom w:w="0" w:type="dxa"/>
              <w:right w:w="15" w:type="dxa"/>
            </w:tcMar>
            <w:vAlign w:val="bottom"/>
            <w:hideMark/>
          </w:tcPr>
          <w:p w14:paraId="4636CB6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3F26EEA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39EAFF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14:paraId="09D1B07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FFFFFF"/>
            <w:noWrap/>
            <w:tcMar>
              <w:top w:w="15" w:type="dxa"/>
              <w:left w:w="0" w:type="dxa"/>
              <w:bottom w:w="0" w:type="dxa"/>
              <w:right w:w="15" w:type="dxa"/>
            </w:tcMar>
            <w:vAlign w:val="bottom"/>
            <w:hideMark/>
          </w:tcPr>
          <w:p w14:paraId="4C6C54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368B672" w14:textId="77777777">
        <w:trPr>
          <w:divId w:val="4677392"/>
          <w:jc w:val="center"/>
        </w:trPr>
        <w:tc>
          <w:tcPr>
            <w:tcW w:w="2874" w:type="pct"/>
            <w:shd w:val="clear" w:color="auto" w:fill="CFF0FC"/>
            <w:tcMar>
              <w:top w:w="15" w:type="dxa"/>
              <w:left w:w="0" w:type="dxa"/>
              <w:bottom w:w="0" w:type="dxa"/>
              <w:right w:w="15" w:type="dxa"/>
            </w:tcMar>
            <w:hideMark/>
          </w:tcPr>
          <w:p w14:paraId="44D3BB69"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non-operating income, net</w:t>
            </w:r>
          </w:p>
        </w:tc>
        <w:tc>
          <w:tcPr>
            <w:tcW w:w="69" w:type="pct"/>
            <w:shd w:val="clear" w:color="auto" w:fill="CFF0FC"/>
            <w:tcMar>
              <w:top w:w="15" w:type="dxa"/>
              <w:left w:w="0" w:type="dxa"/>
              <w:bottom w:w="0" w:type="dxa"/>
              <w:right w:w="15" w:type="dxa"/>
            </w:tcMar>
            <w:vAlign w:val="bottom"/>
            <w:hideMark/>
          </w:tcPr>
          <w:p w14:paraId="09C991B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E8333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02542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815</w:t>
            </w:r>
          </w:p>
        </w:tc>
        <w:tc>
          <w:tcPr>
            <w:tcW w:w="50" w:type="pct"/>
            <w:shd w:val="clear" w:color="auto" w:fill="CFF0FC"/>
            <w:noWrap/>
            <w:tcMar>
              <w:top w:w="15" w:type="dxa"/>
              <w:left w:w="0" w:type="dxa"/>
              <w:bottom w:w="0" w:type="dxa"/>
              <w:right w:w="15" w:type="dxa"/>
            </w:tcMar>
            <w:vAlign w:val="bottom"/>
            <w:hideMark/>
          </w:tcPr>
          <w:p w14:paraId="1362F6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56AA492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DC590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F415F1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1,185</w:t>
            </w:r>
          </w:p>
        </w:tc>
        <w:tc>
          <w:tcPr>
            <w:tcW w:w="50" w:type="pct"/>
            <w:shd w:val="clear" w:color="auto" w:fill="CFF0FC"/>
            <w:noWrap/>
            <w:tcMar>
              <w:top w:w="15" w:type="dxa"/>
              <w:left w:w="0" w:type="dxa"/>
              <w:bottom w:w="0" w:type="dxa"/>
              <w:right w:w="15" w:type="dxa"/>
            </w:tcMar>
            <w:vAlign w:val="bottom"/>
            <w:hideMark/>
          </w:tcPr>
          <w:p w14:paraId="09EAAF0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0B48A0B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496C4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CBF90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565</w:t>
            </w:r>
          </w:p>
        </w:tc>
        <w:tc>
          <w:tcPr>
            <w:tcW w:w="50" w:type="pct"/>
            <w:shd w:val="clear" w:color="auto" w:fill="CFF0FC"/>
            <w:noWrap/>
            <w:tcMar>
              <w:top w:w="15" w:type="dxa"/>
              <w:left w:w="0" w:type="dxa"/>
              <w:bottom w:w="0" w:type="dxa"/>
              <w:right w:w="15" w:type="dxa"/>
            </w:tcMar>
            <w:vAlign w:val="bottom"/>
            <w:hideMark/>
          </w:tcPr>
          <w:p w14:paraId="571D2030"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32BE132" w14:textId="77777777" w:rsidR="00251D72" w:rsidRDefault="00251D72">
      <w:pPr>
        <w:pStyle w:val="a3"/>
        <w:spacing w:before="0" w:beforeAutospacing="0" w:after="0" w:afterAutospacing="0"/>
        <w:jc w:val="both"/>
        <w:rPr>
          <w:rFonts w:ascii="Calibri" w:hAnsi="Calibri" w:cs="Calibri"/>
          <w:sz w:val="6"/>
          <w:szCs w:val="6"/>
        </w:rPr>
      </w:pPr>
      <w:r>
        <w:rPr>
          <w:rFonts w:ascii="Calibri" w:hAnsi="Calibri" w:cs="Calibri"/>
          <w:sz w:val="6"/>
          <w:szCs w:val="6"/>
        </w:rPr>
        <w:t> </w:t>
      </w:r>
    </w:p>
    <w:p w14:paraId="356B145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Income Taxes</w:t>
      </w:r>
    </w:p>
    <w:p w14:paraId="67F7BA3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account for income taxes in accordance with ASC 740, </w:t>
      </w:r>
      <w:r>
        <w:rPr>
          <w:rFonts w:ascii="Calibri" w:hAnsi="Calibri" w:cs="Calibri"/>
          <w:i/>
          <w:iCs/>
          <w:sz w:val="20"/>
          <w:szCs w:val="20"/>
        </w:rPr>
        <w:t xml:space="preserve">Income Taxes </w:t>
      </w:r>
      <w:r>
        <w:rPr>
          <w:rFonts w:ascii="Calibri" w:hAnsi="Calibri" w:cs="Calibri"/>
          <w:sz w:val="20"/>
          <w:szCs w:val="20"/>
        </w:rPr>
        <w:t>(ASC 740). Deferred income taxes are recorded for the expected tax consequences of temporary differences between the tax bases of assets and liabilities for financial reporting purposes and amounts recognized for income tax purposes. We record a valuation allowance to reduce our deferred tax assets to the amount of future tax benefit that is more likely than not to be realized.</w:t>
      </w:r>
    </w:p>
    <w:p w14:paraId="25AF0EA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 two-step approach is applied pursuant to ASC 740 in the recognition and measurement of uncertain tax positions taken or expected to be taken in a tax return. The first step is to determine if the weight of available evidence indicates that it is more likely than not that the tax position will be sustained in an audit, including resolution of any related appeals or litigation processes. The second step is to measure the tax benefit as the largest amount that is more than 50% likely to be realized upon ultimate settlement. We recognize interest and penalties related to uncertain tax positions in our provision for income taxes line of our consolidated statements of operations.</w:t>
      </w:r>
    </w:p>
    <w:p w14:paraId="47D19ACB" w14:textId="77777777" w:rsidR="00251D72" w:rsidRDefault="00251D72">
      <w:pPr>
        <w:pStyle w:val="a3"/>
        <w:spacing w:before="120" w:beforeAutospacing="0" w:after="0" w:afterAutospacing="0"/>
        <w:jc w:val="both"/>
        <w:rPr>
          <w:rFonts w:ascii="Calibri" w:hAnsi="Calibri" w:cs="Calibri"/>
          <w:sz w:val="20"/>
          <w:szCs w:val="20"/>
        </w:rPr>
      </w:pPr>
      <w:bookmarkStart w:id="124" w:name="_AEIOULastRenderedPageBreakAEIOU87"/>
      <w:bookmarkEnd w:id="124"/>
      <w:r>
        <w:rPr>
          <w:rFonts w:ascii="Calibri" w:hAnsi="Calibri" w:cs="Calibri"/>
          <w:sz w:val="20"/>
          <w:szCs w:val="20"/>
        </w:rPr>
        <w:t xml:space="preserve">During fiscal 2019, we completed our analysis of the accounting policy election required with regard to the Tax Act’s Global Intangible Low-Taxed Income (GILTI) provision. The FASB allows companies to adopt a policy election to account for GILTI under one of two methods: (i) account for GILTI as a component of tax expense in the period in which a company is subject to the rules (the period cost method), or (ii) account for GILTI in a company’s </w:t>
      </w:r>
    </w:p>
    <w:p w14:paraId="4F2C4931"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84</w:t>
      </w:r>
    </w:p>
    <w:p w14:paraId="7100C8C5" w14:textId="77777777" w:rsidR="00251D72" w:rsidRDefault="00251D72">
      <w:pPr>
        <w:rPr>
          <w:rFonts w:ascii="Times New Roman" w:eastAsia="Times New Roman" w:hAnsi="Times New Roman" w:cs="Times New Roman"/>
          <w:sz w:val="24"/>
          <w:szCs w:val="24"/>
        </w:rPr>
      </w:pPr>
      <w:r>
        <w:rPr>
          <w:rFonts w:eastAsia="Times New Roman"/>
        </w:rPr>
        <w:pict w14:anchorId="138ACE7C">
          <v:rect id="_x0000_i1110" style="width:415.3pt;height:1.5pt" o:hralign="center" o:hrstd="t" o:hr="t" fillcolor="#a0a0a0" stroked="f"/>
        </w:pict>
      </w:r>
    </w:p>
    <w:p w14:paraId="462323F4"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D27212E"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130BDDF"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75F0FDE2"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3948BA44"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361EA396" w14:textId="77777777" w:rsidR="00251D72" w:rsidRDefault="00251D72">
      <w:pPr>
        <w:pStyle w:val="a3"/>
        <w:spacing w:before="0" w:beforeAutospacing="0" w:after="0" w:afterAutospacing="0"/>
        <w:rPr>
          <w:sz w:val="20"/>
          <w:szCs w:val="20"/>
        </w:rPr>
      </w:pPr>
      <w:r>
        <w:rPr>
          <w:sz w:val="20"/>
          <w:szCs w:val="20"/>
        </w:rPr>
        <w:t> </w:t>
      </w:r>
    </w:p>
    <w:p w14:paraId="5076860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measurement of deferred taxes (the deferred method). We elected the deferred method, under which we recorded the income tax expense impact to our consolidated financial statements during fiscal 2019.</w:t>
      </w:r>
    </w:p>
    <w:p w14:paraId="6DFFF6B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 description of our accounting policies associated with tax related contingencies and valuation allowances assumed as a part of a business combination is provided under “Business Combinations” above. </w:t>
      </w:r>
    </w:p>
    <w:p w14:paraId="0FA95561"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Recent Accounting Pronouncements</w:t>
      </w:r>
    </w:p>
    <w:p w14:paraId="6E3D1E03" w14:textId="77777777" w:rsidR="00251D72" w:rsidRDefault="00251D72">
      <w:pPr>
        <w:pStyle w:val="a3"/>
        <w:spacing w:before="120" w:beforeAutospacing="0" w:after="0" w:afterAutospacing="0"/>
        <w:jc w:val="both"/>
        <w:rPr>
          <w:rFonts w:ascii="Calibri" w:hAnsi="Calibri" w:cs="Calibri"/>
          <w:b/>
          <w:bCs/>
          <w:i/>
          <w:iCs/>
          <w:color w:val="000000"/>
          <w:sz w:val="20"/>
          <w:szCs w:val="20"/>
        </w:rPr>
      </w:pPr>
      <w:r>
        <w:rPr>
          <w:rFonts w:ascii="Calibri" w:hAnsi="Calibri" w:cs="Calibri"/>
          <w:b/>
          <w:bCs/>
          <w:i/>
          <w:iCs/>
          <w:color w:val="000000"/>
          <w:sz w:val="20"/>
          <w:szCs w:val="20"/>
          <w:shd w:val="clear" w:color="auto" w:fill="FFFFFF"/>
        </w:rPr>
        <w:t>Financial Instruments:</w:t>
      </w:r>
      <w:r>
        <w:rPr>
          <w:rFonts w:ascii="Calibri" w:hAnsi="Calibri" w:cs="Calibri"/>
          <w:color w:val="000000"/>
          <w:sz w:val="20"/>
          <w:szCs w:val="20"/>
          <w:shd w:val="clear" w:color="auto" w:fill="FFFFFF"/>
        </w:rPr>
        <w:t>  </w:t>
      </w:r>
      <w:r>
        <w:rPr>
          <w:rFonts w:ascii="Calibri" w:hAnsi="Calibri" w:cs="Calibri"/>
          <w:color w:val="000000"/>
          <w:sz w:val="20"/>
          <w:szCs w:val="20"/>
        </w:rPr>
        <w:t xml:space="preserve">In June 2016, the FASB issued ASU 2016-13, </w:t>
      </w:r>
      <w:r>
        <w:rPr>
          <w:rFonts w:ascii="Calibri" w:hAnsi="Calibri" w:cs="Calibri"/>
          <w:i/>
          <w:iCs/>
          <w:color w:val="000000"/>
          <w:sz w:val="20"/>
          <w:szCs w:val="20"/>
        </w:rPr>
        <w:t>Financial Instruments—Credit Losses (Topic 326): Measurement of Credit Losses on Financial Instruments</w:t>
      </w:r>
      <w:r>
        <w:rPr>
          <w:rFonts w:ascii="Calibri" w:hAnsi="Calibri" w:cs="Calibri"/>
          <w:color w:val="000000"/>
          <w:sz w:val="20"/>
          <w:szCs w:val="20"/>
        </w:rPr>
        <w:t xml:space="preserve"> (ASU 2016-13) and also issued subsequent amendments to the initial guidance: ASU 2018-19, ASU 2019-04, and ASU 2019-05 (collectively, Topic 326). Topic 326 requires measurement and recognition of expected credit losses for financial assets held. Topic 326 is effective for us in our first quarter of fiscal 2021, and earlier adoption is permitted beginning in the first quarter of fiscal 2020. We are currently evaluating the impact of our pending adoption of Topic 326 on our consolidated financial statements.</w:t>
      </w:r>
    </w:p>
    <w:p w14:paraId="39B546A3"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Leases: </w:t>
      </w:r>
      <w:r>
        <w:rPr>
          <w:rFonts w:ascii="Calibri" w:hAnsi="Calibri" w:cs="Calibri"/>
          <w:sz w:val="20"/>
          <w:szCs w:val="20"/>
        </w:rPr>
        <w:t xml:space="preserve">In February 2016, the FASB issued ASU 2016-02, </w:t>
      </w:r>
      <w:r>
        <w:rPr>
          <w:rFonts w:ascii="Calibri" w:hAnsi="Calibri" w:cs="Calibri"/>
          <w:i/>
          <w:iCs/>
          <w:sz w:val="20"/>
          <w:szCs w:val="20"/>
        </w:rPr>
        <w:t>Leases</w:t>
      </w:r>
      <w:r>
        <w:rPr>
          <w:rFonts w:ascii="Calibri" w:hAnsi="Calibri" w:cs="Calibri"/>
          <w:sz w:val="20"/>
          <w:szCs w:val="20"/>
        </w:rPr>
        <w:t xml:space="preserve"> </w:t>
      </w:r>
      <w:r>
        <w:rPr>
          <w:rFonts w:ascii="Calibri" w:hAnsi="Calibri" w:cs="Calibri"/>
          <w:i/>
          <w:iCs/>
          <w:sz w:val="20"/>
          <w:szCs w:val="20"/>
        </w:rPr>
        <w:t>(Topic 842)</w:t>
      </w:r>
      <w:r>
        <w:rPr>
          <w:rFonts w:ascii="Calibri" w:hAnsi="Calibri" w:cs="Calibri"/>
          <w:sz w:val="20"/>
          <w:szCs w:val="20"/>
        </w:rPr>
        <w:t xml:space="preserve"> and also issued subsequent amendments to the initial guidance: ASU 2017-13, ASU 2018-10, ASU 2018-11, ASU 2018-20 and ASU 2019-01 (collectively, Topic 842). Topic 842 requires companies to generally recognize on the balance sheet operating and financing lease liabilities and corresponding right-of-use assets. We intend to adopt Topic ASC 842 using the effective date of June 1, 2019 as the date of our initial application of the standard. Consequently, financial information for the comparative periods will not be updated. We are currently evaluating the impact of our pending adoption of Topic 842 on our consolidated financial statements. We currently expect that most of our operating lease commitments will be subject to the new standard and recognized as operating lease liabilities and right-of-use assets upon our adoption of Topic 842, which will increase our total assets and total liabilities that we report relative to such amounts prior to adoption</w:t>
      </w:r>
      <w:r>
        <w:rPr>
          <w:rFonts w:ascii="Calibri" w:hAnsi="Calibri" w:cs="Calibri"/>
          <w:color w:val="000000"/>
          <w:sz w:val="20"/>
          <w:szCs w:val="20"/>
        </w:rPr>
        <w:t>.</w:t>
      </w:r>
    </w:p>
    <w:tbl>
      <w:tblPr>
        <w:tblW w:w="5000" w:type="pct"/>
        <w:tblCellMar>
          <w:left w:w="0" w:type="dxa"/>
          <w:right w:w="0" w:type="dxa"/>
        </w:tblCellMar>
        <w:tblLook w:val="04A0" w:firstRow="1" w:lastRow="0" w:firstColumn="1" w:lastColumn="0" w:noHBand="0" w:noVBand="1"/>
      </w:tblPr>
      <w:tblGrid>
        <w:gridCol w:w="435"/>
        <w:gridCol w:w="7871"/>
      </w:tblGrid>
      <w:tr w:rsidR="00251D72" w14:paraId="689E6381" w14:textId="77777777">
        <w:tc>
          <w:tcPr>
            <w:tcW w:w="262" w:type="pct"/>
            <w:noWrap/>
            <w:hideMark/>
          </w:tcPr>
          <w:p w14:paraId="7A63A44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2.</w:t>
            </w:r>
          </w:p>
        </w:tc>
        <w:tc>
          <w:tcPr>
            <w:tcW w:w="0" w:type="auto"/>
            <w:hideMark/>
          </w:tcPr>
          <w:p w14:paraId="5BA1C8BA"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ACQUISITIONS</w:t>
            </w:r>
          </w:p>
        </w:tc>
      </w:tr>
    </w:tbl>
    <w:p w14:paraId="1F5C4733"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Fiscal 2019 and 2018 Acquisitions</w:t>
      </w:r>
    </w:p>
    <w:p w14:paraId="32242241"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Fiscal 2018 Acquisition of Aconex Limited </w:t>
      </w:r>
    </w:p>
    <w:p w14:paraId="2F42F054" w14:textId="77777777" w:rsidR="00251D72" w:rsidRDefault="00251D72">
      <w:pPr>
        <w:pStyle w:val="a3"/>
        <w:spacing w:before="80" w:beforeAutospacing="0" w:after="0" w:afterAutospacing="0"/>
        <w:jc w:val="both"/>
        <w:rPr>
          <w:rFonts w:ascii="Calibri" w:hAnsi="Calibri" w:cs="Calibri"/>
          <w:sz w:val="20"/>
          <w:szCs w:val="20"/>
        </w:rPr>
      </w:pPr>
      <w:r>
        <w:rPr>
          <w:rFonts w:ascii="Calibri" w:hAnsi="Calibri" w:cs="Calibri"/>
          <w:sz w:val="20"/>
          <w:szCs w:val="20"/>
        </w:rPr>
        <w:t xml:space="preserve">On March 28, 2018, we completed our acquisition of Aconex Limited (Aconex), a provider of cloud-based collaboration software for construction projects. We have included the financial results of Aconex in our consolidated financial statements from the date of acquisition. These results were not individually material to our consolidated financial statements. The total purchase price for Aconex was approximately $1.2 billion, which consisted of approximately $1.2 billion in cash and $7 million for the fair values of stock options and restricted stock-based awards assumed. In allocating the purchase price based on estimated fair values, we recorded approximately $873 million of goodwill, $377 million of identifiable intangible assets, and $29 million of net liabilities. Goodwill generated from our acquisition of Aconex was primarily attributable to synergies expected to arise after the acquisition and is not expected to be tax deductible. </w:t>
      </w:r>
    </w:p>
    <w:p w14:paraId="360AA2C1"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Other Fiscal 2019 and 2018 Acquisitions </w:t>
      </w:r>
    </w:p>
    <w:p w14:paraId="51129097" w14:textId="77777777" w:rsidR="00251D72" w:rsidRDefault="00251D72">
      <w:pPr>
        <w:pStyle w:val="a3"/>
        <w:spacing w:before="80" w:beforeAutospacing="0" w:after="0" w:afterAutospacing="0"/>
        <w:jc w:val="both"/>
        <w:rPr>
          <w:rFonts w:ascii="Calibri" w:hAnsi="Calibri" w:cs="Calibri"/>
          <w:color w:val="000000"/>
          <w:sz w:val="20"/>
          <w:szCs w:val="20"/>
        </w:rPr>
      </w:pPr>
      <w:r>
        <w:rPr>
          <w:rFonts w:ascii="Calibri" w:hAnsi="Calibri" w:cs="Calibri"/>
          <w:color w:val="000000"/>
          <w:sz w:val="20"/>
          <w:szCs w:val="20"/>
        </w:rPr>
        <w:t xml:space="preserve">During fiscal 2019 and 2018, we acquired certain other companies and purchased certain technology and development assets primarily to expand our products and services offerings. These acquisitions were not significant individually or in the aggregate to our consolidated financial statements. </w:t>
      </w:r>
    </w:p>
    <w:p w14:paraId="5041DFD3"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85</w:t>
      </w:r>
    </w:p>
    <w:p w14:paraId="0A347BDF" w14:textId="77777777" w:rsidR="00251D72" w:rsidRDefault="00251D72">
      <w:pPr>
        <w:rPr>
          <w:rFonts w:ascii="Times New Roman" w:eastAsia="Times New Roman" w:hAnsi="Times New Roman" w:cs="Times New Roman"/>
          <w:sz w:val="24"/>
          <w:szCs w:val="24"/>
        </w:rPr>
      </w:pPr>
      <w:r>
        <w:rPr>
          <w:rFonts w:eastAsia="Times New Roman"/>
        </w:rPr>
        <w:pict w14:anchorId="4F2029B0">
          <v:rect id="_x0000_i1111" style="width:415.3pt;height:1.5pt" o:hralign="center" o:hrstd="t" o:hr="t" fillcolor="#a0a0a0" stroked="f"/>
        </w:pict>
      </w:r>
    </w:p>
    <w:p w14:paraId="1A80C1CD"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58979A41"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4B05A613"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32C10769"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32461F30"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47273853" w14:textId="77777777" w:rsidR="00251D72" w:rsidRDefault="00251D72">
      <w:pPr>
        <w:pStyle w:val="a3"/>
        <w:spacing w:before="0" w:beforeAutospacing="0" w:after="0" w:afterAutospacing="0"/>
        <w:rPr>
          <w:sz w:val="20"/>
          <w:szCs w:val="20"/>
        </w:rPr>
      </w:pPr>
      <w:r>
        <w:rPr>
          <w:sz w:val="20"/>
          <w:szCs w:val="20"/>
        </w:rPr>
        <w:t> </w:t>
      </w:r>
    </w:p>
    <w:p w14:paraId="46A8915B" w14:textId="77777777" w:rsidR="00251D72" w:rsidRDefault="00251D72">
      <w:pPr>
        <w:pStyle w:val="a3"/>
        <w:spacing w:before="240" w:beforeAutospacing="0" w:after="0" w:afterAutospacing="0"/>
        <w:jc w:val="both"/>
        <w:rPr>
          <w:rFonts w:ascii="Calibri" w:hAnsi="Calibri" w:cs="Calibri"/>
          <w:b/>
          <w:bCs/>
          <w:sz w:val="20"/>
          <w:szCs w:val="20"/>
        </w:rPr>
      </w:pPr>
      <w:bookmarkStart w:id="125" w:name="_AEIOULastRenderedPageBreakAEIOU88"/>
      <w:bookmarkEnd w:id="125"/>
      <w:r>
        <w:rPr>
          <w:rFonts w:ascii="Calibri" w:hAnsi="Calibri" w:cs="Calibri"/>
          <w:b/>
          <w:bCs/>
          <w:sz w:val="20"/>
          <w:szCs w:val="20"/>
        </w:rPr>
        <w:t>Fiscal 2017 Acquisitions</w:t>
      </w:r>
    </w:p>
    <w:p w14:paraId="4BDD3BA8"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Acquisition of NetSuite Inc., a Related Party</w:t>
      </w:r>
    </w:p>
    <w:p w14:paraId="01466F9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On November 7, 2016, we completed our acquisition of NetSuite Inc. (NetSuite), a provider of cloud-based enterprise resource planning (ERP) software and related applications and a related party to Oracle. We acquired NetSuite to, among other things, expand our cloud SaaS offerings with a complementary set of cloud ERP and related cloud software applications for customers. </w:t>
      </w:r>
    </w:p>
    <w:p w14:paraId="0633488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Lawrence J. Ellison, Oracle’s Chairman of the Board and Chief Technology Officer and Oracle’s largest stockholder, was an affiliate of NetSuite’s largest stockholder, NetSuite Restricted Holdings LLC (a single member LLC investment entity whose interests are beneficially owned by a trust controlled by Mr. Ellison), which owned approximately 40% of the issued and outstanding NetSuite shares immediately prior to the conclusion of the merger.</w:t>
      </w:r>
    </w:p>
    <w:p w14:paraId="7872FD2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total purchase price for NetSuite was approximately $9.1 billion, which consisted of approximately $9.0 billion in cash and $78 million for the fair values of restricted stock-based awards and stock options assumed. In allocating the purchase price based on estimated fair values, we recorded approximately $6.7 billion of goodwill, $3.2 billion of identifiable intangible assets and $763 million of net liabilities. Goodwill generated from our acquisition of NetSuite was primarily attributable to synergies expected to arise after the acquisition and was not tax deductible.</w:t>
      </w:r>
    </w:p>
    <w:p w14:paraId="6E667B6B" w14:textId="77777777" w:rsidR="00251D72" w:rsidRDefault="00251D72">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Other Fiscal 2017 Acquisitions </w:t>
      </w:r>
    </w:p>
    <w:p w14:paraId="6C99A5F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During fiscal 2017, we acquired certain companies and purchased certain technology and development assets primarily to expand our products and services offerings. These acquisitions were not individually or in the aggregate significant. We have included the financial results of the acquired companies in our consolidated financial statements from their respective acquisition dates, and the results from each of these companies were not individually material to our consolidated financial statements. In the aggregate, the total purchase price for these acquisitions was approximately $3.0 billion, which consisted of $3.0 billion in cash and $13 million for the fair values of restricted stock-based awards and stock options assumed. Based on their estimated fair values, we recorded $243 million of net tangible assets and $948 million of identifiable intangible assets and $1.8 billion of residual goodwill related to these fiscal 2017 acquisitions. </w:t>
      </w:r>
    </w:p>
    <w:p w14:paraId="5D7FE1F2"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Unaudited Pro Forma Financial Information</w:t>
      </w:r>
    </w:p>
    <w:p w14:paraId="0E0BE13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unaudited pro forma financial information in the table below summarizes the combined results of operations for Oracle, Aconex and certain other companies that we acquired since the beginning of fiscal 2018 that were considered relevant for the purposes of unaudited pro forma financial information disclosure as if the companies were combined as of the beginning of fiscal 2018. The unaudited pro forma financial information for all periods presented included the business combination accounting effects resulting from these acquisitions, including amortization charges from acquired intangible assets (certain of which are preliminary), stock-based compensation charges for unvested restricted stock-based awards and stock options assumed, if any, and the related tax effects as though the aforementioned companies were combined as of the beginning of fiscal 2018. The unaudited pro forma financial information as presented below is for informational purposes only and is not necessarily indicative of the results of operations that would have been achieved if the acquisitions had taken place at the beginning of fiscal 2018 or 2019.</w:t>
      </w:r>
    </w:p>
    <w:p w14:paraId="78CB24A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unaudited pro forma financial information for fiscal 2019 presented the historical results of Oracle for fiscal 2019 and certain other companies that we acquired since the beginning of fiscal 2019 based upon their respective previous reporting periods and the dates these companies were acquired by us, and the effects of the pro forma adjustments listed above.</w:t>
      </w:r>
    </w:p>
    <w:p w14:paraId="244A5E02"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86</w:t>
      </w:r>
    </w:p>
    <w:p w14:paraId="54053AE2" w14:textId="77777777" w:rsidR="00251D72" w:rsidRDefault="00251D72">
      <w:pPr>
        <w:rPr>
          <w:rFonts w:ascii="Times New Roman" w:eastAsia="Times New Roman" w:hAnsi="Times New Roman" w:cs="Times New Roman"/>
          <w:sz w:val="24"/>
          <w:szCs w:val="24"/>
        </w:rPr>
      </w:pPr>
      <w:r>
        <w:rPr>
          <w:rFonts w:eastAsia="Times New Roman"/>
        </w:rPr>
        <w:pict w14:anchorId="1FEC1916">
          <v:rect id="_x0000_i1112" style="width:415.3pt;height:1.5pt" o:hralign="center" o:hrstd="t" o:hr="t" fillcolor="#a0a0a0" stroked="f"/>
        </w:pict>
      </w:r>
    </w:p>
    <w:p w14:paraId="67B0C6DE"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3CA1987"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B421293"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30CF9CFF"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27C6A566"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0AC40DD4" w14:textId="77777777" w:rsidR="00251D72" w:rsidRDefault="00251D72">
      <w:pPr>
        <w:pStyle w:val="a3"/>
        <w:spacing w:before="0" w:beforeAutospacing="0" w:after="0" w:afterAutospacing="0"/>
        <w:rPr>
          <w:sz w:val="20"/>
          <w:szCs w:val="20"/>
        </w:rPr>
      </w:pPr>
      <w:r>
        <w:rPr>
          <w:sz w:val="20"/>
          <w:szCs w:val="20"/>
        </w:rPr>
        <w:t> </w:t>
      </w:r>
    </w:p>
    <w:p w14:paraId="1E533457" w14:textId="77777777" w:rsidR="00251D72" w:rsidRDefault="00251D72">
      <w:pPr>
        <w:pStyle w:val="a3"/>
        <w:spacing w:before="120" w:beforeAutospacing="0" w:after="0" w:afterAutospacing="0"/>
        <w:jc w:val="both"/>
        <w:rPr>
          <w:rFonts w:ascii="Calibri" w:hAnsi="Calibri" w:cs="Calibri"/>
          <w:sz w:val="20"/>
          <w:szCs w:val="20"/>
        </w:rPr>
      </w:pPr>
      <w:bookmarkStart w:id="126" w:name="_AEIOULastRenderedPageBreakAEIOU89"/>
      <w:bookmarkEnd w:id="126"/>
      <w:r>
        <w:rPr>
          <w:rFonts w:ascii="Calibri" w:hAnsi="Calibri" w:cs="Calibri"/>
          <w:sz w:val="20"/>
          <w:szCs w:val="20"/>
        </w:rPr>
        <w:t>The unaudited pro forma financial information for fiscal 2018 combined the historical results of Oracle for fiscal 2018 and the historical results of Aconex for the twelve month period ended December 31, 2017 (adjusted due to differences in reporting periods and considering the date we acquired Aconex) and certain other companies that we acquired since the beginning of fiscal 2018 based upon their respective previous reporting periods and the dates these companies were acquired by us, and the effects of the pro forma adjustments listed above. The unaudited pro forma financial information was as follows:</w:t>
      </w:r>
    </w:p>
    <w:p w14:paraId="790BBB87" w14:textId="77777777" w:rsidR="00251D72" w:rsidRDefault="00251D72">
      <w:pPr>
        <w:pStyle w:val="a3"/>
        <w:spacing w:before="0" w:beforeAutospacing="0" w:after="0" w:afterAutospacing="0"/>
        <w:rPr>
          <w:b/>
          <w:bCs/>
          <w:sz w:val="12"/>
          <w:szCs w:val="12"/>
        </w:rPr>
      </w:pPr>
      <w:r>
        <w:rPr>
          <w:b/>
          <w:bCs/>
          <w:sz w:val="12"/>
          <w:szCs w:val="12"/>
        </w:rPr>
        <w:t> </w:t>
      </w:r>
    </w:p>
    <w:tbl>
      <w:tblPr>
        <w:tblW w:w="5000" w:type="pct"/>
        <w:jc w:val="center"/>
        <w:tblCellMar>
          <w:left w:w="0" w:type="dxa"/>
          <w:right w:w="0" w:type="dxa"/>
        </w:tblCellMar>
        <w:tblLook w:val="04A0" w:firstRow="1" w:lastRow="0" w:firstColumn="1" w:lastColumn="0" w:noHBand="0" w:noVBand="1"/>
      </w:tblPr>
      <w:tblGrid>
        <w:gridCol w:w="5427"/>
        <w:gridCol w:w="128"/>
        <w:gridCol w:w="117"/>
        <w:gridCol w:w="1120"/>
        <w:gridCol w:w="73"/>
        <w:gridCol w:w="128"/>
        <w:gridCol w:w="117"/>
        <w:gridCol w:w="1122"/>
        <w:gridCol w:w="74"/>
      </w:tblGrid>
      <w:tr w:rsidR="00251D72" w14:paraId="210013A0" w14:textId="77777777">
        <w:trPr>
          <w:divId w:val="1942452568"/>
          <w:jc w:val="center"/>
        </w:trPr>
        <w:tc>
          <w:tcPr>
            <w:tcW w:w="3272" w:type="pct"/>
            <w:shd w:val="clear" w:color="auto" w:fill="FFFFFF"/>
            <w:tcMar>
              <w:top w:w="15" w:type="dxa"/>
              <w:left w:w="0" w:type="dxa"/>
              <w:bottom w:w="0" w:type="dxa"/>
              <w:right w:w="15" w:type="dxa"/>
            </w:tcMar>
            <w:vAlign w:val="bottom"/>
            <w:hideMark/>
          </w:tcPr>
          <w:p w14:paraId="522626A6"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 </w:t>
            </w:r>
          </w:p>
        </w:tc>
        <w:tc>
          <w:tcPr>
            <w:tcW w:w="83" w:type="pct"/>
            <w:shd w:val="clear" w:color="auto" w:fill="FFFFFF"/>
            <w:tcMar>
              <w:top w:w="15" w:type="dxa"/>
              <w:left w:w="0" w:type="dxa"/>
              <w:bottom w:w="0" w:type="dxa"/>
              <w:right w:w="15" w:type="dxa"/>
            </w:tcMar>
            <w:vAlign w:val="bottom"/>
            <w:hideMark/>
          </w:tcPr>
          <w:p w14:paraId="1CA58AD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4" w:type="pct"/>
            <w:gridSpan w:val="6"/>
            <w:tcBorders>
              <w:bottom w:val="single" w:sz="6" w:space="0" w:color="000000"/>
            </w:tcBorders>
            <w:shd w:val="clear" w:color="auto" w:fill="FFFFFF"/>
            <w:tcMar>
              <w:top w:w="15" w:type="dxa"/>
              <w:left w:w="0" w:type="dxa"/>
              <w:bottom w:w="0" w:type="dxa"/>
              <w:right w:w="15" w:type="dxa"/>
            </w:tcMar>
            <w:vAlign w:val="bottom"/>
            <w:hideMark/>
          </w:tcPr>
          <w:p w14:paraId="15CC407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57D1A6F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AE25F20" w14:textId="77777777">
        <w:trPr>
          <w:divId w:val="1942452568"/>
          <w:jc w:val="center"/>
        </w:trPr>
        <w:tc>
          <w:tcPr>
            <w:tcW w:w="3272" w:type="pct"/>
            <w:tcBorders>
              <w:bottom w:val="single" w:sz="6" w:space="0" w:color="000000"/>
            </w:tcBorders>
            <w:shd w:val="clear" w:color="auto" w:fill="FFFFFF"/>
            <w:tcMar>
              <w:top w:w="15" w:type="dxa"/>
              <w:left w:w="0" w:type="dxa"/>
              <w:bottom w:w="0" w:type="dxa"/>
              <w:right w:w="15" w:type="dxa"/>
            </w:tcMar>
            <w:vAlign w:val="bottom"/>
            <w:hideMark/>
          </w:tcPr>
          <w:p w14:paraId="1AFDA13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3" w:type="pct"/>
            <w:shd w:val="clear" w:color="auto" w:fill="FFFFFF"/>
            <w:tcMar>
              <w:top w:w="15" w:type="dxa"/>
              <w:left w:w="0" w:type="dxa"/>
              <w:bottom w:w="0" w:type="dxa"/>
              <w:right w:w="15" w:type="dxa"/>
            </w:tcMar>
            <w:vAlign w:val="bottom"/>
            <w:hideMark/>
          </w:tcPr>
          <w:p w14:paraId="0F1D93E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BF696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63C14A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59F1EC6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0787D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8F3C53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76C29E47" w14:textId="77777777">
        <w:trPr>
          <w:divId w:val="1942452568"/>
          <w:jc w:val="center"/>
        </w:trPr>
        <w:tc>
          <w:tcPr>
            <w:tcW w:w="3272" w:type="pct"/>
            <w:tcBorders>
              <w:top w:val="single" w:sz="6" w:space="0" w:color="000000"/>
            </w:tcBorders>
            <w:shd w:val="clear" w:color="auto" w:fill="CFF0FC"/>
            <w:tcMar>
              <w:top w:w="15" w:type="dxa"/>
              <w:left w:w="0" w:type="dxa"/>
              <w:bottom w:w="0" w:type="dxa"/>
              <w:right w:w="15" w:type="dxa"/>
            </w:tcMar>
            <w:hideMark/>
          </w:tcPr>
          <w:p w14:paraId="2967F75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Total revenues</w:t>
            </w:r>
          </w:p>
        </w:tc>
        <w:tc>
          <w:tcPr>
            <w:tcW w:w="83" w:type="pct"/>
            <w:shd w:val="clear" w:color="auto" w:fill="CFF0FC"/>
            <w:tcMar>
              <w:top w:w="15" w:type="dxa"/>
              <w:left w:w="0" w:type="dxa"/>
              <w:bottom w:w="0" w:type="dxa"/>
              <w:right w:w="15" w:type="dxa"/>
            </w:tcMar>
            <w:vAlign w:val="bottom"/>
            <w:hideMark/>
          </w:tcPr>
          <w:p w14:paraId="148783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DD5D50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single" w:sz="6" w:space="0" w:color="000000"/>
            </w:tcBorders>
            <w:shd w:val="clear" w:color="auto" w:fill="CFF0FC"/>
            <w:noWrap/>
            <w:tcMar>
              <w:top w:w="15" w:type="dxa"/>
              <w:left w:w="0" w:type="dxa"/>
              <w:bottom w:w="0" w:type="dxa"/>
              <w:right w:w="15" w:type="dxa"/>
            </w:tcMar>
            <w:vAlign w:val="bottom"/>
            <w:hideMark/>
          </w:tcPr>
          <w:p w14:paraId="7F5A78E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39,512</w:t>
            </w:r>
          </w:p>
        </w:tc>
        <w:tc>
          <w:tcPr>
            <w:tcW w:w="50" w:type="pct"/>
            <w:shd w:val="clear" w:color="auto" w:fill="CFF0FC"/>
            <w:noWrap/>
            <w:tcMar>
              <w:top w:w="15" w:type="dxa"/>
              <w:left w:w="0" w:type="dxa"/>
              <w:bottom w:w="0" w:type="dxa"/>
              <w:right w:w="15" w:type="dxa"/>
            </w:tcMar>
            <w:vAlign w:val="bottom"/>
            <w:hideMark/>
          </w:tcPr>
          <w:p w14:paraId="4CDD56C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62575C9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C89266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single" w:sz="6" w:space="0" w:color="000000"/>
            </w:tcBorders>
            <w:shd w:val="clear" w:color="auto" w:fill="CFF0FC"/>
            <w:noWrap/>
            <w:tcMar>
              <w:top w:w="15" w:type="dxa"/>
              <w:left w:w="0" w:type="dxa"/>
              <w:bottom w:w="0" w:type="dxa"/>
              <w:right w:w="15" w:type="dxa"/>
            </w:tcMar>
            <w:vAlign w:val="bottom"/>
            <w:hideMark/>
          </w:tcPr>
          <w:p w14:paraId="4493848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39,546</w:t>
            </w:r>
          </w:p>
        </w:tc>
        <w:tc>
          <w:tcPr>
            <w:tcW w:w="50" w:type="pct"/>
            <w:shd w:val="clear" w:color="auto" w:fill="CFF0FC"/>
            <w:noWrap/>
            <w:tcMar>
              <w:top w:w="15" w:type="dxa"/>
              <w:left w:w="0" w:type="dxa"/>
              <w:bottom w:w="0" w:type="dxa"/>
              <w:right w:w="15" w:type="dxa"/>
            </w:tcMar>
            <w:vAlign w:val="bottom"/>
            <w:hideMark/>
          </w:tcPr>
          <w:p w14:paraId="6A4F14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771EDF8" w14:textId="77777777">
        <w:trPr>
          <w:divId w:val="1942452568"/>
          <w:jc w:val="center"/>
        </w:trPr>
        <w:tc>
          <w:tcPr>
            <w:tcW w:w="3272" w:type="pct"/>
            <w:shd w:val="clear" w:color="auto" w:fill="FFFFFF"/>
            <w:tcMar>
              <w:top w:w="15" w:type="dxa"/>
              <w:left w:w="0" w:type="dxa"/>
              <w:bottom w:w="0" w:type="dxa"/>
              <w:right w:w="15" w:type="dxa"/>
            </w:tcMar>
            <w:hideMark/>
          </w:tcPr>
          <w:p w14:paraId="233F078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income</w:t>
            </w:r>
          </w:p>
        </w:tc>
        <w:tc>
          <w:tcPr>
            <w:tcW w:w="83" w:type="pct"/>
            <w:shd w:val="clear" w:color="auto" w:fill="FFFFFF"/>
            <w:tcMar>
              <w:top w:w="15" w:type="dxa"/>
              <w:left w:w="0" w:type="dxa"/>
              <w:bottom w:w="0" w:type="dxa"/>
              <w:right w:w="15" w:type="dxa"/>
            </w:tcMar>
            <w:vAlign w:val="bottom"/>
            <w:hideMark/>
          </w:tcPr>
          <w:p w14:paraId="441071B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E7C27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shd w:val="clear" w:color="auto" w:fill="FFFFFF"/>
            <w:noWrap/>
            <w:tcMar>
              <w:top w:w="15" w:type="dxa"/>
              <w:left w:w="0" w:type="dxa"/>
              <w:bottom w:w="0" w:type="dxa"/>
              <w:right w:w="15" w:type="dxa"/>
            </w:tcMar>
            <w:vAlign w:val="bottom"/>
            <w:hideMark/>
          </w:tcPr>
          <w:p w14:paraId="671B22A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11,076</w:t>
            </w:r>
          </w:p>
        </w:tc>
        <w:tc>
          <w:tcPr>
            <w:tcW w:w="50" w:type="pct"/>
            <w:shd w:val="clear" w:color="auto" w:fill="FFFFFF"/>
            <w:noWrap/>
            <w:tcMar>
              <w:top w:w="15" w:type="dxa"/>
              <w:left w:w="0" w:type="dxa"/>
              <w:bottom w:w="0" w:type="dxa"/>
              <w:right w:w="15" w:type="dxa"/>
            </w:tcMar>
            <w:vAlign w:val="bottom"/>
            <w:hideMark/>
          </w:tcPr>
          <w:p w14:paraId="170DEE1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0C7488E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B4F2D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shd w:val="clear" w:color="auto" w:fill="FFFFFF"/>
            <w:noWrap/>
            <w:tcMar>
              <w:top w:w="15" w:type="dxa"/>
              <w:left w:w="0" w:type="dxa"/>
              <w:bottom w:w="0" w:type="dxa"/>
              <w:right w:w="15" w:type="dxa"/>
            </w:tcMar>
            <w:vAlign w:val="bottom"/>
            <w:hideMark/>
          </w:tcPr>
          <w:p w14:paraId="51D5E62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3,500</w:t>
            </w:r>
          </w:p>
        </w:tc>
        <w:tc>
          <w:tcPr>
            <w:tcW w:w="50" w:type="pct"/>
            <w:shd w:val="clear" w:color="auto" w:fill="FFFFFF"/>
            <w:noWrap/>
            <w:tcMar>
              <w:top w:w="15" w:type="dxa"/>
              <w:left w:w="0" w:type="dxa"/>
              <w:bottom w:w="0" w:type="dxa"/>
              <w:right w:w="15" w:type="dxa"/>
            </w:tcMar>
            <w:vAlign w:val="bottom"/>
            <w:hideMark/>
          </w:tcPr>
          <w:p w14:paraId="15EBF06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7015691" w14:textId="77777777">
        <w:trPr>
          <w:divId w:val="1942452568"/>
          <w:jc w:val="center"/>
        </w:trPr>
        <w:tc>
          <w:tcPr>
            <w:tcW w:w="3272" w:type="pct"/>
            <w:shd w:val="clear" w:color="auto" w:fill="CFF0FC"/>
            <w:tcMar>
              <w:top w:w="15" w:type="dxa"/>
              <w:left w:w="0" w:type="dxa"/>
              <w:bottom w:w="0" w:type="dxa"/>
              <w:right w:w="15" w:type="dxa"/>
            </w:tcMar>
            <w:hideMark/>
          </w:tcPr>
          <w:p w14:paraId="08C2FB1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Basic earnings per share</w:t>
            </w:r>
          </w:p>
        </w:tc>
        <w:tc>
          <w:tcPr>
            <w:tcW w:w="83" w:type="pct"/>
            <w:shd w:val="clear" w:color="auto" w:fill="CFF0FC"/>
            <w:tcMar>
              <w:top w:w="15" w:type="dxa"/>
              <w:left w:w="0" w:type="dxa"/>
              <w:bottom w:w="0" w:type="dxa"/>
              <w:right w:w="15" w:type="dxa"/>
            </w:tcMar>
            <w:vAlign w:val="bottom"/>
            <w:hideMark/>
          </w:tcPr>
          <w:p w14:paraId="3B2688F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060C0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shd w:val="clear" w:color="auto" w:fill="CFF0FC"/>
            <w:noWrap/>
            <w:tcMar>
              <w:top w:w="15" w:type="dxa"/>
              <w:left w:w="0" w:type="dxa"/>
              <w:bottom w:w="0" w:type="dxa"/>
              <w:right w:w="15" w:type="dxa"/>
            </w:tcMar>
            <w:vAlign w:val="bottom"/>
            <w:hideMark/>
          </w:tcPr>
          <w:p w14:paraId="2AD6E89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3.05</w:t>
            </w:r>
          </w:p>
        </w:tc>
        <w:tc>
          <w:tcPr>
            <w:tcW w:w="50" w:type="pct"/>
            <w:shd w:val="clear" w:color="auto" w:fill="CFF0FC"/>
            <w:noWrap/>
            <w:tcMar>
              <w:top w:w="15" w:type="dxa"/>
              <w:left w:w="0" w:type="dxa"/>
              <w:bottom w:w="0" w:type="dxa"/>
              <w:right w:w="15" w:type="dxa"/>
            </w:tcMar>
            <w:vAlign w:val="bottom"/>
            <w:hideMark/>
          </w:tcPr>
          <w:p w14:paraId="11A6D40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4821208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EAC5C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shd w:val="clear" w:color="auto" w:fill="CFF0FC"/>
            <w:noWrap/>
            <w:tcMar>
              <w:top w:w="15" w:type="dxa"/>
              <w:left w:w="0" w:type="dxa"/>
              <w:bottom w:w="0" w:type="dxa"/>
              <w:right w:w="15" w:type="dxa"/>
            </w:tcMar>
            <w:vAlign w:val="bottom"/>
            <w:hideMark/>
          </w:tcPr>
          <w:p w14:paraId="7EB1FCC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0.85</w:t>
            </w:r>
          </w:p>
        </w:tc>
        <w:tc>
          <w:tcPr>
            <w:tcW w:w="50" w:type="pct"/>
            <w:shd w:val="clear" w:color="auto" w:fill="CFF0FC"/>
            <w:noWrap/>
            <w:tcMar>
              <w:top w:w="15" w:type="dxa"/>
              <w:left w:w="0" w:type="dxa"/>
              <w:bottom w:w="0" w:type="dxa"/>
              <w:right w:w="15" w:type="dxa"/>
            </w:tcMar>
            <w:vAlign w:val="bottom"/>
            <w:hideMark/>
          </w:tcPr>
          <w:p w14:paraId="0D3AE21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F01B40C" w14:textId="77777777">
        <w:trPr>
          <w:divId w:val="1942452568"/>
          <w:jc w:val="center"/>
        </w:trPr>
        <w:tc>
          <w:tcPr>
            <w:tcW w:w="3272" w:type="pct"/>
            <w:shd w:val="clear" w:color="auto" w:fill="FFFFFF"/>
            <w:tcMar>
              <w:top w:w="15" w:type="dxa"/>
              <w:left w:w="0" w:type="dxa"/>
              <w:bottom w:w="0" w:type="dxa"/>
              <w:right w:w="15" w:type="dxa"/>
            </w:tcMar>
            <w:hideMark/>
          </w:tcPr>
          <w:p w14:paraId="7962BEF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Diluted earnings per share</w:t>
            </w:r>
          </w:p>
        </w:tc>
        <w:tc>
          <w:tcPr>
            <w:tcW w:w="83" w:type="pct"/>
            <w:shd w:val="clear" w:color="auto" w:fill="FFFFFF"/>
            <w:tcMar>
              <w:top w:w="15" w:type="dxa"/>
              <w:left w:w="0" w:type="dxa"/>
              <w:bottom w:w="0" w:type="dxa"/>
              <w:right w:w="15" w:type="dxa"/>
            </w:tcMar>
            <w:vAlign w:val="bottom"/>
            <w:hideMark/>
          </w:tcPr>
          <w:p w14:paraId="5C44A56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89552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shd w:val="clear" w:color="auto" w:fill="FFFFFF"/>
            <w:noWrap/>
            <w:tcMar>
              <w:top w:w="15" w:type="dxa"/>
              <w:left w:w="0" w:type="dxa"/>
              <w:bottom w:w="0" w:type="dxa"/>
              <w:right w:w="15" w:type="dxa"/>
            </w:tcMar>
            <w:vAlign w:val="bottom"/>
            <w:hideMark/>
          </w:tcPr>
          <w:p w14:paraId="3F93932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2.97</w:t>
            </w:r>
          </w:p>
        </w:tc>
        <w:tc>
          <w:tcPr>
            <w:tcW w:w="50" w:type="pct"/>
            <w:shd w:val="clear" w:color="auto" w:fill="FFFFFF"/>
            <w:noWrap/>
            <w:tcMar>
              <w:top w:w="15" w:type="dxa"/>
              <w:left w:w="0" w:type="dxa"/>
              <w:bottom w:w="0" w:type="dxa"/>
              <w:right w:w="15" w:type="dxa"/>
            </w:tcMar>
            <w:vAlign w:val="bottom"/>
            <w:hideMark/>
          </w:tcPr>
          <w:p w14:paraId="1B801F0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1D33E2D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91C6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shd w:val="clear" w:color="auto" w:fill="FFFFFF"/>
            <w:noWrap/>
            <w:tcMar>
              <w:top w:w="15" w:type="dxa"/>
              <w:left w:w="0" w:type="dxa"/>
              <w:bottom w:w="0" w:type="dxa"/>
              <w:right w:w="15" w:type="dxa"/>
            </w:tcMar>
            <w:vAlign w:val="bottom"/>
            <w:hideMark/>
          </w:tcPr>
          <w:p w14:paraId="756D243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0.83</w:t>
            </w:r>
          </w:p>
        </w:tc>
        <w:tc>
          <w:tcPr>
            <w:tcW w:w="50" w:type="pct"/>
            <w:shd w:val="clear" w:color="auto" w:fill="FFFFFF"/>
            <w:noWrap/>
            <w:tcMar>
              <w:top w:w="15" w:type="dxa"/>
              <w:left w:w="0" w:type="dxa"/>
              <w:bottom w:w="0" w:type="dxa"/>
              <w:right w:w="15" w:type="dxa"/>
            </w:tcMar>
            <w:vAlign w:val="bottom"/>
            <w:hideMark/>
          </w:tcPr>
          <w:p w14:paraId="7713005C"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F64F61D" w14:textId="77777777" w:rsidR="00251D72" w:rsidRDefault="00251D72">
      <w:pPr>
        <w:pStyle w:val="a3"/>
        <w:spacing w:before="0" w:beforeAutospacing="0" w:after="0" w:afterAutospacing="0"/>
        <w:rPr>
          <w:b/>
          <w:bCs/>
          <w:sz w:val="12"/>
          <w:szCs w:val="12"/>
        </w:rPr>
      </w:pPr>
      <w:r>
        <w:rPr>
          <w:b/>
          <w:bCs/>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251D72" w14:paraId="4B490FFF" w14:textId="77777777">
        <w:tc>
          <w:tcPr>
            <w:tcW w:w="262" w:type="pct"/>
            <w:noWrap/>
            <w:hideMark/>
          </w:tcPr>
          <w:p w14:paraId="0F42BADD" w14:textId="77777777" w:rsidR="00251D72" w:rsidRDefault="00251D72">
            <w:pPr>
              <w:pStyle w:val="a3"/>
              <w:spacing w:before="120" w:beforeAutospacing="0" w:after="0" w:afterAutospacing="0"/>
              <w:rPr>
                <w:rFonts w:ascii="Calibri" w:hAnsi="Calibri" w:cs="Calibri"/>
                <w:b/>
                <w:bCs/>
                <w:sz w:val="20"/>
                <w:szCs w:val="20"/>
              </w:rPr>
            </w:pPr>
            <w:r>
              <w:rPr>
                <w:rFonts w:ascii="Calibri" w:hAnsi="Calibri" w:cs="Calibri"/>
                <w:b/>
                <w:bCs/>
                <w:sz w:val="20"/>
                <w:szCs w:val="20"/>
              </w:rPr>
              <w:t>3.</w:t>
            </w:r>
          </w:p>
        </w:tc>
        <w:tc>
          <w:tcPr>
            <w:tcW w:w="0" w:type="auto"/>
            <w:hideMark/>
          </w:tcPr>
          <w:p w14:paraId="0E075B5F" w14:textId="77777777" w:rsidR="00251D72" w:rsidRDefault="00251D72">
            <w:pPr>
              <w:pStyle w:val="a3"/>
              <w:spacing w:before="120" w:beforeAutospacing="0" w:after="0" w:afterAutospacing="0"/>
              <w:rPr>
                <w:rFonts w:ascii="Calibri" w:hAnsi="Calibri" w:cs="Calibri"/>
                <w:b/>
                <w:bCs/>
                <w:sz w:val="20"/>
                <w:szCs w:val="20"/>
              </w:rPr>
            </w:pPr>
            <w:r>
              <w:rPr>
                <w:rFonts w:ascii="Calibri" w:hAnsi="Calibri" w:cs="Calibri"/>
                <w:b/>
                <w:bCs/>
                <w:sz w:val="20"/>
                <w:szCs w:val="20"/>
              </w:rPr>
              <w:t>CASH, CASH EQUIVALENTS AND MARKETABLE SECURITIES</w:t>
            </w:r>
          </w:p>
        </w:tc>
      </w:tr>
    </w:tbl>
    <w:p w14:paraId="4CF7843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Cash and cash equivalents primarily consist of deposits held at major banks, Tier-1 commercial paper debt securities and other securities with original maturities of 90 days or less. Marketable securities consist of Tier-1 commercial paper debt securities, corporate debt securities and certain other securities.</w:t>
      </w:r>
    </w:p>
    <w:p w14:paraId="4E986FB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amortized principal amounts of our cash, cash equivalents and marketable securities approximated their fair values at May 31, 2019 and 2018. We use the specific identification method to determine any realized gains or losses from the sale of our marketable securities classified as available-for-sale. Such realized gains and losses were insignificant for fiscal 2019, 2018 and 2017. The following table summarizes the components of our cash equivalents and marketable securities held, substantially all of which were classified as available-for-sale:</w:t>
      </w:r>
    </w:p>
    <w:p w14:paraId="4901FC92"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427"/>
        <w:gridCol w:w="128"/>
        <w:gridCol w:w="117"/>
        <w:gridCol w:w="1120"/>
        <w:gridCol w:w="73"/>
        <w:gridCol w:w="128"/>
        <w:gridCol w:w="117"/>
        <w:gridCol w:w="1122"/>
        <w:gridCol w:w="74"/>
      </w:tblGrid>
      <w:tr w:rsidR="00251D72" w14:paraId="2FB6A768" w14:textId="77777777">
        <w:trPr>
          <w:divId w:val="50082962"/>
          <w:jc w:val="center"/>
        </w:trPr>
        <w:tc>
          <w:tcPr>
            <w:tcW w:w="3272" w:type="pct"/>
            <w:shd w:val="clear" w:color="auto" w:fill="FFFFFF"/>
            <w:tcMar>
              <w:top w:w="15" w:type="dxa"/>
              <w:left w:w="0" w:type="dxa"/>
              <w:bottom w:w="0" w:type="dxa"/>
              <w:right w:w="15" w:type="dxa"/>
            </w:tcMar>
            <w:vAlign w:val="bottom"/>
            <w:hideMark/>
          </w:tcPr>
          <w:p w14:paraId="6C433F02" w14:textId="77777777" w:rsidR="00251D72" w:rsidRDefault="00251D72">
            <w:pPr>
              <w:pStyle w:val="a3"/>
              <w:spacing w:before="0" w:beforeAutospacing="0" w:after="0" w:afterAutospacing="0"/>
              <w:rPr>
                <w:sz w:val="15"/>
                <w:szCs w:val="15"/>
              </w:rPr>
            </w:pPr>
            <w:r>
              <w:rPr>
                <w:sz w:val="15"/>
                <w:szCs w:val="15"/>
              </w:rPr>
              <w:t> </w:t>
            </w:r>
          </w:p>
        </w:tc>
        <w:tc>
          <w:tcPr>
            <w:tcW w:w="83" w:type="pct"/>
            <w:shd w:val="clear" w:color="auto" w:fill="FFFFFF"/>
            <w:tcMar>
              <w:top w:w="15" w:type="dxa"/>
              <w:left w:w="0" w:type="dxa"/>
              <w:bottom w:w="0" w:type="dxa"/>
              <w:right w:w="15" w:type="dxa"/>
            </w:tcMar>
            <w:vAlign w:val="bottom"/>
            <w:hideMark/>
          </w:tcPr>
          <w:p w14:paraId="6AD524F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4" w:type="pct"/>
            <w:gridSpan w:val="6"/>
            <w:tcBorders>
              <w:bottom w:val="single" w:sz="6" w:space="0" w:color="000000"/>
            </w:tcBorders>
            <w:shd w:val="clear" w:color="auto" w:fill="FFFFFF"/>
            <w:tcMar>
              <w:top w:w="15" w:type="dxa"/>
              <w:left w:w="0" w:type="dxa"/>
              <w:bottom w:w="0" w:type="dxa"/>
              <w:right w:w="15" w:type="dxa"/>
            </w:tcMar>
            <w:vAlign w:val="bottom"/>
            <w:hideMark/>
          </w:tcPr>
          <w:p w14:paraId="0DF8E21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left w:w="0" w:type="dxa"/>
              <w:bottom w:w="0" w:type="dxa"/>
              <w:right w:w="15" w:type="dxa"/>
            </w:tcMar>
            <w:vAlign w:val="bottom"/>
            <w:hideMark/>
          </w:tcPr>
          <w:p w14:paraId="200660A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A4F39CD" w14:textId="77777777">
        <w:trPr>
          <w:divId w:val="50082962"/>
          <w:jc w:val="center"/>
        </w:trPr>
        <w:tc>
          <w:tcPr>
            <w:tcW w:w="3272" w:type="pct"/>
            <w:tcBorders>
              <w:bottom w:val="single" w:sz="6" w:space="0" w:color="000000"/>
            </w:tcBorders>
            <w:shd w:val="clear" w:color="auto" w:fill="FFFFFF"/>
            <w:tcMar>
              <w:top w:w="15" w:type="dxa"/>
              <w:left w:w="0" w:type="dxa"/>
              <w:bottom w:w="0" w:type="dxa"/>
              <w:right w:w="15" w:type="dxa"/>
            </w:tcMar>
            <w:vAlign w:val="bottom"/>
            <w:hideMark/>
          </w:tcPr>
          <w:p w14:paraId="0D41183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3" w:type="pct"/>
            <w:shd w:val="clear" w:color="auto" w:fill="FFFFFF"/>
            <w:tcMar>
              <w:top w:w="15" w:type="dxa"/>
              <w:left w:w="0" w:type="dxa"/>
              <w:bottom w:w="0" w:type="dxa"/>
              <w:right w:w="15" w:type="dxa"/>
            </w:tcMar>
            <w:vAlign w:val="bottom"/>
            <w:hideMark/>
          </w:tcPr>
          <w:p w14:paraId="154B1B9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D6D9A3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0C1F23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5B7617B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C78014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2D5ACB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371EF36" w14:textId="77777777">
        <w:trPr>
          <w:divId w:val="50082962"/>
          <w:jc w:val="center"/>
        </w:trPr>
        <w:tc>
          <w:tcPr>
            <w:tcW w:w="3272" w:type="pct"/>
            <w:tcBorders>
              <w:top w:val="single" w:sz="6" w:space="0" w:color="000000"/>
            </w:tcBorders>
            <w:shd w:val="clear" w:color="auto" w:fill="CFF0FC"/>
            <w:tcMar>
              <w:top w:w="15" w:type="dxa"/>
              <w:left w:w="0" w:type="dxa"/>
              <w:bottom w:w="0" w:type="dxa"/>
              <w:right w:w="15" w:type="dxa"/>
            </w:tcMar>
            <w:hideMark/>
          </w:tcPr>
          <w:p w14:paraId="2C69411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Corporate debt securities and other</w:t>
            </w:r>
          </w:p>
        </w:tc>
        <w:tc>
          <w:tcPr>
            <w:tcW w:w="83" w:type="pct"/>
            <w:shd w:val="clear" w:color="auto" w:fill="CFF0FC"/>
            <w:tcMar>
              <w:top w:w="15" w:type="dxa"/>
              <w:left w:w="0" w:type="dxa"/>
              <w:bottom w:w="0" w:type="dxa"/>
              <w:right w:w="15" w:type="dxa"/>
            </w:tcMar>
            <w:vAlign w:val="bottom"/>
            <w:hideMark/>
          </w:tcPr>
          <w:p w14:paraId="5CF31B7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571BE0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single" w:sz="6" w:space="0" w:color="000000"/>
            </w:tcBorders>
            <w:shd w:val="clear" w:color="auto" w:fill="CFF0FC"/>
            <w:noWrap/>
            <w:tcMar>
              <w:top w:w="15" w:type="dxa"/>
              <w:left w:w="0" w:type="dxa"/>
              <w:bottom w:w="0" w:type="dxa"/>
              <w:right w:w="15" w:type="dxa"/>
            </w:tcMar>
            <w:vAlign w:val="bottom"/>
            <w:hideMark/>
          </w:tcPr>
          <w:p w14:paraId="27951BC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22,242</w:t>
            </w:r>
          </w:p>
        </w:tc>
        <w:tc>
          <w:tcPr>
            <w:tcW w:w="50" w:type="pct"/>
            <w:shd w:val="clear" w:color="auto" w:fill="CFF0FC"/>
            <w:noWrap/>
            <w:tcMar>
              <w:top w:w="15" w:type="dxa"/>
              <w:left w:w="0" w:type="dxa"/>
              <w:bottom w:w="0" w:type="dxa"/>
              <w:right w:w="15" w:type="dxa"/>
            </w:tcMar>
            <w:vAlign w:val="bottom"/>
            <w:hideMark/>
          </w:tcPr>
          <w:p w14:paraId="1E5711A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0D4C4F1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383EE8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single" w:sz="6" w:space="0" w:color="000000"/>
            </w:tcBorders>
            <w:shd w:val="clear" w:color="auto" w:fill="CFF0FC"/>
            <w:noWrap/>
            <w:tcMar>
              <w:top w:w="15" w:type="dxa"/>
              <w:left w:w="0" w:type="dxa"/>
              <w:bottom w:w="0" w:type="dxa"/>
              <w:right w:w="15" w:type="dxa"/>
            </w:tcMar>
            <w:vAlign w:val="bottom"/>
            <w:hideMark/>
          </w:tcPr>
          <w:p w14:paraId="376215C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44,302</w:t>
            </w:r>
          </w:p>
        </w:tc>
        <w:tc>
          <w:tcPr>
            <w:tcW w:w="50" w:type="pct"/>
            <w:shd w:val="clear" w:color="auto" w:fill="CFF0FC"/>
            <w:noWrap/>
            <w:tcMar>
              <w:top w:w="15" w:type="dxa"/>
              <w:left w:w="0" w:type="dxa"/>
              <w:bottom w:w="0" w:type="dxa"/>
              <w:right w:w="15" w:type="dxa"/>
            </w:tcMar>
            <w:vAlign w:val="bottom"/>
            <w:hideMark/>
          </w:tcPr>
          <w:p w14:paraId="48E9FBE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E55277F" w14:textId="77777777">
        <w:trPr>
          <w:divId w:val="50082962"/>
          <w:jc w:val="center"/>
        </w:trPr>
        <w:tc>
          <w:tcPr>
            <w:tcW w:w="3272" w:type="pct"/>
            <w:shd w:val="clear" w:color="auto" w:fill="FFFFFF"/>
            <w:tcMar>
              <w:top w:w="15" w:type="dxa"/>
              <w:left w:w="0" w:type="dxa"/>
              <w:bottom w:w="0" w:type="dxa"/>
              <w:right w:w="15" w:type="dxa"/>
            </w:tcMar>
            <w:hideMark/>
          </w:tcPr>
          <w:p w14:paraId="54F2D5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Commercial paper debt securities</w:t>
            </w:r>
          </w:p>
        </w:tc>
        <w:tc>
          <w:tcPr>
            <w:tcW w:w="83" w:type="pct"/>
            <w:shd w:val="clear" w:color="auto" w:fill="FFFFFF"/>
            <w:tcMar>
              <w:top w:w="15" w:type="dxa"/>
              <w:left w:w="0" w:type="dxa"/>
              <w:bottom w:w="0" w:type="dxa"/>
              <w:right w:w="15" w:type="dxa"/>
            </w:tcMar>
            <w:vAlign w:val="bottom"/>
            <w:hideMark/>
          </w:tcPr>
          <w:p w14:paraId="02E5B17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D6017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0" w:type="pct"/>
            <w:shd w:val="clear" w:color="auto" w:fill="FFFFFF"/>
            <w:noWrap/>
            <w:tcMar>
              <w:top w:w="15" w:type="dxa"/>
              <w:left w:w="0" w:type="dxa"/>
              <w:bottom w:w="0" w:type="dxa"/>
              <w:right w:w="15" w:type="dxa"/>
            </w:tcMar>
            <w:vAlign w:val="bottom"/>
            <w:hideMark/>
          </w:tcPr>
          <w:p w14:paraId="6D0306E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82CA0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53083ED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E5FE66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0" w:type="pct"/>
            <w:shd w:val="clear" w:color="auto" w:fill="FFFFFF"/>
            <w:noWrap/>
            <w:tcMar>
              <w:top w:w="15" w:type="dxa"/>
              <w:left w:w="0" w:type="dxa"/>
              <w:bottom w:w="0" w:type="dxa"/>
              <w:right w:w="15" w:type="dxa"/>
            </w:tcMar>
            <w:vAlign w:val="bottom"/>
            <w:hideMark/>
          </w:tcPr>
          <w:p w14:paraId="4016892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1,647</w:t>
            </w:r>
          </w:p>
        </w:tc>
        <w:tc>
          <w:tcPr>
            <w:tcW w:w="50" w:type="pct"/>
            <w:shd w:val="clear" w:color="auto" w:fill="FFFFFF"/>
            <w:noWrap/>
            <w:tcMar>
              <w:top w:w="15" w:type="dxa"/>
              <w:left w:w="0" w:type="dxa"/>
              <w:bottom w:w="0" w:type="dxa"/>
              <w:right w:w="15" w:type="dxa"/>
            </w:tcMar>
            <w:vAlign w:val="bottom"/>
            <w:hideMark/>
          </w:tcPr>
          <w:p w14:paraId="3B99977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1DE4003" w14:textId="77777777">
        <w:trPr>
          <w:divId w:val="50082962"/>
          <w:jc w:val="center"/>
        </w:trPr>
        <w:tc>
          <w:tcPr>
            <w:tcW w:w="3272" w:type="pct"/>
            <w:shd w:val="clear" w:color="auto" w:fill="CFF0FC"/>
            <w:tcMar>
              <w:top w:w="15" w:type="dxa"/>
              <w:left w:w="0" w:type="dxa"/>
              <w:bottom w:w="0" w:type="dxa"/>
              <w:right w:w="15" w:type="dxa"/>
            </w:tcMar>
            <w:hideMark/>
          </w:tcPr>
          <w:p w14:paraId="73D8F67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Money market funds</w:t>
            </w:r>
          </w:p>
        </w:tc>
        <w:tc>
          <w:tcPr>
            <w:tcW w:w="83" w:type="pct"/>
            <w:shd w:val="clear" w:color="auto" w:fill="CFF0FC"/>
            <w:tcMar>
              <w:top w:w="15" w:type="dxa"/>
              <w:left w:w="0" w:type="dxa"/>
              <w:bottom w:w="0" w:type="dxa"/>
              <w:right w:w="15" w:type="dxa"/>
            </w:tcMar>
            <w:vAlign w:val="bottom"/>
            <w:hideMark/>
          </w:tcPr>
          <w:p w14:paraId="65754B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FD6381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0" w:type="pct"/>
            <w:tcBorders>
              <w:bottom w:val="single" w:sz="6" w:space="0" w:color="000000"/>
            </w:tcBorders>
            <w:shd w:val="clear" w:color="auto" w:fill="CFF0FC"/>
            <w:noWrap/>
            <w:tcMar>
              <w:top w:w="15" w:type="dxa"/>
              <w:left w:w="0" w:type="dxa"/>
              <w:bottom w:w="0" w:type="dxa"/>
              <w:right w:w="15" w:type="dxa"/>
            </w:tcMar>
            <w:vAlign w:val="bottom"/>
            <w:hideMark/>
          </w:tcPr>
          <w:p w14:paraId="38338F6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5,700</w:t>
            </w:r>
          </w:p>
        </w:tc>
        <w:tc>
          <w:tcPr>
            <w:tcW w:w="50" w:type="pct"/>
            <w:shd w:val="clear" w:color="auto" w:fill="CFF0FC"/>
            <w:noWrap/>
            <w:tcMar>
              <w:top w:w="15" w:type="dxa"/>
              <w:left w:w="0" w:type="dxa"/>
              <w:bottom w:w="0" w:type="dxa"/>
              <w:right w:w="15" w:type="dxa"/>
            </w:tcMar>
            <w:vAlign w:val="bottom"/>
            <w:hideMark/>
          </w:tcPr>
          <w:p w14:paraId="2D10EDE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7D82C8E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D62ED1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0" w:type="pct"/>
            <w:tcBorders>
              <w:bottom w:val="single" w:sz="6" w:space="0" w:color="000000"/>
            </w:tcBorders>
            <w:shd w:val="clear" w:color="auto" w:fill="CFF0FC"/>
            <w:noWrap/>
            <w:tcMar>
              <w:top w:w="15" w:type="dxa"/>
              <w:left w:w="0" w:type="dxa"/>
              <w:bottom w:w="0" w:type="dxa"/>
              <w:right w:w="15" w:type="dxa"/>
            </w:tcMar>
            <w:vAlign w:val="bottom"/>
            <w:hideMark/>
          </w:tcPr>
          <w:p w14:paraId="772D44D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6,500</w:t>
            </w:r>
          </w:p>
        </w:tc>
        <w:tc>
          <w:tcPr>
            <w:tcW w:w="50" w:type="pct"/>
            <w:shd w:val="clear" w:color="auto" w:fill="CFF0FC"/>
            <w:noWrap/>
            <w:tcMar>
              <w:top w:w="15" w:type="dxa"/>
              <w:left w:w="0" w:type="dxa"/>
              <w:bottom w:w="0" w:type="dxa"/>
              <w:right w:w="15" w:type="dxa"/>
            </w:tcMar>
            <w:vAlign w:val="bottom"/>
            <w:hideMark/>
          </w:tcPr>
          <w:p w14:paraId="1EB7F27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465CAE6" w14:textId="77777777">
        <w:trPr>
          <w:divId w:val="50082962"/>
          <w:jc w:val="center"/>
        </w:trPr>
        <w:tc>
          <w:tcPr>
            <w:tcW w:w="3272" w:type="pct"/>
            <w:shd w:val="clear" w:color="auto" w:fill="FFFFFF"/>
            <w:tcMar>
              <w:top w:w="15" w:type="dxa"/>
              <w:left w:w="0" w:type="dxa"/>
              <w:bottom w:w="0" w:type="dxa"/>
              <w:right w:w="15" w:type="dxa"/>
            </w:tcMar>
            <w:hideMark/>
          </w:tcPr>
          <w:p w14:paraId="164A7913"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Total investments</w:t>
            </w:r>
          </w:p>
        </w:tc>
        <w:tc>
          <w:tcPr>
            <w:tcW w:w="83" w:type="pct"/>
            <w:shd w:val="clear" w:color="auto" w:fill="FFFFFF"/>
            <w:tcMar>
              <w:top w:w="15" w:type="dxa"/>
              <w:left w:w="0" w:type="dxa"/>
              <w:bottom w:w="0" w:type="dxa"/>
              <w:right w:w="15" w:type="dxa"/>
            </w:tcMar>
            <w:vAlign w:val="bottom"/>
            <w:hideMark/>
          </w:tcPr>
          <w:p w14:paraId="42139A6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5174CB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E6E68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27,942</w:t>
            </w:r>
          </w:p>
        </w:tc>
        <w:tc>
          <w:tcPr>
            <w:tcW w:w="50" w:type="pct"/>
            <w:shd w:val="clear" w:color="auto" w:fill="FFFFFF"/>
            <w:noWrap/>
            <w:tcMar>
              <w:top w:w="15" w:type="dxa"/>
              <w:left w:w="0" w:type="dxa"/>
              <w:bottom w:w="0" w:type="dxa"/>
              <w:right w:w="15" w:type="dxa"/>
            </w:tcMar>
            <w:vAlign w:val="bottom"/>
            <w:hideMark/>
          </w:tcPr>
          <w:p w14:paraId="5A262E3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05C7F32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C7428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512E4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52,449</w:t>
            </w:r>
          </w:p>
        </w:tc>
        <w:tc>
          <w:tcPr>
            <w:tcW w:w="50" w:type="pct"/>
            <w:shd w:val="clear" w:color="auto" w:fill="FFFFFF"/>
            <w:noWrap/>
            <w:tcMar>
              <w:top w:w="15" w:type="dxa"/>
              <w:left w:w="0" w:type="dxa"/>
              <w:bottom w:w="0" w:type="dxa"/>
              <w:right w:w="15" w:type="dxa"/>
            </w:tcMar>
            <w:vAlign w:val="bottom"/>
            <w:hideMark/>
          </w:tcPr>
          <w:p w14:paraId="726A55A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8A3490C" w14:textId="77777777">
        <w:trPr>
          <w:divId w:val="50082962"/>
          <w:jc w:val="center"/>
        </w:trPr>
        <w:tc>
          <w:tcPr>
            <w:tcW w:w="3272" w:type="pct"/>
            <w:shd w:val="clear" w:color="auto" w:fill="CFF0FC"/>
            <w:tcMar>
              <w:top w:w="15" w:type="dxa"/>
              <w:left w:w="0" w:type="dxa"/>
              <w:bottom w:w="0" w:type="dxa"/>
              <w:right w:w="15" w:type="dxa"/>
            </w:tcMar>
            <w:hideMark/>
          </w:tcPr>
          <w:p w14:paraId="0025DFE8"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Investments classified as cash equivalents</w:t>
            </w:r>
          </w:p>
        </w:tc>
        <w:tc>
          <w:tcPr>
            <w:tcW w:w="83" w:type="pct"/>
            <w:shd w:val="clear" w:color="auto" w:fill="CFF0FC"/>
            <w:tcMar>
              <w:top w:w="15" w:type="dxa"/>
              <w:left w:w="0" w:type="dxa"/>
              <w:bottom w:w="0" w:type="dxa"/>
              <w:right w:w="15" w:type="dxa"/>
            </w:tcMar>
            <w:vAlign w:val="bottom"/>
            <w:hideMark/>
          </w:tcPr>
          <w:p w14:paraId="480B6E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99F8B1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8A8354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10,629</w:t>
            </w:r>
          </w:p>
        </w:tc>
        <w:tc>
          <w:tcPr>
            <w:tcW w:w="50" w:type="pct"/>
            <w:shd w:val="clear" w:color="auto" w:fill="CFF0FC"/>
            <w:noWrap/>
            <w:tcMar>
              <w:top w:w="15" w:type="dxa"/>
              <w:left w:w="0" w:type="dxa"/>
              <w:bottom w:w="0" w:type="dxa"/>
              <w:right w:w="15" w:type="dxa"/>
            </w:tcMar>
            <w:vAlign w:val="bottom"/>
            <w:hideMark/>
          </w:tcPr>
          <w:p w14:paraId="681157C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7C61964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6CE2C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E8C4D4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6,808</w:t>
            </w:r>
          </w:p>
        </w:tc>
        <w:tc>
          <w:tcPr>
            <w:tcW w:w="50" w:type="pct"/>
            <w:shd w:val="clear" w:color="auto" w:fill="CFF0FC"/>
            <w:noWrap/>
            <w:tcMar>
              <w:top w:w="15" w:type="dxa"/>
              <w:left w:w="0" w:type="dxa"/>
              <w:bottom w:w="0" w:type="dxa"/>
              <w:right w:w="15" w:type="dxa"/>
            </w:tcMar>
            <w:vAlign w:val="bottom"/>
            <w:hideMark/>
          </w:tcPr>
          <w:p w14:paraId="177CC5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5ADD02B" w14:textId="77777777">
        <w:trPr>
          <w:divId w:val="50082962"/>
          <w:jc w:val="center"/>
        </w:trPr>
        <w:tc>
          <w:tcPr>
            <w:tcW w:w="3272" w:type="pct"/>
            <w:shd w:val="clear" w:color="auto" w:fill="FFFFFF"/>
            <w:tcMar>
              <w:top w:w="15" w:type="dxa"/>
              <w:left w:w="0" w:type="dxa"/>
              <w:bottom w:w="0" w:type="dxa"/>
              <w:right w:w="15" w:type="dxa"/>
            </w:tcMar>
            <w:hideMark/>
          </w:tcPr>
          <w:p w14:paraId="1B3624D5"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Investments classified as marketable securities</w:t>
            </w:r>
          </w:p>
        </w:tc>
        <w:tc>
          <w:tcPr>
            <w:tcW w:w="83" w:type="pct"/>
            <w:shd w:val="clear" w:color="auto" w:fill="FFFFFF"/>
            <w:tcMar>
              <w:top w:w="15" w:type="dxa"/>
              <w:left w:w="0" w:type="dxa"/>
              <w:bottom w:w="0" w:type="dxa"/>
              <w:right w:w="15" w:type="dxa"/>
            </w:tcMar>
            <w:vAlign w:val="bottom"/>
            <w:hideMark/>
          </w:tcPr>
          <w:p w14:paraId="072FC03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DECF63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6AE4A5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17,313</w:t>
            </w:r>
          </w:p>
        </w:tc>
        <w:tc>
          <w:tcPr>
            <w:tcW w:w="50" w:type="pct"/>
            <w:shd w:val="clear" w:color="auto" w:fill="FFFFFF"/>
            <w:noWrap/>
            <w:tcMar>
              <w:top w:w="15" w:type="dxa"/>
              <w:left w:w="0" w:type="dxa"/>
              <w:bottom w:w="0" w:type="dxa"/>
              <w:right w:w="15" w:type="dxa"/>
            </w:tcMar>
            <w:vAlign w:val="bottom"/>
            <w:hideMark/>
          </w:tcPr>
          <w:p w14:paraId="376795F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1BF1302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ED1E31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5020B2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45,641</w:t>
            </w:r>
          </w:p>
        </w:tc>
        <w:tc>
          <w:tcPr>
            <w:tcW w:w="50" w:type="pct"/>
            <w:shd w:val="clear" w:color="auto" w:fill="FFFFFF"/>
            <w:noWrap/>
            <w:tcMar>
              <w:top w:w="15" w:type="dxa"/>
              <w:left w:w="0" w:type="dxa"/>
              <w:bottom w:w="0" w:type="dxa"/>
              <w:right w:w="15" w:type="dxa"/>
            </w:tcMar>
            <w:vAlign w:val="bottom"/>
            <w:hideMark/>
          </w:tcPr>
          <w:p w14:paraId="5A71AAAF"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817DE3C" w14:textId="77777777" w:rsidR="00251D72" w:rsidRDefault="00251D72">
      <w:pPr>
        <w:pStyle w:val="a3"/>
        <w:spacing w:before="0" w:beforeAutospacing="0" w:after="0" w:afterAutospacing="0"/>
        <w:rPr>
          <w:sz w:val="12"/>
          <w:szCs w:val="12"/>
        </w:rPr>
      </w:pPr>
      <w:r>
        <w:rPr>
          <w:sz w:val="12"/>
          <w:szCs w:val="12"/>
        </w:rPr>
        <w:t> </w:t>
      </w:r>
    </w:p>
    <w:p w14:paraId="16B56AC2"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As of May 31, 2019 and 2018, approximately 33% and 26%, respectively, of our marketable securities investments mature within one year and 67% and 74%, respectively, mature within one to four years. Our investment portfolio is subject to market risk due to changes in interest rates. As described above, we limit purchases of marketable debt securities to investment-grade securities, which have high credit ratings and also limit the amount of credit exposure to any one issuer. As stated in our investment policy, we are averse to principal loss and seek to preserve our invested funds by limiting default risk and market risk.</w:t>
      </w:r>
    </w:p>
    <w:p w14:paraId="48CD487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Restricted cash that was included within cash and cash equivalents as presented within our consolidated balance sheets as of May 31, 2019 and 2018 and our consolidated statements of cash flows for the years ended May 31, 2019, 2018 and 2017 was nominal.</w:t>
      </w:r>
    </w:p>
    <w:p w14:paraId="06624C6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87</w:t>
      </w:r>
    </w:p>
    <w:p w14:paraId="041A14B1" w14:textId="77777777" w:rsidR="00251D72" w:rsidRDefault="00251D72">
      <w:pPr>
        <w:rPr>
          <w:rFonts w:ascii="Times New Roman" w:eastAsia="Times New Roman" w:hAnsi="Times New Roman" w:cs="Times New Roman"/>
          <w:sz w:val="24"/>
          <w:szCs w:val="24"/>
        </w:rPr>
      </w:pPr>
      <w:r>
        <w:rPr>
          <w:rFonts w:eastAsia="Times New Roman"/>
        </w:rPr>
        <w:pict w14:anchorId="3F8B13CB">
          <v:rect id="_x0000_i1113" style="width:415.3pt;height:1.5pt" o:hralign="center" o:hrstd="t" o:hr="t" fillcolor="#a0a0a0" stroked="f"/>
        </w:pict>
      </w:r>
    </w:p>
    <w:p w14:paraId="779874C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EC51C7C"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AE29664"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41B04FE5"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23F5EEAB"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2CD1CDDF" w14:textId="77777777" w:rsidR="00251D72" w:rsidRDefault="00251D7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251D72" w14:paraId="2CDE8F26" w14:textId="77777777">
        <w:tc>
          <w:tcPr>
            <w:tcW w:w="262" w:type="pct"/>
            <w:noWrap/>
            <w:hideMark/>
          </w:tcPr>
          <w:p w14:paraId="07D39CE3" w14:textId="77777777" w:rsidR="00251D72" w:rsidRDefault="00251D72">
            <w:pPr>
              <w:pStyle w:val="a3"/>
              <w:spacing w:before="240" w:beforeAutospacing="0" w:after="0" w:afterAutospacing="0"/>
              <w:rPr>
                <w:rFonts w:ascii="Calibri" w:hAnsi="Calibri" w:cs="Calibri"/>
                <w:b/>
                <w:bCs/>
                <w:color w:val="000000"/>
                <w:sz w:val="20"/>
                <w:szCs w:val="20"/>
              </w:rPr>
            </w:pPr>
            <w:r>
              <w:rPr>
                <w:rFonts w:ascii="Calibri" w:hAnsi="Calibri" w:cs="Calibri"/>
                <w:b/>
                <w:bCs/>
                <w:color w:val="000000"/>
                <w:sz w:val="20"/>
                <w:szCs w:val="20"/>
              </w:rPr>
              <w:t>4.</w:t>
            </w:r>
          </w:p>
        </w:tc>
        <w:tc>
          <w:tcPr>
            <w:tcW w:w="0" w:type="auto"/>
            <w:hideMark/>
          </w:tcPr>
          <w:p w14:paraId="5C365EC5" w14:textId="77777777" w:rsidR="00251D72" w:rsidRDefault="00251D72">
            <w:pPr>
              <w:pStyle w:val="a3"/>
              <w:spacing w:before="240" w:beforeAutospacing="0" w:after="0" w:afterAutospacing="0"/>
              <w:rPr>
                <w:rFonts w:ascii="Calibri" w:hAnsi="Calibri" w:cs="Calibri"/>
                <w:b/>
                <w:bCs/>
                <w:color w:val="000000"/>
                <w:sz w:val="20"/>
                <w:szCs w:val="20"/>
              </w:rPr>
            </w:pPr>
            <w:bookmarkStart w:id="127" w:name="_AEIOULastRenderedPageBreakAEIOU90"/>
            <w:bookmarkEnd w:id="127"/>
            <w:r>
              <w:rPr>
                <w:rFonts w:ascii="Calibri" w:hAnsi="Calibri" w:cs="Calibri"/>
                <w:b/>
                <w:bCs/>
                <w:color w:val="000000"/>
                <w:sz w:val="20"/>
                <w:szCs w:val="20"/>
              </w:rPr>
              <w:t xml:space="preserve">FAIR VALUE MEASUREMENTS </w:t>
            </w:r>
          </w:p>
        </w:tc>
      </w:tr>
    </w:tbl>
    <w:p w14:paraId="712667A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perform fair value measurements in accordance with ASC 820. ASC 820 defines fair value as the price that would be received from selling an asset or paid to transfer a liability in an orderly transaction between market participants at the measurement date. When determining the fair value measurements for assets and liabilities required to be recorded at their fair values, we consider the principal or most advantageous market in which we would transact and consider assumptions that market participants would use when pricing the assets or liabilities, such as inherent risk, transfer restrictions and risk of nonperformance. </w:t>
      </w:r>
    </w:p>
    <w:p w14:paraId="6962D95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ASC 820 establishes a fair value hierarchy that requires an entity to maximize the use of observable inputs and minimize the use of unobservable inputs when measuring fair value. An asset’s or a liability’s categorization within the fair value hierarchy is based upon the lowest level of input that is significant to the fair value measurement. ASC 820 establishes three levels of inputs that may be used to measure fair value: </w:t>
      </w: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CD073B0" w14:textId="77777777">
        <w:tc>
          <w:tcPr>
            <w:tcW w:w="262" w:type="pct"/>
            <w:noWrap/>
            <w:hideMark/>
          </w:tcPr>
          <w:p w14:paraId="1037D11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485C4E72"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183A3A0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Level 1: quoted prices in active markets for identical assets or liabilities;</w:t>
            </w:r>
          </w:p>
        </w:tc>
      </w:tr>
    </w:tbl>
    <w:p w14:paraId="33F2DE50"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0A65046E" w14:textId="77777777">
        <w:tc>
          <w:tcPr>
            <w:tcW w:w="262" w:type="pct"/>
            <w:noWrap/>
            <w:hideMark/>
          </w:tcPr>
          <w:p w14:paraId="07475F75"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5825CE6A"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D6C9A37"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 xml:space="preserve">Level 2: inputs other than Level 1 that are observable, either directly or indirectly, such as quoted prices in active markets for similar assets or liabilities, quoted prices for identical or similar assets or liabilities in markets that are not active, or other inputs that are observable or can be corroborated by observable market data for substantially the full term of the assets or liabilities; or </w:t>
            </w:r>
          </w:p>
        </w:tc>
      </w:tr>
    </w:tbl>
    <w:p w14:paraId="6067984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251D72" w14:paraId="52157EC5" w14:textId="77777777">
        <w:tc>
          <w:tcPr>
            <w:tcW w:w="262" w:type="pct"/>
            <w:noWrap/>
            <w:hideMark/>
          </w:tcPr>
          <w:p w14:paraId="014984A2" w14:textId="77777777" w:rsidR="00251D72" w:rsidRDefault="00251D72">
            <w:pPr>
              <w:pStyle w:val="a3"/>
              <w:spacing w:before="120" w:beforeAutospacing="0" w:after="0" w:afterAutospacing="0"/>
              <w:jc w:val="both"/>
              <w:rPr>
                <w:sz w:val="20"/>
                <w:szCs w:val="20"/>
              </w:rPr>
            </w:pPr>
            <w:r>
              <w:rPr>
                <w:sz w:val="20"/>
                <w:szCs w:val="20"/>
              </w:rPr>
              <w:t> </w:t>
            </w:r>
          </w:p>
        </w:tc>
        <w:tc>
          <w:tcPr>
            <w:tcW w:w="131" w:type="pct"/>
            <w:noWrap/>
            <w:hideMark/>
          </w:tcPr>
          <w:p w14:paraId="7C71EE19"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39C83E94"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Level 3: unobservable inputs that are supported by little or no market activity and that are significant to the fair values of the assets or liabilities.</w:t>
            </w:r>
          </w:p>
        </w:tc>
      </w:tr>
    </w:tbl>
    <w:p w14:paraId="1DAD1E97" w14:textId="77777777" w:rsidR="00251D72" w:rsidRDefault="00251D72">
      <w:pPr>
        <w:pStyle w:val="a3"/>
        <w:spacing w:before="240" w:beforeAutospacing="0" w:after="0" w:afterAutospacing="0"/>
        <w:rPr>
          <w:rFonts w:ascii="Calibri" w:hAnsi="Calibri" w:cs="Calibri"/>
          <w:b/>
          <w:bCs/>
          <w:sz w:val="20"/>
          <w:szCs w:val="20"/>
        </w:rPr>
      </w:pPr>
      <w:r>
        <w:rPr>
          <w:rFonts w:ascii="Calibri" w:hAnsi="Calibri" w:cs="Calibri"/>
          <w:b/>
          <w:bCs/>
          <w:sz w:val="20"/>
          <w:szCs w:val="20"/>
        </w:rPr>
        <w:t>Assets and Liabilities Measured at Fair Value on a Recurring Basis</w:t>
      </w:r>
    </w:p>
    <w:p w14:paraId="157B443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assets and liabilities measured at fair value on a recurring basis, excluding accrued interest components, consisted of the following (Level 1 and Level 2 inputs are defined above): </w:t>
      </w:r>
    </w:p>
    <w:p w14:paraId="34F50F7B"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3032"/>
        <w:gridCol w:w="61"/>
        <w:gridCol w:w="118"/>
        <w:gridCol w:w="637"/>
        <w:gridCol w:w="85"/>
        <w:gridCol w:w="85"/>
        <w:gridCol w:w="117"/>
        <w:gridCol w:w="636"/>
        <w:gridCol w:w="61"/>
        <w:gridCol w:w="61"/>
        <w:gridCol w:w="117"/>
        <w:gridCol w:w="597"/>
        <w:gridCol w:w="61"/>
        <w:gridCol w:w="61"/>
        <w:gridCol w:w="118"/>
        <w:gridCol w:w="637"/>
        <w:gridCol w:w="85"/>
        <w:gridCol w:w="85"/>
        <w:gridCol w:w="117"/>
        <w:gridCol w:w="636"/>
        <w:gridCol w:w="61"/>
        <w:gridCol w:w="61"/>
        <w:gridCol w:w="117"/>
        <w:gridCol w:w="599"/>
        <w:gridCol w:w="61"/>
      </w:tblGrid>
      <w:tr w:rsidR="00251D72" w14:paraId="01A8B6F0" w14:textId="77777777">
        <w:trPr>
          <w:divId w:val="488712035"/>
          <w:jc w:val="center"/>
        </w:trPr>
        <w:tc>
          <w:tcPr>
            <w:tcW w:w="1839" w:type="pct"/>
            <w:shd w:val="clear" w:color="auto" w:fill="FFFFFF"/>
            <w:tcMar>
              <w:top w:w="15" w:type="dxa"/>
              <w:left w:w="0" w:type="dxa"/>
              <w:bottom w:w="0" w:type="dxa"/>
              <w:right w:w="15" w:type="dxa"/>
            </w:tcMar>
            <w:vAlign w:val="bottom"/>
            <w:hideMark/>
          </w:tcPr>
          <w:p w14:paraId="385FB42E" w14:textId="77777777" w:rsidR="00251D72" w:rsidRDefault="00251D72">
            <w:pPr>
              <w:pStyle w:val="a3"/>
              <w:spacing w:before="0" w:beforeAutospacing="0" w:after="0" w:afterAutospacing="0"/>
              <w:jc w:val="center"/>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4A90220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479" w:type="pct"/>
            <w:gridSpan w:val="10"/>
            <w:tcBorders>
              <w:bottom w:val="single" w:sz="6" w:space="0" w:color="000000"/>
            </w:tcBorders>
            <w:shd w:val="clear" w:color="auto" w:fill="FFFFFF"/>
            <w:tcMar>
              <w:top w:w="15" w:type="dxa"/>
              <w:left w:w="0" w:type="dxa"/>
              <w:bottom w:w="0" w:type="dxa"/>
              <w:right w:w="15" w:type="dxa"/>
            </w:tcMar>
            <w:vAlign w:val="bottom"/>
            <w:hideMark/>
          </w:tcPr>
          <w:p w14:paraId="16762DC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 2019</w:t>
            </w:r>
          </w:p>
        </w:tc>
        <w:tc>
          <w:tcPr>
            <w:tcW w:w="50" w:type="pct"/>
            <w:shd w:val="clear" w:color="auto" w:fill="FFFFFF"/>
            <w:noWrap/>
            <w:tcMar>
              <w:top w:w="15" w:type="dxa"/>
              <w:left w:w="0" w:type="dxa"/>
              <w:bottom w:w="0" w:type="dxa"/>
              <w:right w:w="15" w:type="dxa"/>
            </w:tcMar>
            <w:vAlign w:val="bottom"/>
            <w:hideMark/>
          </w:tcPr>
          <w:p w14:paraId="4EC7E15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651CDEE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479" w:type="pct"/>
            <w:gridSpan w:val="10"/>
            <w:tcBorders>
              <w:bottom w:val="single" w:sz="6" w:space="0" w:color="000000"/>
            </w:tcBorders>
            <w:shd w:val="clear" w:color="auto" w:fill="FFFFFF"/>
            <w:tcMar>
              <w:top w:w="15" w:type="dxa"/>
              <w:left w:w="0" w:type="dxa"/>
              <w:bottom w:w="0" w:type="dxa"/>
              <w:right w:w="15" w:type="dxa"/>
            </w:tcMar>
            <w:vAlign w:val="bottom"/>
            <w:hideMark/>
          </w:tcPr>
          <w:p w14:paraId="1FA15B3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 2018</w:t>
            </w:r>
          </w:p>
        </w:tc>
        <w:tc>
          <w:tcPr>
            <w:tcW w:w="50" w:type="pct"/>
            <w:shd w:val="clear" w:color="auto" w:fill="FFFFFF"/>
            <w:noWrap/>
            <w:tcMar>
              <w:top w:w="15" w:type="dxa"/>
              <w:left w:w="0" w:type="dxa"/>
              <w:bottom w:w="0" w:type="dxa"/>
              <w:right w:w="15" w:type="dxa"/>
            </w:tcMar>
            <w:vAlign w:val="bottom"/>
            <w:hideMark/>
          </w:tcPr>
          <w:p w14:paraId="0C35A93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668B7BE" w14:textId="77777777">
        <w:trPr>
          <w:divId w:val="488712035"/>
          <w:jc w:val="center"/>
        </w:trPr>
        <w:tc>
          <w:tcPr>
            <w:tcW w:w="1839" w:type="pct"/>
            <w:shd w:val="clear" w:color="auto" w:fill="FFFFFF"/>
            <w:tcMar>
              <w:top w:w="15" w:type="dxa"/>
              <w:left w:w="0" w:type="dxa"/>
              <w:bottom w:w="0" w:type="dxa"/>
              <w:right w:w="15" w:type="dxa"/>
            </w:tcMar>
            <w:vAlign w:val="bottom"/>
            <w:hideMark/>
          </w:tcPr>
          <w:p w14:paraId="407ECB8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5B522E8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52"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CF5FA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0095AAD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left w:w="0" w:type="dxa"/>
              <w:bottom w:w="0" w:type="dxa"/>
              <w:right w:w="15" w:type="dxa"/>
            </w:tcMar>
            <w:vAlign w:val="bottom"/>
            <w:hideMark/>
          </w:tcPr>
          <w:p w14:paraId="08C7C8D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73714FB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D0C739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6" w:type="pct"/>
            <w:tcBorders>
              <w:top w:val="single" w:sz="6" w:space="0" w:color="000000"/>
            </w:tcBorders>
            <w:shd w:val="clear" w:color="auto" w:fill="FFFFFF"/>
            <w:noWrap/>
            <w:tcMar>
              <w:top w:w="15" w:type="dxa"/>
              <w:left w:w="0" w:type="dxa"/>
              <w:bottom w:w="0" w:type="dxa"/>
              <w:right w:w="15" w:type="dxa"/>
            </w:tcMar>
            <w:vAlign w:val="bottom"/>
            <w:hideMark/>
          </w:tcPr>
          <w:p w14:paraId="41BA4D9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33F00A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4309EBD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52"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A9DF7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05EEA6D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left w:w="0" w:type="dxa"/>
              <w:bottom w:w="0" w:type="dxa"/>
              <w:right w:w="15" w:type="dxa"/>
            </w:tcMar>
            <w:vAlign w:val="bottom"/>
            <w:hideMark/>
          </w:tcPr>
          <w:p w14:paraId="2F8301B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4FE47B4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B5A316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6" w:type="pct"/>
            <w:tcBorders>
              <w:top w:val="single" w:sz="6" w:space="0" w:color="000000"/>
            </w:tcBorders>
            <w:shd w:val="clear" w:color="auto" w:fill="FFFFFF"/>
            <w:noWrap/>
            <w:tcMar>
              <w:top w:w="15" w:type="dxa"/>
              <w:left w:w="0" w:type="dxa"/>
              <w:bottom w:w="0" w:type="dxa"/>
              <w:right w:w="15" w:type="dxa"/>
            </w:tcMar>
            <w:vAlign w:val="bottom"/>
            <w:hideMark/>
          </w:tcPr>
          <w:p w14:paraId="1E270C4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5B0DAB1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DE45CF3" w14:textId="77777777">
        <w:trPr>
          <w:divId w:val="488712035"/>
          <w:jc w:val="center"/>
        </w:trPr>
        <w:tc>
          <w:tcPr>
            <w:tcW w:w="1839" w:type="pct"/>
            <w:tcBorders>
              <w:bottom w:val="single" w:sz="6" w:space="0" w:color="000000"/>
            </w:tcBorders>
            <w:shd w:val="clear" w:color="auto" w:fill="FFFFFF"/>
            <w:tcMar>
              <w:top w:w="15" w:type="dxa"/>
              <w:left w:w="0" w:type="dxa"/>
              <w:bottom w:w="0" w:type="dxa"/>
              <w:right w:w="15" w:type="dxa"/>
            </w:tcMar>
            <w:vAlign w:val="bottom"/>
            <w:hideMark/>
          </w:tcPr>
          <w:p w14:paraId="6A5DC49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left w:w="0" w:type="dxa"/>
              <w:bottom w:w="0" w:type="dxa"/>
              <w:right w:w="15" w:type="dxa"/>
            </w:tcMar>
            <w:vAlign w:val="bottom"/>
            <w:hideMark/>
          </w:tcPr>
          <w:p w14:paraId="2A4AF8F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3F0DF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left w:w="0" w:type="dxa"/>
              <w:bottom w:w="0" w:type="dxa"/>
              <w:right w:w="15" w:type="dxa"/>
            </w:tcMar>
            <w:vAlign w:val="bottom"/>
            <w:hideMark/>
          </w:tcPr>
          <w:p w14:paraId="23070FC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60F4F95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0F6E3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left w:w="0" w:type="dxa"/>
              <w:bottom w:w="0" w:type="dxa"/>
              <w:right w:w="15" w:type="dxa"/>
            </w:tcMar>
            <w:vAlign w:val="bottom"/>
            <w:hideMark/>
          </w:tcPr>
          <w:p w14:paraId="38039FA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7E11811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left w:w="0" w:type="dxa"/>
              <w:bottom w:w="0" w:type="dxa"/>
              <w:right w:w="15" w:type="dxa"/>
            </w:tcMar>
            <w:vAlign w:val="bottom"/>
            <w:hideMark/>
          </w:tcPr>
          <w:p w14:paraId="0091657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left w:w="0" w:type="dxa"/>
              <w:bottom w:w="0" w:type="dxa"/>
              <w:right w:w="15" w:type="dxa"/>
            </w:tcMar>
            <w:vAlign w:val="bottom"/>
            <w:hideMark/>
          </w:tcPr>
          <w:p w14:paraId="64EF06B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40E1449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113D4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left w:w="0" w:type="dxa"/>
              <w:bottom w:w="0" w:type="dxa"/>
              <w:right w:w="15" w:type="dxa"/>
            </w:tcMar>
            <w:vAlign w:val="bottom"/>
            <w:hideMark/>
          </w:tcPr>
          <w:p w14:paraId="3969BB1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283C495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D54C9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left w:w="0" w:type="dxa"/>
              <w:bottom w:w="0" w:type="dxa"/>
              <w:right w:w="15" w:type="dxa"/>
            </w:tcMar>
            <w:vAlign w:val="bottom"/>
            <w:hideMark/>
          </w:tcPr>
          <w:p w14:paraId="30E918F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796FDE8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left w:w="0" w:type="dxa"/>
              <w:bottom w:w="0" w:type="dxa"/>
              <w:right w:w="15" w:type="dxa"/>
            </w:tcMar>
            <w:vAlign w:val="bottom"/>
            <w:hideMark/>
          </w:tcPr>
          <w:p w14:paraId="53B995B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left w:w="0" w:type="dxa"/>
              <w:bottom w:w="0" w:type="dxa"/>
              <w:right w:w="15" w:type="dxa"/>
            </w:tcMar>
            <w:vAlign w:val="bottom"/>
            <w:hideMark/>
          </w:tcPr>
          <w:p w14:paraId="11B2A80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DF280A9" w14:textId="77777777">
        <w:trPr>
          <w:divId w:val="488712035"/>
          <w:jc w:val="center"/>
        </w:trPr>
        <w:tc>
          <w:tcPr>
            <w:tcW w:w="1839" w:type="pct"/>
            <w:tcBorders>
              <w:top w:val="single" w:sz="6" w:space="0" w:color="000000"/>
            </w:tcBorders>
            <w:shd w:val="clear" w:color="auto" w:fill="CFF0FC"/>
            <w:tcMar>
              <w:top w:w="15" w:type="dxa"/>
              <w:left w:w="0" w:type="dxa"/>
              <w:bottom w:w="0" w:type="dxa"/>
              <w:right w:w="15" w:type="dxa"/>
            </w:tcMar>
            <w:hideMark/>
          </w:tcPr>
          <w:p w14:paraId="0CCE924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Assets:</w:t>
            </w:r>
          </w:p>
        </w:tc>
        <w:tc>
          <w:tcPr>
            <w:tcW w:w="50" w:type="pct"/>
            <w:shd w:val="clear" w:color="auto" w:fill="CFF0FC"/>
            <w:tcMar>
              <w:top w:w="15" w:type="dxa"/>
              <w:left w:w="0" w:type="dxa"/>
              <w:bottom w:w="0" w:type="dxa"/>
              <w:right w:w="15" w:type="dxa"/>
            </w:tcMar>
            <w:vAlign w:val="bottom"/>
            <w:hideMark/>
          </w:tcPr>
          <w:p w14:paraId="6BCF340A"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70C59F3"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6" w:type="pct"/>
            <w:tcBorders>
              <w:top w:val="single" w:sz="6" w:space="0" w:color="000000"/>
            </w:tcBorders>
            <w:shd w:val="clear" w:color="auto" w:fill="CFF0FC"/>
            <w:noWrap/>
            <w:tcMar>
              <w:top w:w="15" w:type="dxa"/>
              <w:left w:w="0" w:type="dxa"/>
              <w:bottom w:w="0" w:type="dxa"/>
              <w:right w:w="15" w:type="dxa"/>
            </w:tcMar>
            <w:vAlign w:val="bottom"/>
            <w:hideMark/>
          </w:tcPr>
          <w:p w14:paraId="7FE36B8E" w14:textId="77777777" w:rsidR="00251D72" w:rsidRDefault="00251D72">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A23433"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left w:w="0" w:type="dxa"/>
              <w:bottom w:w="0" w:type="dxa"/>
              <w:right w:w="15" w:type="dxa"/>
            </w:tcMar>
            <w:vAlign w:val="bottom"/>
            <w:hideMark/>
          </w:tcPr>
          <w:p w14:paraId="33B96E0E"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BBFEDA5"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6" w:type="pct"/>
            <w:tcBorders>
              <w:top w:val="single" w:sz="6" w:space="0" w:color="000000"/>
            </w:tcBorders>
            <w:shd w:val="clear" w:color="auto" w:fill="CFF0FC"/>
            <w:noWrap/>
            <w:tcMar>
              <w:top w:w="15" w:type="dxa"/>
              <w:left w:w="0" w:type="dxa"/>
              <w:bottom w:w="0" w:type="dxa"/>
              <w:right w:w="15" w:type="dxa"/>
            </w:tcMar>
            <w:vAlign w:val="bottom"/>
            <w:hideMark/>
          </w:tcPr>
          <w:p w14:paraId="3D0CB59F" w14:textId="77777777" w:rsidR="00251D72" w:rsidRDefault="00251D72">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A07725"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left w:w="0" w:type="dxa"/>
              <w:bottom w:w="0" w:type="dxa"/>
              <w:right w:w="15" w:type="dxa"/>
            </w:tcMar>
            <w:vAlign w:val="bottom"/>
            <w:hideMark/>
          </w:tcPr>
          <w:p w14:paraId="46078CE0"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B43D53"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6" w:type="pct"/>
            <w:tcBorders>
              <w:top w:val="single" w:sz="6" w:space="0" w:color="000000"/>
            </w:tcBorders>
            <w:shd w:val="clear" w:color="auto" w:fill="CFF0FC"/>
            <w:noWrap/>
            <w:tcMar>
              <w:top w:w="15" w:type="dxa"/>
              <w:left w:w="0" w:type="dxa"/>
              <w:bottom w:w="0" w:type="dxa"/>
              <w:right w:w="15" w:type="dxa"/>
            </w:tcMar>
            <w:vAlign w:val="bottom"/>
            <w:hideMark/>
          </w:tcPr>
          <w:p w14:paraId="5FA16BB9" w14:textId="77777777" w:rsidR="00251D72" w:rsidRDefault="00251D72">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AE787D"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left w:w="0" w:type="dxa"/>
              <w:bottom w:w="0" w:type="dxa"/>
              <w:right w:w="15" w:type="dxa"/>
            </w:tcMar>
            <w:vAlign w:val="bottom"/>
            <w:hideMark/>
          </w:tcPr>
          <w:p w14:paraId="16513CE9"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9A86E5"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6" w:type="pct"/>
            <w:tcBorders>
              <w:top w:val="single" w:sz="6" w:space="0" w:color="000000"/>
            </w:tcBorders>
            <w:shd w:val="clear" w:color="auto" w:fill="CFF0FC"/>
            <w:noWrap/>
            <w:tcMar>
              <w:top w:w="15" w:type="dxa"/>
              <w:left w:w="0" w:type="dxa"/>
              <w:bottom w:w="0" w:type="dxa"/>
              <w:right w:w="15" w:type="dxa"/>
            </w:tcMar>
            <w:vAlign w:val="bottom"/>
            <w:hideMark/>
          </w:tcPr>
          <w:p w14:paraId="5435C746" w14:textId="77777777" w:rsidR="00251D72" w:rsidRDefault="00251D72">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2A983B"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left w:w="0" w:type="dxa"/>
              <w:bottom w:w="0" w:type="dxa"/>
              <w:right w:w="15" w:type="dxa"/>
            </w:tcMar>
            <w:vAlign w:val="bottom"/>
            <w:hideMark/>
          </w:tcPr>
          <w:p w14:paraId="331ED412"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BA78B3"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6" w:type="pct"/>
            <w:tcBorders>
              <w:top w:val="single" w:sz="6" w:space="0" w:color="000000"/>
            </w:tcBorders>
            <w:shd w:val="clear" w:color="auto" w:fill="CFF0FC"/>
            <w:noWrap/>
            <w:tcMar>
              <w:top w:w="15" w:type="dxa"/>
              <w:left w:w="0" w:type="dxa"/>
              <w:bottom w:w="0" w:type="dxa"/>
              <w:right w:w="15" w:type="dxa"/>
            </w:tcMar>
            <w:vAlign w:val="bottom"/>
            <w:hideMark/>
          </w:tcPr>
          <w:p w14:paraId="4CB553C7" w14:textId="77777777" w:rsidR="00251D72" w:rsidRDefault="00251D72">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5BD095"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tcMar>
              <w:top w:w="15" w:type="dxa"/>
              <w:left w:w="0" w:type="dxa"/>
              <w:bottom w:w="0" w:type="dxa"/>
              <w:right w:w="15" w:type="dxa"/>
            </w:tcMar>
            <w:vAlign w:val="bottom"/>
            <w:hideMark/>
          </w:tcPr>
          <w:p w14:paraId="545DD56B"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ED15C4A"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6" w:type="pct"/>
            <w:tcBorders>
              <w:top w:val="single" w:sz="6" w:space="0" w:color="000000"/>
            </w:tcBorders>
            <w:shd w:val="clear" w:color="auto" w:fill="CFF0FC"/>
            <w:noWrap/>
            <w:tcMar>
              <w:top w:w="15" w:type="dxa"/>
              <w:left w:w="0" w:type="dxa"/>
              <w:bottom w:w="0" w:type="dxa"/>
              <w:right w:w="15" w:type="dxa"/>
            </w:tcMar>
            <w:vAlign w:val="bottom"/>
            <w:hideMark/>
          </w:tcPr>
          <w:p w14:paraId="30CE445F" w14:textId="77777777" w:rsidR="00251D72" w:rsidRDefault="00251D72">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21C0E8" w14:textId="77777777" w:rsidR="00251D72" w:rsidRDefault="00251D72">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r>
      <w:tr w:rsidR="00251D72" w14:paraId="3FE3E252" w14:textId="77777777">
        <w:trPr>
          <w:divId w:val="488712035"/>
          <w:jc w:val="center"/>
        </w:trPr>
        <w:tc>
          <w:tcPr>
            <w:tcW w:w="1839" w:type="pct"/>
            <w:shd w:val="clear" w:color="auto" w:fill="FFFFFF"/>
            <w:tcMar>
              <w:top w:w="15" w:type="dxa"/>
              <w:left w:w="0" w:type="dxa"/>
              <w:bottom w:w="0" w:type="dxa"/>
              <w:right w:w="15" w:type="dxa"/>
            </w:tcMar>
            <w:hideMark/>
          </w:tcPr>
          <w:p w14:paraId="6B3EC150" w14:textId="77777777" w:rsidR="00251D72" w:rsidRDefault="00251D72">
            <w:pPr>
              <w:pStyle w:val="a3"/>
              <w:spacing w:before="0" w:beforeAutospacing="0" w:after="0" w:afterAutospacing="0"/>
              <w:ind w:left="547" w:hanging="144"/>
              <w:rPr>
                <w:rFonts w:ascii="Calibri" w:hAnsi="Calibri" w:cs="Calibri"/>
                <w:color w:val="000000"/>
                <w:sz w:val="20"/>
                <w:szCs w:val="20"/>
              </w:rPr>
            </w:pPr>
            <w:r>
              <w:rPr>
                <w:rFonts w:ascii="Calibri" w:hAnsi="Calibri" w:cs="Calibri"/>
                <w:color w:val="000000"/>
                <w:sz w:val="20"/>
                <w:szCs w:val="20"/>
              </w:rPr>
              <w:t>Corporate debt securities and other</w:t>
            </w:r>
          </w:p>
        </w:tc>
        <w:tc>
          <w:tcPr>
            <w:tcW w:w="50" w:type="pct"/>
            <w:shd w:val="clear" w:color="auto" w:fill="FFFFFF"/>
            <w:tcMar>
              <w:top w:w="15" w:type="dxa"/>
              <w:left w:w="0" w:type="dxa"/>
              <w:bottom w:w="0" w:type="dxa"/>
              <w:right w:w="15" w:type="dxa"/>
            </w:tcMar>
            <w:vAlign w:val="bottom"/>
            <w:hideMark/>
          </w:tcPr>
          <w:p w14:paraId="618B05C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6AB7D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shd w:val="clear" w:color="auto" w:fill="FFFFFF"/>
            <w:noWrap/>
            <w:tcMar>
              <w:top w:w="15" w:type="dxa"/>
              <w:left w:w="0" w:type="dxa"/>
              <w:bottom w:w="0" w:type="dxa"/>
              <w:right w:w="15" w:type="dxa"/>
            </w:tcMar>
            <w:vAlign w:val="bottom"/>
            <w:hideMark/>
          </w:tcPr>
          <w:p w14:paraId="721B33D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4,899</w:t>
            </w:r>
          </w:p>
        </w:tc>
        <w:tc>
          <w:tcPr>
            <w:tcW w:w="50" w:type="pct"/>
            <w:shd w:val="clear" w:color="auto" w:fill="FFFFFF"/>
            <w:noWrap/>
            <w:tcMar>
              <w:top w:w="15" w:type="dxa"/>
              <w:left w:w="0" w:type="dxa"/>
              <w:bottom w:w="0" w:type="dxa"/>
              <w:right w:w="15" w:type="dxa"/>
            </w:tcMar>
            <w:vAlign w:val="bottom"/>
            <w:hideMark/>
          </w:tcPr>
          <w:p w14:paraId="18A12B5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7A0910F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DC6B1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shd w:val="clear" w:color="auto" w:fill="FFFFFF"/>
            <w:noWrap/>
            <w:tcMar>
              <w:top w:w="15" w:type="dxa"/>
              <w:left w:w="0" w:type="dxa"/>
              <w:bottom w:w="0" w:type="dxa"/>
              <w:right w:w="15" w:type="dxa"/>
            </w:tcMar>
            <w:vAlign w:val="bottom"/>
            <w:hideMark/>
          </w:tcPr>
          <w:p w14:paraId="4B05DE6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17,343</w:t>
            </w:r>
          </w:p>
        </w:tc>
        <w:tc>
          <w:tcPr>
            <w:tcW w:w="50" w:type="pct"/>
            <w:shd w:val="clear" w:color="auto" w:fill="FFFFFF"/>
            <w:noWrap/>
            <w:tcMar>
              <w:top w:w="15" w:type="dxa"/>
              <w:left w:w="0" w:type="dxa"/>
              <w:bottom w:w="0" w:type="dxa"/>
              <w:right w:w="15" w:type="dxa"/>
            </w:tcMar>
            <w:vAlign w:val="bottom"/>
            <w:hideMark/>
          </w:tcPr>
          <w:p w14:paraId="3B32B9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2402CB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49889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shd w:val="clear" w:color="auto" w:fill="FFFFFF"/>
            <w:noWrap/>
            <w:tcMar>
              <w:top w:w="15" w:type="dxa"/>
              <w:left w:w="0" w:type="dxa"/>
              <w:bottom w:w="0" w:type="dxa"/>
              <w:right w:w="15" w:type="dxa"/>
            </w:tcMar>
            <w:vAlign w:val="bottom"/>
            <w:hideMark/>
          </w:tcPr>
          <w:p w14:paraId="120A0B2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22,242</w:t>
            </w:r>
          </w:p>
        </w:tc>
        <w:tc>
          <w:tcPr>
            <w:tcW w:w="50" w:type="pct"/>
            <w:shd w:val="clear" w:color="auto" w:fill="FFFFFF"/>
            <w:noWrap/>
            <w:tcMar>
              <w:top w:w="15" w:type="dxa"/>
              <w:left w:w="0" w:type="dxa"/>
              <w:bottom w:w="0" w:type="dxa"/>
              <w:right w:w="15" w:type="dxa"/>
            </w:tcMar>
            <w:vAlign w:val="bottom"/>
            <w:hideMark/>
          </w:tcPr>
          <w:p w14:paraId="265AD28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054A519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28E69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shd w:val="clear" w:color="auto" w:fill="FFFFFF"/>
            <w:noWrap/>
            <w:tcMar>
              <w:top w:w="15" w:type="dxa"/>
              <w:left w:w="0" w:type="dxa"/>
              <w:bottom w:w="0" w:type="dxa"/>
              <w:right w:w="15" w:type="dxa"/>
            </w:tcMar>
            <w:vAlign w:val="bottom"/>
            <w:hideMark/>
          </w:tcPr>
          <w:p w14:paraId="2F224B4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223</w:t>
            </w:r>
          </w:p>
        </w:tc>
        <w:tc>
          <w:tcPr>
            <w:tcW w:w="50" w:type="pct"/>
            <w:shd w:val="clear" w:color="auto" w:fill="FFFFFF"/>
            <w:noWrap/>
            <w:tcMar>
              <w:top w:w="15" w:type="dxa"/>
              <w:left w:w="0" w:type="dxa"/>
              <w:bottom w:w="0" w:type="dxa"/>
              <w:right w:w="15" w:type="dxa"/>
            </w:tcMar>
            <w:vAlign w:val="bottom"/>
            <w:hideMark/>
          </w:tcPr>
          <w:p w14:paraId="51AEAD4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353A1F0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C576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shd w:val="clear" w:color="auto" w:fill="FFFFFF"/>
            <w:noWrap/>
            <w:tcMar>
              <w:top w:w="15" w:type="dxa"/>
              <w:left w:w="0" w:type="dxa"/>
              <w:bottom w:w="0" w:type="dxa"/>
              <w:right w:w="15" w:type="dxa"/>
            </w:tcMar>
            <w:vAlign w:val="bottom"/>
            <w:hideMark/>
          </w:tcPr>
          <w:p w14:paraId="5F5F413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44,079</w:t>
            </w:r>
          </w:p>
        </w:tc>
        <w:tc>
          <w:tcPr>
            <w:tcW w:w="50" w:type="pct"/>
            <w:shd w:val="clear" w:color="auto" w:fill="FFFFFF"/>
            <w:noWrap/>
            <w:tcMar>
              <w:top w:w="15" w:type="dxa"/>
              <w:left w:w="0" w:type="dxa"/>
              <w:bottom w:w="0" w:type="dxa"/>
              <w:right w:w="15" w:type="dxa"/>
            </w:tcMar>
            <w:vAlign w:val="bottom"/>
            <w:hideMark/>
          </w:tcPr>
          <w:p w14:paraId="6455064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2CDFFB2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B3346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shd w:val="clear" w:color="auto" w:fill="FFFFFF"/>
            <w:noWrap/>
            <w:tcMar>
              <w:top w:w="15" w:type="dxa"/>
              <w:left w:w="0" w:type="dxa"/>
              <w:bottom w:w="0" w:type="dxa"/>
              <w:right w:w="15" w:type="dxa"/>
            </w:tcMar>
            <w:vAlign w:val="bottom"/>
            <w:hideMark/>
          </w:tcPr>
          <w:p w14:paraId="20EE2B7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44,302</w:t>
            </w:r>
          </w:p>
        </w:tc>
        <w:tc>
          <w:tcPr>
            <w:tcW w:w="50" w:type="pct"/>
            <w:shd w:val="clear" w:color="auto" w:fill="FFFFFF"/>
            <w:noWrap/>
            <w:tcMar>
              <w:top w:w="15" w:type="dxa"/>
              <w:left w:w="0" w:type="dxa"/>
              <w:bottom w:w="0" w:type="dxa"/>
              <w:right w:w="15" w:type="dxa"/>
            </w:tcMar>
            <w:vAlign w:val="bottom"/>
            <w:hideMark/>
          </w:tcPr>
          <w:p w14:paraId="6C0611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1DA3B19" w14:textId="77777777">
        <w:trPr>
          <w:divId w:val="488712035"/>
          <w:jc w:val="center"/>
        </w:trPr>
        <w:tc>
          <w:tcPr>
            <w:tcW w:w="1839" w:type="pct"/>
            <w:shd w:val="clear" w:color="auto" w:fill="CFF0FC"/>
            <w:tcMar>
              <w:top w:w="15" w:type="dxa"/>
              <w:left w:w="0" w:type="dxa"/>
              <w:bottom w:w="0" w:type="dxa"/>
              <w:right w:w="15" w:type="dxa"/>
            </w:tcMar>
            <w:hideMark/>
          </w:tcPr>
          <w:p w14:paraId="246E291A" w14:textId="77777777" w:rsidR="00251D72" w:rsidRDefault="00251D72">
            <w:pPr>
              <w:pStyle w:val="a3"/>
              <w:spacing w:before="0" w:beforeAutospacing="0" w:after="0" w:afterAutospacing="0"/>
              <w:ind w:left="547" w:hanging="144"/>
              <w:rPr>
                <w:rFonts w:ascii="Calibri" w:hAnsi="Calibri" w:cs="Calibri"/>
                <w:color w:val="000000"/>
                <w:sz w:val="20"/>
                <w:szCs w:val="20"/>
              </w:rPr>
            </w:pPr>
            <w:r>
              <w:rPr>
                <w:rFonts w:ascii="Calibri" w:hAnsi="Calibri" w:cs="Calibri"/>
                <w:color w:val="000000"/>
                <w:sz w:val="20"/>
                <w:szCs w:val="20"/>
              </w:rPr>
              <w:t>Commercial paper debt securities</w:t>
            </w:r>
          </w:p>
        </w:tc>
        <w:tc>
          <w:tcPr>
            <w:tcW w:w="50" w:type="pct"/>
            <w:shd w:val="clear" w:color="auto" w:fill="CFF0FC"/>
            <w:tcMar>
              <w:top w:w="15" w:type="dxa"/>
              <w:left w:w="0" w:type="dxa"/>
              <w:bottom w:w="0" w:type="dxa"/>
              <w:right w:w="15" w:type="dxa"/>
            </w:tcMar>
            <w:vAlign w:val="bottom"/>
            <w:hideMark/>
          </w:tcPr>
          <w:p w14:paraId="312B7E9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A4773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7C7F602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D99E3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53AD628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A8E64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1397DFF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478690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5A6187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8CE46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3A232FB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2E95ED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7DE800C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736FD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0F96944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EC417D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63D3E3C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D6447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010DC77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1,647</w:t>
            </w:r>
          </w:p>
        </w:tc>
        <w:tc>
          <w:tcPr>
            <w:tcW w:w="50" w:type="pct"/>
            <w:shd w:val="clear" w:color="auto" w:fill="CFF0FC"/>
            <w:noWrap/>
            <w:tcMar>
              <w:top w:w="15" w:type="dxa"/>
              <w:left w:w="0" w:type="dxa"/>
              <w:bottom w:w="0" w:type="dxa"/>
              <w:right w:w="15" w:type="dxa"/>
            </w:tcMar>
            <w:vAlign w:val="bottom"/>
            <w:hideMark/>
          </w:tcPr>
          <w:p w14:paraId="08AA4DE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087BE58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20162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2DFEFCF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1,647</w:t>
            </w:r>
          </w:p>
        </w:tc>
        <w:tc>
          <w:tcPr>
            <w:tcW w:w="50" w:type="pct"/>
            <w:shd w:val="clear" w:color="auto" w:fill="CFF0FC"/>
            <w:noWrap/>
            <w:tcMar>
              <w:top w:w="15" w:type="dxa"/>
              <w:left w:w="0" w:type="dxa"/>
              <w:bottom w:w="0" w:type="dxa"/>
              <w:right w:w="15" w:type="dxa"/>
            </w:tcMar>
            <w:vAlign w:val="bottom"/>
            <w:hideMark/>
          </w:tcPr>
          <w:p w14:paraId="2A3C998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8B251B9" w14:textId="77777777">
        <w:trPr>
          <w:divId w:val="488712035"/>
          <w:jc w:val="center"/>
        </w:trPr>
        <w:tc>
          <w:tcPr>
            <w:tcW w:w="1839" w:type="pct"/>
            <w:shd w:val="clear" w:color="auto" w:fill="FFFFFF"/>
            <w:tcMar>
              <w:top w:w="15" w:type="dxa"/>
              <w:left w:w="0" w:type="dxa"/>
              <w:bottom w:w="0" w:type="dxa"/>
              <w:right w:w="15" w:type="dxa"/>
            </w:tcMar>
            <w:hideMark/>
          </w:tcPr>
          <w:p w14:paraId="5C1A23FB" w14:textId="77777777" w:rsidR="00251D72" w:rsidRDefault="00251D72">
            <w:pPr>
              <w:pStyle w:val="a3"/>
              <w:spacing w:before="0" w:beforeAutospacing="0" w:after="0" w:afterAutospacing="0"/>
              <w:ind w:left="547" w:hanging="144"/>
              <w:rPr>
                <w:rFonts w:ascii="Calibri" w:hAnsi="Calibri" w:cs="Calibri"/>
                <w:color w:val="000000"/>
                <w:sz w:val="20"/>
                <w:szCs w:val="20"/>
              </w:rPr>
            </w:pPr>
            <w:r>
              <w:rPr>
                <w:rFonts w:ascii="Calibri" w:hAnsi="Calibri" w:cs="Calibri"/>
                <w:color w:val="000000"/>
                <w:sz w:val="20"/>
                <w:szCs w:val="20"/>
              </w:rPr>
              <w:t>Money market funds</w:t>
            </w:r>
          </w:p>
        </w:tc>
        <w:tc>
          <w:tcPr>
            <w:tcW w:w="50" w:type="pct"/>
            <w:shd w:val="clear" w:color="auto" w:fill="FFFFFF"/>
            <w:tcMar>
              <w:top w:w="15" w:type="dxa"/>
              <w:left w:w="0" w:type="dxa"/>
              <w:bottom w:w="0" w:type="dxa"/>
              <w:right w:w="15" w:type="dxa"/>
            </w:tcMar>
            <w:vAlign w:val="bottom"/>
            <w:hideMark/>
          </w:tcPr>
          <w:p w14:paraId="71E33A0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35592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FFFFFF"/>
            <w:noWrap/>
            <w:tcMar>
              <w:top w:w="15" w:type="dxa"/>
              <w:left w:w="0" w:type="dxa"/>
              <w:bottom w:w="0" w:type="dxa"/>
              <w:right w:w="15" w:type="dxa"/>
            </w:tcMar>
            <w:vAlign w:val="bottom"/>
            <w:hideMark/>
          </w:tcPr>
          <w:p w14:paraId="5AAA4C3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5,700</w:t>
            </w:r>
          </w:p>
        </w:tc>
        <w:tc>
          <w:tcPr>
            <w:tcW w:w="50" w:type="pct"/>
            <w:shd w:val="clear" w:color="auto" w:fill="FFFFFF"/>
            <w:noWrap/>
            <w:tcMar>
              <w:top w:w="15" w:type="dxa"/>
              <w:left w:w="0" w:type="dxa"/>
              <w:bottom w:w="0" w:type="dxa"/>
              <w:right w:w="15" w:type="dxa"/>
            </w:tcMar>
            <w:vAlign w:val="bottom"/>
            <w:hideMark/>
          </w:tcPr>
          <w:p w14:paraId="523BB1E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5724BA6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1069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FFFFFF"/>
            <w:noWrap/>
            <w:tcMar>
              <w:top w:w="15" w:type="dxa"/>
              <w:left w:w="0" w:type="dxa"/>
              <w:bottom w:w="0" w:type="dxa"/>
              <w:right w:w="15" w:type="dxa"/>
            </w:tcMar>
            <w:vAlign w:val="bottom"/>
            <w:hideMark/>
          </w:tcPr>
          <w:p w14:paraId="0BBF2E4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05F676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270EE62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A0838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FFFFFF"/>
            <w:noWrap/>
            <w:tcMar>
              <w:top w:w="15" w:type="dxa"/>
              <w:left w:w="0" w:type="dxa"/>
              <w:bottom w:w="0" w:type="dxa"/>
              <w:right w:w="15" w:type="dxa"/>
            </w:tcMar>
            <w:vAlign w:val="bottom"/>
            <w:hideMark/>
          </w:tcPr>
          <w:p w14:paraId="05E249E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5,700</w:t>
            </w:r>
          </w:p>
        </w:tc>
        <w:tc>
          <w:tcPr>
            <w:tcW w:w="50" w:type="pct"/>
            <w:shd w:val="clear" w:color="auto" w:fill="FFFFFF"/>
            <w:noWrap/>
            <w:tcMar>
              <w:top w:w="15" w:type="dxa"/>
              <w:left w:w="0" w:type="dxa"/>
              <w:bottom w:w="0" w:type="dxa"/>
              <w:right w:w="15" w:type="dxa"/>
            </w:tcMar>
            <w:vAlign w:val="bottom"/>
            <w:hideMark/>
          </w:tcPr>
          <w:p w14:paraId="5538F7E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058C5DD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F86BF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FFFFFF"/>
            <w:noWrap/>
            <w:tcMar>
              <w:top w:w="15" w:type="dxa"/>
              <w:left w:w="0" w:type="dxa"/>
              <w:bottom w:w="0" w:type="dxa"/>
              <w:right w:w="15" w:type="dxa"/>
            </w:tcMar>
            <w:vAlign w:val="bottom"/>
            <w:hideMark/>
          </w:tcPr>
          <w:p w14:paraId="7953271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6,500</w:t>
            </w:r>
          </w:p>
        </w:tc>
        <w:tc>
          <w:tcPr>
            <w:tcW w:w="50" w:type="pct"/>
            <w:shd w:val="clear" w:color="auto" w:fill="FFFFFF"/>
            <w:noWrap/>
            <w:tcMar>
              <w:top w:w="15" w:type="dxa"/>
              <w:left w:w="0" w:type="dxa"/>
              <w:bottom w:w="0" w:type="dxa"/>
              <w:right w:w="15" w:type="dxa"/>
            </w:tcMar>
            <w:vAlign w:val="bottom"/>
            <w:hideMark/>
          </w:tcPr>
          <w:p w14:paraId="061086E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431375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A1C48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FFFFFF"/>
            <w:noWrap/>
            <w:tcMar>
              <w:top w:w="15" w:type="dxa"/>
              <w:left w:w="0" w:type="dxa"/>
              <w:bottom w:w="0" w:type="dxa"/>
              <w:right w:w="15" w:type="dxa"/>
            </w:tcMar>
            <w:vAlign w:val="bottom"/>
            <w:hideMark/>
          </w:tcPr>
          <w:p w14:paraId="44FE08B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0A08CB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0A42886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783F1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FFFFFF"/>
            <w:noWrap/>
            <w:tcMar>
              <w:top w:w="15" w:type="dxa"/>
              <w:left w:w="0" w:type="dxa"/>
              <w:bottom w:w="0" w:type="dxa"/>
              <w:right w:w="15" w:type="dxa"/>
            </w:tcMar>
            <w:vAlign w:val="bottom"/>
            <w:hideMark/>
          </w:tcPr>
          <w:p w14:paraId="61196DD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6,500</w:t>
            </w:r>
          </w:p>
        </w:tc>
        <w:tc>
          <w:tcPr>
            <w:tcW w:w="50" w:type="pct"/>
            <w:shd w:val="clear" w:color="auto" w:fill="FFFFFF"/>
            <w:noWrap/>
            <w:tcMar>
              <w:top w:w="15" w:type="dxa"/>
              <w:left w:w="0" w:type="dxa"/>
              <w:bottom w:w="0" w:type="dxa"/>
              <w:right w:w="15" w:type="dxa"/>
            </w:tcMar>
            <w:vAlign w:val="bottom"/>
            <w:hideMark/>
          </w:tcPr>
          <w:p w14:paraId="279776B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FFDC87E" w14:textId="77777777">
        <w:trPr>
          <w:divId w:val="488712035"/>
          <w:jc w:val="center"/>
        </w:trPr>
        <w:tc>
          <w:tcPr>
            <w:tcW w:w="1839" w:type="pct"/>
            <w:shd w:val="clear" w:color="auto" w:fill="CFF0FC"/>
            <w:tcMar>
              <w:top w:w="15" w:type="dxa"/>
              <w:left w:w="0" w:type="dxa"/>
              <w:bottom w:w="0" w:type="dxa"/>
              <w:right w:w="15" w:type="dxa"/>
            </w:tcMar>
            <w:hideMark/>
          </w:tcPr>
          <w:p w14:paraId="6BF62116" w14:textId="77777777" w:rsidR="00251D72" w:rsidRDefault="00251D72">
            <w:pPr>
              <w:pStyle w:val="a3"/>
              <w:spacing w:before="0" w:beforeAutospacing="0" w:after="0" w:afterAutospacing="0"/>
              <w:ind w:left="547" w:hanging="144"/>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CFF0FC"/>
            <w:tcMar>
              <w:top w:w="15" w:type="dxa"/>
              <w:left w:w="0" w:type="dxa"/>
              <w:bottom w:w="0" w:type="dxa"/>
              <w:right w:w="15" w:type="dxa"/>
            </w:tcMar>
            <w:vAlign w:val="bottom"/>
            <w:hideMark/>
          </w:tcPr>
          <w:p w14:paraId="5C6044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443DC2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tcBorders>
              <w:bottom w:val="single" w:sz="6" w:space="0" w:color="000000"/>
            </w:tcBorders>
            <w:shd w:val="clear" w:color="auto" w:fill="CFF0FC"/>
            <w:noWrap/>
            <w:tcMar>
              <w:top w:w="15" w:type="dxa"/>
              <w:left w:w="0" w:type="dxa"/>
              <w:bottom w:w="0" w:type="dxa"/>
              <w:right w:w="15" w:type="dxa"/>
            </w:tcMar>
            <w:vAlign w:val="bottom"/>
            <w:hideMark/>
          </w:tcPr>
          <w:p w14:paraId="6A61A51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F08984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47C621C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70B78B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tcBorders>
              <w:bottom w:val="single" w:sz="6" w:space="0" w:color="000000"/>
            </w:tcBorders>
            <w:shd w:val="clear" w:color="auto" w:fill="CFF0FC"/>
            <w:noWrap/>
            <w:tcMar>
              <w:top w:w="15" w:type="dxa"/>
              <w:left w:w="0" w:type="dxa"/>
              <w:bottom w:w="0" w:type="dxa"/>
              <w:right w:w="15" w:type="dxa"/>
            </w:tcMar>
            <w:vAlign w:val="bottom"/>
            <w:hideMark/>
          </w:tcPr>
          <w:p w14:paraId="2E21A8C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5C5537B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4C46EAE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7AF6D9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tcBorders>
              <w:bottom w:val="single" w:sz="6" w:space="0" w:color="000000"/>
            </w:tcBorders>
            <w:shd w:val="clear" w:color="auto" w:fill="CFF0FC"/>
            <w:noWrap/>
            <w:tcMar>
              <w:top w:w="15" w:type="dxa"/>
              <w:left w:w="0" w:type="dxa"/>
              <w:bottom w:w="0" w:type="dxa"/>
              <w:right w:w="15" w:type="dxa"/>
            </w:tcMar>
            <w:vAlign w:val="bottom"/>
            <w:hideMark/>
          </w:tcPr>
          <w:p w14:paraId="000B745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527A58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3A9EA0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2745C6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tcBorders>
              <w:bottom w:val="single" w:sz="6" w:space="0" w:color="000000"/>
            </w:tcBorders>
            <w:shd w:val="clear" w:color="auto" w:fill="CFF0FC"/>
            <w:noWrap/>
            <w:tcMar>
              <w:top w:w="15" w:type="dxa"/>
              <w:left w:w="0" w:type="dxa"/>
              <w:bottom w:w="0" w:type="dxa"/>
              <w:right w:w="15" w:type="dxa"/>
            </w:tcMar>
            <w:vAlign w:val="bottom"/>
            <w:hideMark/>
          </w:tcPr>
          <w:p w14:paraId="750ABFA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8664B0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4759D0D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BACCA6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tcBorders>
              <w:bottom w:val="single" w:sz="6" w:space="0" w:color="000000"/>
            </w:tcBorders>
            <w:shd w:val="clear" w:color="auto" w:fill="CFF0FC"/>
            <w:noWrap/>
            <w:tcMar>
              <w:top w:w="15" w:type="dxa"/>
              <w:left w:w="0" w:type="dxa"/>
              <w:bottom w:w="0" w:type="dxa"/>
              <w:right w:w="15" w:type="dxa"/>
            </w:tcMar>
            <w:vAlign w:val="bottom"/>
            <w:hideMark/>
          </w:tcPr>
          <w:p w14:paraId="0EDCA6A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41F2567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08EB1DF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EE982A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tcBorders>
              <w:bottom w:val="single" w:sz="6" w:space="0" w:color="000000"/>
            </w:tcBorders>
            <w:shd w:val="clear" w:color="auto" w:fill="CFF0FC"/>
            <w:noWrap/>
            <w:tcMar>
              <w:top w:w="15" w:type="dxa"/>
              <w:left w:w="0" w:type="dxa"/>
              <w:bottom w:w="0" w:type="dxa"/>
              <w:right w:w="15" w:type="dxa"/>
            </w:tcMar>
            <w:vAlign w:val="bottom"/>
            <w:hideMark/>
          </w:tcPr>
          <w:p w14:paraId="1F46B03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75E2FC8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9F5A562" w14:textId="77777777">
        <w:trPr>
          <w:divId w:val="488712035"/>
          <w:jc w:val="center"/>
        </w:trPr>
        <w:tc>
          <w:tcPr>
            <w:tcW w:w="1839" w:type="pct"/>
            <w:shd w:val="clear" w:color="auto" w:fill="FFFFFF"/>
            <w:tcMar>
              <w:top w:w="15" w:type="dxa"/>
              <w:left w:w="0" w:type="dxa"/>
              <w:bottom w:w="0" w:type="dxa"/>
              <w:right w:w="15" w:type="dxa"/>
            </w:tcMar>
            <w:hideMark/>
          </w:tcPr>
          <w:p w14:paraId="66014557" w14:textId="77777777" w:rsidR="00251D72" w:rsidRDefault="00251D72">
            <w:pPr>
              <w:pStyle w:val="a3"/>
              <w:spacing w:before="0" w:beforeAutospacing="0" w:after="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0" w:type="pct"/>
            <w:shd w:val="clear" w:color="auto" w:fill="FFFFFF"/>
            <w:tcMar>
              <w:top w:w="15" w:type="dxa"/>
              <w:left w:w="0" w:type="dxa"/>
              <w:bottom w:w="0" w:type="dxa"/>
              <w:right w:w="15" w:type="dxa"/>
            </w:tcMar>
            <w:vAlign w:val="bottom"/>
            <w:hideMark/>
          </w:tcPr>
          <w:p w14:paraId="59CE03F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F7A905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BFF43C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10,599</w:t>
            </w:r>
          </w:p>
        </w:tc>
        <w:tc>
          <w:tcPr>
            <w:tcW w:w="50" w:type="pct"/>
            <w:shd w:val="clear" w:color="auto" w:fill="FFFFFF"/>
            <w:noWrap/>
            <w:tcMar>
              <w:top w:w="15" w:type="dxa"/>
              <w:left w:w="0" w:type="dxa"/>
              <w:bottom w:w="0" w:type="dxa"/>
              <w:right w:w="15" w:type="dxa"/>
            </w:tcMar>
            <w:vAlign w:val="bottom"/>
            <w:hideMark/>
          </w:tcPr>
          <w:p w14:paraId="7AD6EBC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2220E32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B7145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93A71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17,348</w:t>
            </w:r>
          </w:p>
        </w:tc>
        <w:tc>
          <w:tcPr>
            <w:tcW w:w="50" w:type="pct"/>
            <w:shd w:val="clear" w:color="auto" w:fill="FFFFFF"/>
            <w:noWrap/>
            <w:tcMar>
              <w:top w:w="15" w:type="dxa"/>
              <w:left w:w="0" w:type="dxa"/>
              <w:bottom w:w="0" w:type="dxa"/>
              <w:right w:w="15" w:type="dxa"/>
            </w:tcMar>
            <w:vAlign w:val="bottom"/>
            <w:hideMark/>
          </w:tcPr>
          <w:p w14:paraId="4F7E0F9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322A20A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34657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2641A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27,947</w:t>
            </w:r>
          </w:p>
        </w:tc>
        <w:tc>
          <w:tcPr>
            <w:tcW w:w="50" w:type="pct"/>
            <w:shd w:val="clear" w:color="auto" w:fill="FFFFFF"/>
            <w:noWrap/>
            <w:tcMar>
              <w:top w:w="15" w:type="dxa"/>
              <w:left w:w="0" w:type="dxa"/>
              <w:bottom w:w="0" w:type="dxa"/>
              <w:right w:w="15" w:type="dxa"/>
            </w:tcMar>
            <w:vAlign w:val="bottom"/>
            <w:hideMark/>
          </w:tcPr>
          <w:p w14:paraId="54B27EC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5EB7B9C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5F7E7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84177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6,723</w:t>
            </w:r>
          </w:p>
        </w:tc>
        <w:tc>
          <w:tcPr>
            <w:tcW w:w="50" w:type="pct"/>
            <w:shd w:val="clear" w:color="auto" w:fill="FFFFFF"/>
            <w:noWrap/>
            <w:tcMar>
              <w:top w:w="15" w:type="dxa"/>
              <w:left w:w="0" w:type="dxa"/>
              <w:bottom w:w="0" w:type="dxa"/>
              <w:right w:w="15" w:type="dxa"/>
            </w:tcMar>
            <w:vAlign w:val="bottom"/>
            <w:hideMark/>
          </w:tcPr>
          <w:p w14:paraId="39840CF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19F21B2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8085C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C69AE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45,755</w:t>
            </w:r>
          </w:p>
        </w:tc>
        <w:tc>
          <w:tcPr>
            <w:tcW w:w="50" w:type="pct"/>
            <w:shd w:val="clear" w:color="auto" w:fill="FFFFFF"/>
            <w:noWrap/>
            <w:tcMar>
              <w:top w:w="15" w:type="dxa"/>
              <w:left w:w="0" w:type="dxa"/>
              <w:bottom w:w="0" w:type="dxa"/>
              <w:right w:w="15" w:type="dxa"/>
            </w:tcMar>
            <w:vAlign w:val="bottom"/>
            <w:hideMark/>
          </w:tcPr>
          <w:p w14:paraId="253139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6C6C5D0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39A6E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2C5430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52,478</w:t>
            </w:r>
          </w:p>
        </w:tc>
        <w:tc>
          <w:tcPr>
            <w:tcW w:w="50" w:type="pct"/>
            <w:shd w:val="clear" w:color="auto" w:fill="FFFFFF"/>
            <w:noWrap/>
            <w:tcMar>
              <w:top w:w="15" w:type="dxa"/>
              <w:left w:w="0" w:type="dxa"/>
              <w:bottom w:w="0" w:type="dxa"/>
              <w:right w:w="15" w:type="dxa"/>
            </w:tcMar>
            <w:vAlign w:val="bottom"/>
            <w:hideMark/>
          </w:tcPr>
          <w:p w14:paraId="64A99C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2FD1C40" w14:textId="77777777">
        <w:trPr>
          <w:divId w:val="488712035"/>
          <w:jc w:val="center"/>
        </w:trPr>
        <w:tc>
          <w:tcPr>
            <w:tcW w:w="1839" w:type="pct"/>
            <w:shd w:val="clear" w:color="auto" w:fill="CFF0FC"/>
            <w:tcMar>
              <w:top w:w="15" w:type="dxa"/>
              <w:left w:w="0" w:type="dxa"/>
              <w:bottom w:w="0" w:type="dxa"/>
              <w:right w:w="15" w:type="dxa"/>
            </w:tcMar>
            <w:hideMark/>
          </w:tcPr>
          <w:p w14:paraId="3FD6926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Liabilities:</w:t>
            </w:r>
          </w:p>
        </w:tc>
        <w:tc>
          <w:tcPr>
            <w:tcW w:w="50" w:type="pct"/>
            <w:shd w:val="clear" w:color="auto" w:fill="CFF0FC"/>
            <w:tcMar>
              <w:top w:w="15" w:type="dxa"/>
              <w:left w:w="0" w:type="dxa"/>
              <w:bottom w:w="0" w:type="dxa"/>
              <w:right w:w="15" w:type="dxa"/>
            </w:tcMar>
            <w:vAlign w:val="bottom"/>
            <w:hideMark/>
          </w:tcPr>
          <w:p w14:paraId="25BBE95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F3799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7B8D28B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5EF20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6277EDC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E8DEA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59B288D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3816E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4FD2F58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23226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3DEC814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280D9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5C9ECF7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8A187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73D9805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1CA3A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37BE293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540C33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708E7F8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BE663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left w:w="0" w:type="dxa"/>
              <w:bottom w:w="0" w:type="dxa"/>
              <w:right w:w="15" w:type="dxa"/>
            </w:tcMar>
            <w:vAlign w:val="bottom"/>
            <w:hideMark/>
          </w:tcPr>
          <w:p w14:paraId="1464D4B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40CD1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6" w:type="pct"/>
            <w:shd w:val="clear" w:color="auto" w:fill="CFF0FC"/>
            <w:noWrap/>
            <w:tcMar>
              <w:top w:w="15" w:type="dxa"/>
              <w:left w:w="0" w:type="dxa"/>
              <w:bottom w:w="0" w:type="dxa"/>
              <w:right w:w="15" w:type="dxa"/>
            </w:tcMar>
            <w:vAlign w:val="bottom"/>
            <w:hideMark/>
          </w:tcPr>
          <w:p w14:paraId="0009B59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87420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F4D7F9A" w14:textId="77777777">
        <w:trPr>
          <w:divId w:val="488712035"/>
          <w:jc w:val="center"/>
        </w:trPr>
        <w:tc>
          <w:tcPr>
            <w:tcW w:w="1839" w:type="pct"/>
            <w:shd w:val="clear" w:color="auto" w:fill="FFFFFF"/>
            <w:tcMar>
              <w:top w:w="15" w:type="dxa"/>
              <w:left w:w="0" w:type="dxa"/>
              <w:bottom w:w="0" w:type="dxa"/>
              <w:right w:w="15" w:type="dxa"/>
            </w:tcMar>
            <w:hideMark/>
          </w:tcPr>
          <w:p w14:paraId="5331A799" w14:textId="77777777" w:rsidR="00251D72" w:rsidRDefault="00251D72">
            <w:pPr>
              <w:pStyle w:val="a3"/>
              <w:spacing w:before="0" w:beforeAutospacing="0" w:after="0" w:afterAutospacing="0"/>
              <w:ind w:left="547" w:hanging="144"/>
              <w:rPr>
                <w:rFonts w:ascii="Calibri" w:hAnsi="Calibri" w:cs="Calibri"/>
                <w:color w:val="000000"/>
                <w:sz w:val="20"/>
                <w:szCs w:val="20"/>
              </w:rPr>
            </w:pPr>
            <w:r>
              <w:rPr>
                <w:rFonts w:ascii="Calibri" w:hAnsi="Calibri" w:cs="Calibri"/>
                <w:color w:val="000000"/>
                <w:sz w:val="20"/>
                <w:szCs w:val="20"/>
              </w:rPr>
              <w:t>Derivative financial instruments</w:t>
            </w:r>
          </w:p>
        </w:tc>
        <w:tc>
          <w:tcPr>
            <w:tcW w:w="50" w:type="pct"/>
            <w:shd w:val="clear" w:color="auto" w:fill="FFFFFF"/>
            <w:tcMar>
              <w:top w:w="15" w:type="dxa"/>
              <w:left w:w="0" w:type="dxa"/>
              <w:bottom w:w="0" w:type="dxa"/>
              <w:right w:w="15" w:type="dxa"/>
            </w:tcMar>
            <w:vAlign w:val="bottom"/>
            <w:hideMark/>
          </w:tcPr>
          <w:p w14:paraId="32F772D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59FEAA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bottom w:val="double" w:sz="6" w:space="0" w:color="000000"/>
            </w:tcBorders>
            <w:shd w:val="clear" w:color="auto" w:fill="FFFFFF"/>
            <w:noWrap/>
            <w:tcMar>
              <w:top w:w="15" w:type="dxa"/>
              <w:left w:w="0" w:type="dxa"/>
              <w:bottom w:w="0" w:type="dxa"/>
              <w:right w:w="15" w:type="dxa"/>
            </w:tcMar>
            <w:vAlign w:val="bottom"/>
            <w:hideMark/>
          </w:tcPr>
          <w:p w14:paraId="19D19B0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934B8E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16A7391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2845C46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bottom w:val="double" w:sz="6" w:space="0" w:color="000000"/>
            </w:tcBorders>
            <w:shd w:val="clear" w:color="auto" w:fill="FFFFFF"/>
            <w:noWrap/>
            <w:tcMar>
              <w:top w:w="15" w:type="dxa"/>
              <w:left w:w="0" w:type="dxa"/>
              <w:bottom w:w="0" w:type="dxa"/>
              <w:right w:w="15" w:type="dxa"/>
            </w:tcMar>
            <w:vAlign w:val="bottom"/>
            <w:hideMark/>
          </w:tcPr>
          <w:p w14:paraId="178D75B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230</w:t>
            </w:r>
          </w:p>
        </w:tc>
        <w:tc>
          <w:tcPr>
            <w:tcW w:w="50" w:type="pct"/>
            <w:shd w:val="clear" w:color="auto" w:fill="FFFFFF"/>
            <w:noWrap/>
            <w:tcMar>
              <w:top w:w="15" w:type="dxa"/>
              <w:left w:w="0" w:type="dxa"/>
              <w:bottom w:w="0" w:type="dxa"/>
              <w:right w:w="15" w:type="dxa"/>
            </w:tcMar>
            <w:vAlign w:val="bottom"/>
            <w:hideMark/>
          </w:tcPr>
          <w:p w14:paraId="28E9F1C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31EE3D2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1BAC1E4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bottom w:val="double" w:sz="6" w:space="0" w:color="000000"/>
            </w:tcBorders>
            <w:shd w:val="clear" w:color="auto" w:fill="FFFFFF"/>
            <w:noWrap/>
            <w:tcMar>
              <w:top w:w="15" w:type="dxa"/>
              <w:left w:w="0" w:type="dxa"/>
              <w:bottom w:w="0" w:type="dxa"/>
              <w:right w:w="15" w:type="dxa"/>
            </w:tcMar>
            <w:vAlign w:val="bottom"/>
            <w:hideMark/>
          </w:tcPr>
          <w:p w14:paraId="3511D32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230</w:t>
            </w:r>
          </w:p>
        </w:tc>
        <w:tc>
          <w:tcPr>
            <w:tcW w:w="50" w:type="pct"/>
            <w:shd w:val="clear" w:color="auto" w:fill="FFFFFF"/>
            <w:noWrap/>
            <w:tcMar>
              <w:top w:w="15" w:type="dxa"/>
              <w:left w:w="0" w:type="dxa"/>
              <w:bottom w:w="0" w:type="dxa"/>
              <w:right w:w="15" w:type="dxa"/>
            </w:tcMar>
            <w:vAlign w:val="bottom"/>
            <w:hideMark/>
          </w:tcPr>
          <w:p w14:paraId="07DF08D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1263E3E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1D29B6D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bottom w:val="double" w:sz="6" w:space="0" w:color="000000"/>
            </w:tcBorders>
            <w:shd w:val="clear" w:color="auto" w:fill="FFFFFF"/>
            <w:noWrap/>
            <w:tcMar>
              <w:top w:w="15" w:type="dxa"/>
              <w:left w:w="0" w:type="dxa"/>
              <w:bottom w:w="0" w:type="dxa"/>
              <w:right w:w="15" w:type="dxa"/>
            </w:tcMar>
            <w:vAlign w:val="bottom"/>
            <w:hideMark/>
          </w:tcPr>
          <w:p w14:paraId="6457D48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881465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3275394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562303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bottom w:val="double" w:sz="6" w:space="0" w:color="000000"/>
            </w:tcBorders>
            <w:shd w:val="clear" w:color="auto" w:fill="FFFFFF"/>
            <w:noWrap/>
            <w:tcMar>
              <w:top w:w="15" w:type="dxa"/>
              <w:left w:w="0" w:type="dxa"/>
              <w:bottom w:w="0" w:type="dxa"/>
              <w:right w:w="15" w:type="dxa"/>
            </w:tcMar>
            <w:vAlign w:val="bottom"/>
            <w:hideMark/>
          </w:tcPr>
          <w:p w14:paraId="185B731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158</w:t>
            </w:r>
          </w:p>
        </w:tc>
        <w:tc>
          <w:tcPr>
            <w:tcW w:w="50" w:type="pct"/>
            <w:shd w:val="clear" w:color="auto" w:fill="FFFFFF"/>
            <w:noWrap/>
            <w:tcMar>
              <w:top w:w="15" w:type="dxa"/>
              <w:left w:w="0" w:type="dxa"/>
              <w:bottom w:w="0" w:type="dxa"/>
              <w:right w:w="15" w:type="dxa"/>
            </w:tcMar>
            <w:vAlign w:val="bottom"/>
            <w:hideMark/>
          </w:tcPr>
          <w:p w14:paraId="075B36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left w:w="0" w:type="dxa"/>
              <w:bottom w:w="0" w:type="dxa"/>
              <w:right w:w="15" w:type="dxa"/>
            </w:tcMar>
            <w:vAlign w:val="bottom"/>
            <w:hideMark/>
          </w:tcPr>
          <w:p w14:paraId="513A9A7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5043B41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6" w:type="pct"/>
            <w:tcBorders>
              <w:bottom w:val="double" w:sz="6" w:space="0" w:color="000000"/>
            </w:tcBorders>
            <w:shd w:val="clear" w:color="auto" w:fill="FFFFFF"/>
            <w:noWrap/>
            <w:tcMar>
              <w:top w:w="15" w:type="dxa"/>
              <w:left w:w="0" w:type="dxa"/>
              <w:bottom w:w="0" w:type="dxa"/>
              <w:right w:w="15" w:type="dxa"/>
            </w:tcMar>
            <w:vAlign w:val="bottom"/>
            <w:hideMark/>
          </w:tcPr>
          <w:p w14:paraId="505FFA4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158</w:t>
            </w:r>
          </w:p>
        </w:tc>
        <w:tc>
          <w:tcPr>
            <w:tcW w:w="50" w:type="pct"/>
            <w:shd w:val="clear" w:color="auto" w:fill="FFFFFF"/>
            <w:noWrap/>
            <w:tcMar>
              <w:top w:w="15" w:type="dxa"/>
              <w:left w:w="0" w:type="dxa"/>
              <w:bottom w:w="0" w:type="dxa"/>
              <w:right w:w="15" w:type="dxa"/>
            </w:tcMar>
            <w:vAlign w:val="bottom"/>
            <w:hideMark/>
          </w:tcPr>
          <w:p w14:paraId="0D10F9D8"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B251043" w14:textId="77777777" w:rsidR="00251D72" w:rsidRDefault="00251D72">
      <w:pPr>
        <w:pStyle w:val="a3"/>
        <w:spacing w:before="0" w:beforeAutospacing="0" w:after="0" w:afterAutospacing="0"/>
        <w:rPr>
          <w:sz w:val="12"/>
          <w:szCs w:val="12"/>
        </w:rPr>
      </w:pPr>
      <w:r>
        <w:rPr>
          <w:sz w:val="12"/>
          <w:szCs w:val="12"/>
        </w:rPr>
        <w:t> </w:t>
      </w:r>
    </w:p>
    <w:p w14:paraId="17EDA19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marketable securities investments consist of Tier 1 commercial paper debt securities, corporate debt securities and certain other securities. Marketable securities as presented per our consolidated balance sheets included securities with original maturities at the time of purchase greater than three months and the remainder of the securities were included in cash and cash equivalents. Our valuation techniques used to measure the fair values of our instruments that were classified as Level 1 in the table above were derived from quoted market prices and active markets for these instruments that exist. Our valuation techniques used to measure the fair values of Level 2 instruments listed in the table above, the counterparties to which have high credit ratings, were derived from the following: non-binding market consensus prices that were corroborated by observable market data, quoted market prices for similar instruments, or pricing models, such as discounted cash flow techniques, with all significant inputs derived from or corroborated by observable market data including LIBOR-based yield curves, among others. </w:t>
      </w:r>
    </w:p>
    <w:p w14:paraId="125D3A75"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88</w:t>
      </w:r>
    </w:p>
    <w:p w14:paraId="1D98661C" w14:textId="77777777" w:rsidR="00251D72" w:rsidRDefault="00251D72">
      <w:pPr>
        <w:rPr>
          <w:rFonts w:ascii="Times New Roman" w:eastAsia="Times New Roman" w:hAnsi="Times New Roman" w:cs="Times New Roman"/>
          <w:sz w:val="24"/>
          <w:szCs w:val="24"/>
        </w:rPr>
      </w:pPr>
      <w:r>
        <w:rPr>
          <w:rFonts w:eastAsia="Times New Roman"/>
        </w:rPr>
        <w:pict w14:anchorId="5583326E">
          <v:rect id="_x0000_i1114" style="width:415.3pt;height:1.5pt" o:hralign="center" o:hrstd="t" o:hr="t" fillcolor="#a0a0a0" stroked="f"/>
        </w:pict>
      </w:r>
    </w:p>
    <w:p w14:paraId="7A91FE36"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DD246BE"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6F0BADF"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C3DBA4E"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57210C24"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29DB97B2" w14:textId="77777777" w:rsidR="00251D72" w:rsidRDefault="00251D72">
      <w:pPr>
        <w:pStyle w:val="a3"/>
        <w:spacing w:before="0" w:beforeAutospacing="0" w:after="0" w:afterAutospacing="0"/>
        <w:rPr>
          <w:sz w:val="20"/>
          <w:szCs w:val="20"/>
        </w:rPr>
      </w:pPr>
      <w:r>
        <w:rPr>
          <w:sz w:val="20"/>
          <w:szCs w:val="20"/>
        </w:rPr>
        <w:t> </w:t>
      </w:r>
    </w:p>
    <w:p w14:paraId="6857609A" w14:textId="77777777" w:rsidR="00251D72" w:rsidRDefault="00251D72">
      <w:pPr>
        <w:pStyle w:val="a3"/>
        <w:spacing w:before="120" w:beforeAutospacing="0" w:after="0" w:afterAutospacing="0"/>
        <w:jc w:val="both"/>
        <w:rPr>
          <w:rFonts w:ascii="Calibri" w:hAnsi="Calibri" w:cs="Calibri"/>
          <w:sz w:val="20"/>
          <w:szCs w:val="20"/>
        </w:rPr>
      </w:pPr>
      <w:bookmarkStart w:id="128" w:name="_AEIOULastRenderedPageBreakAEIOU91"/>
      <w:bookmarkEnd w:id="128"/>
      <w:r>
        <w:rPr>
          <w:rFonts w:ascii="Calibri" w:hAnsi="Calibri" w:cs="Calibri"/>
          <w:sz w:val="20"/>
          <w:szCs w:val="20"/>
        </w:rPr>
        <w:t>Based on the trading prices of the $56.1 billion and $58.0 billion of senior notes and the related fair value hedges (refer to Notes 7 and 10 for additional information) that we had outstanding as of May 31, 2019 and 2018, respectively, the estimated fair values of the senior notes and the related fair value hedges using Level 2 inputs at May 31, 2019 and 2018 were $58.4 billion and $59.0 billion, respectively.</w:t>
      </w:r>
      <w:r>
        <w:rPr>
          <w:sz w:val="20"/>
          <w:szCs w:val="20"/>
        </w:rPr>
        <w:t xml:space="preserve"> </w:t>
      </w:r>
    </w:p>
    <w:tbl>
      <w:tblPr>
        <w:tblW w:w="5000" w:type="pct"/>
        <w:tblCellMar>
          <w:left w:w="0" w:type="dxa"/>
          <w:right w:w="0" w:type="dxa"/>
        </w:tblCellMar>
        <w:tblLook w:val="04A0" w:firstRow="1" w:lastRow="0" w:firstColumn="1" w:lastColumn="0" w:noHBand="0" w:noVBand="1"/>
      </w:tblPr>
      <w:tblGrid>
        <w:gridCol w:w="444"/>
        <w:gridCol w:w="7862"/>
      </w:tblGrid>
      <w:tr w:rsidR="00251D72" w14:paraId="65CE28C2" w14:textId="77777777">
        <w:tc>
          <w:tcPr>
            <w:tcW w:w="267" w:type="pct"/>
            <w:noWrap/>
            <w:hideMark/>
          </w:tcPr>
          <w:p w14:paraId="7B21E515"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5.</w:t>
            </w:r>
          </w:p>
        </w:tc>
        <w:tc>
          <w:tcPr>
            <w:tcW w:w="0" w:type="auto"/>
            <w:hideMark/>
          </w:tcPr>
          <w:p w14:paraId="5E5E6178"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PROPERTY, PLANT AND EQUIPMENT</w:t>
            </w:r>
          </w:p>
        </w:tc>
      </w:tr>
    </w:tbl>
    <w:p w14:paraId="30FE977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Property, plant and equipment, net consisted of the following:</w:t>
      </w:r>
    </w:p>
    <w:p w14:paraId="32053C72"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082"/>
        <w:gridCol w:w="130"/>
        <w:gridCol w:w="1259"/>
        <w:gridCol w:w="131"/>
        <w:gridCol w:w="117"/>
        <w:gridCol w:w="1093"/>
        <w:gridCol w:w="76"/>
        <w:gridCol w:w="131"/>
        <w:gridCol w:w="117"/>
        <w:gridCol w:w="1094"/>
        <w:gridCol w:w="76"/>
      </w:tblGrid>
      <w:tr w:rsidR="00251D72" w14:paraId="3FD6AC70" w14:textId="77777777">
        <w:trPr>
          <w:divId w:val="1233078514"/>
          <w:jc w:val="center"/>
        </w:trPr>
        <w:tc>
          <w:tcPr>
            <w:tcW w:w="2461" w:type="pct"/>
            <w:shd w:val="clear" w:color="auto" w:fill="FFFFFF"/>
            <w:tcMar>
              <w:top w:w="15" w:type="dxa"/>
              <w:left w:w="0" w:type="dxa"/>
              <w:bottom w:w="0" w:type="dxa"/>
              <w:right w:w="15" w:type="dxa"/>
            </w:tcMar>
            <w:vAlign w:val="bottom"/>
            <w:hideMark/>
          </w:tcPr>
          <w:p w14:paraId="0DECAC32" w14:textId="77777777" w:rsidR="00251D72" w:rsidRDefault="00251D72">
            <w:pPr>
              <w:pStyle w:val="a3"/>
              <w:spacing w:before="0" w:beforeAutospacing="0" w:after="0" w:afterAutospacing="0"/>
              <w:rPr>
                <w:sz w:val="20"/>
                <w:szCs w:val="20"/>
              </w:rPr>
            </w:pPr>
            <w:r>
              <w:rPr>
                <w:sz w:val="20"/>
                <w:szCs w:val="20"/>
              </w:rPr>
              <w:t> </w:t>
            </w:r>
          </w:p>
        </w:tc>
        <w:tc>
          <w:tcPr>
            <w:tcW w:w="83" w:type="pct"/>
            <w:shd w:val="clear" w:color="auto" w:fill="FFFFFF"/>
            <w:tcMar>
              <w:top w:w="15" w:type="dxa"/>
              <w:left w:w="0" w:type="dxa"/>
              <w:bottom w:w="0" w:type="dxa"/>
              <w:right w:w="15" w:type="dxa"/>
            </w:tcMar>
            <w:vAlign w:val="bottom"/>
            <w:hideMark/>
          </w:tcPr>
          <w:p w14:paraId="4B96B84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62" w:type="pct"/>
            <w:shd w:val="clear" w:color="auto" w:fill="FFFFFF"/>
            <w:tcMar>
              <w:top w:w="15" w:type="dxa"/>
              <w:left w:w="0" w:type="dxa"/>
              <w:bottom w:w="0" w:type="dxa"/>
              <w:right w:w="15" w:type="dxa"/>
            </w:tcMar>
            <w:vAlign w:val="bottom"/>
            <w:hideMark/>
          </w:tcPr>
          <w:p w14:paraId="70286BE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Estimated</w:t>
            </w:r>
          </w:p>
        </w:tc>
        <w:tc>
          <w:tcPr>
            <w:tcW w:w="83" w:type="pct"/>
            <w:shd w:val="clear" w:color="auto" w:fill="FFFFFF"/>
            <w:tcMar>
              <w:top w:w="15" w:type="dxa"/>
              <w:left w:w="0" w:type="dxa"/>
              <w:bottom w:w="0" w:type="dxa"/>
              <w:right w:w="15" w:type="dxa"/>
            </w:tcMar>
            <w:vAlign w:val="bottom"/>
            <w:hideMark/>
          </w:tcPr>
          <w:p w14:paraId="59BFB31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58" w:type="pct"/>
            <w:gridSpan w:val="6"/>
            <w:tcBorders>
              <w:bottom w:val="single" w:sz="6" w:space="0" w:color="000000"/>
            </w:tcBorders>
            <w:shd w:val="clear" w:color="auto" w:fill="FFFFFF"/>
            <w:tcMar>
              <w:top w:w="15" w:type="dxa"/>
              <w:left w:w="0" w:type="dxa"/>
              <w:bottom w:w="0" w:type="dxa"/>
              <w:right w:w="15" w:type="dxa"/>
            </w:tcMar>
            <w:vAlign w:val="bottom"/>
            <w:hideMark/>
          </w:tcPr>
          <w:p w14:paraId="2A473CA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left w:w="0" w:type="dxa"/>
              <w:bottom w:w="0" w:type="dxa"/>
              <w:right w:w="15" w:type="dxa"/>
            </w:tcMar>
            <w:vAlign w:val="bottom"/>
            <w:hideMark/>
          </w:tcPr>
          <w:p w14:paraId="09EF63D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3434F7F" w14:textId="77777777">
        <w:trPr>
          <w:divId w:val="1233078514"/>
          <w:jc w:val="center"/>
        </w:trPr>
        <w:tc>
          <w:tcPr>
            <w:tcW w:w="2461" w:type="pct"/>
            <w:tcBorders>
              <w:bottom w:val="single" w:sz="6" w:space="0" w:color="000000"/>
            </w:tcBorders>
            <w:shd w:val="clear" w:color="auto" w:fill="FFFFFF"/>
            <w:tcMar>
              <w:top w:w="15" w:type="dxa"/>
              <w:left w:w="0" w:type="dxa"/>
              <w:bottom w:w="0" w:type="dxa"/>
              <w:right w:w="15" w:type="dxa"/>
            </w:tcMar>
            <w:vAlign w:val="bottom"/>
            <w:hideMark/>
          </w:tcPr>
          <w:p w14:paraId="29A2236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3" w:type="pct"/>
            <w:shd w:val="clear" w:color="auto" w:fill="FFFFFF"/>
            <w:tcMar>
              <w:top w:w="15" w:type="dxa"/>
              <w:left w:w="0" w:type="dxa"/>
              <w:bottom w:w="0" w:type="dxa"/>
              <w:right w:w="15" w:type="dxa"/>
            </w:tcMar>
            <w:vAlign w:val="bottom"/>
            <w:hideMark/>
          </w:tcPr>
          <w:p w14:paraId="4C34CA4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62" w:type="pct"/>
            <w:tcBorders>
              <w:bottom w:val="single" w:sz="6" w:space="0" w:color="000000"/>
            </w:tcBorders>
            <w:shd w:val="clear" w:color="auto" w:fill="FFFFFF"/>
            <w:tcMar>
              <w:top w:w="15" w:type="dxa"/>
              <w:left w:w="0" w:type="dxa"/>
              <w:bottom w:w="0" w:type="dxa"/>
              <w:right w:w="15" w:type="dxa"/>
            </w:tcMar>
            <w:vAlign w:val="bottom"/>
            <w:hideMark/>
          </w:tcPr>
          <w:p w14:paraId="204212C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Useful Life</w:t>
            </w:r>
          </w:p>
        </w:tc>
        <w:tc>
          <w:tcPr>
            <w:tcW w:w="83" w:type="pct"/>
            <w:shd w:val="clear" w:color="auto" w:fill="FFFFFF"/>
            <w:tcMar>
              <w:top w:w="15" w:type="dxa"/>
              <w:left w:w="0" w:type="dxa"/>
              <w:bottom w:w="0" w:type="dxa"/>
              <w:right w:w="15" w:type="dxa"/>
            </w:tcMar>
            <w:vAlign w:val="bottom"/>
            <w:hideMark/>
          </w:tcPr>
          <w:p w14:paraId="21D6A96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2E3AE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F9658E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left w:w="0" w:type="dxa"/>
              <w:bottom w:w="0" w:type="dxa"/>
              <w:right w:w="15" w:type="dxa"/>
            </w:tcMar>
            <w:vAlign w:val="bottom"/>
            <w:hideMark/>
          </w:tcPr>
          <w:p w14:paraId="25DD7D7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D233F7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C47383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B7F68E8" w14:textId="77777777">
        <w:trPr>
          <w:divId w:val="1233078514"/>
          <w:jc w:val="center"/>
        </w:trPr>
        <w:tc>
          <w:tcPr>
            <w:tcW w:w="2461" w:type="pct"/>
            <w:tcBorders>
              <w:top w:val="single" w:sz="6" w:space="0" w:color="000000"/>
            </w:tcBorders>
            <w:shd w:val="clear" w:color="auto" w:fill="CFF0FC"/>
            <w:tcMar>
              <w:top w:w="15" w:type="dxa"/>
              <w:left w:w="0" w:type="dxa"/>
              <w:bottom w:w="0" w:type="dxa"/>
              <w:right w:w="15" w:type="dxa"/>
            </w:tcMar>
            <w:hideMark/>
          </w:tcPr>
          <w:p w14:paraId="684D8E9B"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Computer, network, machinery and equipment</w:t>
            </w:r>
          </w:p>
        </w:tc>
        <w:tc>
          <w:tcPr>
            <w:tcW w:w="83" w:type="pct"/>
            <w:shd w:val="clear" w:color="auto" w:fill="CFF0FC"/>
            <w:tcMar>
              <w:top w:w="15" w:type="dxa"/>
              <w:left w:w="0" w:type="dxa"/>
              <w:bottom w:w="0" w:type="dxa"/>
              <w:right w:w="15" w:type="dxa"/>
            </w:tcMar>
            <w:vAlign w:val="bottom"/>
            <w:hideMark/>
          </w:tcPr>
          <w:p w14:paraId="0264B7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62" w:type="pct"/>
            <w:tcBorders>
              <w:top w:val="single" w:sz="6" w:space="0" w:color="000000"/>
            </w:tcBorders>
            <w:shd w:val="clear" w:color="auto" w:fill="CFF0FC"/>
            <w:tcMar>
              <w:top w:w="15" w:type="dxa"/>
              <w:left w:w="0" w:type="dxa"/>
              <w:bottom w:w="0" w:type="dxa"/>
              <w:right w:w="15" w:type="dxa"/>
            </w:tcMar>
            <w:hideMark/>
          </w:tcPr>
          <w:p w14:paraId="6CDFEE7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 years</w:t>
            </w:r>
          </w:p>
        </w:tc>
        <w:tc>
          <w:tcPr>
            <w:tcW w:w="83" w:type="pct"/>
            <w:shd w:val="clear" w:color="auto" w:fill="CFF0FC"/>
            <w:tcMar>
              <w:top w:w="15" w:type="dxa"/>
              <w:left w:w="0" w:type="dxa"/>
              <w:bottom w:w="0" w:type="dxa"/>
              <w:right w:w="15" w:type="dxa"/>
            </w:tcMar>
            <w:vAlign w:val="bottom"/>
            <w:hideMark/>
          </w:tcPr>
          <w:p w14:paraId="65CBD34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74197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tcBorders>
            <w:shd w:val="clear" w:color="auto" w:fill="CFF0FC"/>
            <w:noWrap/>
            <w:tcMar>
              <w:top w:w="15" w:type="dxa"/>
              <w:left w:w="0" w:type="dxa"/>
              <w:bottom w:w="0" w:type="dxa"/>
              <w:right w:w="15" w:type="dxa"/>
            </w:tcMar>
            <w:vAlign w:val="bottom"/>
            <w:hideMark/>
          </w:tcPr>
          <w:p w14:paraId="1C00B9B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7,214</w:t>
            </w:r>
          </w:p>
        </w:tc>
        <w:tc>
          <w:tcPr>
            <w:tcW w:w="50" w:type="pct"/>
            <w:shd w:val="clear" w:color="auto" w:fill="CFF0FC"/>
            <w:noWrap/>
            <w:tcMar>
              <w:top w:w="15" w:type="dxa"/>
              <w:left w:w="0" w:type="dxa"/>
              <w:bottom w:w="0" w:type="dxa"/>
              <w:right w:w="15" w:type="dxa"/>
            </w:tcMar>
            <w:vAlign w:val="bottom"/>
            <w:hideMark/>
          </w:tcPr>
          <w:p w14:paraId="62E0E3F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68964FB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7C5F1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tcBorders>
            <w:shd w:val="clear" w:color="auto" w:fill="CFF0FC"/>
            <w:noWrap/>
            <w:tcMar>
              <w:top w:w="15" w:type="dxa"/>
              <w:left w:w="0" w:type="dxa"/>
              <w:bottom w:w="0" w:type="dxa"/>
              <w:right w:w="15" w:type="dxa"/>
            </w:tcMar>
            <w:vAlign w:val="bottom"/>
            <w:hideMark/>
          </w:tcPr>
          <w:p w14:paraId="6359DA9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6,156</w:t>
            </w:r>
          </w:p>
        </w:tc>
        <w:tc>
          <w:tcPr>
            <w:tcW w:w="50" w:type="pct"/>
            <w:shd w:val="clear" w:color="auto" w:fill="CFF0FC"/>
            <w:noWrap/>
            <w:tcMar>
              <w:top w:w="15" w:type="dxa"/>
              <w:left w:w="0" w:type="dxa"/>
              <w:bottom w:w="0" w:type="dxa"/>
              <w:right w:w="15" w:type="dxa"/>
            </w:tcMar>
            <w:vAlign w:val="bottom"/>
            <w:hideMark/>
          </w:tcPr>
          <w:p w14:paraId="0924954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07E6335" w14:textId="77777777">
        <w:trPr>
          <w:divId w:val="1233078514"/>
          <w:jc w:val="center"/>
        </w:trPr>
        <w:tc>
          <w:tcPr>
            <w:tcW w:w="2461" w:type="pct"/>
            <w:shd w:val="clear" w:color="auto" w:fill="FFFFFF"/>
            <w:tcMar>
              <w:top w:w="15" w:type="dxa"/>
              <w:left w:w="0" w:type="dxa"/>
              <w:bottom w:w="0" w:type="dxa"/>
              <w:right w:w="15" w:type="dxa"/>
            </w:tcMar>
            <w:hideMark/>
          </w:tcPr>
          <w:p w14:paraId="41E87B40"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Buildings and improvements</w:t>
            </w:r>
          </w:p>
        </w:tc>
        <w:tc>
          <w:tcPr>
            <w:tcW w:w="83" w:type="pct"/>
            <w:shd w:val="clear" w:color="auto" w:fill="FFFFFF"/>
            <w:tcMar>
              <w:top w:w="15" w:type="dxa"/>
              <w:left w:w="0" w:type="dxa"/>
              <w:bottom w:w="0" w:type="dxa"/>
              <w:right w:w="15" w:type="dxa"/>
            </w:tcMar>
            <w:vAlign w:val="bottom"/>
            <w:hideMark/>
          </w:tcPr>
          <w:p w14:paraId="0ECD207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62" w:type="pct"/>
            <w:shd w:val="clear" w:color="auto" w:fill="FFFFFF"/>
            <w:tcMar>
              <w:top w:w="15" w:type="dxa"/>
              <w:left w:w="0" w:type="dxa"/>
              <w:bottom w:w="0" w:type="dxa"/>
              <w:right w:w="15" w:type="dxa"/>
            </w:tcMar>
            <w:hideMark/>
          </w:tcPr>
          <w:p w14:paraId="6E63436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1-40 years</w:t>
            </w:r>
          </w:p>
        </w:tc>
        <w:tc>
          <w:tcPr>
            <w:tcW w:w="83" w:type="pct"/>
            <w:shd w:val="clear" w:color="auto" w:fill="FFFFFF"/>
            <w:tcMar>
              <w:top w:w="15" w:type="dxa"/>
              <w:left w:w="0" w:type="dxa"/>
              <w:bottom w:w="0" w:type="dxa"/>
              <w:right w:w="15" w:type="dxa"/>
            </w:tcMar>
            <w:vAlign w:val="bottom"/>
            <w:hideMark/>
          </w:tcPr>
          <w:p w14:paraId="711CCB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B3653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left w:w="0" w:type="dxa"/>
              <w:bottom w:w="0" w:type="dxa"/>
              <w:right w:w="15" w:type="dxa"/>
            </w:tcMar>
            <w:vAlign w:val="bottom"/>
            <w:hideMark/>
          </w:tcPr>
          <w:p w14:paraId="153EB72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4,253</w:t>
            </w:r>
          </w:p>
        </w:tc>
        <w:tc>
          <w:tcPr>
            <w:tcW w:w="50" w:type="pct"/>
            <w:shd w:val="clear" w:color="auto" w:fill="FFFFFF"/>
            <w:noWrap/>
            <w:tcMar>
              <w:top w:w="15" w:type="dxa"/>
              <w:left w:w="0" w:type="dxa"/>
              <w:bottom w:w="0" w:type="dxa"/>
              <w:right w:w="15" w:type="dxa"/>
            </w:tcMar>
            <w:vAlign w:val="bottom"/>
            <w:hideMark/>
          </w:tcPr>
          <w:p w14:paraId="220490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242A856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4DB1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left w:w="0" w:type="dxa"/>
              <w:bottom w:w="0" w:type="dxa"/>
              <w:right w:w="15" w:type="dxa"/>
            </w:tcMar>
            <w:vAlign w:val="bottom"/>
            <w:hideMark/>
          </w:tcPr>
          <w:p w14:paraId="55A8854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3,893</w:t>
            </w:r>
          </w:p>
        </w:tc>
        <w:tc>
          <w:tcPr>
            <w:tcW w:w="50" w:type="pct"/>
            <w:shd w:val="clear" w:color="auto" w:fill="FFFFFF"/>
            <w:noWrap/>
            <w:tcMar>
              <w:top w:w="15" w:type="dxa"/>
              <w:left w:w="0" w:type="dxa"/>
              <w:bottom w:w="0" w:type="dxa"/>
              <w:right w:w="15" w:type="dxa"/>
            </w:tcMar>
            <w:vAlign w:val="bottom"/>
            <w:hideMark/>
          </w:tcPr>
          <w:p w14:paraId="3D0D40D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51E2442" w14:textId="77777777">
        <w:trPr>
          <w:divId w:val="1233078514"/>
          <w:jc w:val="center"/>
        </w:trPr>
        <w:tc>
          <w:tcPr>
            <w:tcW w:w="2461" w:type="pct"/>
            <w:shd w:val="clear" w:color="auto" w:fill="CFF0FC"/>
            <w:tcMar>
              <w:top w:w="15" w:type="dxa"/>
              <w:left w:w="0" w:type="dxa"/>
              <w:bottom w:w="0" w:type="dxa"/>
              <w:right w:w="15" w:type="dxa"/>
            </w:tcMar>
            <w:hideMark/>
          </w:tcPr>
          <w:p w14:paraId="4BB0CAEF"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Furniture, fixtures and other</w:t>
            </w:r>
          </w:p>
        </w:tc>
        <w:tc>
          <w:tcPr>
            <w:tcW w:w="83" w:type="pct"/>
            <w:shd w:val="clear" w:color="auto" w:fill="CFF0FC"/>
            <w:tcMar>
              <w:top w:w="15" w:type="dxa"/>
              <w:left w:w="0" w:type="dxa"/>
              <w:bottom w:w="0" w:type="dxa"/>
              <w:right w:w="15" w:type="dxa"/>
            </w:tcMar>
            <w:vAlign w:val="bottom"/>
            <w:hideMark/>
          </w:tcPr>
          <w:p w14:paraId="586615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62" w:type="pct"/>
            <w:shd w:val="clear" w:color="auto" w:fill="CFF0FC"/>
            <w:tcMar>
              <w:top w:w="15" w:type="dxa"/>
              <w:left w:w="0" w:type="dxa"/>
              <w:bottom w:w="0" w:type="dxa"/>
              <w:right w:w="15" w:type="dxa"/>
            </w:tcMar>
            <w:hideMark/>
          </w:tcPr>
          <w:p w14:paraId="5F4578D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5-15 years</w:t>
            </w:r>
          </w:p>
        </w:tc>
        <w:tc>
          <w:tcPr>
            <w:tcW w:w="83" w:type="pct"/>
            <w:shd w:val="clear" w:color="auto" w:fill="CFF0FC"/>
            <w:tcMar>
              <w:top w:w="15" w:type="dxa"/>
              <w:left w:w="0" w:type="dxa"/>
              <w:bottom w:w="0" w:type="dxa"/>
              <w:right w:w="15" w:type="dxa"/>
            </w:tcMar>
            <w:vAlign w:val="bottom"/>
            <w:hideMark/>
          </w:tcPr>
          <w:p w14:paraId="0738BE0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DDB1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CFF0FC"/>
            <w:noWrap/>
            <w:tcMar>
              <w:top w:w="15" w:type="dxa"/>
              <w:left w:w="0" w:type="dxa"/>
              <w:bottom w:w="0" w:type="dxa"/>
              <w:right w:w="15" w:type="dxa"/>
            </w:tcMar>
            <w:vAlign w:val="bottom"/>
            <w:hideMark/>
          </w:tcPr>
          <w:p w14:paraId="21FC1C3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554</w:t>
            </w:r>
          </w:p>
        </w:tc>
        <w:tc>
          <w:tcPr>
            <w:tcW w:w="50" w:type="pct"/>
            <w:shd w:val="clear" w:color="auto" w:fill="CFF0FC"/>
            <w:noWrap/>
            <w:tcMar>
              <w:top w:w="15" w:type="dxa"/>
              <w:left w:w="0" w:type="dxa"/>
              <w:bottom w:w="0" w:type="dxa"/>
              <w:right w:w="15" w:type="dxa"/>
            </w:tcMar>
            <w:vAlign w:val="bottom"/>
            <w:hideMark/>
          </w:tcPr>
          <w:p w14:paraId="5FD20ED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188F364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2301A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CFF0FC"/>
            <w:noWrap/>
            <w:tcMar>
              <w:top w:w="15" w:type="dxa"/>
              <w:left w:w="0" w:type="dxa"/>
              <w:bottom w:w="0" w:type="dxa"/>
              <w:right w:w="15" w:type="dxa"/>
            </w:tcMar>
            <w:vAlign w:val="bottom"/>
            <w:hideMark/>
          </w:tcPr>
          <w:p w14:paraId="5F039A7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662</w:t>
            </w:r>
          </w:p>
        </w:tc>
        <w:tc>
          <w:tcPr>
            <w:tcW w:w="50" w:type="pct"/>
            <w:shd w:val="clear" w:color="auto" w:fill="CFF0FC"/>
            <w:noWrap/>
            <w:tcMar>
              <w:top w:w="15" w:type="dxa"/>
              <w:left w:w="0" w:type="dxa"/>
              <w:bottom w:w="0" w:type="dxa"/>
              <w:right w:w="15" w:type="dxa"/>
            </w:tcMar>
            <w:vAlign w:val="bottom"/>
            <w:hideMark/>
          </w:tcPr>
          <w:p w14:paraId="284AB56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ED5F0C4" w14:textId="77777777">
        <w:trPr>
          <w:divId w:val="1233078514"/>
          <w:jc w:val="center"/>
        </w:trPr>
        <w:tc>
          <w:tcPr>
            <w:tcW w:w="2461" w:type="pct"/>
            <w:shd w:val="clear" w:color="auto" w:fill="FFFFFF"/>
            <w:tcMar>
              <w:top w:w="15" w:type="dxa"/>
              <w:left w:w="0" w:type="dxa"/>
              <w:bottom w:w="0" w:type="dxa"/>
              <w:right w:w="15" w:type="dxa"/>
            </w:tcMar>
            <w:hideMark/>
          </w:tcPr>
          <w:p w14:paraId="0061CAC7"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Land</w:t>
            </w:r>
          </w:p>
        </w:tc>
        <w:tc>
          <w:tcPr>
            <w:tcW w:w="83" w:type="pct"/>
            <w:shd w:val="clear" w:color="auto" w:fill="FFFFFF"/>
            <w:tcMar>
              <w:top w:w="15" w:type="dxa"/>
              <w:left w:w="0" w:type="dxa"/>
              <w:bottom w:w="0" w:type="dxa"/>
              <w:right w:w="15" w:type="dxa"/>
            </w:tcMar>
            <w:vAlign w:val="bottom"/>
            <w:hideMark/>
          </w:tcPr>
          <w:p w14:paraId="42ACDCC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62" w:type="pct"/>
            <w:shd w:val="clear" w:color="auto" w:fill="FFFFFF"/>
            <w:tcMar>
              <w:top w:w="15" w:type="dxa"/>
              <w:left w:w="0" w:type="dxa"/>
              <w:bottom w:w="0" w:type="dxa"/>
              <w:right w:w="15" w:type="dxa"/>
            </w:tcMar>
            <w:hideMark/>
          </w:tcPr>
          <w:p w14:paraId="7C9DB53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FFFFFF"/>
            <w:tcMar>
              <w:top w:w="15" w:type="dxa"/>
              <w:left w:w="0" w:type="dxa"/>
              <w:bottom w:w="0" w:type="dxa"/>
              <w:right w:w="15" w:type="dxa"/>
            </w:tcMar>
            <w:vAlign w:val="bottom"/>
            <w:hideMark/>
          </w:tcPr>
          <w:p w14:paraId="493F380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5483F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left w:w="0" w:type="dxa"/>
              <w:bottom w:w="0" w:type="dxa"/>
              <w:right w:w="15" w:type="dxa"/>
            </w:tcMar>
            <w:vAlign w:val="bottom"/>
            <w:hideMark/>
          </w:tcPr>
          <w:p w14:paraId="5A57490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896</w:t>
            </w:r>
          </w:p>
        </w:tc>
        <w:tc>
          <w:tcPr>
            <w:tcW w:w="50" w:type="pct"/>
            <w:shd w:val="clear" w:color="auto" w:fill="FFFFFF"/>
            <w:noWrap/>
            <w:tcMar>
              <w:top w:w="15" w:type="dxa"/>
              <w:left w:w="0" w:type="dxa"/>
              <w:bottom w:w="0" w:type="dxa"/>
              <w:right w:w="15" w:type="dxa"/>
            </w:tcMar>
            <w:vAlign w:val="bottom"/>
            <w:hideMark/>
          </w:tcPr>
          <w:p w14:paraId="6199C1D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62AE8B0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188CA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left w:w="0" w:type="dxa"/>
              <w:bottom w:w="0" w:type="dxa"/>
              <w:right w:w="15" w:type="dxa"/>
            </w:tcMar>
            <w:vAlign w:val="bottom"/>
            <w:hideMark/>
          </w:tcPr>
          <w:p w14:paraId="11D86E8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868</w:t>
            </w:r>
          </w:p>
        </w:tc>
        <w:tc>
          <w:tcPr>
            <w:tcW w:w="50" w:type="pct"/>
            <w:shd w:val="clear" w:color="auto" w:fill="FFFFFF"/>
            <w:noWrap/>
            <w:tcMar>
              <w:top w:w="15" w:type="dxa"/>
              <w:left w:w="0" w:type="dxa"/>
              <w:bottom w:w="0" w:type="dxa"/>
              <w:right w:w="15" w:type="dxa"/>
            </w:tcMar>
            <w:vAlign w:val="bottom"/>
            <w:hideMark/>
          </w:tcPr>
          <w:p w14:paraId="37143F8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DD9CC98" w14:textId="77777777">
        <w:trPr>
          <w:divId w:val="1233078514"/>
          <w:jc w:val="center"/>
        </w:trPr>
        <w:tc>
          <w:tcPr>
            <w:tcW w:w="2461" w:type="pct"/>
            <w:shd w:val="clear" w:color="auto" w:fill="CFF0FC"/>
            <w:tcMar>
              <w:top w:w="15" w:type="dxa"/>
              <w:left w:w="0" w:type="dxa"/>
              <w:bottom w:w="0" w:type="dxa"/>
              <w:right w:w="15" w:type="dxa"/>
            </w:tcMar>
            <w:hideMark/>
          </w:tcPr>
          <w:p w14:paraId="10825710"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Construction in progress</w:t>
            </w:r>
          </w:p>
        </w:tc>
        <w:tc>
          <w:tcPr>
            <w:tcW w:w="83" w:type="pct"/>
            <w:shd w:val="clear" w:color="auto" w:fill="CFF0FC"/>
            <w:tcMar>
              <w:top w:w="15" w:type="dxa"/>
              <w:left w:w="0" w:type="dxa"/>
              <w:bottom w:w="0" w:type="dxa"/>
              <w:right w:w="15" w:type="dxa"/>
            </w:tcMar>
            <w:vAlign w:val="bottom"/>
            <w:hideMark/>
          </w:tcPr>
          <w:p w14:paraId="7352BBB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62" w:type="pct"/>
            <w:shd w:val="clear" w:color="auto" w:fill="CFF0FC"/>
            <w:tcMar>
              <w:top w:w="15" w:type="dxa"/>
              <w:left w:w="0" w:type="dxa"/>
              <w:bottom w:w="0" w:type="dxa"/>
              <w:right w:w="15" w:type="dxa"/>
            </w:tcMar>
            <w:hideMark/>
          </w:tcPr>
          <w:p w14:paraId="47F7DFC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CFF0FC"/>
            <w:tcMar>
              <w:top w:w="15" w:type="dxa"/>
              <w:left w:w="0" w:type="dxa"/>
              <w:bottom w:w="0" w:type="dxa"/>
              <w:right w:w="15" w:type="dxa"/>
            </w:tcMar>
            <w:vAlign w:val="bottom"/>
            <w:hideMark/>
          </w:tcPr>
          <w:p w14:paraId="0B4FB03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B2874F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bottom w:val="single" w:sz="6" w:space="0" w:color="000000"/>
            </w:tcBorders>
            <w:shd w:val="clear" w:color="auto" w:fill="CFF0FC"/>
            <w:noWrap/>
            <w:tcMar>
              <w:top w:w="15" w:type="dxa"/>
              <w:left w:w="0" w:type="dxa"/>
              <w:bottom w:w="0" w:type="dxa"/>
              <w:right w:w="15" w:type="dxa"/>
            </w:tcMar>
            <w:vAlign w:val="bottom"/>
            <w:hideMark/>
          </w:tcPr>
          <w:p w14:paraId="2A1CF88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158</w:t>
            </w:r>
          </w:p>
        </w:tc>
        <w:tc>
          <w:tcPr>
            <w:tcW w:w="50" w:type="pct"/>
            <w:shd w:val="clear" w:color="auto" w:fill="CFF0FC"/>
            <w:noWrap/>
            <w:tcMar>
              <w:top w:w="15" w:type="dxa"/>
              <w:left w:w="0" w:type="dxa"/>
              <w:bottom w:w="0" w:type="dxa"/>
              <w:right w:w="15" w:type="dxa"/>
            </w:tcMar>
            <w:vAlign w:val="bottom"/>
            <w:hideMark/>
          </w:tcPr>
          <w:p w14:paraId="3477657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637BEA2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3D1EFC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bottom w:val="single" w:sz="6" w:space="0" w:color="000000"/>
            </w:tcBorders>
            <w:shd w:val="clear" w:color="auto" w:fill="CFF0FC"/>
            <w:noWrap/>
            <w:tcMar>
              <w:top w:w="15" w:type="dxa"/>
              <w:left w:w="0" w:type="dxa"/>
              <w:bottom w:w="0" w:type="dxa"/>
              <w:right w:w="15" w:type="dxa"/>
            </w:tcMar>
            <w:vAlign w:val="bottom"/>
            <w:hideMark/>
          </w:tcPr>
          <w:p w14:paraId="47E8351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229</w:t>
            </w:r>
          </w:p>
        </w:tc>
        <w:tc>
          <w:tcPr>
            <w:tcW w:w="50" w:type="pct"/>
            <w:shd w:val="clear" w:color="auto" w:fill="CFF0FC"/>
            <w:noWrap/>
            <w:tcMar>
              <w:top w:w="15" w:type="dxa"/>
              <w:left w:w="0" w:type="dxa"/>
              <w:bottom w:w="0" w:type="dxa"/>
              <w:right w:w="15" w:type="dxa"/>
            </w:tcMar>
            <w:vAlign w:val="bottom"/>
            <w:hideMark/>
          </w:tcPr>
          <w:p w14:paraId="324A0CC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78A500B" w14:textId="77777777">
        <w:trPr>
          <w:divId w:val="1233078514"/>
          <w:jc w:val="center"/>
        </w:trPr>
        <w:tc>
          <w:tcPr>
            <w:tcW w:w="2461" w:type="pct"/>
            <w:shd w:val="clear" w:color="auto" w:fill="FFFFFF"/>
            <w:tcMar>
              <w:top w:w="15" w:type="dxa"/>
              <w:left w:w="0" w:type="dxa"/>
              <w:bottom w:w="0" w:type="dxa"/>
              <w:right w:w="15" w:type="dxa"/>
            </w:tcMar>
            <w:hideMark/>
          </w:tcPr>
          <w:p w14:paraId="078ABEEF" w14:textId="77777777" w:rsidR="00251D72" w:rsidRDefault="00251D72">
            <w:pPr>
              <w:pStyle w:val="a3"/>
              <w:spacing w:before="0" w:beforeAutospacing="0" w:after="0" w:afterAutospacing="0"/>
              <w:ind w:left="547" w:hanging="144"/>
              <w:rPr>
                <w:rFonts w:ascii="Calibri" w:hAnsi="Calibri" w:cs="Calibri"/>
                <w:color w:val="000000"/>
                <w:sz w:val="20"/>
                <w:szCs w:val="20"/>
              </w:rPr>
            </w:pPr>
            <w:r>
              <w:rPr>
                <w:rFonts w:ascii="Calibri" w:hAnsi="Calibri" w:cs="Calibri"/>
                <w:color w:val="000000"/>
                <w:sz w:val="20"/>
                <w:szCs w:val="20"/>
              </w:rPr>
              <w:t>Total property, plant and equipment</w:t>
            </w:r>
          </w:p>
        </w:tc>
        <w:tc>
          <w:tcPr>
            <w:tcW w:w="83" w:type="pct"/>
            <w:shd w:val="clear" w:color="auto" w:fill="FFFFFF"/>
            <w:tcMar>
              <w:top w:w="15" w:type="dxa"/>
              <w:left w:w="0" w:type="dxa"/>
              <w:bottom w:w="0" w:type="dxa"/>
              <w:right w:w="15" w:type="dxa"/>
            </w:tcMar>
            <w:vAlign w:val="bottom"/>
            <w:hideMark/>
          </w:tcPr>
          <w:p w14:paraId="70CB96E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62" w:type="pct"/>
            <w:shd w:val="clear" w:color="auto" w:fill="FFFFFF"/>
            <w:tcMar>
              <w:top w:w="15" w:type="dxa"/>
              <w:left w:w="0" w:type="dxa"/>
              <w:bottom w:w="0" w:type="dxa"/>
              <w:right w:w="15" w:type="dxa"/>
            </w:tcMar>
            <w:hideMark/>
          </w:tcPr>
          <w:p w14:paraId="4D6867E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1-40 years</w:t>
            </w:r>
          </w:p>
        </w:tc>
        <w:tc>
          <w:tcPr>
            <w:tcW w:w="83" w:type="pct"/>
            <w:shd w:val="clear" w:color="auto" w:fill="FFFFFF"/>
            <w:tcMar>
              <w:top w:w="15" w:type="dxa"/>
              <w:left w:w="0" w:type="dxa"/>
              <w:bottom w:w="0" w:type="dxa"/>
              <w:right w:w="15" w:type="dxa"/>
            </w:tcMar>
            <w:vAlign w:val="bottom"/>
            <w:hideMark/>
          </w:tcPr>
          <w:p w14:paraId="39677A1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1C478E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top w:val="single" w:sz="6" w:space="0" w:color="000000"/>
            </w:tcBorders>
            <w:shd w:val="clear" w:color="auto" w:fill="FFFFFF"/>
            <w:noWrap/>
            <w:tcMar>
              <w:top w:w="15" w:type="dxa"/>
              <w:left w:w="0" w:type="dxa"/>
              <w:bottom w:w="0" w:type="dxa"/>
              <w:right w:w="15" w:type="dxa"/>
            </w:tcMar>
            <w:vAlign w:val="bottom"/>
            <w:hideMark/>
          </w:tcPr>
          <w:p w14:paraId="795F5C5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13,075</w:t>
            </w:r>
          </w:p>
        </w:tc>
        <w:tc>
          <w:tcPr>
            <w:tcW w:w="50" w:type="pct"/>
            <w:shd w:val="clear" w:color="auto" w:fill="FFFFFF"/>
            <w:noWrap/>
            <w:tcMar>
              <w:top w:w="15" w:type="dxa"/>
              <w:left w:w="0" w:type="dxa"/>
              <w:bottom w:w="0" w:type="dxa"/>
              <w:right w:w="15" w:type="dxa"/>
            </w:tcMar>
            <w:vAlign w:val="bottom"/>
            <w:hideMark/>
          </w:tcPr>
          <w:p w14:paraId="5A6612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18F2E27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8E649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top w:val="single" w:sz="6" w:space="0" w:color="000000"/>
            </w:tcBorders>
            <w:shd w:val="clear" w:color="auto" w:fill="FFFFFF"/>
            <w:noWrap/>
            <w:tcMar>
              <w:top w:w="15" w:type="dxa"/>
              <w:left w:w="0" w:type="dxa"/>
              <w:bottom w:w="0" w:type="dxa"/>
              <w:right w:w="15" w:type="dxa"/>
            </w:tcMar>
            <w:vAlign w:val="bottom"/>
            <w:hideMark/>
          </w:tcPr>
          <w:p w14:paraId="75A3053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11,808</w:t>
            </w:r>
          </w:p>
        </w:tc>
        <w:tc>
          <w:tcPr>
            <w:tcW w:w="50" w:type="pct"/>
            <w:shd w:val="clear" w:color="auto" w:fill="FFFFFF"/>
            <w:noWrap/>
            <w:tcMar>
              <w:top w:w="15" w:type="dxa"/>
              <w:left w:w="0" w:type="dxa"/>
              <w:bottom w:w="0" w:type="dxa"/>
              <w:right w:w="15" w:type="dxa"/>
            </w:tcMar>
            <w:vAlign w:val="bottom"/>
            <w:hideMark/>
          </w:tcPr>
          <w:p w14:paraId="0A0B1DF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2E19CDF" w14:textId="77777777">
        <w:trPr>
          <w:divId w:val="1233078514"/>
          <w:jc w:val="center"/>
        </w:trPr>
        <w:tc>
          <w:tcPr>
            <w:tcW w:w="2461" w:type="pct"/>
            <w:shd w:val="clear" w:color="auto" w:fill="CFF0FC"/>
            <w:tcMar>
              <w:top w:w="15" w:type="dxa"/>
              <w:left w:w="0" w:type="dxa"/>
              <w:bottom w:w="0" w:type="dxa"/>
              <w:right w:w="15" w:type="dxa"/>
            </w:tcMar>
            <w:hideMark/>
          </w:tcPr>
          <w:p w14:paraId="402DADB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Accumulated depreciation</w:t>
            </w:r>
          </w:p>
        </w:tc>
        <w:tc>
          <w:tcPr>
            <w:tcW w:w="83" w:type="pct"/>
            <w:shd w:val="clear" w:color="auto" w:fill="CFF0FC"/>
            <w:tcMar>
              <w:top w:w="15" w:type="dxa"/>
              <w:left w:w="0" w:type="dxa"/>
              <w:bottom w:w="0" w:type="dxa"/>
              <w:right w:w="15" w:type="dxa"/>
            </w:tcMar>
            <w:vAlign w:val="bottom"/>
            <w:hideMark/>
          </w:tcPr>
          <w:p w14:paraId="336EC2D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62" w:type="pct"/>
            <w:shd w:val="clear" w:color="auto" w:fill="CFF0FC"/>
            <w:tcMar>
              <w:top w:w="15" w:type="dxa"/>
              <w:left w:w="0" w:type="dxa"/>
              <w:bottom w:w="0" w:type="dxa"/>
              <w:right w:w="15" w:type="dxa"/>
            </w:tcMar>
            <w:hideMark/>
          </w:tcPr>
          <w:p w14:paraId="3B34844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left w:w="0" w:type="dxa"/>
              <w:bottom w:w="0" w:type="dxa"/>
              <w:right w:w="15" w:type="dxa"/>
            </w:tcMar>
            <w:vAlign w:val="bottom"/>
            <w:hideMark/>
          </w:tcPr>
          <w:p w14:paraId="68C33BA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D582A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bottom w:val="single" w:sz="6" w:space="0" w:color="000000"/>
            </w:tcBorders>
            <w:shd w:val="clear" w:color="auto" w:fill="CFF0FC"/>
            <w:noWrap/>
            <w:tcMar>
              <w:top w:w="15" w:type="dxa"/>
              <w:left w:w="0" w:type="dxa"/>
              <w:bottom w:w="0" w:type="dxa"/>
              <w:right w:w="15" w:type="dxa"/>
            </w:tcMar>
            <w:vAlign w:val="bottom"/>
            <w:hideMark/>
          </w:tcPr>
          <w:p w14:paraId="2E018DC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(6,823</w:t>
            </w:r>
          </w:p>
        </w:tc>
        <w:tc>
          <w:tcPr>
            <w:tcW w:w="50" w:type="pct"/>
            <w:shd w:val="clear" w:color="auto" w:fill="CFF0FC"/>
            <w:noWrap/>
            <w:tcMar>
              <w:top w:w="15" w:type="dxa"/>
              <w:left w:w="0" w:type="dxa"/>
              <w:bottom w:w="0" w:type="dxa"/>
              <w:right w:w="15" w:type="dxa"/>
            </w:tcMar>
            <w:vAlign w:val="bottom"/>
            <w:hideMark/>
          </w:tcPr>
          <w:p w14:paraId="0CA971C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CFF0FC"/>
            <w:tcMar>
              <w:top w:w="15" w:type="dxa"/>
              <w:left w:w="0" w:type="dxa"/>
              <w:bottom w:w="0" w:type="dxa"/>
              <w:right w:w="15" w:type="dxa"/>
            </w:tcMar>
            <w:vAlign w:val="bottom"/>
            <w:hideMark/>
          </w:tcPr>
          <w:p w14:paraId="5B7E884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03EF35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bottom w:val="single" w:sz="6" w:space="0" w:color="000000"/>
            </w:tcBorders>
            <w:shd w:val="clear" w:color="auto" w:fill="CFF0FC"/>
            <w:noWrap/>
            <w:tcMar>
              <w:top w:w="15" w:type="dxa"/>
              <w:left w:w="0" w:type="dxa"/>
              <w:bottom w:w="0" w:type="dxa"/>
              <w:right w:w="15" w:type="dxa"/>
            </w:tcMar>
            <w:vAlign w:val="bottom"/>
            <w:hideMark/>
          </w:tcPr>
          <w:p w14:paraId="2A0A51D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(5,911</w:t>
            </w:r>
          </w:p>
        </w:tc>
        <w:tc>
          <w:tcPr>
            <w:tcW w:w="50" w:type="pct"/>
            <w:shd w:val="clear" w:color="auto" w:fill="CFF0FC"/>
            <w:noWrap/>
            <w:tcMar>
              <w:top w:w="15" w:type="dxa"/>
              <w:left w:w="0" w:type="dxa"/>
              <w:bottom w:w="0" w:type="dxa"/>
              <w:right w:w="15" w:type="dxa"/>
            </w:tcMar>
            <w:vAlign w:val="bottom"/>
            <w:hideMark/>
          </w:tcPr>
          <w:p w14:paraId="68F3250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61DF8AEE" w14:textId="77777777">
        <w:trPr>
          <w:divId w:val="1233078514"/>
          <w:jc w:val="center"/>
        </w:trPr>
        <w:tc>
          <w:tcPr>
            <w:tcW w:w="2461" w:type="pct"/>
            <w:shd w:val="clear" w:color="auto" w:fill="FFFFFF"/>
            <w:tcMar>
              <w:top w:w="15" w:type="dxa"/>
              <w:left w:w="0" w:type="dxa"/>
              <w:bottom w:w="0" w:type="dxa"/>
              <w:right w:w="15" w:type="dxa"/>
            </w:tcMar>
            <w:hideMark/>
          </w:tcPr>
          <w:p w14:paraId="344BEA7C" w14:textId="77777777" w:rsidR="00251D72" w:rsidRDefault="00251D72">
            <w:pPr>
              <w:pStyle w:val="a3"/>
              <w:spacing w:before="0" w:beforeAutospacing="0" w:after="0" w:afterAutospacing="0"/>
              <w:ind w:left="547" w:hanging="144"/>
              <w:rPr>
                <w:rFonts w:ascii="Calibri" w:hAnsi="Calibri" w:cs="Calibri"/>
                <w:color w:val="000000"/>
                <w:sz w:val="20"/>
                <w:szCs w:val="20"/>
              </w:rPr>
            </w:pPr>
            <w:r>
              <w:rPr>
                <w:rFonts w:ascii="Calibri" w:hAnsi="Calibri" w:cs="Calibri"/>
                <w:color w:val="000000"/>
                <w:sz w:val="20"/>
                <w:szCs w:val="20"/>
              </w:rPr>
              <w:t>Total property, plant and equipment, net</w:t>
            </w:r>
          </w:p>
        </w:tc>
        <w:tc>
          <w:tcPr>
            <w:tcW w:w="83" w:type="pct"/>
            <w:shd w:val="clear" w:color="auto" w:fill="FFFFFF"/>
            <w:tcMar>
              <w:top w:w="15" w:type="dxa"/>
              <w:left w:w="0" w:type="dxa"/>
              <w:bottom w:w="0" w:type="dxa"/>
              <w:right w:w="15" w:type="dxa"/>
            </w:tcMar>
            <w:vAlign w:val="bottom"/>
            <w:hideMark/>
          </w:tcPr>
          <w:p w14:paraId="5F6F57D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62" w:type="pct"/>
            <w:shd w:val="clear" w:color="auto" w:fill="FFFFFF"/>
            <w:tcMar>
              <w:top w:w="15" w:type="dxa"/>
              <w:left w:w="0" w:type="dxa"/>
              <w:bottom w:w="0" w:type="dxa"/>
              <w:right w:w="15" w:type="dxa"/>
            </w:tcMar>
            <w:hideMark/>
          </w:tcPr>
          <w:p w14:paraId="4D8A7155"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532A9E9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14245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C1CFC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6,252</w:t>
            </w:r>
          </w:p>
        </w:tc>
        <w:tc>
          <w:tcPr>
            <w:tcW w:w="50" w:type="pct"/>
            <w:shd w:val="clear" w:color="auto" w:fill="FFFFFF"/>
            <w:noWrap/>
            <w:tcMar>
              <w:top w:w="15" w:type="dxa"/>
              <w:left w:w="0" w:type="dxa"/>
              <w:bottom w:w="0" w:type="dxa"/>
              <w:right w:w="15" w:type="dxa"/>
            </w:tcMar>
            <w:vAlign w:val="bottom"/>
            <w:hideMark/>
          </w:tcPr>
          <w:p w14:paraId="764CE06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left w:w="0" w:type="dxa"/>
              <w:bottom w:w="0" w:type="dxa"/>
              <w:right w:w="15" w:type="dxa"/>
            </w:tcMar>
            <w:vAlign w:val="bottom"/>
            <w:hideMark/>
          </w:tcPr>
          <w:p w14:paraId="7E49CAD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F6E0C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1A5AA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5,897</w:t>
            </w:r>
          </w:p>
        </w:tc>
        <w:tc>
          <w:tcPr>
            <w:tcW w:w="50" w:type="pct"/>
            <w:shd w:val="clear" w:color="auto" w:fill="FFFFFF"/>
            <w:noWrap/>
            <w:tcMar>
              <w:top w:w="15" w:type="dxa"/>
              <w:left w:w="0" w:type="dxa"/>
              <w:bottom w:w="0" w:type="dxa"/>
              <w:right w:w="15" w:type="dxa"/>
            </w:tcMar>
            <w:vAlign w:val="bottom"/>
            <w:hideMark/>
          </w:tcPr>
          <w:p w14:paraId="2714BE91"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57E1A686" w14:textId="77777777" w:rsidR="00251D72" w:rsidRDefault="00251D72">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251D72" w14:paraId="0EDD93B7" w14:textId="77777777">
        <w:tc>
          <w:tcPr>
            <w:tcW w:w="262" w:type="pct"/>
            <w:noWrap/>
            <w:hideMark/>
          </w:tcPr>
          <w:p w14:paraId="06BE4943" w14:textId="77777777" w:rsidR="00251D72" w:rsidRDefault="00251D72">
            <w:pPr>
              <w:pStyle w:val="a3"/>
              <w:spacing w:before="120" w:beforeAutospacing="0" w:after="0" w:afterAutospacing="0"/>
              <w:rPr>
                <w:rFonts w:ascii="Calibri" w:hAnsi="Calibri" w:cs="Calibri"/>
                <w:b/>
                <w:bCs/>
                <w:sz w:val="20"/>
                <w:szCs w:val="20"/>
              </w:rPr>
            </w:pPr>
            <w:r>
              <w:rPr>
                <w:rFonts w:ascii="Calibri" w:hAnsi="Calibri" w:cs="Calibri"/>
                <w:b/>
                <w:bCs/>
                <w:sz w:val="20"/>
                <w:szCs w:val="20"/>
              </w:rPr>
              <w:t>6.</w:t>
            </w:r>
          </w:p>
        </w:tc>
        <w:tc>
          <w:tcPr>
            <w:tcW w:w="0" w:type="auto"/>
            <w:hideMark/>
          </w:tcPr>
          <w:p w14:paraId="4D0D3601" w14:textId="77777777" w:rsidR="00251D72" w:rsidRDefault="00251D72">
            <w:pPr>
              <w:pStyle w:val="a3"/>
              <w:spacing w:before="120" w:beforeAutospacing="0" w:after="0" w:afterAutospacing="0"/>
              <w:rPr>
                <w:rFonts w:ascii="Calibri" w:hAnsi="Calibri" w:cs="Calibri"/>
                <w:b/>
                <w:bCs/>
                <w:sz w:val="20"/>
                <w:szCs w:val="20"/>
              </w:rPr>
            </w:pPr>
            <w:r>
              <w:rPr>
                <w:rFonts w:ascii="Calibri" w:hAnsi="Calibri" w:cs="Calibri"/>
                <w:b/>
                <w:bCs/>
                <w:sz w:val="20"/>
                <w:szCs w:val="20"/>
              </w:rPr>
              <w:t>INTANGIBLE ASSETS AND GOODWILL</w:t>
            </w:r>
          </w:p>
        </w:tc>
      </w:tr>
    </w:tbl>
    <w:p w14:paraId="657894A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changes in intangible assets for fiscal 2019 and the net book value of intangible assets as of May 31, 2019 and 2018 were as follows:</w:t>
      </w:r>
    </w:p>
    <w:p w14:paraId="5DEC3F02"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1049"/>
        <w:gridCol w:w="52"/>
        <w:gridCol w:w="94"/>
        <w:gridCol w:w="447"/>
        <w:gridCol w:w="51"/>
        <w:gridCol w:w="51"/>
        <w:gridCol w:w="123"/>
        <w:gridCol w:w="559"/>
        <w:gridCol w:w="63"/>
        <w:gridCol w:w="51"/>
        <w:gridCol w:w="119"/>
        <w:gridCol w:w="542"/>
        <w:gridCol w:w="62"/>
        <w:gridCol w:w="51"/>
        <w:gridCol w:w="94"/>
        <w:gridCol w:w="447"/>
        <w:gridCol w:w="51"/>
        <w:gridCol w:w="51"/>
        <w:gridCol w:w="94"/>
        <w:gridCol w:w="415"/>
        <w:gridCol w:w="62"/>
        <w:gridCol w:w="51"/>
        <w:gridCol w:w="94"/>
        <w:gridCol w:w="415"/>
        <w:gridCol w:w="62"/>
        <w:gridCol w:w="51"/>
        <w:gridCol w:w="119"/>
        <w:gridCol w:w="542"/>
        <w:gridCol w:w="51"/>
        <w:gridCol w:w="51"/>
        <w:gridCol w:w="94"/>
        <w:gridCol w:w="415"/>
        <w:gridCol w:w="62"/>
        <w:gridCol w:w="51"/>
        <w:gridCol w:w="94"/>
        <w:gridCol w:w="369"/>
        <w:gridCol w:w="51"/>
        <w:gridCol w:w="51"/>
        <w:gridCol w:w="94"/>
        <w:gridCol w:w="369"/>
        <w:gridCol w:w="51"/>
        <w:gridCol w:w="51"/>
        <w:gridCol w:w="93"/>
        <w:gridCol w:w="434"/>
        <w:gridCol w:w="63"/>
      </w:tblGrid>
      <w:tr w:rsidR="00251D72" w14:paraId="53D7D1B2" w14:textId="77777777">
        <w:trPr>
          <w:divId w:val="1549104720"/>
          <w:jc w:val="center"/>
        </w:trPr>
        <w:tc>
          <w:tcPr>
            <w:tcW w:w="961" w:type="pct"/>
            <w:shd w:val="clear" w:color="auto" w:fill="FFFFFF"/>
            <w:tcMar>
              <w:top w:w="15" w:type="dxa"/>
              <w:left w:w="0" w:type="dxa"/>
              <w:bottom w:w="0" w:type="dxa"/>
              <w:right w:w="15" w:type="dxa"/>
            </w:tcMar>
            <w:vAlign w:val="bottom"/>
            <w:hideMark/>
          </w:tcPr>
          <w:p w14:paraId="4B3A163A" w14:textId="77777777" w:rsidR="00251D72" w:rsidRDefault="00251D72">
            <w:pPr>
              <w:pStyle w:val="a3"/>
              <w:spacing w:before="0" w:beforeAutospacing="0" w:after="0" w:afterAutospacing="0"/>
              <w:rPr>
                <w:sz w:val="20"/>
                <w:szCs w:val="20"/>
              </w:rPr>
            </w:pPr>
            <w:r>
              <w:rPr>
                <w:sz w:val="20"/>
                <w:szCs w:val="20"/>
              </w:rPr>
              <w:t> </w:t>
            </w:r>
          </w:p>
        </w:tc>
        <w:tc>
          <w:tcPr>
            <w:tcW w:w="34" w:type="pct"/>
            <w:shd w:val="clear" w:color="auto" w:fill="FFFFFF"/>
            <w:tcMar>
              <w:top w:w="15" w:type="dxa"/>
              <w:left w:w="0" w:type="dxa"/>
              <w:bottom w:w="0" w:type="dxa"/>
              <w:right w:w="15" w:type="dxa"/>
            </w:tcMar>
            <w:vAlign w:val="bottom"/>
            <w:hideMark/>
          </w:tcPr>
          <w:p w14:paraId="0E739B7F"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1423" w:type="pct"/>
            <w:gridSpan w:val="14"/>
            <w:tcBorders>
              <w:bottom w:val="single" w:sz="6" w:space="0" w:color="000000"/>
            </w:tcBorders>
            <w:shd w:val="clear" w:color="auto" w:fill="FFFFFF"/>
            <w:tcMar>
              <w:top w:w="15" w:type="dxa"/>
              <w:left w:w="0" w:type="dxa"/>
              <w:bottom w:w="0" w:type="dxa"/>
              <w:right w:w="15" w:type="dxa"/>
            </w:tcMar>
            <w:vAlign w:val="bottom"/>
            <w:hideMark/>
          </w:tcPr>
          <w:p w14:paraId="0421043F"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Intangible Assets, Gross</w:t>
            </w:r>
          </w:p>
        </w:tc>
        <w:tc>
          <w:tcPr>
            <w:tcW w:w="47" w:type="pct"/>
            <w:shd w:val="clear" w:color="auto" w:fill="FFFFFF"/>
            <w:noWrap/>
            <w:tcMar>
              <w:top w:w="15" w:type="dxa"/>
              <w:left w:w="0" w:type="dxa"/>
              <w:bottom w:w="0" w:type="dxa"/>
              <w:right w:w="15" w:type="dxa"/>
            </w:tcMar>
            <w:vAlign w:val="bottom"/>
            <w:hideMark/>
          </w:tcPr>
          <w:p w14:paraId="01ACA5B4" w14:textId="77777777" w:rsidR="00251D72" w:rsidRDefault="00251D72">
            <w:pPr>
              <w:pStyle w:val="a3"/>
              <w:spacing w:before="0" w:beforeAutospacing="0" w:after="0" w:afterAutospacing="0"/>
              <w:rPr>
                <w:rFonts w:ascii="Calibri" w:hAnsi="Calibri" w:cs="Calibri"/>
                <w:b/>
                <w:bCs/>
                <w:color w:val="000000"/>
                <w:sz w:val="11"/>
                <w:szCs w:val="11"/>
              </w:rPr>
            </w:pPr>
            <w:r>
              <w:rPr>
                <w:rFonts w:ascii="Calibri" w:hAnsi="Calibri" w:cs="Calibri"/>
                <w:b/>
                <w:bCs/>
                <w:color w:val="000000"/>
                <w:sz w:val="11"/>
                <w:szCs w:val="11"/>
              </w:rPr>
              <w:t> </w:t>
            </w:r>
          </w:p>
        </w:tc>
        <w:tc>
          <w:tcPr>
            <w:tcW w:w="34" w:type="pct"/>
            <w:shd w:val="clear" w:color="auto" w:fill="FFFFFF"/>
            <w:tcMar>
              <w:top w:w="15" w:type="dxa"/>
              <w:left w:w="0" w:type="dxa"/>
              <w:bottom w:w="0" w:type="dxa"/>
              <w:right w:w="15" w:type="dxa"/>
            </w:tcMar>
            <w:vAlign w:val="bottom"/>
            <w:hideMark/>
          </w:tcPr>
          <w:p w14:paraId="575DA270"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1380" w:type="pct"/>
            <w:gridSpan w:val="14"/>
            <w:tcBorders>
              <w:bottom w:val="single" w:sz="6" w:space="0" w:color="000000"/>
            </w:tcBorders>
            <w:shd w:val="clear" w:color="auto" w:fill="FFFFFF"/>
            <w:tcMar>
              <w:top w:w="15" w:type="dxa"/>
              <w:left w:w="0" w:type="dxa"/>
              <w:bottom w:w="0" w:type="dxa"/>
              <w:right w:w="15" w:type="dxa"/>
            </w:tcMar>
            <w:vAlign w:val="bottom"/>
            <w:hideMark/>
          </w:tcPr>
          <w:p w14:paraId="3E2D776F"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Accumulated Amortization</w:t>
            </w:r>
          </w:p>
        </w:tc>
        <w:tc>
          <w:tcPr>
            <w:tcW w:w="47" w:type="pct"/>
            <w:shd w:val="clear" w:color="auto" w:fill="FFFFFF"/>
            <w:noWrap/>
            <w:tcMar>
              <w:top w:w="15" w:type="dxa"/>
              <w:left w:w="0" w:type="dxa"/>
              <w:bottom w:w="0" w:type="dxa"/>
              <w:right w:w="15" w:type="dxa"/>
            </w:tcMar>
            <w:vAlign w:val="bottom"/>
            <w:hideMark/>
          </w:tcPr>
          <w:p w14:paraId="714BB882" w14:textId="77777777" w:rsidR="00251D72" w:rsidRDefault="00251D72">
            <w:pPr>
              <w:pStyle w:val="a3"/>
              <w:spacing w:before="0" w:beforeAutospacing="0" w:after="0" w:afterAutospacing="0"/>
              <w:rPr>
                <w:rFonts w:ascii="Calibri" w:hAnsi="Calibri" w:cs="Calibri"/>
                <w:b/>
                <w:bCs/>
                <w:color w:val="000000"/>
                <w:sz w:val="11"/>
                <w:szCs w:val="11"/>
              </w:rPr>
            </w:pPr>
            <w:r>
              <w:rPr>
                <w:rFonts w:ascii="Calibri" w:hAnsi="Calibri" w:cs="Calibri"/>
                <w:b/>
                <w:bCs/>
                <w:color w:val="000000"/>
                <w:sz w:val="11"/>
                <w:szCs w:val="11"/>
              </w:rPr>
              <w:t> </w:t>
            </w:r>
          </w:p>
        </w:tc>
        <w:tc>
          <w:tcPr>
            <w:tcW w:w="34" w:type="pct"/>
            <w:shd w:val="clear" w:color="auto" w:fill="FFFFFF"/>
            <w:tcMar>
              <w:top w:w="15" w:type="dxa"/>
              <w:left w:w="0" w:type="dxa"/>
              <w:bottom w:w="0" w:type="dxa"/>
              <w:right w:w="15" w:type="dxa"/>
            </w:tcMar>
            <w:vAlign w:val="bottom"/>
            <w:hideMark/>
          </w:tcPr>
          <w:p w14:paraId="00F2559B" w14:textId="77777777" w:rsidR="00251D72" w:rsidRDefault="00251D72">
            <w:pPr>
              <w:pStyle w:val="a3"/>
              <w:spacing w:before="0" w:beforeAutospacing="0" w:after="0" w:afterAutospacing="0"/>
              <w:rPr>
                <w:rFonts w:ascii="Calibri" w:hAnsi="Calibri" w:cs="Calibri"/>
                <w:color w:val="000000"/>
                <w:sz w:val="13"/>
                <w:szCs w:val="13"/>
              </w:rPr>
            </w:pPr>
            <w:r>
              <w:rPr>
                <w:rFonts w:ascii="Calibri" w:hAnsi="Calibri" w:cs="Calibri"/>
                <w:color w:val="000000"/>
                <w:sz w:val="13"/>
                <w:szCs w:val="13"/>
              </w:rPr>
              <w:t> </w:t>
            </w:r>
          </w:p>
        </w:tc>
        <w:tc>
          <w:tcPr>
            <w:tcW w:w="635" w:type="pct"/>
            <w:gridSpan w:val="6"/>
            <w:tcBorders>
              <w:bottom w:val="single" w:sz="6" w:space="0" w:color="000000"/>
            </w:tcBorders>
            <w:shd w:val="clear" w:color="auto" w:fill="FFFFFF"/>
            <w:tcMar>
              <w:top w:w="15" w:type="dxa"/>
              <w:left w:w="0" w:type="dxa"/>
              <w:bottom w:w="0" w:type="dxa"/>
              <w:right w:w="15" w:type="dxa"/>
            </w:tcMar>
            <w:vAlign w:val="bottom"/>
            <w:hideMark/>
          </w:tcPr>
          <w:p w14:paraId="6BCAD0E1"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Intangible Assets, Net</w:t>
            </w:r>
          </w:p>
        </w:tc>
        <w:tc>
          <w:tcPr>
            <w:tcW w:w="48" w:type="pct"/>
            <w:shd w:val="clear" w:color="auto" w:fill="FFFFFF"/>
            <w:noWrap/>
            <w:tcMar>
              <w:top w:w="15" w:type="dxa"/>
              <w:left w:w="0" w:type="dxa"/>
              <w:bottom w:w="0" w:type="dxa"/>
              <w:right w:w="15" w:type="dxa"/>
            </w:tcMar>
            <w:vAlign w:val="bottom"/>
            <w:hideMark/>
          </w:tcPr>
          <w:p w14:paraId="5EBC4312" w14:textId="77777777" w:rsidR="00251D72" w:rsidRDefault="00251D72">
            <w:pPr>
              <w:pStyle w:val="a3"/>
              <w:spacing w:before="0" w:beforeAutospacing="0" w:after="0" w:afterAutospacing="0"/>
              <w:rPr>
                <w:rFonts w:ascii="Calibri" w:hAnsi="Calibri" w:cs="Calibri"/>
                <w:b/>
                <w:bCs/>
                <w:color w:val="000000"/>
                <w:sz w:val="11"/>
                <w:szCs w:val="11"/>
              </w:rPr>
            </w:pPr>
            <w:r>
              <w:rPr>
                <w:rFonts w:ascii="Calibri" w:hAnsi="Calibri" w:cs="Calibri"/>
                <w:b/>
                <w:bCs/>
                <w:color w:val="000000"/>
                <w:sz w:val="11"/>
                <w:szCs w:val="11"/>
              </w:rPr>
              <w:t> </w:t>
            </w:r>
          </w:p>
        </w:tc>
        <w:tc>
          <w:tcPr>
            <w:tcW w:w="34" w:type="pct"/>
            <w:shd w:val="clear" w:color="auto" w:fill="FFFFFF"/>
            <w:tcMar>
              <w:top w:w="15" w:type="dxa"/>
              <w:left w:w="0" w:type="dxa"/>
              <w:bottom w:w="0" w:type="dxa"/>
              <w:right w:w="15" w:type="dxa"/>
            </w:tcMar>
            <w:vAlign w:val="bottom"/>
            <w:hideMark/>
          </w:tcPr>
          <w:p w14:paraId="7765EE2A" w14:textId="77777777" w:rsidR="00251D72" w:rsidRDefault="00251D72">
            <w:pPr>
              <w:pStyle w:val="a3"/>
              <w:spacing w:before="0" w:beforeAutospacing="0" w:after="0" w:afterAutospacing="0"/>
              <w:rPr>
                <w:rFonts w:ascii="Calibri" w:hAnsi="Calibri" w:cs="Calibri"/>
                <w:color w:val="000000"/>
                <w:sz w:val="11"/>
                <w:szCs w:val="11"/>
              </w:rPr>
            </w:pPr>
            <w:r>
              <w:rPr>
                <w:rFonts w:ascii="Calibri" w:hAnsi="Calibri" w:cs="Calibri"/>
                <w:color w:val="000000"/>
                <w:sz w:val="11"/>
                <w:szCs w:val="11"/>
              </w:rPr>
              <w:t> </w:t>
            </w:r>
          </w:p>
        </w:tc>
        <w:tc>
          <w:tcPr>
            <w:tcW w:w="276" w:type="pct"/>
            <w:gridSpan w:val="2"/>
            <w:vMerge w:val="restart"/>
            <w:shd w:val="clear" w:color="auto" w:fill="FFFFFF"/>
            <w:tcMar>
              <w:top w:w="15" w:type="dxa"/>
              <w:left w:w="0" w:type="dxa"/>
              <w:bottom w:w="0" w:type="dxa"/>
              <w:right w:w="15" w:type="dxa"/>
            </w:tcMar>
            <w:vAlign w:val="bottom"/>
            <w:hideMark/>
          </w:tcPr>
          <w:p w14:paraId="1C6EBF4A"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Weighted</w:t>
            </w:r>
          </w:p>
          <w:p w14:paraId="5FAD4170"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Average</w:t>
            </w:r>
          </w:p>
          <w:p w14:paraId="14B45170"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Useful</w:t>
            </w:r>
          </w:p>
          <w:p w14:paraId="64A4F0CE"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Life</w:t>
            </w:r>
            <w:r>
              <w:rPr>
                <w:rFonts w:ascii="Calibri" w:hAnsi="Calibri" w:cs="Calibri"/>
                <w:b/>
                <w:bCs/>
                <w:color w:val="000000"/>
                <w:sz w:val="11"/>
                <w:szCs w:val="11"/>
                <w:vertAlign w:val="superscript"/>
              </w:rPr>
              <w:t>(2)</w:t>
            </w:r>
          </w:p>
        </w:tc>
        <w:tc>
          <w:tcPr>
            <w:tcW w:w="48" w:type="pct"/>
            <w:shd w:val="clear" w:color="auto" w:fill="FFFFFF"/>
            <w:noWrap/>
            <w:tcMar>
              <w:top w:w="15" w:type="dxa"/>
              <w:left w:w="0" w:type="dxa"/>
              <w:bottom w:w="0" w:type="dxa"/>
              <w:right w:w="15" w:type="dxa"/>
            </w:tcMar>
            <w:vAlign w:val="bottom"/>
            <w:hideMark/>
          </w:tcPr>
          <w:p w14:paraId="26B6F4BE" w14:textId="77777777" w:rsidR="00251D72" w:rsidRDefault="00251D72">
            <w:pPr>
              <w:pStyle w:val="a3"/>
              <w:spacing w:before="0" w:beforeAutospacing="0" w:after="0" w:afterAutospacing="0"/>
              <w:rPr>
                <w:rFonts w:ascii="Calibri" w:hAnsi="Calibri" w:cs="Calibri"/>
                <w:b/>
                <w:bCs/>
                <w:color w:val="000000"/>
                <w:sz w:val="11"/>
                <w:szCs w:val="11"/>
              </w:rPr>
            </w:pPr>
            <w:r>
              <w:rPr>
                <w:rFonts w:ascii="Calibri" w:hAnsi="Calibri" w:cs="Calibri"/>
                <w:b/>
                <w:bCs/>
                <w:color w:val="000000"/>
                <w:sz w:val="11"/>
                <w:szCs w:val="11"/>
              </w:rPr>
              <w:t> </w:t>
            </w:r>
          </w:p>
        </w:tc>
      </w:tr>
      <w:tr w:rsidR="00251D72" w14:paraId="3B18D096" w14:textId="77777777">
        <w:trPr>
          <w:divId w:val="1549104720"/>
          <w:jc w:val="center"/>
        </w:trPr>
        <w:tc>
          <w:tcPr>
            <w:tcW w:w="961" w:type="pct"/>
            <w:tcBorders>
              <w:bottom w:val="single" w:sz="6" w:space="0" w:color="000000"/>
            </w:tcBorders>
            <w:shd w:val="clear" w:color="auto" w:fill="FFFFFF"/>
            <w:tcMar>
              <w:top w:w="15" w:type="dxa"/>
              <w:left w:w="0" w:type="dxa"/>
              <w:bottom w:w="0" w:type="dxa"/>
              <w:right w:w="15" w:type="dxa"/>
            </w:tcMar>
            <w:vAlign w:val="bottom"/>
            <w:hideMark/>
          </w:tcPr>
          <w:p w14:paraId="19948E1B"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(Dollars in millions)</w:t>
            </w:r>
          </w:p>
        </w:tc>
        <w:tc>
          <w:tcPr>
            <w:tcW w:w="34" w:type="pct"/>
            <w:shd w:val="clear" w:color="auto" w:fill="FFFFFF"/>
            <w:tcMar>
              <w:top w:w="15" w:type="dxa"/>
              <w:left w:w="0" w:type="dxa"/>
              <w:bottom w:w="0" w:type="dxa"/>
              <w:right w:w="15" w:type="dxa"/>
            </w:tcMar>
            <w:vAlign w:val="bottom"/>
            <w:hideMark/>
          </w:tcPr>
          <w:p w14:paraId="731C5F9F"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27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8D5159"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22767D1B"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2018</w:t>
            </w:r>
          </w:p>
        </w:tc>
        <w:tc>
          <w:tcPr>
            <w:tcW w:w="47" w:type="pct"/>
            <w:shd w:val="clear" w:color="auto" w:fill="FFFFFF"/>
            <w:noWrap/>
            <w:tcMar>
              <w:top w:w="15" w:type="dxa"/>
              <w:left w:w="0" w:type="dxa"/>
              <w:bottom w:w="0" w:type="dxa"/>
              <w:right w:w="15" w:type="dxa"/>
            </w:tcMar>
            <w:vAlign w:val="bottom"/>
            <w:hideMark/>
          </w:tcPr>
          <w:p w14:paraId="36AA2A02" w14:textId="77777777" w:rsidR="00251D72" w:rsidRDefault="00251D72">
            <w:pPr>
              <w:pStyle w:val="a3"/>
              <w:spacing w:before="0" w:beforeAutospacing="0" w:after="0" w:afterAutospacing="0"/>
              <w:rPr>
                <w:rFonts w:ascii="Calibri" w:hAnsi="Calibri" w:cs="Calibri"/>
                <w:b/>
                <w:bCs/>
                <w:color w:val="000000"/>
                <w:sz w:val="11"/>
                <w:szCs w:val="11"/>
              </w:rPr>
            </w:pPr>
            <w:r>
              <w:rPr>
                <w:rFonts w:ascii="Calibri" w:hAnsi="Calibri" w:cs="Calibri"/>
                <w:b/>
                <w:bCs/>
                <w:color w:val="000000"/>
                <w:sz w:val="11"/>
                <w:szCs w:val="11"/>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391A6738" w14:textId="77777777" w:rsidR="00251D72" w:rsidRDefault="00251D72">
            <w:pPr>
              <w:pStyle w:val="a3"/>
              <w:spacing w:before="0" w:beforeAutospacing="0" w:after="0" w:afterAutospacing="0"/>
              <w:rPr>
                <w:rFonts w:ascii="Calibri" w:hAnsi="Calibri" w:cs="Calibri"/>
                <w:b/>
                <w:bCs/>
                <w:color w:val="000000"/>
                <w:sz w:val="11"/>
                <w:szCs w:val="11"/>
              </w:rPr>
            </w:pPr>
            <w:r>
              <w:rPr>
                <w:rFonts w:ascii="Calibri" w:hAnsi="Calibri" w:cs="Calibri"/>
                <w:b/>
                <w:bCs/>
                <w:color w:val="000000"/>
                <w:sz w:val="11"/>
                <w:szCs w:val="11"/>
              </w:rPr>
              <w:t> </w:t>
            </w:r>
          </w:p>
        </w:tc>
        <w:tc>
          <w:tcPr>
            <w:tcW w:w="3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F696AD"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Additions &amp;</w:t>
            </w:r>
          </w:p>
          <w:p w14:paraId="42FF41B1"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 xml:space="preserve">Adjustments net </w:t>
            </w:r>
            <w:r>
              <w:rPr>
                <w:rFonts w:ascii="Calibri" w:hAnsi="Calibri" w:cs="Calibri"/>
                <w:b/>
                <w:bCs/>
                <w:color w:val="000000"/>
                <w:sz w:val="11"/>
                <w:szCs w:val="11"/>
                <w:vertAlign w:val="superscript"/>
              </w:rPr>
              <w:t>(1)</w:t>
            </w:r>
          </w:p>
        </w:tc>
        <w:tc>
          <w:tcPr>
            <w:tcW w:w="47" w:type="pct"/>
            <w:shd w:val="clear" w:color="auto" w:fill="FFFFFF"/>
            <w:noWrap/>
            <w:tcMar>
              <w:top w:w="15" w:type="dxa"/>
              <w:left w:w="0" w:type="dxa"/>
              <w:bottom w:w="0" w:type="dxa"/>
              <w:right w:w="15" w:type="dxa"/>
            </w:tcMar>
            <w:vAlign w:val="bottom"/>
            <w:hideMark/>
          </w:tcPr>
          <w:p w14:paraId="5587EAC8" w14:textId="77777777" w:rsidR="00251D72" w:rsidRDefault="00251D72">
            <w:pPr>
              <w:pStyle w:val="a3"/>
              <w:spacing w:before="0" w:beforeAutospacing="0" w:after="0" w:afterAutospacing="0"/>
              <w:rPr>
                <w:color w:val="000000"/>
                <w:sz w:val="20"/>
                <w:szCs w:val="20"/>
              </w:rPr>
            </w:pPr>
            <w:r>
              <w:rPr>
                <w:color w:val="000000"/>
                <w:sz w:val="20"/>
                <w:szCs w:val="20"/>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5A46DF6F" w14:textId="77777777" w:rsidR="00251D72" w:rsidRDefault="00251D72">
            <w:pPr>
              <w:pStyle w:val="a3"/>
              <w:spacing w:before="0" w:beforeAutospacing="0" w:after="0" w:afterAutospacing="0"/>
              <w:rPr>
                <w:rFonts w:ascii="Calibri" w:hAnsi="Calibri" w:cs="Calibri"/>
                <w:b/>
                <w:bCs/>
                <w:color w:val="000000"/>
                <w:sz w:val="11"/>
                <w:szCs w:val="11"/>
              </w:rPr>
            </w:pPr>
            <w:r>
              <w:rPr>
                <w:rFonts w:ascii="Calibri" w:hAnsi="Calibri" w:cs="Calibri"/>
                <w:b/>
                <w:bCs/>
                <w:color w:val="000000"/>
                <w:sz w:val="11"/>
                <w:szCs w:val="11"/>
              </w:rPr>
              <w:t> </w:t>
            </w:r>
          </w:p>
        </w:tc>
        <w:tc>
          <w:tcPr>
            <w:tcW w:w="3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BF68AED"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Retirements</w:t>
            </w:r>
          </w:p>
        </w:tc>
        <w:tc>
          <w:tcPr>
            <w:tcW w:w="47" w:type="pct"/>
            <w:shd w:val="clear" w:color="auto" w:fill="FFFFFF"/>
            <w:noWrap/>
            <w:tcMar>
              <w:top w:w="15" w:type="dxa"/>
              <w:left w:w="0" w:type="dxa"/>
              <w:bottom w:w="0" w:type="dxa"/>
              <w:right w:w="15" w:type="dxa"/>
            </w:tcMar>
            <w:vAlign w:val="bottom"/>
            <w:hideMark/>
          </w:tcPr>
          <w:p w14:paraId="6C3C8BA0"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69C557C2"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27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C49733"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5AE964AE"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2019</w:t>
            </w:r>
          </w:p>
        </w:tc>
        <w:tc>
          <w:tcPr>
            <w:tcW w:w="47" w:type="pct"/>
            <w:shd w:val="clear" w:color="auto" w:fill="FFFFFF"/>
            <w:noWrap/>
            <w:tcMar>
              <w:top w:w="15" w:type="dxa"/>
              <w:left w:w="0" w:type="dxa"/>
              <w:bottom w:w="0" w:type="dxa"/>
              <w:right w:w="15" w:type="dxa"/>
            </w:tcMar>
            <w:vAlign w:val="bottom"/>
            <w:hideMark/>
          </w:tcPr>
          <w:p w14:paraId="46C8494B"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34" w:type="pct"/>
            <w:shd w:val="clear" w:color="auto" w:fill="FFFFFF"/>
            <w:tcMar>
              <w:top w:w="15" w:type="dxa"/>
              <w:left w:w="0" w:type="dxa"/>
              <w:bottom w:w="0" w:type="dxa"/>
              <w:right w:w="15" w:type="dxa"/>
            </w:tcMar>
            <w:vAlign w:val="bottom"/>
            <w:hideMark/>
          </w:tcPr>
          <w:p w14:paraId="0CB0932C"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27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0AB90D"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4F6A1F28"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2018</w:t>
            </w:r>
          </w:p>
        </w:tc>
        <w:tc>
          <w:tcPr>
            <w:tcW w:w="47" w:type="pct"/>
            <w:shd w:val="clear" w:color="auto" w:fill="FFFFFF"/>
            <w:noWrap/>
            <w:tcMar>
              <w:top w:w="15" w:type="dxa"/>
              <w:left w:w="0" w:type="dxa"/>
              <w:bottom w:w="0" w:type="dxa"/>
              <w:right w:w="15" w:type="dxa"/>
            </w:tcMar>
            <w:vAlign w:val="bottom"/>
            <w:hideMark/>
          </w:tcPr>
          <w:p w14:paraId="353A300D"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1452397E"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27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74574A"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Expense</w:t>
            </w:r>
          </w:p>
        </w:tc>
        <w:tc>
          <w:tcPr>
            <w:tcW w:w="47" w:type="pct"/>
            <w:shd w:val="clear" w:color="auto" w:fill="FFFFFF"/>
            <w:noWrap/>
            <w:tcMar>
              <w:top w:w="15" w:type="dxa"/>
              <w:left w:w="0" w:type="dxa"/>
              <w:bottom w:w="0" w:type="dxa"/>
              <w:right w:w="15" w:type="dxa"/>
            </w:tcMar>
            <w:vAlign w:val="bottom"/>
            <w:hideMark/>
          </w:tcPr>
          <w:p w14:paraId="5745746B"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1E90121A"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3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133222"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Retirements</w:t>
            </w:r>
          </w:p>
        </w:tc>
        <w:tc>
          <w:tcPr>
            <w:tcW w:w="47" w:type="pct"/>
            <w:shd w:val="clear" w:color="auto" w:fill="FFFFFF"/>
            <w:noWrap/>
            <w:tcMar>
              <w:top w:w="15" w:type="dxa"/>
              <w:left w:w="0" w:type="dxa"/>
              <w:bottom w:w="0" w:type="dxa"/>
              <w:right w:w="15" w:type="dxa"/>
            </w:tcMar>
            <w:vAlign w:val="bottom"/>
            <w:hideMark/>
          </w:tcPr>
          <w:p w14:paraId="33770F27"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798D2BF9"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27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DCE35F"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300B8D5A"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2019</w:t>
            </w:r>
          </w:p>
        </w:tc>
        <w:tc>
          <w:tcPr>
            <w:tcW w:w="47" w:type="pct"/>
            <w:shd w:val="clear" w:color="auto" w:fill="FFFFFF"/>
            <w:noWrap/>
            <w:tcMar>
              <w:top w:w="15" w:type="dxa"/>
              <w:left w:w="0" w:type="dxa"/>
              <w:bottom w:w="0" w:type="dxa"/>
              <w:right w:w="15" w:type="dxa"/>
            </w:tcMar>
            <w:vAlign w:val="bottom"/>
            <w:hideMark/>
          </w:tcPr>
          <w:p w14:paraId="463A875E" w14:textId="77777777" w:rsidR="00251D72" w:rsidRDefault="00251D72">
            <w:pPr>
              <w:pStyle w:val="a3"/>
              <w:spacing w:before="0" w:beforeAutospacing="0" w:after="0" w:afterAutospacing="0"/>
              <w:rPr>
                <w:rFonts w:ascii="Calibri" w:hAnsi="Calibri" w:cs="Calibri"/>
                <w:b/>
                <w:bCs/>
                <w:color w:val="000000"/>
                <w:sz w:val="11"/>
                <w:szCs w:val="11"/>
              </w:rPr>
            </w:pPr>
            <w:r>
              <w:rPr>
                <w:rFonts w:ascii="Calibri" w:hAnsi="Calibri" w:cs="Calibri"/>
                <w:b/>
                <w:bCs/>
                <w:color w:val="000000"/>
                <w:sz w:val="11"/>
                <w:szCs w:val="11"/>
              </w:rPr>
              <w:t> </w:t>
            </w:r>
          </w:p>
        </w:tc>
        <w:tc>
          <w:tcPr>
            <w:tcW w:w="34" w:type="pct"/>
            <w:shd w:val="clear" w:color="auto" w:fill="FFFFFF"/>
            <w:tcMar>
              <w:top w:w="15" w:type="dxa"/>
              <w:left w:w="0" w:type="dxa"/>
              <w:bottom w:w="0" w:type="dxa"/>
              <w:right w:w="15" w:type="dxa"/>
            </w:tcMar>
            <w:vAlign w:val="bottom"/>
            <w:hideMark/>
          </w:tcPr>
          <w:p w14:paraId="4E67FA8A"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27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6034E5D"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47E1EB2D"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2018</w:t>
            </w:r>
          </w:p>
        </w:tc>
        <w:tc>
          <w:tcPr>
            <w:tcW w:w="48" w:type="pct"/>
            <w:shd w:val="clear" w:color="auto" w:fill="FFFFFF"/>
            <w:noWrap/>
            <w:tcMar>
              <w:top w:w="15" w:type="dxa"/>
              <w:left w:w="0" w:type="dxa"/>
              <w:bottom w:w="0" w:type="dxa"/>
              <w:right w:w="15" w:type="dxa"/>
            </w:tcMar>
            <w:vAlign w:val="bottom"/>
            <w:hideMark/>
          </w:tcPr>
          <w:p w14:paraId="4107E953"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678EF608" w14:textId="77777777" w:rsidR="00251D72" w:rsidRDefault="00251D72">
            <w:pPr>
              <w:pStyle w:val="a3"/>
              <w:spacing w:before="0" w:beforeAutospacing="0" w:after="0" w:afterAutospacing="0"/>
              <w:rPr>
                <w:rFonts w:ascii="Calibri" w:hAnsi="Calibri" w:cs="Calibri"/>
                <w:b/>
                <w:bCs/>
                <w:color w:val="000000"/>
                <w:sz w:val="13"/>
                <w:szCs w:val="13"/>
              </w:rPr>
            </w:pPr>
            <w:r>
              <w:rPr>
                <w:rFonts w:ascii="Calibri" w:hAnsi="Calibri" w:cs="Calibri"/>
                <w:b/>
                <w:bCs/>
                <w:color w:val="000000"/>
                <w:sz w:val="13"/>
                <w:szCs w:val="13"/>
              </w:rPr>
              <w:t> </w:t>
            </w:r>
          </w:p>
        </w:tc>
        <w:tc>
          <w:tcPr>
            <w:tcW w:w="27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818BC9"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May 31,</w:t>
            </w:r>
          </w:p>
          <w:p w14:paraId="6EDC9A06" w14:textId="77777777" w:rsidR="00251D72" w:rsidRDefault="00251D72">
            <w:pPr>
              <w:pStyle w:val="a3"/>
              <w:spacing w:before="0" w:beforeAutospacing="0" w:after="0" w:afterAutospacing="0"/>
              <w:jc w:val="center"/>
              <w:rPr>
                <w:rFonts w:ascii="Calibri" w:hAnsi="Calibri" w:cs="Calibri"/>
                <w:b/>
                <w:bCs/>
                <w:color w:val="000000"/>
                <w:sz w:val="13"/>
                <w:szCs w:val="13"/>
              </w:rPr>
            </w:pPr>
            <w:r>
              <w:rPr>
                <w:rFonts w:ascii="Calibri" w:hAnsi="Calibri" w:cs="Calibri"/>
                <w:b/>
                <w:bCs/>
                <w:color w:val="000000"/>
                <w:sz w:val="13"/>
                <w:szCs w:val="13"/>
              </w:rPr>
              <w:t>2019</w:t>
            </w:r>
          </w:p>
        </w:tc>
        <w:tc>
          <w:tcPr>
            <w:tcW w:w="48" w:type="pct"/>
            <w:shd w:val="clear" w:color="auto" w:fill="FFFFFF"/>
            <w:noWrap/>
            <w:tcMar>
              <w:top w:w="15" w:type="dxa"/>
              <w:left w:w="0" w:type="dxa"/>
              <w:bottom w:w="0" w:type="dxa"/>
              <w:right w:w="15" w:type="dxa"/>
            </w:tcMar>
            <w:vAlign w:val="bottom"/>
            <w:hideMark/>
          </w:tcPr>
          <w:p w14:paraId="200DC9B3" w14:textId="77777777" w:rsidR="00251D72" w:rsidRDefault="00251D72">
            <w:pPr>
              <w:pStyle w:val="a3"/>
              <w:spacing w:before="0" w:beforeAutospacing="0" w:after="0" w:afterAutospacing="0"/>
              <w:rPr>
                <w:rFonts w:ascii="Calibri" w:hAnsi="Calibri" w:cs="Calibri"/>
                <w:b/>
                <w:bCs/>
                <w:color w:val="000000"/>
                <w:sz w:val="11"/>
                <w:szCs w:val="11"/>
              </w:rPr>
            </w:pPr>
            <w:r>
              <w:rPr>
                <w:rFonts w:ascii="Calibri" w:hAnsi="Calibri" w:cs="Calibri"/>
                <w:b/>
                <w:bCs/>
                <w:color w:val="000000"/>
                <w:sz w:val="11"/>
                <w:szCs w:val="11"/>
              </w:rPr>
              <w:t> </w:t>
            </w:r>
          </w:p>
        </w:tc>
        <w:tc>
          <w:tcPr>
            <w:tcW w:w="34" w:type="pct"/>
            <w:shd w:val="clear" w:color="auto" w:fill="FFFFFF"/>
            <w:tcMar>
              <w:top w:w="15" w:type="dxa"/>
              <w:left w:w="0" w:type="dxa"/>
              <w:bottom w:w="0" w:type="dxa"/>
              <w:right w:w="15" w:type="dxa"/>
            </w:tcMar>
            <w:vAlign w:val="bottom"/>
            <w:hideMark/>
          </w:tcPr>
          <w:p w14:paraId="4BFF92B2" w14:textId="77777777" w:rsidR="00251D72" w:rsidRDefault="00251D72">
            <w:pPr>
              <w:pStyle w:val="a3"/>
              <w:spacing w:before="0" w:beforeAutospacing="0" w:after="0" w:afterAutospacing="0"/>
              <w:rPr>
                <w:rFonts w:ascii="Calibri" w:hAnsi="Calibri" w:cs="Calibri"/>
                <w:b/>
                <w:bCs/>
                <w:color w:val="000000"/>
                <w:sz w:val="11"/>
                <w:szCs w:val="11"/>
              </w:rPr>
            </w:pPr>
            <w:r>
              <w:rPr>
                <w:rFonts w:ascii="Calibri" w:hAnsi="Calibri" w:cs="Calibri"/>
                <w:b/>
                <w:bCs/>
                <w:color w:val="000000"/>
                <w:sz w:val="11"/>
                <w:szCs w:val="11"/>
              </w:rPr>
              <w:t> </w:t>
            </w:r>
          </w:p>
        </w:tc>
        <w:tc>
          <w:tcPr>
            <w:tcW w:w="0" w:type="auto"/>
            <w:gridSpan w:val="2"/>
            <w:vMerge/>
            <w:vAlign w:val="center"/>
            <w:hideMark/>
          </w:tcPr>
          <w:p w14:paraId="26AB991F" w14:textId="77777777" w:rsidR="00251D72" w:rsidRDefault="00251D72">
            <w:pPr>
              <w:rPr>
                <w:rFonts w:ascii="Calibri" w:hAnsi="Calibri" w:cs="Calibri"/>
                <w:b/>
                <w:bCs/>
                <w:color w:val="000000"/>
                <w:sz w:val="13"/>
                <w:szCs w:val="13"/>
              </w:rPr>
            </w:pPr>
          </w:p>
        </w:tc>
        <w:tc>
          <w:tcPr>
            <w:tcW w:w="48" w:type="pct"/>
            <w:shd w:val="clear" w:color="auto" w:fill="FFFFFF"/>
            <w:noWrap/>
            <w:tcMar>
              <w:top w:w="15" w:type="dxa"/>
              <w:left w:w="0" w:type="dxa"/>
              <w:bottom w:w="0" w:type="dxa"/>
              <w:right w:w="15" w:type="dxa"/>
            </w:tcMar>
            <w:vAlign w:val="bottom"/>
            <w:hideMark/>
          </w:tcPr>
          <w:p w14:paraId="201E07AA" w14:textId="77777777" w:rsidR="00251D72" w:rsidRDefault="00251D7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251D72" w14:paraId="36FD5448" w14:textId="77777777">
        <w:trPr>
          <w:divId w:val="1549104720"/>
          <w:jc w:val="center"/>
        </w:trPr>
        <w:tc>
          <w:tcPr>
            <w:tcW w:w="961" w:type="pct"/>
            <w:tcBorders>
              <w:top w:val="single" w:sz="6" w:space="0" w:color="000000"/>
            </w:tcBorders>
            <w:shd w:val="clear" w:color="auto" w:fill="CFF0FC"/>
            <w:tcMar>
              <w:top w:w="15" w:type="dxa"/>
              <w:left w:w="0" w:type="dxa"/>
              <w:bottom w:w="0" w:type="dxa"/>
              <w:right w:w="15" w:type="dxa"/>
            </w:tcMar>
            <w:hideMark/>
          </w:tcPr>
          <w:p w14:paraId="4206DD70" w14:textId="77777777" w:rsidR="00251D72" w:rsidRDefault="00251D72">
            <w:pPr>
              <w:pStyle w:val="a3"/>
              <w:spacing w:before="0" w:beforeAutospacing="0" w:after="0" w:afterAutospacing="0"/>
              <w:ind w:left="144" w:hanging="144"/>
              <w:rPr>
                <w:rFonts w:ascii="Calibri" w:hAnsi="Calibri" w:cs="Calibri"/>
                <w:color w:val="000000"/>
                <w:sz w:val="16"/>
                <w:szCs w:val="16"/>
              </w:rPr>
            </w:pPr>
            <w:r>
              <w:rPr>
                <w:rFonts w:ascii="Calibri" w:hAnsi="Calibri" w:cs="Calibri"/>
                <w:color w:val="000000"/>
                <w:sz w:val="16"/>
                <w:szCs w:val="16"/>
              </w:rPr>
              <w:t>Developed technology</w:t>
            </w:r>
          </w:p>
        </w:tc>
        <w:tc>
          <w:tcPr>
            <w:tcW w:w="34" w:type="pct"/>
            <w:shd w:val="clear" w:color="auto" w:fill="CFF0FC"/>
            <w:tcMar>
              <w:top w:w="15" w:type="dxa"/>
              <w:left w:w="0" w:type="dxa"/>
              <w:bottom w:w="0" w:type="dxa"/>
              <w:right w:w="15" w:type="dxa"/>
            </w:tcMar>
            <w:vAlign w:val="bottom"/>
            <w:hideMark/>
          </w:tcPr>
          <w:p w14:paraId="1C69EE7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top w:val="single" w:sz="6" w:space="0" w:color="000000"/>
            </w:tcBorders>
            <w:shd w:val="clear" w:color="auto" w:fill="CFF0FC"/>
            <w:noWrap/>
            <w:tcMar>
              <w:top w:w="15" w:type="dxa"/>
              <w:left w:w="0" w:type="dxa"/>
              <w:bottom w:w="0" w:type="dxa"/>
              <w:right w:w="15" w:type="dxa"/>
            </w:tcMar>
            <w:vAlign w:val="bottom"/>
            <w:hideMark/>
          </w:tcPr>
          <w:p w14:paraId="26ED86A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27" w:type="pct"/>
            <w:tcBorders>
              <w:top w:val="single" w:sz="6" w:space="0" w:color="000000"/>
            </w:tcBorders>
            <w:shd w:val="clear" w:color="auto" w:fill="CFF0FC"/>
            <w:noWrap/>
            <w:tcMar>
              <w:top w:w="15" w:type="dxa"/>
              <w:left w:w="0" w:type="dxa"/>
              <w:bottom w:w="0" w:type="dxa"/>
              <w:right w:w="15" w:type="dxa"/>
            </w:tcMar>
            <w:vAlign w:val="bottom"/>
            <w:hideMark/>
          </w:tcPr>
          <w:p w14:paraId="0154469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5,309</w:t>
            </w:r>
          </w:p>
        </w:tc>
        <w:tc>
          <w:tcPr>
            <w:tcW w:w="47" w:type="pct"/>
            <w:shd w:val="clear" w:color="auto" w:fill="CFF0FC"/>
            <w:noWrap/>
            <w:tcMar>
              <w:top w:w="15" w:type="dxa"/>
              <w:left w:w="0" w:type="dxa"/>
              <w:bottom w:w="0" w:type="dxa"/>
              <w:right w:w="15" w:type="dxa"/>
            </w:tcMar>
            <w:vAlign w:val="bottom"/>
            <w:hideMark/>
          </w:tcPr>
          <w:p w14:paraId="1925852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4F71B84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 w:type="pct"/>
            <w:tcBorders>
              <w:top w:val="single" w:sz="6" w:space="0" w:color="000000"/>
            </w:tcBorders>
            <w:shd w:val="clear" w:color="auto" w:fill="CFF0FC"/>
            <w:noWrap/>
            <w:tcMar>
              <w:top w:w="15" w:type="dxa"/>
              <w:left w:w="0" w:type="dxa"/>
              <w:bottom w:w="0" w:type="dxa"/>
              <w:right w:w="15" w:type="dxa"/>
            </w:tcMar>
            <w:vAlign w:val="bottom"/>
            <w:hideMark/>
          </w:tcPr>
          <w:p w14:paraId="58B861D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61" w:type="pct"/>
            <w:tcBorders>
              <w:top w:val="single" w:sz="6" w:space="0" w:color="000000"/>
            </w:tcBorders>
            <w:shd w:val="clear" w:color="auto" w:fill="CFF0FC"/>
            <w:noWrap/>
            <w:tcMar>
              <w:top w:w="15" w:type="dxa"/>
              <w:left w:w="0" w:type="dxa"/>
              <w:bottom w:w="0" w:type="dxa"/>
              <w:right w:w="15" w:type="dxa"/>
            </w:tcMar>
            <w:vAlign w:val="bottom"/>
            <w:hideMark/>
          </w:tcPr>
          <w:p w14:paraId="348E3AA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301</w:t>
            </w:r>
          </w:p>
        </w:tc>
        <w:tc>
          <w:tcPr>
            <w:tcW w:w="47" w:type="pct"/>
            <w:shd w:val="clear" w:color="auto" w:fill="CFF0FC"/>
            <w:noWrap/>
            <w:tcMar>
              <w:top w:w="15" w:type="dxa"/>
              <w:left w:w="0" w:type="dxa"/>
              <w:bottom w:w="0" w:type="dxa"/>
              <w:right w:w="15" w:type="dxa"/>
            </w:tcMar>
            <w:vAlign w:val="bottom"/>
            <w:hideMark/>
          </w:tcPr>
          <w:p w14:paraId="4F6C6EA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0DDD1A8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5" w:type="pct"/>
            <w:tcBorders>
              <w:top w:val="single" w:sz="6" w:space="0" w:color="000000"/>
            </w:tcBorders>
            <w:shd w:val="clear" w:color="auto" w:fill="CFF0FC"/>
            <w:noWrap/>
            <w:tcMar>
              <w:top w:w="15" w:type="dxa"/>
              <w:left w:w="0" w:type="dxa"/>
              <w:bottom w:w="0" w:type="dxa"/>
              <w:right w:w="15" w:type="dxa"/>
            </w:tcMar>
            <w:vAlign w:val="bottom"/>
            <w:hideMark/>
          </w:tcPr>
          <w:p w14:paraId="764EEF6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53" w:type="pct"/>
            <w:tcBorders>
              <w:top w:val="single" w:sz="6" w:space="0" w:color="000000"/>
            </w:tcBorders>
            <w:shd w:val="clear" w:color="auto" w:fill="CFF0FC"/>
            <w:noWrap/>
            <w:tcMar>
              <w:top w:w="15" w:type="dxa"/>
              <w:left w:w="0" w:type="dxa"/>
              <w:bottom w:w="0" w:type="dxa"/>
              <w:right w:w="15" w:type="dxa"/>
            </w:tcMar>
            <w:vAlign w:val="bottom"/>
            <w:hideMark/>
          </w:tcPr>
          <w:p w14:paraId="4D42234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(204</w:t>
            </w:r>
          </w:p>
        </w:tc>
        <w:tc>
          <w:tcPr>
            <w:tcW w:w="47" w:type="pct"/>
            <w:shd w:val="clear" w:color="auto" w:fill="CFF0FC"/>
            <w:noWrap/>
            <w:tcMar>
              <w:top w:w="15" w:type="dxa"/>
              <w:left w:w="0" w:type="dxa"/>
              <w:bottom w:w="0" w:type="dxa"/>
              <w:right w:w="15" w:type="dxa"/>
            </w:tcMar>
            <w:vAlign w:val="bottom"/>
            <w:hideMark/>
          </w:tcPr>
          <w:p w14:paraId="7D4FEF6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CFF0FC"/>
            <w:tcMar>
              <w:top w:w="15" w:type="dxa"/>
              <w:left w:w="0" w:type="dxa"/>
              <w:bottom w:w="0" w:type="dxa"/>
              <w:right w:w="15" w:type="dxa"/>
            </w:tcMar>
            <w:vAlign w:val="bottom"/>
            <w:hideMark/>
          </w:tcPr>
          <w:p w14:paraId="7E9FF40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top w:val="single" w:sz="6" w:space="0" w:color="000000"/>
            </w:tcBorders>
            <w:shd w:val="clear" w:color="auto" w:fill="CFF0FC"/>
            <w:noWrap/>
            <w:tcMar>
              <w:top w:w="15" w:type="dxa"/>
              <w:left w:w="0" w:type="dxa"/>
              <w:bottom w:w="0" w:type="dxa"/>
              <w:right w:w="15" w:type="dxa"/>
            </w:tcMar>
            <w:vAlign w:val="bottom"/>
            <w:hideMark/>
          </w:tcPr>
          <w:p w14:paraId="5961473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31" w:type="pct"/>
            <w:tcBorders>
              <w:top w:val="single" w:sz="6" w:space="0" w:color="000000"/>
            </w:tcBorders>
            <w:shd w:val="clear" w:color="auto" w:fill="CFF0FC"/>
            <w:noWrap/>
            <w:tcMar>
              <w:top w:w="15" w:type="dxa"/>
              <w:left w:w="0" w:type="dxa"/>
              <w:bottom w:w="0" w:type="dxa"/>
              <w:right w:w="15" w:type="dxa"/>
            </w:tcMar>
            <w:vAlign w:val="bottom"/>
            <w:hideMark/>
          </w:tcPr>
          <w:p w14:paraId="03F7173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5,406</w:t>
            </w:r>
          </w:p>
        </w:tc>
        <w:tc>
          <w:tcPr>
            <w:tcW w:w="47" w:type="pct"/>
            <w:shd w:val="clear" w:color="auto" w:fill="CFF0FC"/>
            <w:noWrap/>
            <w:tcMar>
              <w:top w:w="15" w:type="dxa"/>
              <w:left w:w="0" w:type="dxa"/>
              <w:bottom w:w="0" w:type="dxa"/>
              <w:right w:w="15" w:type="dxa"/>
            </w:tcMar>
            <w:vAlign w:val="bottom"/>
            <w:hideMark/>
          </w:tcPr>
          <w:p w14:paraId="3942CFA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532533B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top w:val="single" w:sz="6" w:space="0" w:color="000000"/>
            </w:tcBorders>
            <w:shd w:val="clear" w:color="auto" w:fill="CFF0FC"/>
            <w:noWrap/>
            <w:tcMar>
              <w:top w:w="15" w:type="dxa"/>
              <w:left w:w="0" w:type="dxa"/>
              <w:bottom w:w="0" w:type="dxa"/>
              <w:right w:w="15" w:type="dxa"/>
            </w:tcMar>
            <w:vAlign w:val="bottom"/>
            <w:hideMark/>
          </w:tcPr>
          <w:p w14:paraId="553E3C4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27" w:type="pct"/>
            <w:tcBorders>
              <w:top w:val="single" w:sz="6" w:space="0" w:color="000000"/>
            </w:tcBorders>
            <w:shd w:val="clear" w:color="auto" w:fill="CFF0FC"/>
            <w:noWrap/>
            <w:tcMar>
              <w:top w:w="15" w:type="dxa"/>
              <w:left w:w="0" w:type="dxa"/>
              <w:bottom w:w="0" w:type="dxa"/>
              <w:right w:w="15" w:type="dxa"/>
            </w:tcMar>
            <w:vAlign w:val="bottom"/>
            <w:hideMark/>
          </w:tcPr>
          <w:p w14:paraId="4F9BB4E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(2,814</w:t>
            </w:r>
          </w:p>
        </w:tc>
        <w:tc>
          <w:tcPr>
            <w:tcW w:w="47" w:type="pct"/>
            <w:shd w:val="clear" w:color="auto" w:fill="CFF0FC"/>
            <w:noWrap/>
            <w:tcMar>
              <w:top w:w="15" w:type="dxa"/>
              <w:left w:w="0" w:type="dxa"/>
              <w:bottom w:w="0" w:type="dxa"/>
              <w:right w:w="15" w:type="dxa"/>
            </w:tcMar>
            <w:vAlign w:val="bottom"/>
            <w:hideMark/>
          </w:tcPr>
          <w:p w14:paraId="2378E45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CFF0FC"/>
            <w:tcMar>
              <w:top w:w="15" w:type="dxa"/>
              <w:left w:w="0" w:type="dxa"/>
              <w:bottom w:w="0" w:type="dxa"/>
              <w:right w:w="15" w:type="dxa"/>
            </w:tcMar>
            <w:vAlign w:val="bottom"/>
            <w:hideMark/>
          </w:tcPr>
          <w:p w14:paraId="6FDC4A7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top w:val="single" w:sz="6" w:space="0" w:color="000000"/>
            </w:tcBorders>
            <w:shd w:val="clear" w:color="auto" w:fill="CFF0FC"/>
            <w:noWrap/>
            <w:tcMar>
              <w:top w:w="15" w:type="dxa"/>
              <w:left w:w="0" w:type="dxa"/>
              <w:bottom w:w="0" w:type="dxa"/>
              <w:right w:w="15" w:type="dxa"/>
            </w:tcMar>
            <w:vAlign w:val="bottom"/>
            <w:hideMark/>
          </w:tcPr>
          <w:p w14:paraId="7122DE1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27" w:type="pct"/>
            <w:tcBorders>
              <w:top w:val="single" w:sz="6" w:space="0" w:color="000000"/>
            </w:tcBorders>
            <w:shd w:val="clear" w:color="auto" w:fill="CFF0FC"/>
            <w:noWrap/>
            <w:tcMar>
              <w:top w:w="15" w:type="dxa"/>
              <w:left w:w="0" w:type="dxa"/>
              <w:bottom w:w="0" w:type="dxa"/>
              <w:right w:w="15" w:type="dxa"/>
            </w:tcMar>
            <w:vAlign w:val="bottom"/>
            <w:hideMark/>
          </w:tcPr>
          <w:p w14:paraId="61B0525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(857</w:t>
            </w:r>
          </w:p>
        </w:tc>
        <w:tc>
          <w:tcPr>
            <w:tcW w:w="47" w:type="pct"/>
            <w:shd w:val="clear" w:color="auto" w:fill="CFF0FC"/>
            <w:noWrap/>
            <w:tcMar>
              <w:top w:w="15" w:type="dxa"/>
              <w:left w:w="0" w:type="dxa"/>
              <w:bottom w:w="0" w:type="dxa"/>
              <w:right w:w="15" w:type="dxa"/>
            </w:tcMar>
            <w:vAlign w:val="bottom"/>
            <w:hideMark/>
          </w:tcPr>
          <w:p w14:paraId="44545A1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CFF0FC"/>
            <w:tcMar>
              <w:top w:w="15" w:type="dxa"/>
              <w:left w:w="0" w:type="dxa"/>
              <w:bottom w:w="0" w:type="dxa"/>
              <w:right w:w="15" w:type="dxa"/>
            </w:tcMar>
            <w:vAlign w:val="bottom"/>
            <w:hideMark/>
          </w:tcPr>
          <w:p w14:paraId="7310961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5" w:type="pct"/>
            <w:tcBorders>
              <w:top w:val="single" w:sz="6" w:space="0" w:color="000000"/>
            </w:tcBorders>
            <w:shd w:val="clear" w:color="auto" w:fill="CFF0FC"/>
            <w:noWrap/>
            <w:tcMar>
              <w:top w:w="15" w:type="dxa"/>
              <w:left w:w="0" w:type="dxa"/>
              <w:bottom w:w="0" w:type="dxa"/>
              <w:right w:w="15" w:type="dxa"/>
            </w:tcMar>
            <w:vAlign w:val="bottom"/>
            <w:hideMark/>
          </w:tcPr>
          <w:p w14:paraId="5E5BE97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53" w:type="pct"/>
            <w:tcBorders>
              <w:top w:val="single" w:sz="6" w:space="0" w:color="000000"/>
            </w:tcBorders>
            <w:shd w:val="clear" w:color="auto" w:fill="CFF0FC"/>
            <w:noWrap/>
            <w:tcMar>
              <w:top w:w="15" w:type="dxa"/>
              <w:left w:w="0" w:type="dxa"/>
              <w:bottom w:w="0" w:type="dxa"/>
              <w:right w:w="15" w:type="dxa"/>
            </w:tcMar>
            <w:vAlign w:val="bottom"/>
            <w:hideMark/>
          </w:tcPr>
          <w:p w14:paraId="0718821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204</w:t>
            </w:r>
          </w:p>
        </w:tc>
        <w:tc>
          <w:tcPr>
            <w:tcW w:w="47" w:type="pct"/>
            <w:shd w:val="clear" w:color="auto" w:fill="CFF0FC"/>
            <w:noWrap/>
            <w:tcMar>
              <w:top w:w="15" w:type="dxa"/>
              <w:left w:w="0" w:type="dxa"/>
              <w:bottom w:w="0" w:type="dxa"/>
              <w:right w:w="15" w:type="dxa"/>
            </w:tcMar>
            <w:vAlign w:val="bottom"/>
            <w:hideMark/>
          </w:tcPr>
          <w:p w14:paraId="5242F8C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6E4FD1D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top w:val="single" w:sz="6" w:space="0" w:color="000000"/>
            </w:tcBorders>
            <w:shd w:val="clear" w:color="auto" w:fill="CFF0FC"/>
            <w:noWrap/>
            <w:tcMar>
              <w:top w:w="15" w:type="dxa"/>
              <w:left w:w="0" w:type="dxa"/>
              <w:bottom w:w="0" w:type="dxa"/>
              <w:right w:w="15" w:type="dxa"/>
            </w:tcMar>
            <w:vAlign w:val="bottom"/>
            <w:hideMark/>
          </w:tcPr>
          <w:p w14:paraId="07334C7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31" w:type="pct"/>
            <w:tcBorders>
              <w:top w:val="single" w:sz="6" w:space="0" w:color="000000"/>
            </w:tcBorders>
            <w:shd w:val="clear" w:color="auto" w:fill="CFF0FC"/>
            <w:noWrap/>
            <w:tcMar>
              <w:top w:w="15" w:type="dxa"/>
              <w:left w:w="0" w:type="dxa"/>
              <w:bottom w:w="0" w:type="dxa"/>
              <w:right w:w="15" w:type="dxa"/>
            </w:tcMar>
            <w:vAlign w:val="bottom"/>
            <w:hideMark/>
          </w:tcPr>
          <w:p w14:paraId="5608BC1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(3,467</w:t>
            </w:r>
          </w:p>
        </w:tc>
        <w:tc>
          <w:tcPr>
            <w:tcW w:w="47" w:type="pct"/>
            <w:shd w:val="clear" w:color="auto" w:fill="CFF0FC"/>
            <w:noWrap/>
            <w:tcMar>
              <w:top w:w="15" w:type="dxa"/>
              <w:left w:w="0" w:type="dxa"/>
              <w:bottom w:w="0" w:type="dxa"/>
              <w:right w:w="15" w:type="dxa"/>
            </w:tcMar>
            <w:vAlign w:val="bottom"/>
            <w:hideMark/>
          </w:tcPr>
          <w:p w14:paraId="282539F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CFF0FC"/>
            <w:tcMar>
              <w:top w:w="15" w:type="dxa"/>
              <w:left w:w="0" w:type="dxa"/>
              <w:bottom w:w="0" w:type="dxa"/>
              <w:right w:w="15" w:type="dxa"/>
            </w:tcMar>
            <w:vAlign w:val="bottom"/>
            <w:hideMark/>
          </w:tcPr>
          <w:p w14:paraId="372D909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tcBorders>
              <w:top w:val="single" w:sz="6" w:space="0" w:color="000000"/>
            </w:tcBorders>
            <w:shd w:val="clear" w:color="auto" w:fill="CFF0FC"/>
            <w:noWrap/>
            <w:tcMar>
              <w:top w:w="15" w:type="dxa"/>
              <w:left w:w="0" w:type="dxa"/>
              <w:bottom w:w="0" w:type="dxa"/>
              <w:right w:w="15" w:type="dxa"/>
            </w:tcMar>
            <w:vAlign w:val="bottom"/>
            <w:hideMark/>
          </w:tcPr>
          <w:p w14:paraId="6A12001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28" w:type="pct"/>
            <w:tcBorders>
              <w:top w:val="single" w:sz="6" w:space="0" w:color="000000"/>
            </w:tcBorders>
            <w:shd w:val="clear" w:color="auto" w:fill="CFF0FC"/>
            <w:noWrap/>
            <w:tcMar>
              <w:top w:w="15" w:type="dxa"/>
              <w:left w:w="0" w:type="dxa"/>
              <w:bottom w:w="0" w:type="dxa"/>
              <w:right w:w="15" w:type="dxa"/>
            </w:tcMar>
            <w:vAlign w:val="bottom"/>
            <w:hideMark/>
          </w:tcPr>
          <w:p w14:paraId="4F99AA5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2,495</w:t>
            </w:r>
          </w:p>
        </w:tc>
        <w:tc>
          <w:tcPr>
            <w:tcW w:w="48" w:type="pct"/>
            <w:shd w:val="clear" w:color="auto" w:fill="CFF0FC"/>
            <w:noWrap/>
            <w:tcMar>
              <w:top w:w="15" w:type="dxa"/>
              <w:left w:w="0" w:type="dxa"/>
              <w:bottom w:w="0" w:type="dxa"/>
              <w:right w:w="15" w:type="dxa"/>
            </w:tcMar>
            <w:vAlign w:val="bottom"/>
            <w:hideMark/>
          </w:tcPr>
          <w:p w14:paraId="5529032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216BD64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tcBorders>
              <w:top w:val="single" w:sz="6" w:space="0" w:color="000000"/>
            </w:tcBorders>
            <w:shd w:val="clear" w:color="auto" w:fill="CFF0FC"/>
            <w:noWrap/>
            <w:tcMar>
              <w:top w:w="15" w:type="dxa"/>
              <w:left w:w="0" w:type="dxa"/>
              <w:bottom w:w="0" w:type="dxa"/>
              <w:right w:w="15" w:type="dxa"/>
            </w:tcMar>
            <w:vAlign w:val="bottom"/>
            <w:hideMark/>
          </w:tcPr>
          <w:p w14:paraId="4109129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29" w:type="pct"/>
            <w:tcBorders>
              <w:top w:val="single" w:sz="6" w:space="0" w:color="000000"/>
            </w:tcBorders>
            <w:shd w:val="clear" w:color="auto" w:fill="CFF0FC"/>
            <w:noWrap/>
            <w:tcMar>
              <w:top w:w="15" w:type="dxa"/>
              <w:left w:w="0" w:type="dxa"/>
              <w:bottom w:w="0" w:type="dxa"/>
              <w:right w:w="15" w:type="dxa"/>
            </w:tcMar>
            <w:vAlign w:val="bottom"/>
            <w:hideMark/>
          </w:tcPr>
          <w:p w14:paraId="141B747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1,939</w:t>
            </w:r>
          </w:p>
        </w:tc>
        <w:tc>
          <w:tcPr>
            <w:tcW w:w="48" w:type="pct"/>
            <w:shd w:val="clear" w:color="auto" w:fill="CFF0FC"/>
            <w:noWrap/>
            <w:tcMar>
              <w:top w:w="15" w:type="dxa"/>
              <w:left w:w="0" w:type="dxa"/>
              <w:bottom w:w="0" w:type="dxa"/>
              <w:right w:w="15" w:type="dxa"/>
            </w:tcMar>
            <w:vAlign w:val="bottom"/>
            <w:hideMark/>
          </w:tcPr>
          <w:p w14:paraId="7C50B16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3EB1CB8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tcBorders>
              <w:top w:val="single" w:sz="6" w:space="0" w:color="000000"/>
            </w:tcBorders>
            <w:shd w:val="clear" w:color="auto" w:fill="CFF0FC"/>
            <w:noWrap/>
            <w:tcMar>
              <w:top w:w="15" w:type="dxa"/>
              <w:left w:w="0" w:type="dxa"/>
              <w:bottom w:w="0" w:type="dxa"/>
              <w:right w:w="15" w:type="dxa"/>
            </w:tcMar>
            <w:vAlign w:val="bottom"/>
            <w:hideMark/>
          </w:tcPr>
          <w:p w14:paraId="45D8D1A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8" w:type="pct"/>
            <w:tcBorders>
              <w:top w:val="single" w:sz="6" w:space="0" w:color="000000"/>
            </w:tcBorders>
            <w:shd w:val="clear" w:color="auto" w:fill="CFF0FC"/>
            <w:noWrap/>
            <w:tcMar>
              <w:top w:w="15" w:type="dxa"/>
              <w:left w:w="0" w:type="dxa"/>
              <w:bottom w:w="0" w:type="dxa"/>
              <w:right w:w="15" w:type="dxa"/>
            </w:tcMar>
            <w:vAlign w:val="bottom"/>
            <w:hideMark/>
          </w:tcPr>
          <w:p w14:paraId="29F0D46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w:t>
            </w:r>
          </w:p>
        </w:tc>
        <w:tc>
          <w:tcPr>
            <w:tcW w:w="48" w:type="pct"/>
            <w:shd w:val="clear" w:color="auto" w:fill="CFF0FC"/>
            <w:noWrap/>
            <w:tcMar>
              <w:top w:w="15" w:type="dxa"/>
              <w:left w:w="0" w:type="dxa"/>
              <w:bottom w:w="0" w:type="dxa"/>
              <w:right w:w="15" w:type="dxa"/>
            </w:tcMar>
            <w:vAlign w:val="bottom"/>
            <w:hideMark/>
          </w:tcPr>
          <w:p w14:paraId="1712601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180B0996" w14:textId="77777777">
        <w:trPr>
          <w:divId w:val="1549104720"/>
          <w:jc w:val="center"/>
        </w:trPr>
        <w:tc>
          <w:tcPr>
            <w:tcW w:w="961" w:type="pct"/>
            <w:shd w:val="clear" w:color="auto" w:fill="FFFFFF"/>
            <w:tcMar>
              <w:top w:w="15" w:type="dxa"/>
              <w:left w:w="0" w:type="dxa"/>
              <w:bottom w:w="0" w:type="dxa"/>
              <w:right w:w="15" w:type="dxa"/>
            </w:tcMar>
            <w:hideMark/>
          </w:tcPr>
          <w:p w14:paraId="2F9726A6" w14:textId="77777777" w:rsidR="00251D72" w:rsidRDefault="00251D72">
            <w:pPr>
              <w:pStyle w:val="a3"/>
              <w:spacing w:before="0" w:beforeAutospacing="0" w:after="0" w:afterAutospacing="0"/>
              <w:ind w:left="102" w:hanging="102"/>
              <w:rPr>
                <w:rFonts w:ascii="Calibri" w:hAnsi="Calibri" w:cs="Calibri"/>
                <w:color w:val="000000"/>
                <w:sz w:val="16"/>
                <w:szCs w:val="16"/>
              </w:rPr>
            </w:pPr>
            <w:r>
              <w:rPr>
                <w:rFonts w:ascii="Calibri" w:hAnsi="Calibri" w:cs="Calibri"/>
                <w:color w:val="000000"/>
                <w:sz w:val="16"/>
                <w:szCs w:val="16"/>
              </w:rPr>
              <w:t>Cloud services and license support agreements and related relationships</w:t>
            </w:r>
          </w:p>
        </w:tc>
        <w:tc>
          <w:tcPr>
            <w:tcW w:w="34" w:type="pct"/>
            <w:shd w:val="clear" w:color="auto" w:fill="FFFFFF"/>
            <w:tcMar>
              <w:top w:w="15" w:type="dxa"/>
              <w:left w:w="0" w:type="dxa"/>
              <w:bottom w:w="0" w:type="dxa"/>
              <w:right w:w="15" w:type="dxa"/>
            </w:tcMar>
            <w:vAlign w:val="bottom"/>
            <w:hideMark/>
          </w:tcPr>
          <w:p w14:paraId="54B275A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shd w:val="clear" w:color="auto" w:fill="FFFFFF"/>
            <w:noWrap/>
            <w:tcMar>
              <w:top w:w="15" w:type="dxa"/>
              <w:left w:w="0" w:type="dxa"/>
              <w:bottom w:w="0" w:type="dxa"/>
              <w:right w:w="15" w:type="dxa"/>
            </w:tcMar>
            <w:vAlign w:val="bottom"/>
            <w:hideMark/>
          </w:tcPr>
          <w:p w14:paraId="5D57C50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7" w:type="pct"/>
            <w:shd w:val="clear" w:color="auto" w:fill="FFFFFF"/>
            <w:noWrap/>
            <w:tcMar>
              <w:top w:w="15" w:type="dxa"/>
              <w:left w:w="0" w:type="dxa"/>
              <w:bottom w:w="0" w:type="dxa"/>
              <w:right w:w="15" w:type="dxa"/>
            </w:tcMar>
            <w:vAlign w:val="bottom"/>
            <w:hideMark/>
          </w:tcPr>
          <w:p w14:paraId="0B2F97E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5,999</w:t>
            </w:r>
          </w:p>
        </w:tc>
        <w:tc>
          <w:tcPr>
            <w:tcW w:w="47" w:type="pct"/>
            <w:shd w:val="clear" w:color="auto" w:fill="FFFFFF"/>
            <w:noWrap/>
            <w:tcMar>
              <w:top w:w="15" w:type="dxa"/>
              <w:left w:w="0" w:type="dxa"/>
              <w:bottom w:w="0" w:type="dxa"/>
              <w:right w:w="15" w:type="dxa"/>
            </w:tcMar>
            <w:vAlign w:val="bottom"/>
            <w:hideMark/>
          </w:tcPr>
          <w:p w14:paraId="3BE46A3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FFFFFF"/>
            <w:tcMar>
              <w:top w:w="15" w:type="dxa"/>
              <w:left w:w="0" w:type="dxa"/>
              <w:bottom w:w="0" w:type="dxa"/>
              <w:right w:w="15" w:type="dxa"/>
            </w:tcMar>
            <w:vAlign w:val="bottom"/>
            <w:hideMark/>
          </w:tcPr>
          <w:p w14:paraId="44CC8BC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FFFFFF"/>
            <w:noWrap/>
            <w:tcMar>
              <w:top w:w="15" w:type="dxa"/>
              <w:left w:w="0" w:type="dxa"/>
              <w:bottom w:w="0" w:type="dxa"/>
              <w:right w:w="15" w:type="dxa"/>
            </w:tcMar>
            <w:vAlign w:val="bottom"/>
            <w:hideMark/>
          </w:tcPr>
          <w:p w14:paraId="761A9D5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61" w:type="pct"/>
            <w:shd w:val="clear" w:color="auto" w:fill="FFFFFF"/>
            <w:noWrap/>
            <w:tcMar>
              <w:top w:w="15" w:type="dxa"/>
              <w:left w:w="0" w:type="dxa"/>
              <w:bottom w:w="0" w:type="dxa"/>
              <w:right w:w="15" w:type="dxa"/>
            </w:tcMar>
            <w:vAlign w:val="bottom"/>
            <w:hideMark/>
          </w:tcPr>
          <w:p w14:paraId="7613FDB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w:t>
            </w:r>
          </w:p>
        </w:tc>
        <w:tc>
          <w:tcPr>
            <w:tcW w:w="47" w:type="pct"/>
            <w:shd w:val="clear" w:color="auto" w:fill="FFFFFF"/>
            <w:noWrap/>
            <w:tcMar>
              <w:top w:w="15" w:type="dxa"/>
              <w:left w:w="0" w:type="dxa"/>
              <w:bottom w:w="0" w:type="dxa"/>
              <w:right w:w="15" w:type="dxa"/>
            </w:tcMar>
            <w:vAlign w:val="bottom"/>
            <w:hideMark/>
          </w:tcPr>
          <w:p w14:paraId="77F8EB9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FFFFFF"/>
            <w:tcMar>
              <w:top w:w="15" w:type="dxa"/>
              <w:left w:w="0" w:type="dxa"/>
              <w:bottom w:w="0" w:type="dxa"/>
              <w:right w:w="15" w:type="dxa"/>
            </w:tcMar>
            <w:vAlign w:val="bottom"/>
            <w:hideMark/>
          </w:tcPr>
          <w:p w14:paraId="2372A37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5" w:type="pct"/>
            <w:shd w:val="clear" w:color="auto" w:fill="FFFFFF"/>
            <w:noWrap/>
            <w:tcMar>
              <w:top w:w="15" w:type="dxa"/>
              <w:left w:w="0" w:type="dxa"/>
              <w:bottom w:w="0" w:type="dxa"/>
              <w:right w:w="15" w:type="dxa"/>
            </w:tcMar>
            <w:vAlign w:val="bottom"/>
            <w:hideMark/>
          </w:tcPr>
          <w:p w14:paraId="7FF5310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3" w:type="pct"/>
            <w:shd w:val="clear" w:color="auto" w:fill="FFFFFF"/>
            <w:noWrap/>
            <w:tcMar>
              <w:top w:w="15" w:type="dxa"/>
              <w:left w:w="0" w:type="dxa"/>
              <w:bottom w:w="0" w:type="dxa"/>
              <w:right w:w="15" w:type="dxa"/>
            </w:tcMar>
            <w:vAlign w:val="bottom"/>
            <w:hideMark/>
          </w:tcPr>
          <w:p w14:paraId="7C674AA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(286</w:t>
            </w:r>
          </w:p>
        </w:tc>
        <w:tc>
          <w:tcPr>
            <w:tcW w:w="47" w:type="pct"/>
            <w:shd w:val="clear" w:color="auto" w:fill="FFFFFF"/>
            <w:noWrap/>
            <w:tcMar>
              <w:top w:w="15" w:type="dxa"/>
              <w:left w:w="0" w:type="dxa"/>
              <w:bottom w:w="0" w:type="dxa"/>
              <w:right w:w="15" w:type="dxa"/>
            </w:tcMar>
            <w:vAlign w:val="bottom"/>
            <w:hideMark/>
          </w:tcPr>
          <w:p w14:paraId="21A8235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FFFFFF"/>
            <w:tcMar>
              <w:top w:w="15" w:type="dxa"/>
              <w:left w:w="0" w:type="dxa"/>
              <w:bottom w:w="0" w:type="dxa"/>
              <w:right w:w="15" w:type="dxa"/>
            </w:tcMar>
            <w:vAlign w:val="bottom"/>
            <w:hideMark/>
          </w:tcPr>
          <w:p w14:paraId="4A5F9FE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shd w:val="clear" w:color="auto" w:fill="FFFFFF"/>
            <w:noWrap/>
            <w:tcMar>
              <w:top w:w="15" w:type="dxa"/>
              <w:left w:w="0" w:type="dxa"/>
              <w:bottom w:w="0" w:type="dxa"/>
              <w:right w:w="15" w:type="dxa"/>
            </w:tcMar>
            <w:vAlign w:val="bottom"/>
            <w:hideMark/>
          </w:tcPr>
          <w:p w14:paraId="5185898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31" w:type="pct"/>
            <w:shd w:val="clear" w:color="auto" w:fill="FFFFFF"/>
            <w:noWrap/>
            <w:tcMar>
              <w:top w:w="15" w:type="dxa"/>
              <w:left w:w="0" w:type="dxa"/>
              <w:bottom w:w="0" w:type="dxa"/>
              <w:right w:w="15" w:type="dxa"/>
            </w:tcMar>
            <w:vAlign w:val="bottom"/>
            <w:hideMark/>
          </w:tcPr>
          <w:p w14:paraId="0AFAC80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5,693</w:t>
            </w:r>
          </w:p>
        </w:tc>
        <w:tc>
          <w:tcPr>
            <w:tcW w:w="47" w:type="pct"/>
            <w:shd w:val="clear" w:color="auto" w:fill="FFFFFF"/>
            <w:noWrap/>
            <w:tcMar>
              <w:top w:w="15" w:type="dxa"/>
              <w:left w:w="0" w:type="dxa"/>
              <w:bottom w:w="0" w:type="dxa"/>
              <w:right w:w="15" w:type="dxa"/>
            </w:tcMar>
            <w:vAlign w:val="bottom"/>
            <w:hideMark/>
          </w:tcPr>
          <w:p w14:paraId="51D7A9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FFFFFF"/>
            <w:tcMar>
              <w:top w:w="15" w:type="dxa"/>
              <w:left w:w="0" w:type="dxa"/>
              <w:bottom w:w="0" w:type="dxa"/>
              <w:right w:w="15" w:type="dxa"/>
            </w:tcMar>
            <w:vAlign w:val="bottom"/>
            <w:hideMark/>
          </w:tcPr>
          <w:p w14:paraId="599901D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shd w:val="clear" w:color="auto" w:fill="FFFFFF"/>
            <w:noWrap/>
            <w:tcMar>
              <w:top w:w="15" w:type="dxa"/>
              <w:left w:w="0" w:type="dxa"/>
              <w:bottom w:w="0" w:type="dxa"/>
              <w:right w:w="15" w:type="dxa"/>
            </w:tcMar>
            <w:vAlign w:val="bottom"/>
            <w:hideMark/>
          </w:tcPr>
          <w:p w14:paraId="5DE8B16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7" w:type="pct"/>
            <w:shd w:val="clear" w:color="auto" w:fill="FFFFFF"/>
            <w:noWrap/>
            <w:tcMar>
              <w:top w:w="15" w:type="dxa"/>
              <w:left w:w="0" w:type="dxa"/>
              <w:bottom w:w="0" w:type="dxa"/>
              <w:right w:w="15" w:type="dxa"/>
            </w:tcMar>
            <w:vAlign w:val="bottom"/>
            <w:hideMark/>
          </w:tcPr>
          <w:p w14:paraId="42EAB8E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(2,285</w:t>
            </w:r>
          </w:p>
        </w:tc>
        <w:tc>
          <w:tcPr>
            <w:tcW w:w="47" w:type="pct"/>
            <w:shd w:val="clear" w:color="auto" w:fill="FFFFFF"/>
            <w:noWrap/>
            <w:tcMar>
              <w:top w:w="15" w:type="dxa"/>
              <w:left w:w="0" w:type="dxa"/>
              <w:bottom w:w="0" w:type="dxa"/>
              <w:right w:w="15" w:type="dxa"/>
            </w:tcMar>
            <w:vAlign w:val="bottom"/>
            <w:hideMark/>
          </w:tcPr>
          <w:p w14:paraId="41C337E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FFFFFF"/>
            <w:tcMar>
              <w:top w:w="15" w:type="dxa"/>
              <w:left w:w="0" w:type="dxa"/>
              <w:bottom w:w="0" w:type="dxa"/>
              <w:right w:w="15" w:type="dxa"/>
            </w:tcMar>
            <w:vAlign w:val="bottom"/>
            <w:hideMark/>
          </w:tcPr>
          <w:p w14:paraId="79445A2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shd w:val="clear" w:color="auto" w:fill="FFFFFF"/>
            <w:noWrap/>
            <w:tcMar>
              <w:top w:w="15" w:type="dxa"/>
              <w:left w:w="0" w:type="dxa"/>
              <w:bottom w:w="0" w:type="dxa"/>
              <w:right w:w="15" w:type="dxa"/>
            </w:tcMar>
            <w:vAlign w:val="bottom"/>
            <w:hideMark/>
          </w:tcPr>
          <w:p w14:paraId="4E44789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7" w:type="pct"/>
            <w:shd w:val="clear" w:color="auto" w:fill="FFFFFF"/>
            <w:noWrap/>
            <w:tcMar>
              <w:top w:w="15" w:type="dxa"/>
              <w:left w:w="0" w:type="dxa"/>
              <w:bottom w:w="0" w:type="dxa"/>
              <w:right w:w="15" w:type="dxa"/>
            </w:tcMar>
            <w:vAlign w:val="bottom"/>
            <w:hideMark/>
          </w:tcPr>
          <w:p w14:paraId="33D2353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(712</w:t>
            </w:r>
          </w:p>
        </w:tc>
        <w:tc>
          <w:tcPr>
            <w:tcW w:w="47" w:type="pct"/>
            <w:shd w:val="clear" w:color="auto" w:fill="FFFFFF"/>
            <w:noWrap/>
            <w:tcMar>
              <w:top w:w="15" w:type="dxa"/>
              <w:left w:w="0" w:type="dxa"/>
              <w:bottom w:w="0" w:type="dxa"/>
              <w:right w:w="15" w:type="dxa"/>
            </w:tcMar>
            <w:vAlign w:val="bottom"/>
            <w:hideMark/>
          </w:tcPr>
          <w:p w14:paraId="225006A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FFFFFF"/>
            <w:tcMar>
              <w:top w:w="15" w:type="dxa"/>
              <w:left w:w="0" w:type="dxa"/>
              <w:bottom w:w="0" w:type="dxa"/>
              <w:right w:w="15" w:type="dxa"/>
            </w:tcMar>
            <w:vAlign w:val="bottom"/>
            <w:hideMark/>
          </w:tcPr>
          <w:p w14:paraId="731AEFD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5" w:type="pct"/>
            <w:shd w:val="clear" w:color="auto" w:fill="FFFFFF"/>
            <w:noWrap/>
            <w:tcMar>
              <w:top w:w="15" w:type="dxa"/>
              <w:left w:w="0" w:type="dxa"/>
              <w:bottom w:w="0" w:type="dxa"/>
              <w:right w:w="15" w:type="dxa"/>
            </w:tcMar>
            <w:vAlign w:val="bottom"/>
            <w:hideMark/>
          </w:tcPr>
          <w:p w14:paraId="6B6F91B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3" w:type="pct"/>
            <w:shd w:val="clear" w:color="auto" w:fill="FFFFFF"/>
            <w:noWrap/>
            <w:tcMar>
              <w:top w:w="15" w:type="dxa"/>
              <w:left w:w="0" w:type="dxa"/>
              <w:bottom w:w="0" w:type="dxa"/>
              <w:right w:w="15" w:type="dxa"/>
            </w:tcMar>
            <w:vAlign w:val="bottom"/>
            <w:hideMark/>
          </w:tcPr>
          <w:p w14:paraId="3235594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286</w:t>
            </w:r>
          </w:p>
        </w:tc>
        <w:tc>
          <w:tcPr>
            <w:tcW w:w="47" w:type="pct"/>
            <w:shd w:val="clear" w:color="auto" w:fill="FFFFFF"/>
            <w:noWrap/>
            <w:tcMar>
              <w:top w:w="15" w:type="dxa"/>
              <w:left w:w="0" w:type="dxa"/>
              <w:bottom w:w="0" w:type="dxa"/>
              <w:right w:w="15" w:type="dxa"/>
            </w:tcMar>
            <w:vAlign w:val="bottom"/>
            <w:hideMark/>
          </w:tcPr>
          <w:p w14:paraId="43AE6C6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FFFFFF"/>
            <w:tcMar>
              <w:top w:w="15" w:type="dxa"/>
              <w:left w:w="0" w:type="dxa"/>
              <w:bottom w:w="0" w:type="dxa"/>
              <w:right w:w="15" w:type="dxa"/>
            </w:tcMar>
            <w:vAlign w:val="bottom"/>
            <w:hideMark/>
          </w:tcPr>
          <w:p w14:paraId="158292E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shd w:val="clear" w:color="auto" w:fill="FFFFFF"/>
            <w:noWrap/>
            <w:tcMar>
              <w:top w:w="15" w:type="dxa"/>
              <w:left w:w="0" w:type="dxa"/>
              <w:bottom w:w="0" w:type="dxa"/>
              <w:right w:w="15" w:type="dxa"/>
            </w:tcMar>
            <w:vAlign w:val="bottom"/>
            <w:hideMark/>
          </w:tcPr>
          <w:p w14:paraId="4D4B553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31" w:type="pct"/>
            <w:shd w:val="clear" w:color="auto" w:fill="FFFFFF"/>
            <w:noWrap/>
            <w:tcMar>
              <w:top w:w="15" w:type="dxa"/>
              <w:left w:w="0" w:type="dxa"/>
              <w:bottom w:w="0" w:type="dxa"/>
              <w:right w:w="15" w:type="dxa"/>
            </w:tcMar>
            <w:vAlign w:val="bottom"/>
            <w:hideMark/>
          </w:tcPr>
          <w:p w14:paraId="5E10943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(2,711</w:t>
            </w:r>
          </w:p>
        </w:tc>
        <w:tc>
          <w:tcPr>
            <w:tcW w:w="47" w:type="pct"/>
            <w:shd w:val="clear" w:color="auto" w:fill="FFFFFF"/>
            <w:noWrap/>
            <w:tcMar>
              <w:top w:w="15" w:type="dxa"/>
              <w:left w:w="0" w:type="dxa"/>
              <w:bottom w:w="0" w:type="dxa"/>
              <w:right w:w="15" w:type="dxa"/>
            </w:tcMar>
            <w:vAlign w:val="bottom"/>
            <w:hideMark/>
          </w:tcPr>
          <w:p w14:paraId="3D11EFA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FFFFFF"/>
            <w:tcMar>
              <w:top w:w="15" w:type="dxa"/>
              <w:left w:w="0" w:type="dxa"/>
              <w:bottom w:w="0" w:type="dxa"/>
              <w:right w:w="15" w:type="dxa"/>
            </w:tcMar>
            <w:vAlign w:val="bottom"/>
            <w:hideMark/>
          </w:tcPr>
          <w:p w14:paraId="7423709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shd w:val="clear" w:color="auto" w:fill="FFFFFF"/>
            <w:noWrap/>
            <w:tcMar>
              <w:top w:w="15" w:type="dxa"/>
              <w:left w:w="0" w:type="dxa"/>
              <w:bottom w:w="0" w:type="dxa"/>
              <w:right w:w="15" w:type="dxa"/>
            </w:tcMar>
            <w:vAlign w:val="bottom"/>
            <w:hideMark/>
          </w:tcPr>
          <w:p w14:paraId="0EA3676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8" w:type="pct"/>
            <w:shd w:val="clear" w:color="auto" w:fill="FFFFFF"/>
            <w:noWrap/>
            <w:tcMar>
              <w:top w:w="15" w:type="dxa"/>
              <w:left w:w="0" w:type="dxa"/>
              <w:bottom w:w="0" w:type="dxa"/>
              <w:right w:w="15" w:type="dxa"/>
            </w:tcMar>
            <w:vAlign w:val="bottom"/>
            <w:hideMark/>
          </w:tcPr>
          <w:p w14:paraId="2DC217A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3,714</w:t>
            </w:r>
          </w:p>
        </w:tc>
        <w:tc>
          <w:tcPr>
            <w:tcW w:w="48" w:type="pct"/>
            <w:shd w:val="clear" w:color="auto" w:fill="FFFFFF"/>
            <w:noWrap/>
            <w:tcMar>
              <w:top w:w="15" w:type="dxa"/>
              <w:left w:w="0" w:type="dxa"/>
              <w:bottom w:w="0" w:type="dxa"/>
              <w:right w:w="15" w:type="dxa"/>
            </w:tcMar>
            <w:vAlign w:val="bottom"/>
            <w:hideMark/>
          </w:tcPr>
          <w:p w14:paraId="0A1267F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FFFFFF"/>
            <w:tcMar>
              <w:top w:w="15" w:type="dxa"/>
              <w:left w:w="0" w:type="dxa"/>
              <w:bottom w:w="0" w:type="dxa"/>
              <w:right w:w="15" w:type="dxa"/>
            </w:tcMar>
            <w:vAlign w:val="bottom"/>
            <w:hideMark/>
          </w:tcPr>
          <w:p w14:paraId="7F2A4F3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shd w:val="clear" w:color="auto" w:fill="FFFFFF"/>
            <w:noWrap/>
            <w:tcMar>
              <w:top w:w="15" w:type="dxa"/>
              <w:left w:w="0" w:type="dxa"/>
              <w:bottom w:w="0" w:type="dxa"/>
              <w:right w:w="15" w:type="dxa"/>
            </w:tcMar>
            <w:vAlign w:val="bottom"/>
            <w:hideMark/>
          </w:tcPr>
          <w:p w14:paraId="152D891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9" w:type="pct"/>
            <w:shd w:val="clear" w:color="auto" w:fill="FFFFFF"/>
            <w:noWrap/>
            <w:tcMar>
              <w:top w:w="15" w:type="dxa"/>
              <w:left w:w="0" w:type="dxa"/>
              <w:bottom w:w="0" w:type="dxa"/>
              <w:right w:w="15" w:type="dxa"/>
            </w:tcMar>
            <w:vAlign w:val="bottom"/>
            <w:hideMark/>
          </w:tcPr>
          <w:p w14:paraId="0EF1BD8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2,982</w:t>
            </w:r>
          </w:p>
        </w:tc>
        <w:tc>
          <w:tcPr>
            <w:tcW w:w="48" w:type="pct"/>
            <w:shd w:val="clear" w:color="auto" w:fill="FFFFFF"/>
            <w:noWrap/>
            <w:tcMar>
              <w:top w:w="15" w:type="dxa"/>
              <w:left w:w="0" w:type="dxa"/>
              <w:bottom w:w="0" w:type="dxa"/>
              <w:right w:w="15" w:type="dxa"/>
            </w:tcMar>
            <w:vAlign w:val="bottom"/>
            <w:hideMark/>
          </w:tcPr>
          <w:p w14:paraId="6B00D36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FFFFFF"/>
            <w:tcMar>
              <w:top w:w="15" w:type="dxa"/>
              <w:left w:w="0" w:type="dxa"/>
              <w:bottom w:w="0" w:type="dxa"/>
              <w:right w:w="15" w:type="dxa"/>
            </w:tcMar>
            <w:vAlign w:val="bottom"/>
            <w:hideMark/>
          </w:tcPr>
          <w:p w14:paraId="19BA53A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shd w:val="clear" w:color="auto" w:fill="FFFFFF"/>
            <w:noWrap/>
            <w:tcMar>
              <w:top w:w="15" w:type="dxa"/>
              <w:left w:w="0" w:type="dxa"/>
              <w:bottom w:w="0" w:type="dxa"/>
              <w:right w:w="15" w:type="dxa"/>
            </w:tcMar>
            <w:vAlign w:val="bottom"/>
            <w:hideMark/>
          </w:tcPr>
          <w:p w14:paraId="1C28340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8" w:type="pct"/>
            <w:shd w:val="clear" w:color="auto" w:fill="FFFFFF"/>
            <w:noWrap/>
            <w:tcMar>
              <w:top w:w="15" w:type="dxa"/>
              <w:left w:w="0" w:type="dxa"/>
              <w:bottom w:w="0" w:type="dxa"/>
              <w:right w:w="15" w:type="dxa"/>
            </w:tcMar>
            <w:vAlign w:val="bottom"/>
            <w:hideMark/>
          </w:tcPr>
          <w:p w14:paraId="4D604B1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w:t>
            </w:r>
          </w:p>
        </w:tc>
        <w:tc>
          <w:tcPr>
            <w:tcW w:w="48" w:type="pct"/>
            <w:shd w:val="clear" w:color="auto" w:fill="FFFFFF"/>
            <w:noWrap/>
            <w:tcMar>
              <w:top w:w="15" w:type="dxa"/>
              <w:left w:w="0" w:type="dxa"/>
              <w:bottom w:w="0" w:type="dxa"/>
              <w:right w:w="15" w:type="dxa"/>
            </w:tcMar>
            <w:vAlign w:val="bottom"/>
            <w:hideMark/>
          </w:tcPr>
          <w:p w14:paraId="022D1F0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0B8C98F8" w14:textId="77777777">
        <w:trPr>
          <w:divId w:val="1549104720"/>
          <w:jc w:val="center"/>
        </w:trPr>
        <w:tc>
          <w:tcPr>
            <w:tcW w:w="961" w:type="pct"/>
            <w:shd w:val="clear" w:color="auto" w:fill="CFF0FC"/>
            <w:tcMar>
              <w:top w:w="15" w:type="dxa"/>
              <w:left w:w="0" w:type="dxa"/>
              <w:bottom w:w="0" w:type="dxa"/>
              <w:right w:w="15" w:type="dxa"/>
            </w:tcMar>
            <w:hideMark/>
          </w:tcPr>
          <w:p w14:paraId="7A7B770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Other</w:t>
            </w:r>
          </w:p>
        </w:tc>
        <w:tc>
          <w:tcPr>
            <w:tcW w:w="34" w:type="pct"/>
            <w:shd w:val="clear" w:color="auto" w:fill="CFF0FC"/>
            <w:tcMar>
              <w:top w:w="15" w:type="dxa"/>
              <w:left w:w="0" w:type="dxa"/>
              <w:bottom w:w="0" w:type="dxa"/>
              <w:right w:w="15" w:type="dxa"/>
            </w:tcMar>
            <w:vAlign w:val="bottom"/>
            <w:hideMark/>
          </w:tcPr>
          <w:p w14:paraId="6D91B5C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bottom w:val="single" w:sz="6" w:space="0" w:color="000000"/>
            </w:tcBorders>
            <w:shd w:val="clear" w:color="auto" w:fill="CFF0FC"/>
            <w:noWrap/>
            <w:tcMar>
              <w:top w:w="15" w:type="dxa"/>
              <w:left w:w="0" w:type="dxa"/>
              <w:bottom w:w="0" w:type="dxa"/>
              <w:right w:w="15" w:type="dxa"/>
            </w:tcMar>
            <w:vAlign w:val="bottom"/>
            <w:hideMark/>
          </w:tcPr>
          <w:p w14:paraId="09F7B81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7" w:type="pct"/>
            <w:tcBorders>
              <w:bottom w:val="single" w:sz="6" w:space="0" w:color="000000"/>
            </w:tcBorders>
            <w:shd w:val="clear" w:color="auto" w:fill="CFF0FC"/>
            <w:noWrap/>
            <w:tcMar>
              <w:top w:w="15" w:type="dxa"/>
              <w:left w:w="0" w:type="dxa"/>
              <w:bottom w:w="0" w:type="dxa"/>
              <w:right w:w="15" w:type="dxa"/>
            </w:tcMar>
            <w:vAlign w:val="bottom"/>
            <w:hideMark/>
          </w:tcPr>
          <w:p w14:paraId="7F5D01C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1,622</w:t>
            </w:r>
          </w:p>
        </w:tc>
        <w:tc>
          <w:tcPr>
            <w:tcW w:w="47" w:type="pct"/>
            <w:shd w:val="clear" w:color="auto" w:fill="CFF0FC"/>
            <w:noWrap/>
            <w:tcMar>
              <w:top w:w="15" w:type="dxa"/>
              <w:left w:w="0" w:type="dxa"/>
              <w:bottom w:w="0" w:type="dxa"/>
              <w:right w:w="15" w:type="dxa"/>
            </w:tcMar>
            <w:vAlign w:val="bottom"/>
            <w:hideMark/>
          </w:tcPr>
          <w:p w14:paraId="2E19D91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30AAA21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 w:type="pct"/>
            <w:tcBorders>
              <w:bottom w:val="single" w:sz="6" w:space="0" w:color="000000"/>
            </w:tcBorders>
            <w:shd w:val="clear" w:color="auto" w:fill="CFF0FC"/>
            <w:noWrap/>
            <w:tcMar>
              <w:top w:w="15" w:type="dxa"/>
              <w:left w:w="0" w:type="dxa"/>
              <w:bottom w:w="0" w:type="dxa"/>
              <w:right w:w="15" w:type="dxa"/>
            </w:tcMar>
            <w:vAlign w:val="bottom"/>
            <w:hideMark/>
          </w:tcPr>
          <w:p w14:paraId="1D186E6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61" w:type="pct"/>
            <w:tcBorders>
              <w:bottom w:val="single" w:sz="6" w:space="0" w:color="000000"/>
            </w:tcBorders>
            <w:shd w:val="clear" w:color="auto" w:fill="CFF0FC"/>
            <w:noWrap/>
            <w:tcMar>
              <w:top w:w="15" w:type="dxa"/>
              <w:left w:w="0" w:type="dxa"/>
              <w:bottom w:w="0" w:type="dxa"/>
              <w:right w:w="15" w:type="dxa"/>
            </w:tcMar>
            <w:vAlign w:val="bottom"/>
            <w:hideMark/>
          </w:tcPr>
          <w:p w14:paraId="4D4FFB1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w:t>
            </w:r>
          </w:p>
        </w:tc>
        <w:tc>
          <w:tcPr>
            <w:tcW w:w="47" w:type="pct"/>
            <w:shd w:val="clear" w:color="auto" w:fill="CFF0FC"/>
            <w:noWrap/>
            <w:tcMar>
              <w:top w:w="15" w:type="dxa"/>
              <w:left w:w="0" w:type="dxa"/>
              <w:bottom w:w="0" w:type="dxa"/>
              <w:right w:w="15" w:type="dxa"/>
            </w:tcMar>
            <w:vAlign w:val="bottom"/>
            <w:hideMark/>
          </w:tcPr>
          <w:p w14:paraId="105FCE5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467B893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5" w:type="pct"/>
            <w:tcBorders>
              <w:bottom w:val="single" w:sz="6" w:space="0" w:color="000000"/>
            </w:tcBorders>
            <w:shd w:val="clear" w:color="auto" w:fill="CFF0FC"/>
            <w:noWrap/>
            <w:tcMar>
              <w:top w:w="15" w:type="dxa"/>
              <w:left w:w="0" w:type="dxa"/>
              <w:bottom w:w="0" w:type="dxa"/>
              <w:right w:w="15" w:type="dxa"/>
            </w:tcMar>
            <w:vAlign w:val="bottom"/>
            <w:hideMark/>
          </w:tcPr>
          <w:p w14:paraId="0C4AEF6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3" w:type="pct"/>
            <w:tcBorders>
              <w:bottom w:val="single" w:sz="6" w:space="0" w:color="000000"/>
            </w:tcBorders>
            <w:shd w:val="clear" w:color="auto" w:fill="CFF0FC"/>
            <w:noWrap/>
            <w:tcMar>
              <w:top w:w="15" w:type="dxa"/>
              <w:left w:w="0" w:type="dxa"/>
              <w:bottom w:w="0" w:type="dxa"/>
              <w:right w:w="15" w:type="dxa"/>
            </w:tcMar>
            <w:vAlign w:val="bottom"/>
            <w:hideMark/>
          </w:tcPr>
          <w:p w14:paraId="31CDEFC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(50</w:t>
            </w:r>
          </w:p>
        </w:tc>
        <w:tc>
          <w:tcPr>
            <w:tcW w:w="47" w:type="pct"/>
            <w:shd w:val="clear" w:color="auto" w:fill="CFF0FC"/>
            <w:noWrap/>
            <w:tcMar>
              <w:top w:w="15" w:type="dxa"/>
              <w:left w:w="0" w:type="dxa"/>
              <w:bottom w:w="0" w:type="dxa"/>
              <w:right w:w="15" w:type="dxa"/>
            </w:tcMar>
            <w:vAlign w:val="bottom"/>
            <w:hideMark/>
          </w:tcPr>
          <w:p w14:paraId="4475283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CFF0FC"/>
            <w:tcMar>
              <w:top w:w="15" w:type="dxa"/>
              <w:left w:w="0" w:type="dxa"/>
              <w:bottom w:w="0" w:type="dxa"/>
              <w:right w:w="15" w:type="dxa"/>
            </w:tcMar>
            <w:vAlign w:val="bottom"/>
            <w:hideMark/>
          </w:tcPr>
          <w:p w14:paraId="5D95C92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bottom w:val="single" w:sz="6" w:space="0" w:color="000000"/>
            </w:tcBorders>
            <w:shd w:val="clear" w:color="auto" w:fill="CFF0FC"/>
            <w:noWrap/>
            <w:tcMar>
              <w:top w:w="15" w:type="dxa"/>
              <w:left w:w="0" w:type="dxa"/>
              <w:bottom w:w="0" w:type="dxa"/>
              <w:right w:w="15" w:type="dxa"/>
            </w:tcMar>
            <w:vAlign w:val="bottom"/>
            <w:hideMark/>
          </w:tcPr>
          <w:p w14:paraId="56520BC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31" w:type="pct"/>
            <w:tcBorders>
              <w:bottom w:val="single" w:sz="6" w:space="0" w:color="000000"/>
            </w:tcBorders>
            <w:shd w:val="clear" w:color="auto" w:fill="CFF0FC"/>
            <w:noWrap/>
            <w:tcMar>
              <w:top w:w="15" w:type="dxa"/>
              <w:left w:w="0" w:type="dxa"/>
              <w:bottom w:w="0" w:type="dxa"/>
              <w:right w:w="15" w:type="dxa"/>
            </w:tcMar>
            <w:vAlign w:val="bottom"/>
            <w:hideMark/>
          </w:tcPr>
          <w:p w14:paraId="249B60E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1,589</w:t>
            </w:r>
          </w:p>
        </w:tc>
        <w:tc>
          <w:tcPr>
            <w:tcW w:w="47" w:type="pct"/>
            <w:shd w:val="clear" w:color="auto" w:fill="CFF0FC"/>
            <w:noWrap/>
            <w:tcMar>
              <w:top w:w="15" w:type="dxa"/>
              <w:left w:w="0" w:type="dxa"/>
              <w:bottom w:w="0" w:type="dxa"/>
              <w:right w:w="15" w:type="dxa"/>
            </w:tcMar>
            <w:vAlign w:val="bottom"/>
            <w:hideMark/>
          </w:tcPr>
          <w:p w14:paraId="77E18F4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23427F5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bottom w:val="single" w:sz="6" w:space="0" w:color="000000"/>
            </w:tcBorders>
            <w:shd w:val="clear" w:color="auto" w:fill="CFF0FC"/>
            <w:noWrap/>
            <w:tcMar>
              <w:top w:w="15" w:type="dxa"/>
              <w:left w:w="0" w:type="dxa"/>
              <w:bottom w:w="0" w:type="dxa"/>
              <w:right w:w="15" w:type="dxa"/>
            </w:tcMar>
            <w:vAlign w:val="bottom"/>
            <w:hideMark/>
          </w:tcPr>
          <w:p w14:paraId="491B2F4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7" w:type="pct"/>
            <w:tcBorders>
              <w:bottom w:val="single" w:sz="6" w:space="0" w:color="000000"/>
            </w:tcBorders>
            <w:shd w:val="clear" w:color="auto" w:fill="CFF0FC"/>
            <w:noWrap/>
            <w:tcMar>
              <w:top w:w="15" w:type="dxa"/>
              <w:left w:w="0" w:type="dxa"/>
              <w:bottom w:w="0" w:type="dxa"/>
              <w:right w:w="15" w:type="dxa"/>
            </w:tcMar>
            <w:vAlign w:val="bottom"/>
            <w:hideMark/>
          </w:tcPr>
          <w:p w14:paraId="32F0888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(1,161</w:t>
            </w:r>
          </w:p>
        </w:tc>
        <w:tc>
          <w:tcPr>
            <w:tcW w:w="47" w:type="pct"/>
            <w:shd w:val="clear" w:color="auto" w:fill="CFF0FC"/>
            <w:noWrap/>
            <w:tcMar>
              <w:top w:w="15" w:type="dxa"/>
              <w:left w:w="0" w:type="dxa"/>
              <w:bottom w:w="0" w:type="dxa"/>
              <w:right w:w="15" w:type="dxa"/>
            </w:tcMar>
            <w:vAlign w:val="bottom"/>
            <w:hideMark/>
          </w:tcPr>
          <w:p w14:paraId="50B1D06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CFF0FC"/>
            <w:tcMar>
              <w:top w:w="15" w:type="dxa"/>
              <w:left w:w="0" w:type="dxa"/>
              <w:bottom w:w="0" w:type="dxa"/>
              <w:right w:w="15" w:type="dxa"/>
            </w:tcMar>
            <w:vAlign w:val="bottom"/>
            <w:hideMark/>
          </w:tcPr>
          <w:p w14:paraId="5094A57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bottom w:val="single" w:sz="6" w:space="0" w:color="000000"/>
            </w:tcBorders>
            <w:shd w:val="clear" w:color="auto" w:fill="CFF0FC"/>
            <w:noWrap/>
            <w:tcMar>
              <w:top w:w="15" w:type="dxa"/>
              <w:left w:w="0" w:type="dxa"/>
              <w:bottom w:w="0" w:type="dxa"/>
              <w:right w:w="15" w:type="dxa"/>
            </w:tcMar>
            <w:vAlign w:val="bottom"/>
            <w:hideMark/>
          </w:tcPr>
          <w:p w14:paraId="719D440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7" w:type="pct"/>
            <w:tcBorders>
              <w:bottom w:val="single" w:sz="6" w:space="0" w:color="000000"/>
            </w:tcBorders>
            <w:shd w:val="clear" w:color="auto" w:fill="CFF0FC"/>
            <w:noWrap/>
            <w:tcMar>
              <w:top w:w="15" w:type="dxa"/>
              <w:left w:w="0" w:type="dxa"/>
              <w:bottom w:w="0" w:type="dxa"/>
              <w:right w:w="15" w:type="dxa"/>
            </w:tcMar>
            <w:vAlign w:val="bottom"/>
            <w:hideMark/>
          </w:tcPr>
          <w:p w14:paraId="3947093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(120</w:t>
            </w:r>
          </w:p>
        </w:tc>
        <w:tc>
          <w:tcPr>
            <w:tcW w:w="47" w:type="pct"/>
            <w:shd w:val="clear" w:color="auto" w:fill="CFF0FC"/>
            <w:noWrap/>
            <w:tcMar>
              <w:top w:w="15" w:type="dxa"/>
              <w:left w:w="0" w:type="dxa"/>
              <w:bottom w:w="0" w:type="dxa"/>
              <w:right w:w="15" w:type="dxa"/>
            </w:tcMar>
            <w:vAlign w:val="bottom"/>
            <w:hideMark/>
          </w:tcPr>
          <w:p w14:paraId="753A8DE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CFF0FC"/>
            <w:tcMar>
              <w:top w:w="15" w:type="dxa"/>
              <w:left w:w="0" w:type="dxa"/>
              <w:bottom w:w="0" w:type="dxa"/>
              <w:right w:w="15" w:type="dxa"/>
            </w:tcMar>
            <w:vAlign w:val="bottom"/>
            <w:hideMark/>
          </w:tcPr>
          <w:p w14:paraId="6263A75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5" w:type="pct"/>
            <w:tcBorders>
              <w:bottom w:val="single" w:sz="6" w:space="0" w:color="000000"/>
            </w:tcBorders>
            <w:shd w:val="clear" w:color="auto" w:fill="CFF0FC"/>
            <w:noWrap/>
            <w:tcMar>
              <w:top w:w="15" w:type="dxa"/>
              <w:left w:w="0" w:type="dxa"/>
              <w:bottom w:w="0" w:type="dxa"/>
              <w:right w:w="15" w:type="dxa"/>
            </w:tcMar>
            <w:vAlign w:val="bottom"/>
            <w:hideMark/>
          </w:tcPr>
          <w:p w14:paraId="2417CAB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3" w:type="pct"/>
            <w:tcBorders>
              <w:bottom w:val="single" w:sz="6" w:space="0" w:color="000000"/>
            </w:tcBorders>
            <w:shd w:val="clear" w:color="auto" w:fill="CFF0FC"/>
            <w:noWrap/>
            <w:tcMar>
              <w:top w:w="15" w:type="dxa"/>
              <w:left w:w="0" w:type="dxa"/>
              <w:bottom w:w="0" w:type="dxa"/>
              <w:right w:w="15" w:type="dxa"/>
            </w:tcMar>
            <w:vAlign w:val="bottom"/>
            <w:hideMark/>
          </w:tcPr>
          <w:p w14:paraId="3FC7951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50</w:t>
            </w:r>
          </w:p>
        </w:tc>
        <w:tc>
          <w:tcPr>
            <w:tcW w:w="47" w:type="pct"/>
            <w:shd w:val="clear" w:color="auto" w:fill="CFF0FC"/>
            <w:noWrap/>
            <w:tcMar>
              <w:top w:w="15" w:type="dxa"/>
              <w:left w:w="0" w:type="dxa"/>
              <w:bottom w:w="0" w:type="dxa"/>
              <w:right w:w="15" w:type="dxa"/>
            </w:tcMar>
            <w:vAlign w:val="bottom"/>
            <w:hideMark/>
          </w:tcPr>
          <w:p w14:paraId="66B01E7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0D8DF6D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bottom w:val="single" w:sz="6" w:space="0" w:color="000000"/>
            </w:tcBorders>
            <w:shd w:val="clear" w:color="auto" w:fill="CFF0FC"/>
            <w:noWrap/>
            <w:tcMar>
              <w:top w:w="15" w:type="dxa"/>
              <w:left w:w="0" w:type="dxa"/>
              <w:bottom w:w="0" w:type="dxa"/>
              <w:right w:w="15" w:type="dxa"/>
            </w:tcMar>
            <w:vAlign w:val="bottom"/>
            <w:hideMark/>
          </w:tcPr>
          <w:p w14:paraId="1A43DC7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31" w:type="pct"/>
            <w:tcBorders>
              <w:bottom w:val="single" w:sz="6" w:space="0" w:color="000000"/>
            </w:tcBorders>
            <w:shd w:val="clear" w:color="auto" w:fill="CFF0FC"/>
            <w:noWrap/>
            <w:tcMar>
              <w:top w:w="15" w:type="dxa"/>
              <w:left w:w="0" w:type="dxa"/>
              <w:bottom w:w="0" w:type="dxa"/>
              <w:right w:w="15" w:type="dxa"/>
            </w:tcMar>
            <w:vAlign w:val="bottom"/>
            <w:hideMark/>
          </w:tcPr>
          <w:p w14:paraId="386CAD5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(1,231</w:t>
            </w:r>
          </w:p>
        </w:tc>
        <w:tc>
          <w:tcPr>
            <w:tcW w:w="47" w:type="pct"/>
            <w:shd w:val="clear" w:color="auto" w:fill="CFF0FC"/>
            <w:noWrap/>
            <w:tcMar>
              <w:top w:w="15" w:type="dxa"/>
              <w:left w:w="0" w:type="dxa"/>
              <w:bottom w:w="0" w:type="dxa"/>
              <w:right w:w="15" w:type="dxa"/>
            </w:tcMar>
            <w:vAlign w:val="bottom"/>
            <w:hideMark/>
          </w:tcPr>
          <w:p w14:paraId="3C420D9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CFF0FC"/>
            <w:tcMar>
              <w:top w:w="15" w:type="dxa"/>
              <w:left w:w="0" w:type="dxa"/>
              <w:bottom w:w="0" w:type="dxa"/>
              <w:right w:w="15" w:type="dxa"/>
            </w:tcMar>
            <w:vAlign w:val="bottom"/>
            <w:hideMark/>
          </w:tcPr>
          <w:p w14:paraId="4D0F20E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tcBorders>
              <w:bottom w:val="single" w:sz="6" w:space="0" w:color="000000"/>
            </w:tcBorders>
            <w:shd w:val="clear" w:color="auto" w:fill="CFF0FC"/>
            <w:noWrap/>
            <w:tcMar>
              <w:top w:w="15" w:type="dxa"/>
              <w:left w:w="0" w:type="dxa"/>
              <w:bottom w:w="0" w:type="dxa"/>
              <w:right w:w="15" w:type="dxa"/>
            </w:tcMar>
            <w:vAlign w:val="bottom"/>
            <w:hideMark/>
          </w:tcPr>
          <w:p w14:paraId="586F3F9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8" w:type="pct"/>
            <w:tcBorders>
              <w:bottom w:val="single" w:sz="6" w:space="0" w:color="000000"/>
            </w:tcBorders>
            <w:shd w:val="clear" w:color="auto" w:fill="CFF0FC"/>
            <w:noWrap/>
            <w:tcMar>
              <w:top w:w="15" w:type="dxa"/>
              <w:left w:w="0" w:type="dxa"/>
              <w:bottom w:w="0" w:type="dxa"/>
              <w:right w:w="15" w:type="dxa"/>
            </w:tcMar>
            <w:vAlign w:val="bottom"/>
            <w:hideMark/>
          </w:tcPr>
          <w:p w14:paraId="3EE6C09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461</w:t>
            </w:r>
          </w:p>
        </w:tc>
        <w:tc>
          <w:tcPr>
            <w:tcW w:w="48" w:type="pct"/>
            <w:shd w:val="clear" w:color="auto" w:fill="CFF0FC"/>
            <w:noWrap/>
            <w:tcMar>
              <w:top w:w="15" w:type="dxa"/>
              <w:left w:w="0" w:type="dxa"/>
              <w:bottom w:w="0" w:type="dxa"/>
              <w:right w:w="15" w:type="dxa"/>
            </w:tcMar>
            <w:vAlign w:val="bottom"/>
            <w:hideMark/>
          </w:tcPr>
          <w:p w14:paraId="3576768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1CAE22E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tcBorders>
              <w:bottom w:val="single" w:sz="6" w:space="0" w:color="000000"/>
            </w:tcBorders>
            <w:shd w:val="clear" w:color="auto" w:fill="CFF0FC"/>
            <w:noWrap/>
            <w:tcMar>
              <w:top w:w="15" w:type="dxa"/>
              <w:left w:w="0" w:type="dxa"/>
              <w:bottom w:w="0" w:type="dxa"/>
              <w:right w:w="15" w:type="dxa"/>
            </w:tcMar>
            <w:vAlign w:val="bottom"/>
            <w:hideMark/>
          </w:tcPr>
          <w:p w14:paraId="5F7E26E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9" w:type="pct"/>
            <w:tcBorders>
              <w:bottom w:val="single" w:sz="6" w:space="0" w:color="000000"/>
            </w:tcBorders>
            <w:shd w:val="clear" w:color="auto" w:fill="CFF0FC"/>
            <w:noWrap/>
            <w:tcMar>
              <w:top w:w="15" w:type="dxa"/>
              <w:left w:w="0" w:type="dxa"/>
              <w:bottom w:w="0" w:type="dxa"/>
              <w:right w:w="15" w:type="dxa"/>
            </w:tcMar>
            <w:vAlign w:val="bottom"/>
            <w:hideMark/>
          </w:tcPr>
          <w:p w14:paraId="05A63E3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358</w:t>
            </w:r>
          </w:p>
        </w:tc>
        <w:tc>
          <w:tcPr>
            <w:tcW w:w="48" w:type="pct"/>
            <w:shd w:val="clear" w:color="auto" w:fill="CFF0FC"/>
            <w:noWrap/>
            <w:tcMar>
              <w:top w:w="15" w:type="dxa"/>
              <w:left w:w="0" w:type="dxa"/>
              <w:bottom w:w="0" w:type="dxa"/>
              <w:right w:w="15" w:type="dxa"/>
            </w:tcMar>
            <w:vAlign w:val="bottom"/>
            <w:hideMark/>
          </w:tcPr>
          <w:p w14:paraId="55AE5BF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CFF0FC"/>
            <w:tcMar>
              <w:top w:w="15" w:type="dxa"/>
              <w:left w:w="0" w:type="dxa"/>
              <w:bottom w:w="0" w:type="dxa"/>
              <w:right w:w="15" w:type="dxa"/>
            </w:tcMar>
            <w:vAlign w:val="bottom"/>
            <w:hideMark/>
          </w:tcPr>
          <w:p w14:paraId="1D0BCAB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shd w:val="clear" w:color="auto" w:fill="CFF0FC"/>
            <w:noWrap/>
            <w:tcMar>
              <w:top w:w="15" w:type="dxa"/>
              <w:left w:w="0" w:type="dxa"/>
              <w:bottom w:w="0" w:type="dxa"/>
              <w:right w:w="15" w:type="dxa"/>
            </w:tcMar>
            <w:vAlign w:val="bottom"/>
            <w:hideMark/>
          </w:tcPr>
          <w:p w14:paraId="686D4F4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8" w:type="pct"/>
            <w:shd w:val="clear" w:color="auto" w:fill="CFF0FC"/>
            <w:noWrap/>
            <w:tcMar>
              <w:top w:w="15" w:type="dxa"/>
              <w:left w:w="0" w:type="dxa"/>
              <w:bottom w:w="0" w:type="dxa"/>
              <w:right w:w="15" w:type="dxa"/>
            </w:tcMar>
            <w:vAlign w:val="bottom"/>
            <w:hideMark/>
          </w:tcPr>
          <w:p w14:paraId="4486835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w:t>
            </w:r>
          </w:p>
        </w:tc>
        <w:tc>
          <w:tcPr>
            <w:tcW w:w="48" w:type="pct"/>
            <w:shd w:val="clear" w:color="auto" w:fill="CFF0FC"/>
            <w:noWrap/>
            <w:tcMar>
              <w:top w:w="15" w:type="dxa"/>
              <w:left w:w="0" w:type="dxa"/>
              <w:bottom w:w="0" w:type="dxa"/>
              <w:right w:w="15" w:type="dxa"/>
            </w:tcMar>
            <w:vAlign w:val="bottom"/>
            <w:hideMark/>
          </w:tcPr>
          <w:p w14:paraId="7768D3A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75165799" w14:textId="77777777">
        <w:trPr>
          <w:divId w:val="1549104720"/>
          <w:jc w:val="center"/>
        </w:trPr>
        <w:tc>
          <w:tcPr>
            <w:tcW w:w="961" w:type="pct"/>
            <w:shd w:val="clear" w:color="auto" w:fill="FFFFFF"/>
            <w:tcMar>
              <w:top w:w="15" w:type="dxa"/>
              <w:left w:w="0" w:type="dxa"/>
              <w:bottom w:w="0" w:type="dxa"/>
              <w:right w:w="15" w:type="dxa"/>
            </w:tcMar>
            <w:hideMark/>
          </w:tcPr>
          <w:p w14:paraId="2BD519C4" w14:textId="77777777" w:rsidR="00251D72" w:rsidRDefault="00251D72">
            <w:pPr>
              <w:pStyle w:val="a3"/>
              <w:spacing w:before="0" w:beforeAutospacing="0" w:after="0" w:afterAutospacing="0"/>
              <w:ind w:left="418" w:hanging="144"/>
              <w:rPr>
                <w:rFonts w:ascii="Calibri" w:hAnsi="Calibri" w:cs="Calibri"/>
                <w:color w:val="000000"/>
                <w:sz w:val="16"/>
                <w:szCs w:val="16"/>
              </w:rPr>
            </w:pPr>
            <w:r>
              <w:rPr>
                <w:rFonts w:ascii="Calibri" w:hAnsi="Calibri" w:cs="Calibri"/>
                <w:color w:val="000000"/>
                <w:sz w:val="16"/>
                <w:szCs w:val="16"/>
              </w:rPr>
              <w:t>Total intangible assets, net</w:t>
            </w:r>
          </w:p>
        </w:tc>
        <w:tc>
          <w:tcPr>
            <w:tcW w:w="34" w:type="pct"/>
            <w:shd w:val="clear" w:color="auto" w:fill="FFFFFF"/>
            <w:tcMar>
              <w:top w:w="15" w:type="dxa"/>
              <w:left w:w="0" w:type="dxa"/>
              <w:bottom w:w="0" w:type="dxa"/>
              <w:right w:w="15" w:type="dxa"/>
            </w:tcMar>
            <w:vAlign w:val="bottom"/>
            <w:hideMark/>
          </w:tcPr>
          <w:p w14:paraId="294A4C7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264706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2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23842D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12,930</w:t>
            </w:r>
          </w:p>
        </w:tc>
        <w:tc>
          <w:tcPr>
            <w:tcW w:w="47" w:type="pct"/>
            <w:shd w:val="clear" w:color="auto" w:fill="FFFFFF"/>
            <w:noWrap/>
            <w:tcMar>
              <w:top w:w="15" w:type="dxa"/>
              <w:left w:w="0" w:type="dxa"/>
              <w:bottom w:w="0" w:type="dxa"/>
              <w:right w:w="15" w:type="dxa"/>
            </w:tcMar>
            <w:vAlign w:val="bottom"/>
            <w:hideMark/>
          </w:tcPr>
          <w:p w14:paraId="4367C58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FFFFFF"/>
            <w:tcMar>
              <w:top w:w="15" w:type="dxa"/>
              <w:left w:w="0" w:type="dxa"/>
              <w:bottom w:w="0" w:type="dxa"/>
              <w:right w:w="15" w:type="dxa"/>
            </w:tcMar>
            <w:vAlign w:val="bottom"/>
            <w:hideMark/>
          </w:tcPr>
          <w:p w14:paraId="7F12C7E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8CE32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F34C5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298</w:t>
            </w:r>
          </w:p>
        </w:tc>
        <w:tc>
          <w:tcPr>
            <w:tcW w:w="47" w:type="pct"/>
            <w:shd w:val="clear" w:color="auto" w:fill="FFFFFF"/>
            <w:noWrap/>
            <w:tcMar>
              <w:top w:w="15" w:type="dxa"/>
              <w:left w:w="0" w:type="dxa"/>
              <w:bottom w:w="0" w:type="dxa"/>
              <w:right w:w="15" w:type="dxa"/>
            </w:tcMar>
            <w:vAlign w:val="bottom"/>
            <w:hideMark/>
          </w:tcPr>
          <w:p w14:paraId="09C5C65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FFFFFF"/>
            <w:tcMar>
              <w:top w:w="15" w:type="dxa"/>
              <w:left w:w="0" w:type="dxa"/>
              <w:bottom w:w="0" w:type="dxa"/>
              <w:right w:w="15" w:type="dxa"/>
            </w:tcMar>
            <w:vAlign w:val="bottom"/>
            <w:hideMark/>
          </w:tcPr>
          <w:p w14:paraId="035775D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50785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5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25AD8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(540</w:t>
            </w:r>
          </w:p>
        </w:tc>
        <w:tc>
          <w:tcPr>
            <w:tcW w:w="47" w:type="pct"/>
            <w:shd w:val="clear" w:color="auto" w:fill="FFFFFF"/>
            <w:noWrap/>
            <w:tcMar>
              <w:top w:w="15" w:type="dxa"/>
              <w:left w:w="0" w:type="dxa"/>
              <w:bottom w:w="0" w:type="dxa"/>
              <w:right w:w="15" w:type="dxa"/>
            </w:tcMar>
            <w:vAlign w:val="bottom"/>
            <w:hideMark/>
          </w:tcPr>
          <w:p w14:paraId="777DBFB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FFFFFF"/>
            <w:tcMar>
              <w:top w:w="15" w:type="dxa"/>
              <w:left w:w="0" w:type="dxa"/>
              <w:bottom w:w="0" w:type="dxa"/>
              <w:right w:w="15" w:type="dxa"/>
            </w:tcMar>
            <w:vAlign w:val="bottom"/>
            <w:hideMark/>
          </w:tcPr>
          <w:p w14:paraId="2E2FF25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70FC5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3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8DCF2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12,688</w:t>
            </w:r>
          </w:p>
        </w:tc>
        <w:tc>
          <w:tcPr>
            <w:tcW w:w="47" w:type="pct"/>
            <w:shd w:val="clear" w:color="auto" w:fill="FFFFFF"/>
            <w:noWrap/>
            <w:tcMar>
              <w:top w:w="15" w:type="dxa"/>
              <w:left w:w="0" w:type="dxa"/>
              <w:bottom w:w="0" w:type="dxa"/>
              <w:right w:w="15" w:type="dxa"/>
            </w:tcMar>
            <w:vAlign w:val="bottom"/>
            <w:hideMark/>
          </w:tcPr>
          <w:p w14:paraId="204FF4F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FFFFFF"/>
            <w:tcMar>
              <w:top w:w="15" w:type="dxa"/>
              <w:left w:w="0" w:type="dxa"/>
              <w:bottom w:w="0" w:type="dxa"/>
              <w:right w:w="15" w:type="dxa"/>
            </w:tcMar>
            <w:vAlign w:val="bottom"/>
            <w:hideMark/>
          </w:tcPr>
          <w:p w14:paraId="3674794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5CC7E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2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B6DF93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(6,260</w:t>
            </w:r>
          </w:p>
        </w:tc>
        <w:tc>
          <w:tcPr>
            <w:tcW w:w="47" w:type="pct"/>
            <w:shd w:val="clear" w:color="auto" w:fill="FFFFFF"/>
            <w:noWrap/>
            <w:tcMar>
              <w:top w:w="15" w:type="dxa"/>
              <w:left w:w="0" w:type="dxa"/>
              <w:bottom w:w="0" w:type="dxa"/>
              <w:right w:w="15" w:type="dxa"/>
            </w:tcMar>
            <w:vAlign w:val="bottom"/>
            <w:hideMark/>
          </w:tcPr>
          <w:p w14:paraId="24FF202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FFFFFF"/>
            <w:tcMar>
              <w:top w:w="15" w:type="dxa"/>
              <w:left w:w="0" w:type="dxa"/>
              <w:bottom w:w="0" w:type="dxa"/>
              <w:right w:w="15" w:type="dxa"/>
            </w:tcMar>
            <w:vAlign w:val="bottom"/>
            <w:hideMark/>
          </w:tcPr>
          <w:p w14:paraId="6A8067B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B175CC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2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4FFA5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(1,689</w:t>
            </w:r>
          </w:p>
        </w:tc>
        <w:tc>
          <w:tcPr>
            <w:tcW w:w="47" w:type="pct"/>
            <w:shd w:val="clear" w:color="auto" w:fill="FFFFFF"/>
            <w:noWrap/>
            <w:tcMar>
              <w:top w:w="15" w:type="dxa"/>
              <w:left w:w="0" w:type="dxa"/>
              <w:bottom w:w="0" w:type="dxa"/>
              <w:right w:w="15" w:type="dxa"/>
            </w:tcMar>
            <w:vAlign w:val="bottom"/>
            <w:hideMark/>
          </w:tcPr>
          <w:p w14:paraId="5943BB9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FFFFFF"/>
            <w:tcMar>
              <w:top w:w="15" w:type="dxa"/>
              <w:left w:w="0" w:type="dxa"/>
              <w:bottom w:w="0" w:type="dxa"/>
              <w:right w:w="15" w:type="dxa"/>
            </w:tcMar>
            <w:vAlign w:val="bottom"/>
            <w:hideMark/>
          </w:tcPr>
          <w:p w14:paraId="16805D7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8F186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5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A8877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540</w:t>
            </w:r>
          </w:p>
        </w:tc>
        <w:tc>
          <w:tcPr>
            <w:tcW w:w="47" w:type="pct"/>
            <w:shd w:val="clear" w:color="auto" w:fill="FFFFFF"/>
            <w:noWrap/>
            <w:tcMar>
              <w:top w:w="15" w:type="dxa"/>
              <w:left w:w="0" w:type="dxa"/>
              <w:bottom w:w="0" w:type="dxa"/>
              <w:right w:w="15" w:type="dxa"/>
            </w:tcMar>
            <w:vAlign w:val="bottom"/>
            <w:hideMark/>
          </w:tcPr>
          <w:p w14:paraId="75614B0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FFFFFF"/>
            <w:tcMar>
              <w:top w:w="15" w:type="dxa"/>
              <w:left w:w="0" w:type="dxa"/>
              <w:bottom w:w="0" w:type="dxa"/>
              <w:right w:w="15" w:type="dxa"/>
            </w:tcMar>
            <w:vAlign w:val="bottom"/>
            <w:hideMark/>
          </w:tcPr>
          <w:p w14:paraId="308815F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BECCF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3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5CAEB3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(7,409</w:t>
            </w:r>
          </w:p>
        </w:tc>
        <w:tc>
          <w:tcPr>
            <w:tcW w:w="47" w:type="pct"/>
            <w:shd w:val="clear" w:color="auto" w:fill="FFFFFF"/>
            <w:noWrap/>
            <w:tcMar>
              <w:top w:w="15" w:type="dxa"/>
              <w:left w:w="0" w:type="dxa"/>
              <w:bottom w:w="0" w:type="dxa"/>
              <w:right w:w="15" w:type="dxa"/>
            </w:tcMar>
            <w:vAlign w:val="bottom"/>
            <w:hideMark/>
          </w:tcPr>
          <w:p w14:paraId="54AE66A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4" w:type="pct"/>
            <w:shd w:val="clear" w:color="auto" w:fill="FFFFFF"/>
            <w:tcMar>
              <w:top w:w="15" w:type="dxa"/>
              <w:left w:w="0" w:type="dxa"/>
              <w:bottom w:w="0" w:type="dxa"/>
              <w:right w:w="15" w:type="dxa"/>
            </w:tcMar>
            <w:vAlign w:val="bottom"/>
            <w:hideMark/>
          </w:tcPr>
          <w:p w14:paraId="41A443E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CD895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2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1BF1E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6,670</w:t>
            </w:r>
          </w:p>
        </w:tc>
        <w:tc>
          <w:tcPr>
            <w:tcW w:w="48" w:type="pct"/>
            <w:shd w:val="clear" w:color="auto" w:fill="FFFFFF"/>
            <w:noWrap/>
            <w:tcMar>
              <w:top w:w="15" w:type="dxa"/>
              <w:left w:w="0" w:type="dxa"/>
              <w:bottom w:w="0" w:type="dxa"/>
              <w:right w:w="15" w:type="dxa"/>
            </w:tcMar>
            <w:vAlign w:val="bottom"/>
            <w:hideMark/>
          </w:tcPr>
          <w:p w14:paraId="501C167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FFFFFF"/>
            <w:tcMar>
              <w:top w:w="15" w:type="dxa"/>
              <w:left w:w="0" w:type="dxa"/>
              <w:bottom w:w="0" w:type="dxa"/>
              <w:right w:w="15" w:type="dxa"/>
            </w:tcMar>
            <w:vAlign w:val="bottom"/>
            <w:hideMark/>
          </w:tcPr>
          <w:p w14:paraId="6095B9A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FF216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2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8B0D33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5,279</w:t>
            </w:r>
          </w:p>
        </w:tc>
        <w:tc>
          <w:tcPr>
            <w:tcW w:w="48" w:type="pct"/>
            <w:shd w:val="clear" w:color="auto" w:fill="FFFFFF"/>
            <w:noWrap/>
            <w:tcMar>
              <w:top w:w="15" w:type="dxa"/>
              <w:left w:w="0" w:type="dxa"/>
              <w:bottom w:w="0" w:type="dxa"/>
              <w:right w:w="15" w:type="dxa"/>
            </w:tcMar>
            <w:vAlign w:val="bottom"/>
            <w:hideMark/>
          </w:tcPr>
          <w:p w14:paraId="12A4CA2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 w:type="pct"/>
            <w:shd w:val="clear" w:color="auto" w:fill="FFFFFF"/>
            <w:tcMar>
              <w:top w:w="15" w:type="dxa"/>
              <w:left w:w="0" w:type="dxa"/>
              <w:bottom w:w="0" w:type="dxa"/>
              <w:right w:w="15" w:type="dxa"/>
            </w:tcMar>
            <w:vAlign w:val="bottom"/>
            <w:hideMark/>
          </w:tcPr>
          <w:p w14:paraId="56EC828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shd w:val="clear" w:color="auto" w:fill="FFFFFF"/>
            <w:noWrap/>
            <w:tcMar>
              <w:top w:w="15" w:type="dxa"/>
              <w:left w:w="0" w:type="dxa"/>
              <w:bottom w:w="0" w:type="dxa"/>
              <w:right w:w="15" w:type="dxa"/>
            </w:tcMar>
            <w:vAlign w:val="bottom"/>
            <w:hideMark/>
          </w:tcPr>
          <w:p w14:paraId="4A5843A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28" w:type="pct"/>
            <w:shd w:val="clear" w:color="auto" w:fill="FFFFFF"/>
            <w:noWrap/>
            <w:tcMar>
              <w:top w:w="15" w:type="dxa"/>
              <w:left w:w="0" w:type="dxa"/>
              <w:bottom w:w="0" w:type="dxa"/>
              <w:right w:w="15" w:type="dxa"/>
            </w:tcMar>
            <w:vAlign w:val="bottom"/>
            <w:hideMark/>
          </w:tcPr>
          <w:p w14:paraId="3727D92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w:t>
            </w:r>
          </w:p>
        </w:tc>
        <w:tc>
          <w:tcPr>
            <w:tcW w:w="48" w:type="pct"/>
            <w:shd w:val="clear" w:color="auto" w:fill="FFFFFF"/>
            <w:noWrap/>
            <w:tcMar>
              <w:top w:w="15" w:type="dxa"/>
              <w:left w:w="0" w:type="dxa"/>
              <w:bottom w:w="0" w:type="dxa"/>
              <w:right w:w="15" w:type="dxa"/>
            </w:tcMar>
            <w:vAlign w:val="bottom"/>
            <w:hideMark/>
          </w:tcPr>
          <w:p w14:paraId="0EC34AB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bl>
    <w:p w14:paraId="752B71DA"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49A05B3E" w14:textId="77777777">
        <w:tc>
          <w:tcPr>
            <w:tcW w:w="192" w:type="pct"/>
            <w:noWrap/>
            <w:hideMark/>
          </w:tcPr>
          <w:p w14:paraId="1EBBC058"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23CEA518"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Amounts also include immaterial changes, if any, in net intangible asset balances for the periods presented that resulted from foreign currency translations.</w:t>
            </w:r>
          </w:p>
        </w:tc>
      </w:tr>
    </w:tbl>
    <w:p w14:paraId="27D924FA"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05F6BD7D" w14:textId="77777777">
        <w:tc>
          <w:tcPr>
            <w:tcW w:w="192" w:type="pct"/>
            <w:noWrap/>
            <w:hideMark/>
          </w:tcPr>
          <w:p w14:paraId="506C6149"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68DD1EE2"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Represents weighted-average useful lives (in years) of intangible assets acquired during fiscal 2019.</w:t>
            </w:r>
          </w:p>
        </w:tc>
      </w:tr>
    </w:tbl>
    <w:p w14:paraId="65D021C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Total amortization expense related to our intangible assets was $1.7 billion, $1.6 billion and $1.5 billion in fiscal 2019, 2018 and 2017, respectively. As of May 31, 2019, estimated future amortization expenses related to intangible assets were as follows (in millions): </w:t>
      </w:r>
    </w:p>
    <w:p w14:paraId="7CACA010"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7064"/>
        <w:gridCol w:w="158"/>
        <w:gridCol w:w="117"/>
        <w:gridCol w:w="892"/>
        <w:gridCol w:w="75"/>
      </w:tblGrid>
      <w:tr w:rsidR="00251D72" w14:paraId="7297313E" w14:textId="77777777">
        <w:trPr>
          <w:divId w:val="1512715604"/>
          <w:jc w:val="center"/>
        </w:trPr>
        <w:tc>
          <w:tcPr>
            <w:tcW w:w="4257" w:type="pct"/>
            <w:shd w:val="clear" w:color="auto" w:fill="CFF0FC"/>
            <w:tcMar>
              <w:top w:w="15" w:type="dxa"/>
              <w:left w:w="0" w:type="dxa"/>
              <w:bottom w:w="0" w:type="dxa"/>
              <w:right w:w="15" w:type="dxa"/>
            </w:tcMar>
            <w:vAlign w:val="bottom"/>
            <w:hideMark/>
          </w:tcPr>
          <w:p w14:paraId="05857EA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2020</w:t>
            </w:r>
          </w:p>
        </w:tc>
        <w:tc>
          <w:tcPr>
            <w:tcW w:w="100" w:type="pct"/>
            <w:shd w:val="clear" w:color="auto" w:fill="CFF0FC"/>
            <w:tcMar>
              <w:top w:w="15" w:type="dxa"/>
              <w:left w:w="0" w:type="dxa"/>
              <w:bottom w:w="0" w:type="dxa"/>
              <w:right w:w="15" w:type="dxa"/>
            </w:tcMar>
            <w:vAlign w:val="bottom"/>
            <w:hideMark/>
          </w:tcPr>
          <w:p w14:paraId="6D5965D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9A610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42" w:type="pct"/>
            <w:shd w:val="clear" w:color="auto" w:fill="CFF0FC"/>
            <w:noWrap/>
            <w:tcMar>
              <w:top w:w="15" w:type="dxa"/>
              <w:left w:w="0" w:type="dxa"/>
              <w:bottom w:w="0" w:type="dxa"/>
              <w:right w:w="15" w:type="dxa"/>
            </w:tcMar>
            <w:vAlign w:val="bottom"/>
            <w:hideMark/>
          </w:tcPr>
          <w:p w14:paraId="12D7AFB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1,583</w:t>
            </w:r>
          </w:p>
        </w:tc>
        <w:tc>
          <w:tcPr>
            <w:tcW w:w="50" w:type="pct"/>
            <w:shd w:val="clear" w:color="auto" w:fill="CFF0FC"/>
            <w:noWrap/>
            <w:tcMar>
              <w:top w:w="15" w:type="dxa"/>
              <w:left w:w="0" w:type="dxa"/>
              <w:bottom w:w="0" w:type="dxa"/>
              <w:right w:w="15" w:type="dxa"/>
            </w:tcMar>
            <w:vAlign w:val="bottom"/>
            <w:hideMark/>
          </w:tcPr>
          <w:p w14:paraId="777C320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C8A101F" w14:textId="77777777">
        <w:trPr>
          <w:divId w:val="1512715604"/>
          <w:jc w:val="center"/>
        </w:trPr>
        <w:tc>
          <w:tcPr>
            <w:tcW w:w="4257" w:type="pct"/>
            <w:shd w:val="clear" w:color="auto" w:fill="FFFFFF"/>
            <w:tcMar>
              <w:top w:w="15" w:type="dxa"/>
              <w:left w:w="0" w:type="dxa"/>
              <w:bottom w:w="0" w:type="dxa"/>
              <w:right w:w="15" w:type="dxa"/>
            </w:tcMar>
            <w:vAlign w:val="bottom"/>
            <w:hideMark/>
          </w:tcPr>
          <w:p w14:paraId="2D49127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2021</w:t>
            </w:r>
          </w:p>
        </w:tc>
        <w:tc>
          <w:tcPr>
            <w:tcW w:w="100" w:type="pct"/>
            <w:shd w:val="clear" w:color="auto" w:fill="FFFFFF"/>
            <w:tcMar>
              <w:top w:w="15" w:type="dxa"/>
              <w:left w:w="0" w:type="dxa"/>
              <w:bottom w:w="0" w:type="dxa"/>
              <w:right w:w="15" w:type="dxa"/>
            </w:tcMar>
            <w:vAlign w:val="bottom"/>
            <w:hideMark/>
          </w:tcPr>
          <w:p w14:paraId="6756D55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446B7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FFFFFF"/>
            <w:noWrap/>
            <w:tcMar>
              <w:top w:w="15" w:type="dxa"/>
              <w:left w:w="0" w:type="dxa"/>
              <w:bottom w:w="0" w:type="dxa"/>
              <w:right w:w="15" w:type="dxa"/>
            </w:tcMar>
            <w:vAlign w:val="bottom"/>
            <w:hideMark/>
          </w:tcPr>
          <w:p w14:paraId="20DA7DE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1,339</w:t>
            </w:r>
          </w:p>
        </w:tc>
        <w:tc>
          <w:tcPr>
            <w:tcW w:w="50" w:type="pct"/>
            <w:shd w:val="clear" w:color="auto" w:fill="FFFFFF"/>
            <w:noWrap/>
            <w:tcMar>
              <w:top w:w="15" w:type="dxa"/>
              <w:left w:w="0" w:type="dxa"/>
              <w:bottom w:w="0" w:type="dxa"/>
              <w:right w:w="15" w:type="dxa"/>
            </w:tcMar>
            <w:vAlign w:val="bottom"/>
            <w:hideMark/>
          </w:tcPr>
          <w:p w14:paraId="791DEFE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CAA4EF1" w14:textId="77777777">
        <w:trPr>
          <w:divId w:val="1512715604"/>
          <w:jc w:val="center"/>
        </w:trPr>
        <w:tc>
          <w:tcPr>
            <w:tcW w:w="4257" w:type="pct"/>
            <w:shd w:val="clear" w:color="auto" w:fill="CFF0FC"/>
            <w:tcMar>
              <w:top w:w="15" w:type="dxa"/>
              <w:left w:w="0" w:type="dxa"/>
              <w:bottom w:w="0" w:type="dxa"/>
              <w:right w:w="15" w:type="dxa"/>
            </w:tcMar>
            <w:vAlign w:val="bottom"/>
            <w:hideMark/>
          </w:tcPr>
          <w:p w14:paraId="2799319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2022</w:t>
            </w:r>
          </w:p>
        </w:tc>
        <w:tc>
          <w:tcPr>
            <w:tcW w:w="100" w:type="pct"/>
            <w:shd w:val="clear" w:color="auto" w:fill="CFF0FC"/>
            <w:tcMar>
              <w:top w:w="15" w:type="dxa"/>
              <w:left w:w="0" w:type="dxa"/>
              <w:bottom w:w="0" w:type="dxa"/>
              <w:right w:w="15" w:type="dxa"/>
            </w:tcMar>
            <w:vAlign w:val="bottom"/>
            <w:hideMark/>
          </w:tcPr>
          <w:p w14:paraId="3B0FDD1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A0E15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CFF0FC"/>
            <w:noWrap/>
            <w:tcMar>
              <w:top w:w="15" w:type="dxa"/>
              <w:left w:w="0" w:type="dxa"/>
              <w:bottom w:w="0" w:type="dxa"/>
              <w:right w:w="15" w:type="dxa"/>
            </w:tcMar>
            <w:vAlign w:val="bottom"/>
            <w:hideMark/>
          </w:tcPr>
          <w:p w14:paraId="38F2A73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1,090</w:t>
            </w:r>
          </w:p>
        </w:tc>
        <w:tc>
          <w:tcPr>
            <w:tcW w:w="50" w:type="pct"/>
            <w:shd w:val="clear" w:color="auto" w:fill="CFF0FC"/>
            <w:noWrap/>
            <w:tcMar>
              <w:top w:w="15" w:type="dxa"/>
              <w:left w:w="0" w:type="dxa"/>
              <w:bottom w:w="0" w:type="dxa"/>
              <w:right w:w="15" w:type="dxa"/>
            </w:tcMar>
            <w:vAlign w:val="bottom"/>
            <w:hideMark/>
          </w:tcPr>
          <w:p w14:paraId="5005E18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A3B8982" w14:textId="77777777">
        <w:trPr>
          <w:divId w:val="1512715604"/>
          <w:jc w:val="center"/>
        </w:trPr>
        <w:tc>
          <w:tcPr>
            <w:tcW w:w="4257" w:type="pct"/>
            <w:shd w:val="clear" w:color="auto" w:fill="FFFFFF"/>
            <w:tcMar>
              <w:top w:w="15" w:type="dxa"/>
              <w:left w:w="0" w:type="dxa"/>
              <w:bottom w:w="0" w:type="dxa"/>
              <w:right w:w="15" w:type="dxa"/>
            </w:tcMar>
            <w:vAlign w:val="bottom"/>
            <w:hideMark/>
          </w:tcPr>
          <w:p w14:paraId="7CA324E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2023</w:t>
            </w:r>
          </w:p>
        </w:tc>
        <w:tc>
          <w:tcPr>
            <w:tcW w:w="100" w:type="pct"/>
            <w:shd w:val="clear" w:color="auto" w:fill="FFFFFF"/>
            <w:tcMar>
              <w:top w:w="15" w:type="dxa"/>
              <w:left w:w="0" w:type="dxa"/>
              <w:bottom w:w="0" w:type="dxa"/>
              <w:right w:w="15" w:type="dxa"/>
            </w:tcMar>
            <w:vAlign w:val="bottom"/>
            <w:hideMark/>
          </w:tcPr>
          <w:p w14:paraId="19CC8CD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43C79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FFFFFF"/>
            <w:noWrap/>
            <w:tcMar>
              <w:top w:w="15" w:type="dxa"/>
              <w:left w:w="0" w:type="dxa"/>
              <w:bottom w:w="0" w:type="dxa"/>
              <w:right w:w="15" w:type="dxa"/>
            </w:tcMar>
            <w:vAlign w:val="bottom"/>
            <w:hideMark/>
          </w:tcPr>
          <w:p w14:paraId="5E4C70C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668</w:t>
            </w:r>
          </w:p>
        </w:tc>
        <w:tc>
          <w:tcPr>
            <w:tcW w:w="50" w:type="pct"/>
            <w:shd w:val="clear" w:color="auto" w:fill="FFFFFF"/>
            <w:noWrap/>
            <w:tcMar>
              <w:top w:w="15" w:type="dxa"/>
              <w:left w:w="0" w:type="dxa"/>
              <w:bottom w:w="0" w:type="dxa"/>
              <w:right w:w="15" w:type="dxa"/>
            </w:tcMar>
            <w:vAlign w:val="bottom"/>
            <w:hideMark/>
          </w:tcPr>
          <w:p w14:paraId="359041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F7F17CC" w14:textId="77777777">
        <w:trPr>
          <w:divId w:val="1512715604"/>
          <w:jc w:val="center"/>
        </w:trPr>
        <w:tc>
          <w:tcPr>
            <w:tcW w:w="4257" w:type="pct"/>
            <w:shd w:val="clear" w:color="auto" w:fill="CFF0FC"/>
            <w:tcMar>
              <w:top w:w="15" w:type="dxa"/>
              <w:left w:w="0" w:type="dxa"/>
              <w:bottom w:w="0" w:type="dxa"/>
              <w:right w:w="15" w:type="dxa"/>
            </w:tcMar>
            <w:vAlign w:val="bottom"/>
            <w:hideMark/>
          </w:tcPr>
          <w:p w14:paraId="5917325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2024</w:t>
            </w:r>
          </w:p>
        </w:tc>
        <w:tc>
          <w:tcPr>
            <w:tcW w:w="100" w:type="pct"/>
            <w:shd w:val="clear" w:color="auto" w:fill="CFF0FC"/>
            <w:tcMar>
              <w:top w:w="15" w:type="dxa"/>
              <w:left w:w="0" w:type="dxa"/>
              <w:bottom w:w="0" w:type="dxa"/>
              <w:right w:w="15" w:type="dxa"/>
            </w:tcMar>
            <w:vAlign w:val="bottom"/>
            <w:hideMark/>
          </w:tcPr>
          <w:p w14:paraId="69F3260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0675A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CFF0FC"/>
            <w:noWrap/>
            <w:tcMar>
              <w:top w:w="15" w:type="dxa"/>
              <w:left w:w="0" w:type="dxa"/>
              <w:bottom w:w="0" w:type="dxa"/>
              <w:right w:w="15" w:type="dxa"/>
            </w:tcMar>
            <w:vAlign w:val="bottom"/>
            <w:hideMark/>
          </w:tcPr>
          <w:p w14:paraId="02DCF18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440</w:t>
            </w:r>
          </w:p>
        </w:tc>
        <w:tc>
          <w:tcPr>
            <w:tcW w:w="50" w:type="pct"/>
            <w:shd w:val="clear" w:color="auto" w:fill="CFF0FC"/>
            <w:noWrap/>
            <w:tcMar>
              <w:top w:w="15" w:type="dxa"/>
              <w:left w:w="0" w:type="dxa"/>
              <w:bottom w:w="0" w:type="dxa"/>
              <w:right w:w="15" w:type="dxa"/>
            </w:tcMar>
            <w:vAlign w:val="bottom"/>
            <w:hideMark/>
          </w:tcPr>
          <w:p w14:paraId="712A515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3D70221" w14:textId="77777777">
        <w:trPr>
          <w:divId w:val="1512715604"/>
          <w:jc w:val="center"/>
        </w:trPr>
        <w:tc>
          <w:tcPr>
            <w:tcW w:w="4257" w:type="pct"/>
            <w:shd w:val="clear" w:color="auto" w:fill="FFFFFF"/>
            <w:tcMar>
              <w:top w:w="15" w:type="dxa"/>
              <w:left w:w="0" w:type="dxa"/>
              <w:bottom w:w="0" w:type="dxa"/>
              <w:right w:w="15" w:type="dxa"/>
            </w:tcMar>
            <w:vAlign w:val="bottom"/>
            <w:hideMark/>
          </w:tcPr>
          <w:p w14:paraId="49C0EFD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Thereafter</w:t>
            </w:r>
          </w:p>
        </w:tc>
        <w:tc>
          <w:tcPr>
            <w:tcW w:w="100" w:type="pct"/>
            <w:shd w:val="clear" w:color="auto" w:fill="FFFFFF"/>
            <w:tcMar>
              <w:top w:w="15" w:type="dxa"/>
              <w:left w:w="0" w:type="dxa"/>
              <w:bottom w:w="0" w:type="dxa"/>
              <w:right w:w="15" w:type="dxa"/>
            </w:tcMar>
            <w:vAlign w:val="bottom"/>
            <w:hideMark/>
          </w:tcPr>
          <w:p w14:paraId="09BEA36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18FE0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2" w:type="pct"/>
            <w:tcBorders>
              <w:bottom w:val="single" w:sz="6" w:space="0" w:color="000000"/>
            </w:tcBorders>
            <w:shd w:val="clear" w:color="auto" w:fill="FFFFFF"/>
            <w:noWrap/>
            <w:tcMar>
              <w:top w:w="15" w:type="dxa"/>
              <w:left w:w="0" w:type="dxa"/>
              <w:bottom w:w="0" w:type="dxa"/>
              <w:right w:w="15" w:type="dxa"/>
            </w:tcMar>
            <w:vAlign w:val="bottom"/>
            <w:hideMark/>
          </w:tcPr>
          <w:p w14:paraId="37B16EF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159</w:t>
            </w:r>
          </w:p>
        </w:tc>
        <w:tc>
          <w:tcPr>
            <w:tcW w:w="50" w:type="pct"/>
            <w:shd w:val="clear" w:color="auto" w:fill="FFFFFF"/>
            <w:noWrap/>
            <w:tcMar>
              <w:top w:w="15" w:type="dxa"/>
              <w:left w:w="0" w:type="dxa"/>
              <w:bottom w:w="0" w:type="dxa"/>
              <w:right w:w="15" w:type="dxa"/>
            </w:tcMar>
            <w:vAlign w:val="bottom"/>
            <w:hideMark/>
          </w:tcPr>
          <w:p w14:paraId="2CFA27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47562A2" w14:textId="77777777">
        <w:trPr>
          <w:divId w:val="1512715604"/>
          <w:jc w:val="center"/>
        </w:trPr>
        <w:tc>
          <w:tcPr>
            <w:tcW w:w="4257" w:type="pct"/>
            <w:shd w:val="clear" w:color="auto" w:fill="CFF0FC"/>
            <w:tcMar>
              <w:top w:w="15" w:type="dxa"/>
              <w:left w:w="0" w:type="dxa"/>
              <w:bottom w:w="0" w:type="dxa"/>
              <w:right w:w="15" w:type="dxa"/>
            </w:tcMar>
            <w:vAlign w:val="bottom"/>
            <w:hideMark/>
          </w:tcPr>
          <w:p w14:paraId="3A79671B"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100" w:type="pct"/>
            <w:shd w:val="clear" w:color="auto" w:fill="CFF0FC"/>
            <w:tcMar>
              <w:top w:w="15" w:type="dxa"/>
              <w:left w:w="0" w:type="dxa"/>
              <w:bottom w:w="0" w:type="dxa"/>
              <w:right w:w="15" w:type="dxa"/>
            </w:tcMar>
            <w:vAlign w:val="bottom"/>
            <w:hideMark/>
          </w:tcPr>
          <w:p w14:paraId="5E755CB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728D2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4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09E059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5,279</w:t>
            </w:r>
          </w:p>
        </w:tc>
        <w:tc>
          <w:tcPr>
            <w:tcW w:w="50" w:type="pct"/>
            <w:shd w:val="clear" w:color="auto" w:fill="CFF0FC"/>
            <w:noWrap/>
            <w:tcMar>
              <w:top w:w="15" w:type="dxa"/>
              <w:left w:w="0" w:type="dxa"/>
              <w:bottom w:w="0" w:type="dxa"/>
              <w:right w:w="15" w:type="dxa"/>
            </w:tcMar>
            <w:vAlign w:val="bottom"/>
            <w:hideMark/>
          </w:tcPr>
          <w:p w14:paraId="2949EF7D"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6559A9E" w14:textId="77777777" w:rsidR="00251D72" w:rsidRDefault="00251D72">
      <w:pPr>
        <w:pStyle w:val="a3"/>
        <w:spacing w:before="0" w:beforeAutospacing="0" w:after="0" w:afterAutospacing="0"/>
        <w:rPr>
          <w:sz w:val="12"/>
          <w:szCs w:val="12"/>
        </w:rPr>
      </w:pPr>
      <w:r>
        <w:rPr>
          <w:sz w:val="12"/>
          <w:szCs w:val="12"/>
        </w:rPr>
        <w:t> </w:t>
      </w:r>
    </w:p>
    <w:p w14:paraId="4D19A153"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89</w:t>
      </w:r>
    </w:p>
    <w:p w14:paraId="6B4EC5CA" w14:textId="77777777" w:rsidR="00251D72" w:rsidRDefault="00251D72">
      <w:pPr>
        <w:rPr>
          <w:rFonts w:ascii="Times New Roman" w:eastAsia="Times New Roman" w:hAnsi="Times New Roman" w:cs="Times New Roman"/>
          <w:sz w:val="24"/>
          <w:szCs w:val="24"/>
        </w:rPr>
      </w:pPr>
      <w:r>
        <w:rPr>
          <w:rFonts w:eastAsia="Times New Roman"/>
        </w:rPr>
        <w:pict w14:anchorId="25327E14">
          <v:rect id="_x0000_i1115" style="width:415.3pt;height:1.5pt" o:hralign="center" o:hrstd="t" o:hr="t" fillcolor="#a0a0a0" stroked="f"/>
        </w:pict>
      </w:r>
    </w:p>
    <w:p w14:paraId="4806D204"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8B3B234"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0C84B0F"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0EF453F2"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4E45280E"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4E1E8351" w14:textId="77777777" w:rsidR="00251D72" w:rsidRDefault="00251D72">
      <w:pPr>
        <w:pStyle w:val="a3"/>
        <w:spacing w:before="0" w:beforeAutospacing="0" w:after="0" w:afterAutospacing="0"/>
        <w:rPr>
          <w:sz w:val="20"/>
          <w:szCs w:val="20"/>
        </w:rPr>
      </w:pPr>
      <w:r>
        <w:rPr>
          <w:sz w:val="20"/>
          <w:szCs w:val="20"/>
        </w:rPr>
        <w:t> </w:t>
      </w:r>
    </w:p>
    <w:p w14:paraId="03A0994A" w14:textId="77777777" w:rsidR="00251D72" w:rsidRDefault="00251D72">
      <w:pPr>
        <w:pStyle w:val="a3"/>
        <w:spacing w:before="0" w:beforeAutospacing="0" w:after="0" w:afterAutospacing="0"/>
        <w:jc w:val="both"/>
        <w:rPr>
          <w:rFonts w:ascii="Calibri" w:hAnsi="Calibri" w:cs="Calibri"/>
          <w:sz w:val="20"/>
          <w:szCs w:val="20"/>
        </w:rPr>
      </w:pPr>
      <w:bookmarkStart w:id="129" w:name="_AEIOULastRenderedPageBreakAEIOU92"/>
      <w:bookmarkEnd w:id="129"/>
      <w:r>
        <w:rPr>
          <w:rFonts w:ascii="Calibri" w:hAnsi="Calibri" w:cs="Calibri"/>
          <w:sz w:val="20"/>
          <w:szCs w:val="20"/>
        </w:rPr>
        <w:t>The changes in the carrying amounts of goodwill, net, which is generally not deductible for tax purposes, for our operating segments for fiscal 2019 and 2018 were as follows:</w:t>
      </w:r>
    </w:p>
    <w:p w14:paraId="43255DB6"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2530"/>
        <w:gridCol w:w="129"/>
        <w:gridCol w:w="117"/>
        <w:gridCol w:w="1121"/>
        <w:gridCol w:w="76"/>
        <w:gridCol w:w="128"/>
        <w:gridCol w:w="118"/>
        <w:gridCol w:w="1123"/>
        <w:gridCol w:w="73"/>
        <w:gridCol w:w="131"/>
        <w:gridCol w:w="117"/>
        <w:gridCol w:w="1123"/>
        <w:gridCol w:w="76"/>
        <w:gridCol w:w="128"/>
        <w:gridCol w:w="117"/>
        <w:gridCol w:w="1123"/>
        <w:gridCol w:w="76"/>
      </w:tblGrid>
      <w:tr w:rsidR="00251D72" w14:paraId="079F5418" w14:textId="77777777">
        <w:trPr>
          <w:divId w:val="225991057"/>
          <w:jc w:val="center"/>
        </w:trPr>
        <w:tc>
          <w:tcPr>
            <w:tcW w:w="1529" w:type="pct"/>
            <w:tcBorders>
              <w:bottom w:val="single" w:sz="6" w:space="0" w:color="000000"/>
            </w:tcBorders>
            <w:shd w:val="clear" w:color="auto" w:fill="FFFFFF"/>
            <w:tcMar>
              <w:top w:w="15" w:type="dxa"/>
              <w:left w:w="0" w:type="dxa"/>
              <w:bottom w:w="0" w:type="dxa"/>
              <w:right w:w="15" w:type="dxa"/>
            </w:tcMar>
            <w:vAlign w:val="bottom"/>
            <w:hideMark/>
          </w:tcPr>
          <w:p w14:paraId="0B88E0F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left w:w="0" w:type="dxa"/>
              <w:bottom w:w="0" w:type="dxa"/>
              <w:right w:w="15" w:type="dxa"/>
            </w:tcMar>
            <w:vAlign w:val="bottom"/>
            <w:hideMark/>
          </w:tcPr>
          <w:p w14:paraId="1D2A3E8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left w:w="0" w:type="dxa"/>
              <w:bottom w:w="0" w:type="dxa"/>
              <w:right w:w="15" w:type="dxa"/>
            </w:tcMar>
            <w:vAlign w:val="bottom"/>
            <w:hideMark/>
          </w:tcPr>
          <w:p w14:paraId="78AD13E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left w:w="0" w:type="dxa"/>
              <w:bottom w:w="0" w:type="dxa"/>
              <w:right w:w="15" w:type="dxa"/>
            </w:tcMar>
            <w:vAlign w:val="bottom"/>
            <w:hideMark/>
          </w:tcPr>
          <w:p w14:paraId="22E2AAB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6CBB0D4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left w:w="0" w:type="dxa"/>
              <w:bottom w:w="0" w:type="dxa"/>
              <w:right w:w="15" w:type="dxa"/>
            </w:tcMar>
            <w:vAlign w:val="bottom"/>
            <w:hideMark/>
          </w:tcPr>
          <w:p w14:paraId="5EFA74B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left w:w="0" w:type="dxa"/>
              <w:bottom w:w="0" w:type="dxa"/>
              <w:right w:w="15" w:type="dxa"/>
            </w:tcMar>
            <w:vAlign w:val="bottom"/>
            <w:hideMark/>
          </w:tcPr>
          <w:p w14:paraId="495BF18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674DEDE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left w:w="0" w:type="dxa"/>
              <w:bottom w:w="0" w:type="dxa"/>
              <w:right w:w="15" w:type="dxa"/>
            </w:tcMar>
            <w:vAlign w:val="bottom"/>
            <w:hideMark/>
          </w:tcPr>
          <w:p w14:paraId="33ADC98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left w:w="0" w:type="dxa"/>
              <w:bottom w:w="0" w:type="dxa"/>
              <w:right w:w="15" w:type="dxa"/>
            </w:tcMar>
            <w:vAlign w:val="bottom"/>
            <w:hideMark/>
          </w:tcPr>
          <w:p w14:paraId="2D18585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1A01F2D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left w:w="0" w:type="dxa"/>
              <w:bottom w:w="0" w:type="dxa"/>
              <w:right w:w="15" w:type="dxa"/>
            </w:tcMar>
            <w:vAlign w:val="bottom"/>
            <w:hideMark/>
          </w:tcPr>
          <w:p w14:paraId="57CD4DB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left w:w="0" w:type="dxa"/>
              <w:bottom w:w="0" w:type="dxa"/>
              <w:right w:w="15" w:type="dxa"/>
            </w:tcMar>
            <w:vAlign w:val="bottom"/>
            <w:hideMark/>
          </w:tcPr>
          <w:p w14:paraId="7A2C114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C0D9695" w14:textId="77777777">
        <w:trPr>
          <w:divId w:val="225991057"/>
          <w:jc w:val="center"/>
        </w:trPr>
        <w:tc>
          <w:tcPr>
            <w:tcW w:w="1529" w:type="pct"/>
            <w:tcBorders>
              <w:top w:val="single" w:sz="6" w:space="0" w:color="000000"/>
            </w:tcBorders>
            <w:shd w:val="clear" w:color="auto" w:fill="CFF0FC"/>
            <w:tcMar>
              <w:top w:w="15" w:type="dxa"/>
              <w:left w:w="0" w:type="dxa"/>
              <w:bottom w:w="0" w:type="dxa"/>
              <w:right w:w="15" w:type="dxa"/>
            </w:tcMar>
            <w:hideMark/>
          </w:tcPr>
          <w:p w14:paraId="0669CFE6"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Balances as of May 31, 2017</w:t>
            </w:r>
          </w:p>
        </w:tc>
        <w:tc>
          <w:tcPr>
            <w:tcW w:w="85" w:type="pct"/>
            <w:shd w:val="clear" w:color="auto" w:fill="CFF0FC"/>
            <w:tcMar>
              <w:top w:w="15" w:type="dxa"/>
              <w:left w:w="0" w:type="dxa"/>
              <w:bottom w:w="0" w:type="dxa"/>
              <w:right w:w="15" w:type="dxa"/>
            </w:tcMar>
            <w:vAlign w:val="bottom"/>
            <w:hideMark/>
          </w:tcPr>
          <w:p w14:paraId="2459605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3D2469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04EA1BC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38,791</w:t>
            </w:r>
          </w:p>
        </w:tc>
        <w:tc>
          <w:tcPr>
            <w:tcW w:w="50" w:type="pct"/>
            <w:shd w:val="clear" w:color="auto" w:fill="CFF0FC"/>
            <w:noWrap/>
            <w:tcMar>
              <w:top w:w="15" w:type="dxa"/>
              <w:left w:w="0" w:type="dxa"/>
              <w:bottom w:w="0" w:type="dxa"/>
              <w:right w:w="15" w:type="dxa"/>
            </w:tcMar>
            <w:vAlign w:val="bottom"/>
            <w:hideMark/>
          </w:tcPr>
          <w:p w14:paraId="2438080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14995FA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F7FC8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769EFBD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left w:w="0" w:type="dxa"/>
              <w:bottom w:w="0" w:type="dxa"/>
              <w:right w:w="15" w:type="dxa"/>
            </w:tcMar>
            <w:vAlign w:val="bottom"/>
            <w:hideMark/>
          </w:tcPr>
          <w:p w14:paraId="4C2F4CA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4D9D7B4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D8EA1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53CAA53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1,887</w:t>
            </w:r>
          </w:p>
        </w:tc>
        <w:tc>
          <w:tcPr>
            <w:tcW w:w="50" w:type="pct"/>
            <w:shd w:val="clear" w:color="auto" w:fill="CFF0FC"/>
            <w:noWrap/>
            <w:tcMar>
              <w:top w:w="15" w:type="dxa"/>
              <w:left w:w="0" w:type="dxa"/>
              <w:bottom w:w="0" w:type="dxa"/>
              <w:right w:w="15" w:type="dxa"/>
            </w:tcMar>
            <w:vAlign w:val="bottom"/>
            <w:hideMark/>
          </w:tcPr>
          <w:p w14:paraId="20306B8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7C9AA16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2F4B4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5866DE3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43,045</w:t>
            </w:r>
          </w:p>
        </w:tc>
        <w:tc>
          <w:tcPr>
            <w:tcW w:w="50" w:type="pct"/>
            <w:shd w:val="clear" w:color="auto" w:fill="CFF0FC"/>
            <w:noWrap/>
            <w:tcMar>
              <w:top w:w="15" w:type="dxa"/>
              <w:left w:w="0" w:type="dxa"/>
              <w:bottom w:w="0" w:type="dxa"/>
              <w:right w:w="15" w:type="dxa"/>
            </w:tcMar>
            <w:vAlign w:val="bottom"/>
            <w:hideMark/>
          </w:tcPr>
          <w:p w14:paraId="7D68E45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30D2B71" w14:textId="77777777">
        <w:trPr>
          <w:divId w:val="225991057"/>
          <w:jc w:val="center"/>
        </w:trPr>
        <w:tc>
          <w:tcPr>
            <w:tcW w:w="1529" w:type="pct"/>
            <w:shd w:val="clear" w:color="auto" w:fill="FFFFFF"/>
            <w:tcMar>
              <w:top w:w="15" w:type="dxa"/>
              <w:left w:w="0" w:type="dxa"/>
              <w:bottom w:w="0" w:type="dxa"/>
              <w:right w:w="15" w:type="dxa"/>
            </w:tcMar>
            <w:hideMark/>
          </w:tcPr>
          <w:p w14:paraId="7056A107" w14:textId="77777777" w:rsidR="00251D72" w:rsidRDefault="00251D72">
            <w:pPr>
              <w:pStyle w:val="a3"/>
              <w:spacing w:before="0" w:beforeAutospacing="0" w:after="0" w:afterAutospacing="0"/>
              <w:ind w:left="547" w:hanging="144"/>
              <w:rPr>
                <w:rFonts w:ascii="Calibri" w:hAnsi="Calibri" w:cs="Calibri"/>
                <w:color w:val="000000"/>
                <w:sz w:val="20"/>
                <w:szCs w:val="20"/>
              </w:rPr>
            </w:pPr>
            <w:r>
              <w:rPr>
                <w:rFonts w:ascii="Calibri" w:hAnsi="Calibri" w:cs="Calibri"/>
                <w:color w:val="000000"/>
                <w:sz w:val="20"/>
                <w:szCs w:val="20"/>
              </w:rPr>
              <w:t>Goodwill from acquisitions</w:t>
            </w:r>
          </w:p>
        </w:tc>
        <w:tc>
          <w:tcPr>
            <w:tcW w:w="85" w:type="pct"/>
            <w:shd w:val="clear" w:color="auto" w:fill="FFFFFF"/>
            <w:tcMar>
              <w:top w:w="15" w:type="dxa"/>
              <w:left w:w="0" w:type="dxa"/>
              <w:bottom w:w="0" w:type="dxa"/>
              <w:right w:w="15" w:type="dxa"/>
            </w:tcMar>
            <w:vAlign w:val="bottom"/>
            <w:hideMark/>
          </w:tcPr>
          <w:p w14:paraId="466C6DA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B7468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left w:w="0" w:type="dxa"/>
              <w:bottom w:w="0" w:type="dxa"/>
              <w:right w:w="15" w:type="dxa"/>
            </w:tcMar>
            <w:vAlign w:val="bottom"/>
            <w:hideMark/>
          </w:tcPr>
          <w:p w14:paraId="3A1A99D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1,052</w:t>
            </w:r>
          </w:p>
        </w:tc>
        <w:tc>
          <w:tcPr>
            <w:tcW w:w="50" w:type="pct"/>
            <w:shd w:val="clear" w:color="auto" w:fill="FFFFFF"/>
            <w:noWrap/>
            <w:tcMar>
              <w:top w:w="15" w:type="dxa"/>
              <w:left w:w="0" w:type="dxa"/>
              <w:bottom w:w="0" w:type="dxa"/>
              <w:right w:w="15" w:type="dxa"/>
            </w:tcMar>
            <w:vAlign w:val="bottom"/>
            <w:hideMark/>
          </w:tcPr>
          <w:p w14:paraId="298CA84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1421214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05BC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left w:w="0" w:type="dxa"/>
              <w:bottom w:w="0" w:type="dxa"/>
              <w:right w:w="15" w:type="dxa"/>
            </w:tcMar>
            <w:vAlign w:val="bottom"/>
            <w:hideMark/>
          </w:tcPr>
          <w:p w14:paraId="352D31F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1E31C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20D8EF5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6378A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left w:w="0" w:type="dxa"/>
              <w:bottom w:w="0" w:type="dxa"/>
              <w:right w:w="15" w:type="dxa"/>
            </w:tcMar>
            <w:vAlign w:val="bottom"/>
            <w:hideMark/>
          </w:tcPr>
          <w:p w14:paraId="2C18B5E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B061AF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4445E96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17BC3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left w:w="0" w:type="dxa"/>
              <w:bottom w:w="0" w:type="dxa"/>
              <w:right w:w="15" w:type="dxa"/>
            </w:tcMar>
            <w:vAlign w:val="bottom"/>
            <w:hideMark/>
          </w:tcPr>
          <w:p w14:paraId="2E9C020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1,052</w:t>
            </w:r>
          </w:p>
        </w:tc>
        <w:tc>
          <w:tcPr>
            <w:tcW w:w="50" w:type="pct"/>
            <w:shd w:val="clear" w:color="auto" w:fill="FFFFFF"/>
            <w:noWrap/>
            <w:tcMar>
              <w:top w:w="15" w:type="dxa"/>
              <w:left w:w="0" w:type="dxa"/>
              <w:bottom w:w="0" w:type="dxa"/>
              <w:right w:w="15" w:type="dxa"/>
            </w:tcMar>
            <w:vAlign w:val="bottom"/>
            <w:hideMark/>
          </w:tcPr>
          <w:p w14:paraId="320709B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7F6BC69" w14:textId="77777777">
        <w:trPr>
          <w:divId w:val="225991057"/>
          <w:jc w:val="center"/>
        </w:trPr>
        <w:tc>
          <w:tcPr>
            <w:tcW w:w="1529" w:type="pct"/>
            <w:shd w:val="clear" w:color="auto" w:fill="CFF0FC"/>
            <w:tcMar>
              <w:top w:w="15" w:type="dxa"/>
              <w:left w:w="0" w:type="dxa"/>
              <w:bottom w:w="0" w:type="dxa"/>
              <w:right w:w="15" w:type="dxa"/>
            </w:tcMar>
            <w:hideMark/>
          </w:tcPr>
          <w:p w14:paraId="3B486618" w14:textId="77777777" w:rsidR="00251D72" w:rsidRDefault="00251D72">
            <w:pPr>
              <w:pStyle w:val="a3"/>
              <w:spacing w:before="0" w:beforeAutospacing="0" w:after="0" w:afterAutospacing="0"/>
              <w:ind w:left="547" w:hanging="144"/>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vertAlign w:val="superscript"/>
              </w:rPr>
              <w:t>(1)</w:t>
            </w:r>
          </w:p>
        </w:tc>
        <w:tc>
          <w:tcPr>
            <w:tcW w:w="85" w:type="pct"/>
            <w:shd w:val="clear" w:color="auto" w:fill="CFF0FC"/>
            <w:tcMar>
              <w:top w:w="15" w:type="dxa"/>
              <w:left w:w="0" w:type="dxa"/>
              <w:bottom w:w="0" w:type="dxa"/>
              <w:right w:w="15" w:type="dxa"/>
            </w:tcMar>
            <w:vAlign w:val="bottom"/>
            <w:hideMark/>
          </w:tcPr>
          <w:p w14:paraId="63816A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6E3858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left w:w="0" w:type="dxa"/>
              <w:bottom w:w="0" w:type="dxa"/>
              <w:right w:w="15" w:type="dxa"/>
            </w:tcMar>
            <w:vAlign w:val="bottom"/>
            <w:hideMark/>
          </w:tcPr>
          <w:p w14:paraId="1185DE3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(243</w:t>
            </w:r>
          </w:p>
        </w:tc>
        <w:tc>
          <w:tcPr>
            <w:tcW w:w="50" w:type="pct"/>
            <w:shd w:val="clear" w:color="auto" w:fill="CFF0FC"/>
            <w:noWrap/>
            <w:tcMar>
              <w:top w:w="15" w:type="dxa"/>
              <w:left w:w="0" w:type="dxa"/>
              <w:bottom w:w="0" w:type="dxa"/>
              <w:right w:w="15" w:type="dxa"/>
            </w:tcMar>
            <w:vAlign w:val="bottom"/>
            <w:hideMark/>
          </w:tcPr>
          <w:p w14:paraId="57A9AAF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left w:w="0" w:type="dxa"/>
              <w:bottom w:w="0" w:type="dxa"/>
              <w:right w:w="15" w:type="dxa"/>
            </w:tcMar>
            <w:vAlign w:val="bottom"/>
            <w:hideMark/>
          </w:tcPr>
          <w:p w14:paraId="23114D5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9D069C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left w:w="0" w:type="dxa"/>
              <w:bottom w:w="0" w:type="dxa"/>
              <w:right w:w="15" w:type="dxa"/>
            </w:tcMar>
            <w:vAlign w:val="bottom"/>
            <w:hideMark/>
          </w:tcPr>
          <w:p w14:paraId="7B77D8F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FCAEFA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675943A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85DB1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left w:w="0" w:type="dxa"/>
              <w:bottom w:w="0" w:type="dxa"/>
              <w:right w:w="15" w:type="dxa"/>
            </w:tcMar>
            <w:vAlign w:val="bottom"/>
            <w:hideMark/>
          </w:tcPr>
          <w:p w14:paraId="38324D9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(99</w:t>
            </w:r>
          </w:p>
        </w:tc>
        <w:tc>
          <w:tcPr>
            <w:tcW w:w="50" w:type="pct"/>
            <w:shd w:val="clear" w:color="auto" w:fill="CFF0FC"/>
            <w:noWrap/>
            <w:tcMar>
              <w:top w:w="15" w:type="dxa"/>
              <w:left w:w="0" w:type="dxa"/>
              <w:bottom w:w="0" w:type="dxa"/>
              <w:right w:w="15" w:type="dxa"/>
            </w:tcMar>
            <w:vAlign w:val="bottom"/>
            <w:hideMark/>
          </w:tcPr>
          <w:p w14:paraId="7CD7134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left w:w="0" w:type="dxa"/>
              <w:bottom w:w="0" w:type="dxa"/>
              <w:right w:w="15" w:type="dxa"/>
            </w:tcMar>
            <w:vAlign w:val="bottom"/>
            <w:hideMark/>
          </w:tcPr>
          <w:p w14:paraId="620ACBC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338746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left w:w="0" w:type="dxa"/>
              <w:bottom w:w="0" w:type="dxa"/>
              <w:right w:w="15" w:type="dxa"/>
            </w:tcMar>
            <w:vAlign w:val="bottom"/>
            <w:hideMark/>
          </w:tcPr>
          <w:p w14:paraId="37D738F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(342</w:t>
            </w:r>
          </w:p>
        </w:tc>
        <w:tc>
          <w:tcPr>
            <w:tcW w:w="50" w:type="pct"/>
            <w:shd w:val="clear" w:color="auto" w:fill="CFF0FC"/>
            <w:noWrap/>
            <w:tcMar>
              <w:top w:w="15" w:type="dxa"/>
              <w:left w:w="0" w:type="dxa"/>
              <w:bottom w:w="0" w:type="dxa"/>
              <w:right w:w="15" w:type="dxa"/>
            </w:tcMar>
            <w:vAlign w:val="bottom"/>
            <w:hideMark/>
          </w:tcPr>
          <w:p w14:paraId="56B20F0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021BE1CA" w14:textId="77777777">
        <w:trPr>
          <w:divId w:val="225991057"/>
          <w:jc w:val="center"/>
        </w:trPr>
        <w:tc>
          <w:tcPr>
            <w:tcW w:w="1529" w:type="pct"/>
            <w:shd w:val="clear" w:color="auto" w:fill="FFFFFF"/>
            <w:tcMar>
              <w:top w:w="15" w:type="dxa"/>
              <w:left w:w="0" w:type="dxa"/>
              <w:bottom w:w="0" w:type="dxa"/>
              <w:right w:w="15" w:type="dxa"/>
            </w:tcMar>
            <w:hideMark/>
          </w:tcPr>
          <w:p w14:paraId="1FA6C537"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Balances as of May 31, 2018</w:t>
            </w:r>
          </w:p>
        </w:tc>
        <w:tc>
          <w:tcPr>
            <w:tcW w:w="85" w:type="pct"/>
            <w:shd w:val="clear" w:color="auto" w:fill="FFFFFF"/>
            <w:tcMar>
              <w:top w:w="15" w:type="dxa"/>
              <w:left w:w="0" w:type="dxa"/>
              <w:bottom w:w="0" w:type="dxa"/>
              <w:right w:w="15" w:type="dxa"/>
            </w:tcMar>
            <w:vAlign w:val="bottom"/>
            <w:hideMark/>
          </w:tcPr>
          <w:p w14:paraId="5BE883E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21831B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53837A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39,600</w:t>
            </w:r>
          </w:p>
        </w:tc>
        <w:tc>
          <w:tcPr>
            <w:tcW w:w="50" w:type="pct"/>
            <w:shd w:val="clear" w:color="auto" w:fill="FFFFFF"/>
            <w:noWrap/>
            <w:tcMar>
              <w:top w:w="15" w:type="dxa"/>
              <w:left w:w="0" w:type="dxa"/>
              <w:bottom w:w="0" w:type="dxa"/>
              <w:right w:w="15" w:type="dxa"/>
            </w:tcMar>
            <w:vAlign w:val="bottom"/>
            <w:hideMark/>
          </w:tcPr>
          <w:p w14:paraId="08BC23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34B3F63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6FA16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34B150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FFFFFF"/>
            <w:noWrap/>
            <w:tcMar>
              <w:top w:w="15" w:type="dxa"/>
              <w:left w:w="0" w:type="dxa"/>
              <w:bottom w:w="0" w:type="dxa"/>
              <w:right w:w="15" w:type="dxa"/>
            </w:tcMar>
            <w:vAlign w:val="bottom"/>
            <w:hideMark/>
          </w:tcPr>
          <w:p w14:paraId="2272FFD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30CEBC6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1E32E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F92A07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1,788</w:t>
            </w:r>
          </w:p>
        </w:tc>
        <w:tc>
          <w:tcPr>
            <w:tcW w:w="50" w:type="pct"/>
            <w:shd w:val="clear" w:color="auto" w:fill="FFFFFF"/>
            <w:noWrap/>
            <w:tcMar>
              <w:top w:w="15" w:type="dxa"/>
              <w:left w:w="0" w:type="dxa"/>
              <w:bottom w:w="0" w:type="dxa"/>
              <w:right w:w="15" w:type="dxa"/>
            </w:tcMar>
            <w:vAlign w:val="bottom"/>
            <w:hideMark/>
          </w:tcPr>
          <w:p w14:paraId="47225D4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0C605BA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7A91C1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A772F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43,755</w:t>
            </w:r>
          </w:p>
        </w:tc>
        <w:tc>
          <w:tcPr>
            <w:tcW w:w="50" w:type="pct"/>
            <w:shd w:val="clear" w:color="auto" w:fill="FFFFFF"/>
            <w:noWrap/>
            <w:tcMar>
              <w:top w:w="15" w:type="dxa"/>
              <w:left w:w="0" w:type="dxa"/>
              <w:bottom w:w="0" w:type="dxa"/>
              <w:right w:w="15" w:type="dxa"/>
            </w:tcMar>
            <w:vAlign w:val="bottom"/>
            <w:hideMark/>
          </w:tcPr>
          <w:p w14:paraId="7BF1B0E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041875D" w14:textId="77777777">
        <w:trPr>
          <w:divId w:val="225991057"/>
          <w:jc w:val="center"/>
        </w:trPr>
        <w:tc>
          <w:tcPr>
            <w:tcW w:w="1529" w:type="pct"/>
            <w:shd w:val="clear" w:color="auto" w:fill="CFF0FC"/>
            <w:tcMar>
              <w:top w:w="15" w:type="dxa"/>
              <w:left w:w="0" w:type="dxa"/>
              <w:bottom w:w="0" w:type="dxa"/>
              <w:right w:w="15" w:type="dxa"/>
            </w:tcMar>
            <w:hideMark/>
          </w:tcPr>
          <w:p w14:paraId="02B1B676" w14:textId="77777777" w:rsidR="00251D72" w:rsidRDefault="00251D72">
            <w:pPr>
              <w:pStyle w:val="a3"/>
              <w:spacing w:before="0" w:beforeAutospacing="0" w:after="0" w:afterAutospacing="0"/>
              <w:ind w:left="547" w:hanging="144"/>
              <w:rPr>
                <w:rFonts w:ascii="Calibri" w:hAnsi="Calibri" w:cs="Calibri"/>
                <w:color w:val="000000"/>
                <w:sz w:val="20"/>
                <w:szCs w:val="20"/>
              </w:rPr>
            </w:pPr>
            <w:r>
              <w:rPr>
                <w:rFonts w:ascii="Calibri" w:hAnsi="Calibri" w:cs="Calibri"/>
                <w:color w:val="000000"/>
                <w:sz w:val="20"/>
                <w:szCs w:val="20"/>
              </w:rPr>
              <w:t>Goodwill from acquisitions</w:t>
            </w:r>
          </w:p>
        </w:tc>
        <w:tc>
          <w:tcPr>
            <w:tcW w:w="85" w:type="pct"/>
            <w:shd w:val="clear" w:color="auto" w:fill="CFF0FC"/>
            <w:tcMar>
              <w:top w:w="15" w:type="dxa"/>
              <w:left w:w="0" w:type="dxa"/>
              <w:bottom w:w="0" w:type="dxa"/>
              <w:right w:w="15" w:type="dxa"/>
            </w:tcMar>
            <w:vAlign w:val="bottom"/>
            <w:hideMark/>
          </w:tcPr>
          <w:p w14:paraId="76B189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3F728B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0BE274F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CFF0FC"/>
            <w:noWrap/>
            <w:tcMar>
              <w:top w:w="15" w:type="dxa"/>
              <w:left w:w="0" w:type="dxa"/>
              <w:bottom w:w="0" w:type="dxa"/>
              <w:right w:w="15" w:type="dxa"/>
            </w:tcMar>
            <w:vAlign w:val="bottom"/>
            <w:hideMark/>
          </w:tcPr>
          <w:p w14:paraId="09ADD1D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6C5802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75516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663FC24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70D6ED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196225C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4FAD1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3CB1145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067240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3FDDFE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6B0CE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1FDA0C3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CFF0FC"/>
            <w:noWrap/>
            <w:tcMar>
              <w:top w:w="15" w:type="dxa"/>
              <w:left w:w="0" w:type="dxa"/>
              <w:bottom w:w="0" w:type="dxa"/>
              <w:right w:w="15" w:type="dxa"/>
            </w:tcMar>
            <w:vAlign w:val="bottom"/>
            <w:hideMark/>
          </w:tcPr>
          <w:p w14:paraId="0B13C38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6DCFA59" w14:textId="77777777">
        <w:trPr>
          <w:divId w:val="225991057"/>
          <w:jc w:val="center"/>
        </w:trPr>
        <w:tc>
          <w:tcPr>
            <w:tcW w:w="1529" w:type="pct"/>
            <w:shd w:val="clear" w:color="auto" w:fill="FFFFFF"/>
            <w:tcMar>
              <w:top w:w="15" w:type="dxa"/>
              <w:left w:w="0" w:type="dxa"/>
              <w:bottom w:w="0" w:type="dxa"/>
              <w:right w:w="15" w:type="dxa"/>
            </w:tcMar>
            <w:hideMark/>
          </w:tcPr>
          <w:p w14:paraId="3CF2A26C" w14:textId="77777777" w:rsidR="00251D72" w:rsidRDefault="00251D72">
            <w:pPr>
              <w:pStyle w:val="a3"/>
              <w:spacing w:before="0" w:beforeAutospacing="0" w:after="0" w:afterAutospacing="0"/>
              <w:ind w:left="547" w:hanging="144"/>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vertAlign w:val="superscript"/>
              </w:rPr>
              <w:t>(1)</w:t>
            </w:r>
          </w:p>
        </w:tc>
        <w:tc>
          <w:tcPr>
            <w:tcW w:w="85" w:type="pct"/>
            <w:shd w:val="clear" w:color="auto" w:fill="FFFFFF"/>
            <w:tcMar>
              <w:top w:w="15" w:type="dxa"/>
              <w:left w:w="0" w:type="dxa"/>
              <w:bottom w:w="0" w:type="dxa"/>
              <w:right w:w="15" w:type="dxa"/>
            </w:tcMar>
            <w:vAlign w:val="bottom"/>
            <w:hideMark/>
          </w:tcPr>
          <w:p w14:paraId="434DE67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E8E7BC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left w:w="0" w:type="dxa"/>
              <w:bottom w:w="0" w:type="dxa"/>
              <w:right w:w="15" w:type="dxa"/>
            </w:tcMar>
            <w:vAlign w:val="bottom"/>
            <w:hideMark/>
          </w:tcPr>
          <w:p w14:paraId="5B2E7AD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(63</w:t>
            </w:r>
          </w:p>
        </w:tc>
        <w:tc>
          <w:tcPr>
            <w:tcW w:w="50" w:type="pct"/>
            <w:shd w:val="clear" w:color="auto" w:fill="FFFFFF"/>
            <w:noWrap/>
            <w:tcMar>
              <w:top w:w="15" w:type="dxa"/>
              <w:left w:w="0" w:type="dxa"/>
              <w:bottom w:w="0" w:type="dxa"/>
              <w:right w:w="15" w:type="dxa"/>
            </w:tcMar>
            <w:vAlign w:val="bottom"/>
            <w:hideMark/>
          </w:tcPr>
          <w:p w14:paraId="212C9C1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left w:w="0" w:type="dxa"/>
              <w:bottom w:w="0" w:type="dxa"/>
              <w:right w:w="15" w:type="dxa"/>
            </w:tcMar>
            <w:vAlign w:val="bottom"/>
            <w:hideMark/>
          </w:tcPr>
          <w:p w14:paraId="476D31D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1CE4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left w:w="0" w:type="dxa"/>
              <w:bottom w:w="0" w:type="dxa"/>
              <w:right w:w="15" w:type="dxa"/>
            </w:tcMar>
            <w:vAlign w:val="bottom"/>
            <w:hideMark/>
          </w:tcPr>
          <w:p w14:paraId="46726C0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EA8108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008E004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2AD6E5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left w:w="0" w:type="dxa"/>
              <w:bottom w:w="0" w:type="dxa"/>
              <w:right w:w="15" w:type="dxa"/>
            </w:tcMar>
            <w:vAlign w:val="bottom"/>
            <w:hideMark/>
          </w:tcPr>
          <w:p w14:paraId="326F1BE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FFFFFF"/>
            <w:noWrap/>
            <w:tcMar>
              <w:top w:w="15" w:type="dxa"/>
              <w:left w:w="0" w:type="dxa"/>
              <w:bottom w:w="0" w:type="dxa"/>
              <w:right w:w="15" w:type="dxa"/>
            </w:tcMar>
            <w:vAlign w:val="bottom"/>
            <w:hideMark/>
          </w:tcPr>
          <w:p w14:paraId="6B8E74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left w:w="0" w:type="dxa"/>
              <w:bottom w:w="0" w:type="dxa"/>
              <w:right w:w="15" w:type="dxa"/>
            </w:tcMar>
            <w:vAlign w:val="bottom"/>
            <w:hideMark/>
          </w:tcPr>
          <w:p w14:paraId="5325229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2ADB80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left w:w="0" w:type="dxa"/>
              <w:bottom w:w="0" w:type="dxa"/>
              <w:right w:w="15" w:type="dxa"/>
            </w:tcMar>
            <w:vAlign w:val="bottom"/>
            <w:hideMark/>
          </w:tcPr>
          <w:p w14:paraId="6D79B9F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(72</w:t>
            </w:r>
          </w:p>
        </w:tc>
        <w:tc>
          <w:tcPr>
            <w:tcW w:w="50" w:type="pct"/>
            <w:shd w:val="clear" w:color="auto" w:fill="FFFFFF"/>
            <w:noWrap/>
            <w:tcMar>
              <w:top w:w="15" w:type="dxa"/>
              <w:left w:w="0" w:type="dxa"/>
              <w:bottom w:w="0" w:type="dxa"/>
              <w:right w:w="15" w:type="dxa"/>
            </w:tcMar>
            <w:vAlign w:val="bottom"/>
            <w:hideMark/>
          </w:tcPr>
          <w:p w14:paraId="71DFEEE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6CA29788" w14:textId="77777777">
        <w:trPr>
          <w:divId w:val="225991057"/>
          <w:jc w:val="center"/>
        </w:trPr>
        <w:tc>
          <w:tcPr>
            <w:tcW w:w="1529" w:type="pct"/>
            <w:shd w:val="clear" w:color="auto" w:fill="CFF0FC"/>
            <w:tcMar>
              <w:top w:w="15" w:type="dxa"/>
              <w:left w:w="0" w:type="dxa"/>
              <w:bottom w:w="0" w:type="dxa"/>
              <w:right w:w="15" w:type="dxa"/>
            </w:tcMar>
            <w:hideMark/>
          </w:tcPr>
          <w:p w14:paraId="567CE77F"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Balances as of May 31, 2019</w:t>
            </w:r>
          </w:p>
        </w:tc>
        <w:tc>
          <w:tcPr>
            <w:tcW w:w="85" w:type="pct"/>
            <w:shd w:val="clear" w:color="auto" w:fill="CFF0FC"/>
            <w:tcMar>
              <w:top w:w="15" w:type="dxa"/>
              <w:left w:w="0" w:type="dxa"/>
              <w:bottom w:w="0" w:type="dxa"/>
              <w:right w:w="15" w:type="dxa"/>
            </w:tcMar>
            <w:vAlign w:val="bottom"/>
            <w:hideMark/>
          </w:tcPr>
          <w:p w14:paraId="10C9D1B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7E7C5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4751E4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39,633</w:t>
            </w:r>
          </w:p>
        </w:tc>
        <w:tc>
          <w:tcPr>
            <w:tcW w:w="50" w:type="pct"/>
            <w:shd w:val="clear" w:color="auto" w:fill="CFF0FC"/>
            <w:noWrap/>
            <w:tcMar>
              <w:top w:w="15" w:type="dxa"/>
              <w:left w:w="0" w:type="dxa"/>
              <w:bottom w:w="0" w:type="dxa"/>
              <w:right w:w="15" w:type="dxa"/>
            </w:tcMar>
            <w:vAlign w:val="bottom"/>
            <w:hideMark/>
          </w:tcPr>
          <w:p w14:paraId="4C17494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34623D1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CFA76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456E04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left w:w="0" w:type="dxa"/>
              <w:bottom w:w="0" w:type="dxa"/>
              <w:right w:w="15" w:type="dxa"/>
            </w:tcMar>
            <w:vAlign w:val="bottom"/>
            <w:hideMark/>
          </w:tcPr>
          <w:p w14:paraId="03E7024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504F024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176F9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82152E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1,779</w:t>
            </w:r>
          </w:p>
        </w:tc>
        <w:tc>
          <w:tcPr>
            <w:tcW w:w="50" w:type="pct"/>
            <w:shd w:val="clear" w:color="auto" w:fill="CFF0FC"/>
            <w:noWrap/>
            <w:tcMar>
              <w:top w:w="15" w:type="dxa"/>
              <w:left w:w="0" w:type="dxa"/>
              <w:bottom w:w="0" w:type="dxa"/>
              <w:right w:w="15" w:type="dxa"/>
            </w:tcMar>
            <w:vAlign w:val="bottom"/>
            <w:hideMark/>
          </w:tcPr>
          <w:p w14:paraId="1176D16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164C003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B1D0E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A7A58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43,779</w:t>
            </w:r>
          </w:p>
        </w:tc>
        <w:tc>
          <w:tcPr>
            <w:tcW w:w="50" w:type="pct"/>
            <w:shd w:val="clear" w:color="auto" w:fill="CFF0FC"/>
            <w:noWrap/>
            <w:tcMar>
              <w:top w:w="15" w:type="dxa"/>
              <w:left w:w="0" w:type="dxa"/>
              <w:bottom w:w="0" w:type="dxa"/>
              <w:right w:w="15" w:type="dxa"/>
            </w:tcMar>
            <w:vAlign w:val="bottom"/>
            <w:hideMark/>
          </w:tcPr>
          <w:p w14:paraId="5685F8B2"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49C3890"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6D55C996" w14:textId="77777777">
        <w:tc>
          <w:tcPr>
            <w:tcW w:w="192" w:type="pct"/>
            <w:noWrap/>
            <w:hideMark/>
          </w:tcPr>
          <w:p w14:paraId="6832C566"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7ECBD921"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Pursuant to our business combinations accounting policy, we recorded goodwill adjustments for the effects on goodwill of changes to net assets acquired during the period that such a change is identified, provided that any such change is within the measurement period (up to one year from the date of the acquisition).</w:t>
            </w:r>
            <w:r>
              <w:rPr>
                <w:rFonts w:ascii="Calibri" w:hAnsi="Calibri" w:cs="Calibri"/>
                <w:sz w:val="20"/>
                <w:szCs w:val="20"/>
              </w:rPr>
              <w:t xml:space="preserve"> </w:t>
            </w:r>
            <w:r>
              <w:rPr>
                <w:rFonts w:ascii="Calibri" w:hAnsi="Calibri" w:cs="Calibri"/>
                <w:sz w:val="15"/>
                <w:szCs w:val="15"/>
              </w:rPr>
              <w:t xml:space="preserve">Amounts also include immaterial changes, if any, in goodwill balances for the periods presented that resulted from net foreign currency translations. </w:t>
            </w:r>
          </w:p>
        </w:tc>
      </w:tr>
    </w:tbl>
    <w:p w14:paraId="0F23706A"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90</w:t>
      </w:r>
    </w:p>
    <w:p w14:paraId="5D9C3BCB" w14:textId="77777777" w:rsidR="00251D72" w:rsidRDefault="00251D72">
      <w:pPr>
        <w:rPr>
          <w:rFonts w:ascii="Times New Roman" w:eastAsia="Times New Roman" w:hAnsi="Times New Roman" w:cs="Times New Roman"/>
          <w:sz w:val="24"/>
          <w:szCs w:val="24"/>
        </w:rPr>
      </w:pPr>
      <w:r>
        <w:rPr>
          <w:rFonts w:eastAsia="Times New Roman"/>
        </w:rPr>
        <w:pict w14:anchorId="1D1B901F">
          <v:rect id="_x0000_i1116" style="width:415.3pt;height:1.5pt" o:hralign="center" o:hrstd="t" o:hr="t" fillcolor="#a0a0a0" stroked="f"/>
        </w:pict>
      </w:r>
    </w:p>
    <w:p w14:paraId="4DAEB7CE"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2CE4A9A"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F10DDF1"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451F6B40"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61624419"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11DB68B9" w14:textId="77777777" w:rsidR="00251D72" w:rsidRDefault="00251D7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251D72" w14:paraId="41AA5770" w14:textId="77777777">
        <w:tc>
          <w:tcPr>
            <w:tcW w:w="262" w:type="pct"/>
            <w:noWrap/>
            <w:hideMark/>
          </w:tcPr>
          <w:p w14:paraId="294D3B6E"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7.</w:t>
            </w:r>
          </w:p>
        </w:tc>
        <w:tc>
          <w:tcPr>
            <w:tcW w:w="0" w:type="auto"/>
            <w:hideMark/>
          </w:tcPr>
          <w:p w14:paraId="12EDA39C" w14:textId="77777777" w:rsidR="00251D72" w:rsidRDefault="00251D72">
            <w:pPr>
              <w:pStyle w:val="a3"/>
              <w:spacing w:before="240" w:beforeAutospacing="0" w:after="0" w:afterAutospacing="0"/>
              <w:jc w:val="both"/>
              <w:rPr>
                <w:rFonts w:ascii="Calibri" w:hAnsi="Calibri" w:cs="Calibri"/>
                <w:b/>
                <w:bCs/>
                <w:sz w:val="20"/>
                <w:szCs w:val="20"/>
              </w:rPr>
            </w:pPr>
            <w:bookmarkStart w:id="130" w:name="_AEIOULastRenderedPageBreakAEIOU93"/>
            <w:bookmarkEnd w:id="130"/>
            <w:r>
              <w:rPr>
                <w:rFonts w:ascii="Calibri" w:hAnsi="Calibri" w:cs="Calibri"/>
                <w:b/>
                <w:bCs/>
                <w:sz w:val="20"/>
                <w:szCs w:val="20"/>
              </w:rPr>
              <w:t>NOTES PAYABLE AND OTHER BORROWINGS</w:t>
            </w:r>
          </w:p>
        </w:tc>
      </w:tr>
    </w:tbl>
    <w:p w14:paraId="3EE92D4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Notes payable and other borrowings consisted of the following: </w:t>
      </w:r>
    </w:p>
    <w:p w14:paraId="127A71C8"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3604"/>
        <w:gridCol w:w="119"/>
        <w:gridCol w:w="1329"/>
        <w:gridCol w:w="119"/>
        <w:gridCol w:w="97"/>
        <w:gridCol w:w="521"/>
        <w:gridCol w:w="81"/>
        <w:gridCol w:w="119"/>
        <w:gridCol w:w="81"/>
        <w:gridCol w:w="523"/>
        <w:gridCol w:w="82"/>
        <w:gridCol w:w="120"/>
        <w:gridCol w:w="97"/>
        <w:gridCol w:w="522"/>
        <w:gridCol w:w="82"/>
        <w:gridCol w:w="120"/>
        <w:gridCol w:w="690"/>
      </w:tblGrid>
      <w:tr w:rsidR="00251D72" w14:paraId="596AFA07" w14:textId="77777777">
        <w:trPr>
          <w:divId w:val="1635331532"/>
          <w:jc w:val="center"/>
        </w:trPr>
        <w:tc>
          <w:tcPr>
            <w:tcW w:w="2169" w:type="pct"/>
            <w:shd w:val="clear" w:color="auto" w:fill="FFFFFF"/>
            <w:tcMar>
              <w:top w:w="15" w:type="dxa"/>
              <w:left w:w="0" w:type="dxa"/>
              <w:bottom w:w="0" w:type="dxa"/>
              <w:right w:w="15" w:type="dxa"/>
            </w:tcMar>
            <w:vAlign w:val="bottom"/>
            <w:hideMark/>
          </w:tcPr>
          <w:p w14:paraId="7E6BC498" w14:textId="77777777" w:rsidR="00251D72" w:rsidRDefault="00251D72">
            <w:pPr>
              <w:pStyle w:val="a3"/>
              <w:spacing w:before="0" w:beforeAutospacing="0" w:after="0" w:afterAutospacing="0"/>
              <w:jc w:val="center"/>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0761EB3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00" w:type="pct"/>
            <w:shd w:val="clear" w:color="auto" w:fill="FFFFFF"/>
            <w:tcMar>
              <w:top w:w="15" w:type="dxa"/>
              <w:left w:w="0" w:type="dxa"/>
              <w:bottom w:w="0" w:type="dxa"/>
              <w:right w:w="15" w:type="dxa"/>
            </w:tcMar>
            <w:vAlign w:val="bottom"/>
            <w:hideMark/>
          </w:tcPr>
          <w:p w14:paraId="528A4BE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3" w:type="pct"/>
            <w:shd w:val="clear" w:color="auto" w:fill="FFFFFF"/>
            <w:tcMar>
              <w:top w:w="15" w:type="dxa"/>
              <w:left w:w="0" w:type="dxa"/>
              <w:bottom w:w="0" w:type="dxa"/>
              <w:right w:w="15" w:type="dxa"/>
            </w:tcMar>
            <w:vAlign w:val="bottom"/>
            <w:hideMark/>
          </w:tcPr>
          <w:p w14:paraId="1E8F382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4" w:type="pct"/>
            <w:gridSpan w:val="6"/>
            <w:tcBorders>
              <w:bottom w:val="single" w:sz="6" w:space="0" w:color="000000"/>
            </w:tcBorders>
            <w:shd w:val="clear" w:color="auto" w:fill="FFFFFF"/>
            <w:tcMar>
              <w:top w:w="15" w:type="dxa"/>
              <w:left w:w="0" w:type="dxa"/>
              <w:bottom w:w="0" w:type="dxa"/>
              <w:right w:w="15" w:type="dxa"/>
            </w:tcMar>
            <w:vAlign w:val="bottom"/>
            <w:hideMark/>
          </w:tcPr>
          <w:p w14:paraId="776A42C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 2019</w:t>
            </w:r>
          </w:p>
        </w:tc>
        <w:tc>
          <w:tcPr>
            <w:tcW w:w="50" w:type="pct"/>
            <w:shd w:val="clear" w:color="auto" w:fill="FFFFFF"/>
            <w:noWrap/>
            <w:tcMar>
              <w:top w:w="15" w:type="dxa"/>
              <w:left w:w="0" w:type="dxa"/>
              <w:bottom w:w="0" w:type="dxa"/>
              <w:right w:w="15" w:type="dxa"/>
            </w:tcMar>
            <w:vAlign w:val="bottom"/>
            <w:hideMark/>
          </w:tcPr>
          <w:p w14:paraId="42919E5F"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67756B9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04" w:type="pct"/>
            <w:gridSpan w:val="5"/>
            <w:tcBorders>
              <w:bottom w:val="single" w:sz="6" w:space="0" w:color="000000"/>
            </w:tcBorders>
            <w:shd w:val="clear" w:color="auto" w:fill="FFFFFF"/>
            <w:tcMar>
              <w:top w:w="15" w:type="dxa"/>
              <w:left w:w="0" w:type="dxa"/>
              <w:bottom w:w="0" w:type="dxa"/>
              <w:right w:w="15" w:type="dxa"/>
            </w:tcMar>
            <w:vAlign w:val="bottom"/>
            <w:hideMark/>
          </w:tcPr>
          <w:p w14:paraId="1EAC775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 2018</w:t>
            </w:r>
          </w:p>
        </w:tc>
      </w:tr>
      <w:tr w:rsidR="00251D72" w14:paraId="555CC0CD" w14:textId="77777777">
        <w:trPr>
          <w:divId w:val="1635331532"/>
          <w:jc w:val="center"/>
        </w:trPr>
        <w:tc>
          <w:tcPr>
            <w:tcW w:w="2169" w:type="pct"/>
            <w:tcBorders>
              <w:bottom w:val="single" w:sz="6" w:space="0" w:color="000000"/>
            </w:tcBorders>
            <w:shd w:val="clear" w:color="auto" w:fill="FFFFFF"/>
            <w:tcMar>
              <w:top w:w="15" w:type="dxa"/>
              <w:left w:w="0" w:type="dxa"/>
              <w:bottom w:w="0" w:type="dxa"/>
              <w:right w:w="15" w:type="dxa"/>
            </w:tcMar>
            <w:vAlign w:val="bottom"/>
            <w:hideMark/>
          </w:tcPr>
          <w:p w14:paraId="7806CBE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3" w:type="pct"/>
            <w:shd w:val="clear" w:color="auto" w:fill="FFFFFF"/>
            <w:tcMar>
              <w:top w:w="15" w:type="dxa"/>
              <w:left w:w="0" w:type="dxa"/>
              <w:bottom w:w="0" w:type="dxa"/>
              <w:right w:w="15" w:type="dxa"/>
            </w:tcMar>
            <w:vAlign w:val="bottom"/>
            <w:hideMark/>
          </w:tcPr>
          <w:p w14:paraId="37CA978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00" w:type="pct"/>
            <w:tcBorders>
              <w:bottom w:val="single" w:sz="6" w:space="0" w:color="000000"/>
            </w:tcBorders>
            <w:shd w:val="clear" w:color="auto" w:fill="FFFFFF"/>
            <w:tcMar>
              <w:top w:w="15" w:type="dxa"/>
              <w:left w:w="0" w:type="dxa"/>
              <w:bottom w:w="0" w:type="dxa"/>
              <w:right w:w="15" w:type="dxa"/>
            </w:tcMar>
            <w:vAlign w:val="bottom"/>
            <w:hideMark/>
          </w:tcPr>
          <w:p w14:paraId="7223A15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Date of</w:t>
            </w:r>
          </w:p>
          <w:p w14:paraId="5BF20A4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Issuance</w:t>
            </w:r>
          </w:p>
        </w:tc>
        <w:tc>
          <w:tcPr>
            <w:tcW w:w="73" w:type="pct"/>
            <w:shd w:val="clear" w:color="auto" w:fill="FFFFFF"/>
            <w:tcMar>
              <w:top w:w="15" w:type="dxa"/>
              <w:left w:w="0" w:type="dxa"/>
              <w:bottom w:w="0" w:type="dxa"/>
              <w:right w:w="15" w:type="dxa"/>
            </w:tcMar>
            <w:vAlign w:val="bottom"/>
            <w:hideMark/>
          </w:tcPr>
          <w:p w14:paraId="6F82420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6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2CE64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Amount</w:t>
            </w:r>
          </w:p>
        </w:tc>
        <w:tc>
          <w:tcPr>
            <w:tcW w:w="50" w:type="pct"/>
            <w:shd w:val="clear" w:color="auto" w:fill="FFFFFF"/>
            <w:noWrap/>
            <w:tcMar>
              <w:top w:w="15" w:type="dxa"/>
              <w:left w:w="0" w:type="dxa"/>
              <w:bottom w:w="0" w:type="dxa"/>
              <w:right w:w="15" w:type="dxa"/>
            </w:tcMar>
            <w:vAlign w:val="bottom"/>
            <w:hideMark/>
          </w:tcPr>
          <w:p w14:paraId="1C8A3D6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tcBorders>
              <w:top w:val="single" w:sz="6" w:space="0" w:color="000000"/>
            </w:tcBorders>
            <w:shd w:val="clear" w:color="auto" w:fill="FFFFFF"/>
            <w:tcMar>
              <w:top w:w="15" w:type="dxa"/>
              <w:left w:w="0" w:type="dxa"/>
              <w:bottom w:w="0" w:type="dxa"/>
              <w:right w:w="15" w:type="dxa"/>
            </w:tcMar>
            <w:vAlign w:val="bottom"/>
            <w:hideMark/>
          </w:tcPr>
          <w:p w14:paraId="7E637B8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6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85D5D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Effective</w:t>
            </w:r>
          </w:p>
          <w:p w14:paraId="2E6941C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170DD46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Rate</w:t>
            </w:r>
          </w:p>
        </w:tc>
        <w:tc>
          <w:tcPr>
            <w:tcW w:w="50" w:type="pct"/>
            <w:shd w:val="clear" w:color="auto" w:fill="FFFFFF"/>
            <w:noWrap/>
            <w:tcMar>
              <w:top w:w="15" w:type="dxa"/>
              <w:left w:w="0" w:type="dxa"/>
              <w:bottom w:w="0" w:type="dxa"/>
              <w:right w:w="15" w:type="dxa"/>
            </w:tcMar>
            <w:vAlign w:val="bottom"/>
            <w:hideMark/>
          </w:tcPr>
          <w:p w14:paraId="089B1E9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shd w:val="clear" w:color="auto" w:fill="FFFFFF"/>
            <w:tcMar>
              <w:top w:w="15" w:type="dxa"/>
              <w:left w:w="0" w:type="dxa"/>
              <w:bottom w:w="0" w:type="dxa"/>
              <w:right w:w="15" w:type="dxa"/>
            </w:tcMar>
            <w:vAlign w:val="bottom"/>
            <w:hideMark/>
          </w:tcPr>
          <w:p w14:paraId="41F2055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6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C2A23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Amount</w:t>
            </w:r>
          </w:p>
        </w:tc>
        <w:tc>
          <w:tcPr>
            <w:tcW w:w="50" w:type="pct"/>
            <w:shd w:val="clear" w:color="auto" w:fill="FFFFFF"/>
            <w:noWrap/>
            <w:tcMar>
              <w:top w:w="15" w:type="dxa"/>
              <w:left w:w="0" w:type="dxa"/>
              <w:bottom w:w="0" w:type="dxa"/>
              <w:right w:w="15" w:type="dxa"/>
            </w:tcMar>
            <w:vAlign w:val="bottom"/>
            <w:hideMark/>
          </w:tcPr>
          <w:p w14:paraId="51D5A46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tcBorders>
              <w:top w:val="single" w:sz="6" w:space="0" w:color="000000"/>
            </w:tcBorders>
            <w:shd w:val="clear" w:color="auto" w:fill="FFFFFF"/>
            <w:tcMar>
              <w:top w:w="15" w:type="dxa"/>
              <w:left w:w="0" w:type="dxa"/>
              <w:bottom w:w="0" w:type="dxa"/>
              <w:right w:w="15" w:type="dxa"/>
            </w:tcMar>
            <w:vAlign w:val="bottom"/>
            <w:hideMark/>
          </w:tcPr>
          <w:p w14:paraId="0C117CB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1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5E9EB7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Effective</w:t>
            </w:r>
          </w:p>
          <w:p w14:paraId="49FA370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1F1DCD6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Rate</w:t>
            </w:r>
          </w:p>
        </w:tc>
      </w:tr>
      <w:tr w:rsidR="00251D72" w14:paraId="161882AC" w14:textId="77777777">
        <w:trPr>
          <w:divId w:val="1635331532"/>
          <w:jc w:val="center"/>
        </w:trPr>
        <w:tc>
          <w:tcPr>
            <w:tcW w:w="2169" w:type="pct"/>
            <w:tcBorders>
              <w:top w:val="single" w:sz="6" w:space="0" w:color="000000"/>
            </w:tcBorders>
            <w:shd w:val="clear" w:color="auto" w:fill="CFF0FC"/>
            <w:tcMar>
              <w:top w:w="15" w:type="dxa"/>
              <w:left w:w="0" w:type="dxa"/>
              <w:bottom w:w="0" w:type="dxa"/>
              <w:right w:w="15" w:type="dxa"/>
            </w:tcMar>
            <w:hideMark/>
          </w:tcPr>
          <w:p w14:paraId="625D6C0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Fixed-rate senior notes:</w:t>
            </w:r>
          </w:p>
        </w:tc>
        <w:tc>
          <w:tcPr>
            <w:tcW w:w="73" w:type="pct"/>
            <w:shd w:val="clear" w:color="auto" w:fill="CFF0FC"/>
            <w:tcMar>
              <w:top w:w="15" w:type="dxa"/>
              <w:left w:w="0" w:type="dxa"/>
              <w:bottom w:w="0" w:type="dxa"/>
              <w:right w:w="15" w:type="dxa"/>
            </w:tcMar>
            <w:vAlign w:val="bottom"/>
            <w:hideMark/>
          </w:tcPr>
          <w:p w14:paraId="35058C6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tcBorders>
              <w:top w:val="single" w:sz="6" w:space="0" w:color="000000"/>
            </w:tcBorders>
            <w:shd w:val="clear" w:color="auto" w:fill="CFF0FC"/>
            <w:tcMar>
              <w:top w:w="15" w:type="dxa"/>
              <w:left w:w="0" w:type="dxa"/>
              <w:bottom w:w="0" w:type="dxa"/>
              <w:right w:w="15" w:type="dxa"/>
            </w:tcMar>
            <w:vAlign w:val="bottom"/>
            <w:hideMark/>
          </w:tcPr>
          <w:p w14:paraId="30E71E2F"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2D7DCCB7"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23419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tcBorders>
              <w:top w:val="single" w:sz="6" w:space="0" w:color="000000"/>
            </w:tcBorders>
            <w:shd w:val="clear" w:color="auto" w:fill="CFF0FC"/>
            <w:noWrap/>
            <w:tcMar>
              <w:top w:w="15" w:type="dxa"/>
              <w:left w:w="0" w:type="dxa"/>
              <w:bottom w:w="0" w:type="dxa"/>
              <w:right w:w="15" w:type="dxa"/>
            </w:tcMar>
            <w:vAlign w:val="bottom"/>
            <w:hideMark/>
          </w:tcPr>
          <w:p w14:paraId="39978DF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62E870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41FF4E98"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A76ED6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tcBorders>
              <w:top w:val="single" w:sz="6" w:space="0" w:color="000000"/>
            </w:tcBorders>
            <w:shd w:val="clear" w:color="auto" w:fill="CFF0FC"/>
            <w:noWrap/>
            <w:tcMar>
              <w:top w:w="15" w:type="dxa"/>
              <w:left w:w="0" w:type="dxa"/>
              <w:bottom w:w="0" w:type="dxa"/>
              <w:right w:w="15" w:type="dxa"/>
            </w:tcMar>
            <w:vAlign w:val="bottom"/>
            <w:hideMark/>
          </w:tcPr>
          <w:p w14:paraId="3F7DFCC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F583ED4"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576F3C9B"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74EE3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tcBorders>
              <w:top w:val="single" w:sz="6" w:space="0" w:color="000000"/>
            </w:tcBorders>
            <w:shd w:val="clear" w:color="auto" w:fill="CFF0FC"/>
            <w:noWrap/>
            <w:tcMar>
              <w:top w:w="15" w:type="dxa"/>
              <w:left w:w="0" w:type="dxa"/>
              <w:bottom w:w="0" w:type="dxa"/>
              <w:right w:w="15" w:type="dxa"/>
            </w:tcMar>
            <w:vAlign w:val="bottom"/>
            <w:hideMark/>
          </w:tcPr>
          <w:p w14:paraId="5DE44B2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A245C2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7FF03275"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tcBorders>
              <w:top w:val="single" w:sz="6" w:space="0" w:color="000000"/>
            </w:tcBorders>
            <w:shd w:val="clear" w:color="auto" w:fill="CFF0FC"/>
            <w:tcMar>
              <w:top w:w="15" w:type="dxa"/>
              <w:left w:w="0" w:type="dxa"/>
              <w:bottom w:w="0" w:type="dxa"/>
              <w:right w:w="15" w:type="dxa"/>
            </w:tcMar>
            <w:vAlign w:val="bottom"/>
            <w:hideMark/>
          </w:tcPr>
          <w:p w14:paraId="3CCCC11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r>
      <w:tr w:rsidR="00251D72" w14:paraId="0E07333C" w14:textId="77777777">
        <w:trPr>
          <w:divId w:val="1635331532"/>
          <w:jc w:val="center"/>
        </w:trPr>
        <w:tc>
          <w:tcPr>
            <w:tcW w:w="2169" w:type="pct"/>
            <w:shd w:val="clear" w:color="auto" w:fill="FFFFFF"/>
            <w:tcMar>
              <w:top w:w="15" w:type="dxa"/>
              <w:left w:w="0" w:type="dxa"/>
              <w:bottom w:w="0" w:type="dxa"/>
              <w:right w:w="15" w:type="dxa"/>
            </w:tcMar>
            <w:hideMark/>
          </w:tcPr>
          <w:p w14:paraId="4559C8DD"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$1,500, 2.375%, due January 2019</w:t>
            </w:r>
            <w:r>
              <w:rPr>
                <w:rFonts w:ascii="Calibri" w:hAnsi="Calibri" w:cs="Calibri"/>
                <w:color w:val="000000"/>
                <w:sz w:val="14"/>
                <w:szCs w:val="14"/>
                <w:vertAlign w:val="superscript"/>
              </w:rPr>
              <w:t>(1)</w:t>
            </w:r>
          </w:p>
        </w:tc>
        <w:tc>
          <w:tcPr>
            <w:tcW w:w="73" w:type="pct"/>
            <w:shd w:val="clear" w:color="auto" w:fill="FFFFFF"/>
            <w:tcMar>
              <w:top w:w="15" w:type="dxa"/>
              <w:left w:w="0" w:type="dxa"/>
              <w:bottom w:w="0" w:type="dxa"/>
              <w:right w:w="15" w:type="dxa"/>
            </w:tcMar>
            <w:vAlign w:val="bottom"/>
            <w:hideMark/>
          </w:tcPr>
          <w:p w14:paraId="207BB1F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4466DE84"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2013</w:t>
            </w:r>
          </w:p>
        </w:tc>
        <w:tc>
          <w:tcPr>
            <w:tcW w:w="73" w:type="pct"/>
            <w:shd w:val="clear" w:color="auto" w:fill="FFFFFF"/>
            <w:tcMar>
              <w:top w:w="15" w:type="dxa"/>
              <w:left w:w="0" w:type="dxa"/>
              <w:bottom w:w="0" w:type="dxa"/>
              <w:right w:w="15" w:type="dxa"/>
            </w:tcMar>
            <w:vAlign w:val="bottom"/>
            <w:hideMark/>
          </w:tcPr>
          <w:p w14:paraId="397357FA"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65" w:type="pct"/>
            <w:gridSpan w:val="2"/>
            <w:shd w:val="clear" w:color="auto" w:fill="FFFFFF"/>
            <w:tcMar>
              <w:top w:w="15" w:type="dxa"/>
              <w:left w:w="0" w:type="dxa"/>
              <w:bottom w:w="0" w:type="dxa"/>
              <w:right w:w="15" w:type="dxa"/>
            </w:tcMar>
            <w:vAlign w:val="bottom"/>
            <w:hideMark/>
          </w:tcPr>
          <w:p w14:paraId="1902EC7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03722A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7E38E65C"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65" w:type="pct"/>
            <w:gridSpan w:val="2"/>
            <w:shd w:val="clear" w:color="auto" w:fill="FFFFFF"/>
            <w:tcMar>
              <w:top w:w="15" w:type="dxa"/>
              <w:left w:w="0" w:type="dxa"/>
              <w:bottom w:w="0" w:type="dxa"/>
              <w:right w:w="15" w:type="dxa"/>
            </w:tcMar>
            <w:vAlign w:val="bottom"/>
            <w:hideMark/>
          </w:tcPr>
          <w:p w14:paraId="67EA502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N.A.</w:t>
            </w:r>
          </w:p>
        </w:tc>
        <w:tc>
          <w:tcPr>
            <w:tcW w:w="50" w:type="pct"/>
            <w:shd w:val="clear" w:color="auto" w:fill="FFFFFF"/>
            <w:noWrap/>
            <w:tcMar>
              <w:top w:w="15" w:type="dxa"/>
              <w:left w:w="0" w:type="dxa"/>
              <w:bottom w:w="0" w:type="dxa"/>
              <w:right w:w="15" w:type="dxa"/>
            </w:tcMar>
            <w:vAlign w:val="bottom"/>
            <w:hideMark/>
          </w:tcPr>
          <w:p w14:paraId="2310F3CE"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5C65FC4D"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F8D075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705F67A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1,500</w:t>
            </w:r>
          </w:p>
        </w:tc>
        <w:tc>
          <w:tcPr>
            <w:tcW w:w="50" w:type="pct"/>
            <w:shd w:val="clear" w:color="auto" w:fill="FFFFFF"/>
            <w:noWrap/>
            <w:tcMar>
              <w:top w:w="15" w:type="dxa"/>
              <w:left w:w="0" w:type="dxa"/>
              <w:bottom w:w="0" w:type="dxa"/>
              <w:right w:w="15" w:type="dxa"/>
            </w:tcMar>
            <w:vAlign w:val="bottom"/>
            <w:hideMark/>
          </w:tcPr>
          <w:p w14:paraId="171748D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7352CA67"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4A2BD13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2.44%</w:t>
            </w:r>
          </w:p>
        </w:tc>
      </w:tr>
      <w:tr w:rsidR="00251D72" w14:paraId="3E3CEA8F" w14:textId="77777777">
        <w:trPr>
          <w:divId w:val="1635331532"/>
          <w:jc w:val="center"/>
        </w:trPr>
        <w:tc>
          <w:tcPr>
            <w:tcW w:w="2169" w:type="pct"/>
            <w:shd w:val="clear" w:color="auto" w:fill="CFF0FC"/>
            <w:tcMar>
              <w:top w:w="15" w:type="dxa"/>
              <w:left w:w="0" w:type="dxa"/>
              <w:bottom w:w="0" w:type="dxa"/>
              <w:right w:w="15" w:type="dxa"/>
            </w:tcMar>
            <w:hideMark/>
          </w:tcPr>
          <w:p w14:paraId="45453400"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$1,750, 5.00%, due July 2019</w:t>
            </w:r>
          </w:p>
        </w:tc>
        <w:tc>
          <w:tcPr>
            <w:tcW w:w="73" w:type="pct"/>
            <w:shd w:val="clear" w:color="auto" w:fill="CFF0FC"/>
            <w:tcMar>
              <w:top w:w="15" w:type="dxa"/>
              <w:left w:w="0" w:type="dxa"/>
              <w:bottom w:w="0" w:type="dxa"/>
              <w:right w:w="15" w:type="dxa"/>
            </w:tcMar>
            <w:vAlign w:val="bottom"/>
            <w:hideMark/>
          </w:tcPr>
          <w:p w14:paraId="0AE8CE7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2045D612"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2009</w:t>
            </w:r>
          </w:p>
        </w:tc>
        <w:tc>
          <w:tcPr>
            <w:tcW w:w="73" w:type="pct"/>
            <w:shd w:val="clear" w:color="auto" w:fill="CFF0FC"/>
            <w:tcMar>
              <w:top w:w="15" w:type="dxa"/>
              <w:left w:w="0" w:type="dxa"/>
              <w:bottom w:w="0" w:type="dxa"/>
              <w:right w:w="15" w:type="dxa"/>
            </w:tcMar>
            <w:vAlign w:val="bottom"/>
            <w:hideMark/>
          </w:tcPr>
          <w:p w14:paraId="32322969"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96B75D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3A93902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1,750</w:t>
            </w:r>
          </w:p>
        </w:tc>
        <w:tc>
          <w:tcPr>
            <w:tcW w:w="50" w:type="pct"/>
            <w:shd w:val="clear" w:color="auto" w:fill="CFF0FC"/>
            <w:noWrap/>
            <w:tcMar>
              <w:top w:w="15" w:type="dxa"/>
              <w:left w:w="0" w:type="dxa"/>
              <w:bottom w:w="0" w:type="dxa"/>
              <w:right w:w="15" w:type="dxa"/>
            </w:tcMar>
            <w:vAlign w:val="bottom"/>
            <w:hideMark/>
          </w:tcPr>
          <w:p w14:paraId="4A0D9E4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077DE489"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3B50DF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53E5D7C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5.05%</w:t>
            </w:r>
          </w:p>
        </w:tc>
        <w:tc>
          <w:tcPr>
            <w:tcW w:w="50" w:type="pct"/>
            <w:shd w:val="clear" w:color="auto" w:fill="CFF0FC"/>
            <w:noWrap/>
            <w:tcMar>
              <w:top w:w="15" w:type="dxa"/>
              <w:left w:w="0" w:type="dxa"/>
              <w:bottom w:w="0" w:type="dxa"/>
              <w:right w:w="15" w:type="dxa"/>
            </w:tcMar>
            <w:vAlign w:val="bottom"/>
            <w:hideMark/>
          </w:tcPr>
          <w:p w14:paraId="33930033"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297B6C63"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EF9CCD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5034E4E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1,750</w:t>
            </w:r>
          </w:p>
        </w:tc>
        <w:tc>
          <w:tcPr>
            <w:tcW w:w="50" w:type="pct"/>
            <w:shd w:val="clear" w:color="auto" w:fill="CFF0FC"/>
            <w:noWrap/>
            <w:tcMar>
              <w:top w:w="15" w:type="dxa"/>
              <w:left w:w="0" w:type="dxa"/>
              <w:bottom w:w="0" w:type="dxa"/>
              <w:right w:w="15" w:type="dxa"/>
            </w:tcMar>
            <w:vAlign w:val="bottom"/>
            <w:hideMark/>
          </w:tcPr>
          <w:p w14:paraId="183EF2D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41F742C0"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45C8AA5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5.05%</w:t>
            </w:r>
          </w:p>
        </w:tc>
      </w:tr>
      <w:tr w:rsidR="00251D72" w14:paraId="1FA08AC2" w14:textId="77777777">
        <w:trPr>
          <w:divId w:val="1635331532"/>
          <w:jc w:val="center"/>
        </w:trPr>
        <w:tc>
          <w:tcPr>
            <w:tcW w:w="2169" w:type="pct"/>
            <w:shd w:val="clear" w:color="auto" w:fill="FFFFFF"/>
            <w:tcMar>
              <w:top w:w="15" w:type="dxa"/>
              <w:left w:w="0" w:type="dxa"/>
              <w:bottom w:w="0" w:type="dxa"/>
              <w:right w:w="15" w:type="dxa"/>
            </w:tcMar>
            <w:hideMark/>
          </w:tcPr>
          <w:p w14:paraId="41FF46F1"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$2,000, 2.25%, due October 2019</w:t>
            </w:r>
            <w:r>
              <w:rPr>
                <w:rFonts w:ascii="Calibri" w:hAnsi="Calibri" w:cs="Calibri"/>
                <w:color w:val="000000"/>
                <w:sz w:val="14"/>
                <w:szCs w:val="14"/>
                <w:vertAlign w:val="superscript"/>
              </w:rPr>
              <w:t>(1)</w:t>
            </w:r>
          </w:p>
        </w:tc>
        <w:tc>
          <w:tcPr>
            <w:tcW w:w="73" w:type="pct"/>
            <w:shd w:val="clear" w:color="auto" w:fill="FFFFFF"/>
            <w:tcMar>
              <w:top w:w="15" w:type="dxa"/>
              <w:left w:w="0" w:type="dxa"/>
              <w:bottom w:w="0" w:type="dxa"/>
              <w:right w:w="15" w:type="dxa"/>
            </w:tcMar>
            <w:vAlign w:val="bottom"/>
            <w:hideMark/>
          </w:tcPr>
          <w:p w14:paraId="795160F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4201E6A1"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2014</w:t>
            </w:r>
          </w:p>
        </w:tc>
        <w:tc>
          <w:tcPr>
            <w:tcW w:w="73" w:type="pct"/>
            <w:shd w:val="clear" w:color="auto" w:fill="FFFFFF"/>
            <w:tcMar>
              <w:top w:w="15" w:type="dxa"/>
              <w:left w:w="0" w:type="dxa"/>
              <w:bottom w:w="0" w:type="dxa"/>
              <w:right w:w="15" w:type="dxa"/>
            </w:tcMar>
            <w:vAlign w:val="bottom"/>
            <w:hideMark/>
          </w:tcPr>
          <w:p w14:paraId="5DF994EA"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AD2BA7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1148187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2,000</w:t>
            </w:r>
          </w:p>
        </w:tc>
        <w:tc>
          <w:tcPr>
            <w:tcW w:w="50" w:type="pct"/>
            <w:shd w:val="clear" w:color="auto" w:fill="FFFFFF"/>
            <w:noWrap/>
            <w:tcMar>
              <w:top w:w="15" w:type="dxa"/>
              <w:left w:w="0" w:type="dxa"/>
              <w:bottom w:w="0" w:type="dxa"/>
              <w:right w:w="15" w:type="dxa"/>
            </w:tcMar>
            <w:vAlign w:val="bottom"/>
            <w:hideMark/>
          </w:tcPr>
          <w:p w14:paraId="15DF274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2CF3BD45"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DB0C30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2137B26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2.27%</w:t>
            </w:r>
          </w:p>
        </w:tc>
        <w:tc>
          <w:tcPr>
            <w:tcW w:w="50" w:type="pct"/>
            <w:shd w:val="clear" w:color="auto" w:fill="FFFFFF"/>
            <w:noWrap/>
            <w:tcMar>
              <w:top w:w="15" w:type="dxa"/>
              <w:left w:w="0" w:type="dxa"/>
              <w:bottom w:w="0" w:type="dxa"/>
              <w:right w:w="15" w:type="dxa"/>
            </w:tcMar>
            <w:vAlign w:val="bottom"/>
            <w:hideMark/>
          </w:tcPr>
          <w:p w14:paraId="70C3C360"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212B2F4A"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0C1F5A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7BF93A3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2,000</w:t>
            </w:r>
          </w:p>
        </w:tc>
        <w:tc>
          <w:tcPr>
            <w:tcW w:w="50" w:type="pct"/>
            <w:shd w:val="clear" w:color="auto" w:fill="FFFFFF"/>
            <w:noWrap/>
            <w:tcMar>
              <w:top w:w="15" w:type="dxa"/>
              <w:left w:w="0" w:type="dxa"/>
              <w:bottom w:w="0" w:type="dxa"/>
              <w:right w:w="15" w:type="dxa"/>
            </w:tcMar>
            <w:vAlign w:val="bottom"/>
            <w:hideMark/>
          </w:tcPr>
          <w:p w14:paraId="233A4AA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0E4FF02C"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2BBD7E3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2.27%</w:t>
            </w:r>
          </w:p>
        </w:tc>
      </w:tr>
      <w:tr w:rsidR="00251D72" w14:paraId="0BAD293E" w14:textId="77777777">
        <w:trPr>
          <w:divId w:val="1635331532"/>
          <w:jc w:val="center"/>
        </w:trPr>
        <w:tc>
          <w:tcPr>
            <w:tcW w:w="2169" w:type="pct"/>
            <w:shd w:val="clear" w:color="auto" w:fill="CFF0FC"/>
            <w:tcMar>
              <w:top w:w="15" w:type="dxa"/>
              <w:left w:w="0" w:type="dxa"/>
              <w:bottom w:w="0" w:type="dxa"/>
              <w:right w:w="15" w:type="dxa"/>
            </w:tcMar>
            <w:hideMark/>
          </w:tcPr>
          <w:p w14:paraId="6CF7E879"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$1,000, 3.875%, due July 2020</w:t>
            </w:r>
          </w:p>
        </w:tc>
        <w:tc>
          <w:tcPr>
            <w:tcW w:w="73" w:type="pct"/>
            <w:shd w:val="clear" w:color="auto" w:fill="CFF0FC"/>
            <w:tcMar>
              <w:top w:w="15" w:type="dxa"/>
              <w:left w:w="0" w:type="dxa"/>
              <w:bottom w:w="0" w:type="dxa"/>
              <w:right w:w="15" w:type="dxa"/>
            </w:tcMar>
            <w:vAlign w:val="bottom"/>
            <w:hideMark/>
          </w:tcPr>
          <w:p w14:paraId="7D9E6C6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41B1B4C3"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2010</w:t>
            </w:r>
          </w:p>
        </w:tc>
        <w:tc>
          <w:tcPr>
            <w:tcW w:w="73" w:type="pct"/>
            <w:shd w:val="clear" w:color="auto" w:fill="CFF0FC"/>
            <w:tcMar>
              <w:top w:w="15" w:type="dxa"/>
              <w:left w:w="0" w:type="dxa"/>
              <w:bottom w:w="0" w:type="dxa"/>
              <w:right w:w="15" w:type="dxa"/>
            </w:tcMar>
            <w:vAlign w:val="bottom"/>
            <w:hideMark/>
          </w:tcPr>
          <w:p w14:paraId="597074BB"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A3B063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556B705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1,000</w:t>
            </w:r>
          </w:p>
        </w:tc>
        <w:tc>
          <w:tcPr>
            <w:tcW w:w="50" w:type="pct"/>
            <w:shd w:val="clear" w:color="auto" w:fill="CFF0FC"/>
            <w:noWrap/>
            <w:tcMar>
              <w:top w:w="15" w:type="dxa"/>
              <w:left w:w="0" w:type="dxa"/>
              <w:bottom w:w="0" w:type="dxa"/>
              <w:right w:w="15" w:type="dxa"/>
            </w:tcMar>
            <w:vAlign w:val="bottom"/>
            <w:hideMark/>
          </w:tcPr>
          <w:p w14:paraId="15C157B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354F5529"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F82D08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18867B3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3.93%</w:t>
            </w:r>
          </w:p>
        </w:tc>
        <w:tc>
          <w:tcPr>
            <w:tcW w:w="50" w:type="pct"/>
            <w:shd w:val="clear" w:color="auto" w:fill="CFF0FC"/>
            <w:noWrap/>
            <w:tcMar>
              <w:top w:w="15" w:type="dxa"/>
              <w:left w:w="0" w:type="dxa"/>
              <w:bottom w:w="0" w:type="dxa"/>
              <w:right w:w="15" w:type="dxa"/>
            </w:tcMar>
            <w:vAlign w:val="bottom"/>
            <w:hideMark/>
          </w:tcPr>
          <w:p w14:paraId="7A320BAD"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6CF6E11C"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626D35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2A86F7F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1,000</w:t>
            </w:r>
          </w:p>
        </w:tc>
        <w:tc>
          <w:tcPr>
            <w:tcW w:w="50" w:type="pct"/>
            <w:shd w:val="clear" w:color="auto" w:fill="CFF0FC"/>
            <w:noWrap/>
            <w:tcMar>
              <w:top w:w="15" w:type="dxa"/>
              <w:left w:w="0" w:type="dxa"/>
              <w:bottom w:w="0" w:type="dxa"/>
              <w:right w:w="15" w:type="dxa"/>
            </w:tcMar>
            <w:vAlign w:val="bottom"/>
            <w:hideMark/>
          </w:tcPr>
          <w:p w14:paraId="16E48C0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58DC2688"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10BF084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3.93%</w:t>
            </w:r>
          </w:p>
        </w:tc>
      </w:tr>
      <w:tr w:rsidR="00251D72" w14:paraId="7AEDB878" w14:textId="77777777">
        <w:trPr>
          <w:divId w:val="1635331532"/>
          <w:jc w:val="center"/>
        </w:trPr>
        <w:tc>
          <w:tcPr>
            <w:tcW w:w="2169" w:type="pct"/>
            <w:shd w:val="clear" w:color="auto" w:fill="FFFFFF"/>
            <w:tcMar>
              <w:top w:w="15" w:type="dxa"/>
              <w:left w:w="0" w:type="dxa"/>
              <w:bottom w:w="0" w:type="dxa"/>
              <w:right w:w="15" w:type="dxa"/>
            </w:tcMar>
            <w:hideMark/>
          </w:tcPr>
          <w:p w14:paraId="0D13F1C3"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€1,250, 2.25%, due January 2021</w:t>
            </w:r>
            <w:r>
              <w:rPr>
                <w:rFonts w:ascii="Calibri" w:hAnsi="Calibri" w:cs="Calibri"/>
                <w:color w:val="000000"/>
                <w:sz w:val="14"/>
                <w:szCs w:val="14"/>
                <w:vertAlign w:val="superscript"/>
              </w:rPr>
              <w:t>(2)(3)</w:t>
            </w:r>
          </w:p>
        </w:tc>
        <w:tc>
          <w:tcPr>
            <w:tcW w:w="73" w:type="pct"/>
            <w:shd w:val="clear" w:color="auto" w:fill="FFFFFF"/>
            <w:tcMar>
              <w:top w:w="15" w:type="dxa"/>
              <w:left w:w="0" w:type="dxa"/>
              <w:bottom w:w="0" w:type="dxa"/>
              <w:right w:w="15" w:type="dxa"/>
            </w:tcMar>
            <w:vAlign w:val="bottom"/>
            <w:hideMark/>
          </w:tcPr>
          <w:p w14:paraId="512E8F3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02384457"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2013</w:t>
            </w:r>
          </w:p>
        </w:tc>
        <w:tc>
          <w:tcPr>
            <w:tcW w:w="73" w:type="pct"/>
            <w:shd w:val="clear" w:color="auto" w:fill="FFFFFF"/>
            <w:tcMar>
              <w:top w:w="15" w:type="dxa"/>
              <w:left w:w="0" w:type="dxa"/>
              <w:bottom w:w="0" w:type="dxa"/>
              <w:right w:w="15" w:type="dxa"/>
            </w:tcMar>
            <w:vAlign w:val="bottom"/>
            <w:hideMark/>
          </w:tcPr>
          <w:p w14:paraId="43A2628C"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7AB5D6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142AAF9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1,393</w:t>
            </w:r>
          </w:p>
        </w:tc>
        <w:tc>
          <w:tcPr>
            <w:tcW w:w="50" w:type="pct"/>
            <w:shd w:val="clear" w:color="auto" w:fill="FFFFFF"/>
            <w:noWrap/>
            <w:tcMar>
              <w:top w:w="15" w:type="dxa"/>
              <w:left w:w="0" w:type="dxa"/>
              <w:bottom w:w="0" w:type="dxa"/>
              <w:right w:w="15" w:type="dxa"/>
            </w:tcMar>
            <w:vAlign w:val="bottom"/>
            <w:hideMark/>
          </w:tcPr>
          <w:p w14:paraId="449E89F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111FDAB2"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E158BD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6BA2CB9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2.33%</w:t>
            </w:r>
          </w:p>
        </w:tc>
        <w:tc>
          <w:tcPr>
            <w:tcW w:w="50" w:type="pct"/>
            <w:shd w:val="clear" w:color="auto" w:fill="FFFFFF"/>
            <w:noWrap/>
            <w:tcMar>
              <w:top w:w="15" w:type="dxa"/>
              <w:left w:w="0" w:type="dxa"/>
              <w:bottom w:w="0" w:type="dxa"/>
              <w:right w:w="15" w:type="dxa"/>
            </w:tcMar>
            <w:vAlign w:val="bottom"/>
            <w:hideMark/>
          </w:tcPr>
          <w:p w14:paraId="5F6A2052"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0566E55A"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7794EF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63D7261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1,446</w:t>
            </w:r>
          </w:p>
        </w:tc>
        <w:tc>
          <w:tcPr>
            <w:tcW w:w="50" w:type="pct"/>
            <w:shd w:val="clear" w:color="auto" w:fill="FFFFFF"/>
            <w:noWrap/>
            <w:tcMar>
              <w:top w:w="15" w:type="dxa"/>
              <w:left w:w="0" w:type="dxa"/>
              <w:bottom w:w="0" w:type="dxa"/>
              <w:right w:w="15" w:type="dxa"/>
            </w:tcMar>
            <w:vAlign w:val="bottom"/>
            <w:hideMark/>
          </w:tcPr>
          <w:p w14:paraId="4FDCD0F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654A602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7158E8F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2.33%</w:t>
            </w:r>
          </w:p>
        </w:tc>
      </w:tr>
      <w:tr w:rsidR="00251D72" w14:paraId="7EFAFE2C" w14:textId="77777777">
        <w:trPr>
          <w:divId w:val="1635331532"/>
          <w:jc w:val="center"/>
        </w:trPr>
        <w:tc>
          <w:tcPr>
            <w:tcW w:w="2169" w:type="pct"/>
            <w:shd w:val="clear" w:color="auto" w:fill="CFF0FC"/>
            <w:tcMar>
              <w:top w:w="15" w:type="dxa"/>
              <w:left w:w="0" w:type="dxa"/>
              <w:bottom w:w="0" w:type="dxa"/>
              <w:right w:w="15" w:type="dxa"/>
            </w:tcMar>
            <w:hideMark/>
          </w:tcPr>
          <w:p w14:paraId="0CCAE016"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$1,500, 2.80%, due July 2021</w:t>
            </w:r>
            <w:r>
              <w:rPr>
                <w:rFonts w:ascii="Calibri" w:hAnsi="Calibri" w:cs="Calibri"/>
                <w:color w:val="000000"/>
                <w:sz w:val="14"/>
                <w:szCs w:val="14"/>
                <w:vertAlign w:val="superscript"/>
              </w:rPr>
              <w:t>(1)</w:t>
            </w:r>
          </w:p>
        </w:tc>
        <w:tc>
          <w:tcPr>
            <w:tcW w:w="73" w:type="pct"/>
            <w:shd w:val="clear" w:color="auto" w:fill="CFF0FC"/>
            <w:tcMar>
              <w:top w:w="15" w:type="dxa"/>
              <w:left w:w="0" w:type="dxa"/>
              <w:bottom w:w="0" w:type="dxa"/>
              <w:right w:w="15" w:type="dxa"/>
            </w:tcMar>
            <w:vAlign w:val="bottom"/>
            <w:hideMark/>
          </w:tcPr>
          <w:p w14:paraId="5E0375A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45C529FC"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2014</w:t>
            </w:r>
          </w:p>
        </w:tc>
        <w:tc>
          <w:tcPr>
            <w:tcW w:w="73" w:type="pct"/>
            <w:shd w:val="clear" w:color="auto" w:fill="CFF0FC"/>
            <w:tcMar>
              <w:top w:w="15" w:type="dxa"/>
              <w:left w:w="0" w:type="dxa"/>
              <w:bottom w:w="0" w:type="dxa"/>
              <w:right w:w="15" w:type="dxa"/>
            </w:tcMar>
            <w:vAlign w:val="bottom"/>
            <w:hideMark/>
          </w:tcPr>
          <w:p w14:paraId="37E889BB"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EF894F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51778CE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1,500</w:t>
            </w:r>
          </w:p>
        </w:tc>
        <w:tc>
          <w:tcPr>
            <w:tcW w:w="50" w:type="pct"/>
            <w:shd w:val="clear" w:color="auto" w:fill="CFF0FC"/>
            <w:noWrap/>
            <w:tcMar>
              <w:top w:w="15" w:type="dxa"/>
              <w:left w:w="0" w:type="dxa"/>
              <w:bottom w:w="0" w:type="dxa"/>
              <w:right w:w="15" w:type="dxa"/>
            </w:tcMar>
            <w:vAlign w:val="bottom"/>
            <w:hideMark/>
          </w:tcPr>
          <w:p w14:paraId="7264D37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2111E88E"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713658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4E2AD2F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2.82%</w:t>
            </w:r>
          </w:p>
        </w:tc>
        <w:tc>
          <w:tcPr>
            <w:tcW w:w="50" w:type="pct"/>
            <w:shd w:val="clear" w:color="auto" w:fill="CFF0FC"/>
            <w:noWrap/>
            <w:tcMar>
              <w:top w:w="15" w:type="dxa"/>
              <w:left w:w="0" w:type="dxa"/>
              <w:bottom w:w="0" w:type="dxa"/>
              <w:right w:w="15" w:type="dxa"/>
            </w:tcMar>
            <w:vAlign w:val="bottom"/>
            <w:hideMark/>
          </w:tcPr>
          <w:p w14:paraId="5BED4A24"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39422830"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A0C7C8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0C1103C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1,500</w:t>
            </w:r>
          </w:p>
        </w:tc>
        <w:tc>
          <w:tcPr>
            <w:tcW w:w="50" w:type="pct"/>
            <w:shd w:val="clear" w:color="auto" w:fill="CFF0FC"/>
            <w:noWrap/>
            <w:tcMar>
              <w:top w:w="15" w:type="dxa"/>
              <w:left w:w="0" w:type="dxa"/>
              <w:bottom w:w="0" w:type="dxa"/>
              <w:right w:w="15" w:type="dxa"/>
            </w:tcMar>
            <w:vAlign w:val="bottom"/>
            <w:hideMark/>
          </w:tcPr>
          <w:p w14:paraId="03CADBD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18615659"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693A5C7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2.82%</w:t>
            </w:r>
          </w:p>
        </w:tc>
      </w:tr>
      <w:tr w:rsidR="00251D72" w14:paraId="7E2CCDB9" w14:textId="77777777">
        <w:trPr>
          <w:divId w:val="1635331532"/>
          <w:jc w:val="center"/>
        </w:trPr>
        <w:tc>
          <w:tcPr>
            <w:tcW w:w="2169" w:type="pct"/>
            <w:shd w:val="clear" w:color="auto" w:fill="FFFFFF"/>
            <w:tcMar>
              <w:top w:w="15" w:type="dxa"/>
              <w:left w:w="0" w:type="dxa"/>
              <w:bottom w:w="0" w:type="dxa"/>
              <w:right w:w="15" w:type="dxa"/>
            </w:tcMar>
            <w:hideMark/>
          </w:tcPr>
          <w:p w14:paraId="7DF5EB39"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$4,250, 1.90%, due September 2021</w:t>
            </w:r>
          </w:p>
        </w:tc>
        <w:tc>
          <w:tcPr>
            <w:tcW w:w="73" w:type="pct"/>
            <w:shd w:val="clear" w:color="auto" w:fill="FFFFFF"/>
            <w:tcMar>
              <w:top w:w="15" w:type="dxa"/>
              <w:left w:w="0" w:type="dxa"/>
              <w:bottom w:w="0" w:type="dxa"/>
              <w:right w:w="15" w:type="dxa"/>
            </w:tcMar>
            <w:vAlign w:val="bottom"/>
            <w:hideMark/>
          </w:tcPr>
          <w:p w14:paraId="5E4DD2A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6A98497B"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2016</w:t>
            </w:r>
          </w:p>
        </w:tc>
        <w:tc>
          <w:tcPr>
            <w:tcW w:w="73" w:type="pct"/>
            <w:shd w:val="clear" w:color="auto" w:fill="FFFFFF"/>
            <w:tcMar>
              <w:top w:w="15" w:type="dxa"/>
              <w:left w:w="0" w:type="dxa"/>
              <w:bottom w:w="0" w:type="dxa"/>
              <w:right w:w="15" w:type="dxa"/>
            </w:tcMar>
            <w:vAlign w:val="bottom"/>
            <w:hideMark/>
          </w:tcPr>
          <w:p w14:paraId="6F47DF94"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359202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7D3488C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4,250</w:t>
            </w:r>
          </w:p>
        </w:tc>
        <w:tc>
          <w:tcPr>
            <w:tcW w:w="50" w:type="pct"/>
            <w:shd w:val="clear" w:color="auto" w:fill="FFFFFF"/>
            <w:noWrap/>
            <w:tcMar>
              <w:top w:w="15" w:type="dxa"/>
              <w:left w:w="0" w:type="dxa"/>
              <w:bottom w:w="0" w:type="dxa"/>
              <w:right w:w="15" w:type="dxa"/>
            </w:tcMar>
            <w:vAlign w:val="bottom"/>
            <w:hideMark/>
          </w:tcPr>
          <w:p w14:paraId="63714FF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0D152D11"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06EAE7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31278AB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1.94%</w:t>
            </w:r>
          </w:p>
        </w:tc>
        <w:tc>
          <w:tcPr>
            <w:tcW w:w="50" w:type="pct"/>
            <w:shd w:val="clear" w:color="auto" w:fill="FFFFFF"/>
            <w:noWrap/>
            <w:tcMar>
              <w:top w:w="15" w:type="dxa"/>
              <w:left w:w="0" w:type="dxa"/>
              <w:bottom w:w="0" w:type="dxa"/>
              <w:right w:w="15" w:type="dxa"/>
            </w:tcMar>
            <w:vAlign w:val="bottom"/>
            <w:hideMark/>
          </w:tcPr>
          <w:p w14:paraId="5501112E"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24FCE55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4F82C9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0FD3E78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4,250</w:t>
            </w:r>
          </w:p>
        </w:tc>
        <w:tc>
          <w:tcPr>
            <w:tcW w:w="50" w:type="pct"/>
            <w:shd w:val="clear" w:color="auto" w:fill="FFFFFF"/>
            <w:noWrap/>
            <w:tcMar>
              <w:top w:w="15" w:type="dxa"/>
              <w:left w:w="0" w:type="dxa"/>
              <w:bottom w:w="0" w:type="dxa"/>
              <w:right w:w="15" w:type="dxa"/>
            </w:tcMar>
            <w:vAlign w:val="bottom"/>
            <w:hideMark/>
          </w:tcPr>
          <w:p w14:paraId="4F66599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248717F9"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6DAF6E7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1.94%</w:t>
            </w:r>
          </w:p>
        </w:tc>
      </w:tr>
      <w:tr w:rsidR="00251D72" w14:paraId="5FDD2F17" w14:textId="77777777">
        <w:trPr>
          <w:divId w:val="1635331532"/>
          <w:jc w:val="center"/>
        </w:trPr>
        <w:tc>
          <w:tcPr>
            <w:tcW w:w="2169" w:type="pct"/>
            <w:shd w:val="clear" w:color="auto" w:fill="CFF0FC"/>
            <w:tcMar>
              <w:top w:w="15" w:type="dxa"/>
              <w:left w:w="0" w:type="dxa"/>
              <w:bottom w:w="0" w:type="dxa"/>
              <w:right w:w="15" w:type="dxa"/>
            </w:tcMar>
            <w:hideMark/>
          </w:tcPr>
          <w:p w14:paraId="17DD28F9"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$2,500, 2.50%, due May 2022</w:t>
            </w:r>
          </w:p>
        </w:tc>
        <w:tc>
          <w:tcPr>
            <w:tcW w:w="73" w:type="pct"/>
            <w:shd w:val="clear" w:color="auto" w:fill="CFF0FC"/>
            <w:tcMar>
              <w:top w:w="15" w:type="dxa"/>
              <w:left w:w="0" w:type="dxa"/>
              <w:bottom w:w="0" w:type="dxa"/>
              <w:right w:w="15" w:type="dxa"/>
            </w:tcMar>
            <w:vAlign w:val="bottom"/>
            <w:hideMark/>
          </w:tcPr>
          <w:p w14:paraId="1A79883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436A67F6"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May 2015</w:t>
            </w:r>
          </w:p>
        </w:tc>
        <w:tc>
          <w:tcPr>
            <w:tcW w:w="73" w:type="pct"/>
            <w:shd w:val="clear" w:color="auto" w:fill="CFF0FC"/>
            <w:tcMar>
              <w:top w:w="15" w:type="dxa"/>
              <w:left w:w="0" w:type="dxa"/>
              <w:bottom w:w="0" w:type="dxa"/>
              <w:right w:w="15" w:type="dxa"/>
            </w:tcMar>
            <w:vAlign w:val="bottom"/>
            <w:hideMark/>
          </w:tcPr>
          <w:p w14:paraId="64232FFE"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4F5052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36D2A55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2,500</w:t>
            </w:r>
          </w:p>
        </w:tc>
        <w:tc>
          <w:tcPr>
            <w:tcW w:w="50" w:type="pct"/>
            <w:shd w:val="clear" w:color="auto" w:fill="CFF0FC"/>
            <w:noWrap/>
            <w:tcMar>
              <w:top w:w="15" w:type="dxa"/>
              <w:left w:w="0" w:type="dxa"/>
              <w:bottom w:w="0" w:type="dxa"/>
              <w:right w:w="15" w:type="dxa"/>
            </w:tcMar>
            <w:vAlign w:val="bottom"/>
            <w:hideMark/>
          </w:tcPr>
          <w:p w14:paraId="4A1EF3F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20815ADD"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D87A2D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777F8BD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2.56%</w:t>
            </w:r>
          </w:p>
        </w:tc>
        <w:tc>
          <w:tcPr>
            <w:tcW w:w="50" w:type="pct"/>
            <w:shd w:val="clear" w:color="auto" w:fill="CFF0FC"/>
            <w:noWrap/>
            <w:tcMar>
              <w:top w:w="15" w:type="dxa"/>
              <w:left w:w="0" w:type="dxa"/>
              <w:bottom w:w="0" w:type="dxa"/>
              <w:right w:w="15" w:type="dxa"/>
            </w:tcMar>
            <w:vAlign w:val="bottom"/>
            <w:hideMark/>
          </w:tcPr>
          <w:p w14:paraId="7324A09A"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5F322A8E"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297781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27E77A9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2,500</w:t>
            </w:r>
          </w:p>
        </w:tc>
        <w:tc>
          <w:tcPr>
            <w:tcW w:w="50" w:type="pct"/>
            <w:shd w:val="clear" w:color="auto" w:fill="CFF0FC"/>
            <w:noWrap/>
            <w:tcMar>
              <w:top w:w="15" w:type="dxa"/>
              <w:left w:w="0" w:type="dxa"/>
              <w:bottom w:w="0" w:type="dxa"/>
              <w:right w:w="15" w:type="dxa"/>
            </w:tcMar>
            <w:vAlign w:val="bottom"/>
            <w:hideMark/>
          </w:tcPr>
          <w:p w14:paraId="7656404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65ECCCB1"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4875878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2.56%</w:t>
            </w:r>
          </w:p>
        </w:tc>
      </w:tr>
      <w:tr w:rsidR="00251D72" w14:paraId="090B6537" w14:textId="77777777">
        <w:trPr>
          <w:divId w:val="1635331532"/>
          <w:jc w:val="center"/>
        </w:trPr>
        <w:tc>
          <w:tcPr>
            <w:tcW w:w="2169" w:type="pct"/>
            <w:shd w:val="clear" w:color="auto" w:fill="FFFFFF"/>
            <w:tcMar>
              <w:top w:w="15" w:type="dxa"/>
              <w:left w:w="0" w:type="dxa"/>
              <w:bottom w:w="0" w:type="dxa"/>
              <w:right w:w="15" w:type="dxa"/>
            </w:tcMar>
            <w:hideMark/>
          </w:tcPr>
          <w:p w14:paraId="43647885"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$2,500, 2.50%, due October 2022</w:t>
            </w:r>
          </w:p>
        </w:tc>
        <w:tc>
          <w:tcPr>
            <w:tcW w:w="73" w:type="pct"/>
            <w:shd w:val="clear" w:color="auto" w:fill="FFFFFF"/>
            <w:tcMar>
              <w:top w:w="15" w:type="dxa"/>
              <w:left w:w="0" w:type="dxa"/>
              <w:bottom w:w="0" w:type="dxa"/>
              <w:right w:w="15" w:type="dxa"/>
            </w:tcMar>
            <w:vAlign w:val="bottom"/>
            <w:hideMark/>
          </w:tcPr>
          <w:p w14:paraId="0070672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7331042C"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October 2012</w:t>
            </w:r>
          </w:p>
        </w:tc>
        <w:tc>
          <w:tcPr>
            <w:tcW w:w="73" w:type="pct"/>
            <w:shd w:val="clear" w:color="auto" w:fill="FFFFFF"/>
            <w:tcMar>
              <w:top w:w="15" w:type="dxa"/>
              <w:left w:w="0" w:type="dxa"/>
              <w:bottom w:w="0" w:type="dxa"/>
              <w:right w:w="15" w:type="dxa"/>
            </w:tcMar>
            <w:vAlign w:val="bottom"/>
            <w:hideMark/>
          </w:tcPr>
          <w:p w14:paraId="3A7A0C1D"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72F8A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75EBD0C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2,500</w:t>
            </w:r>
          </w:p>
        </w:tc>
        <w:tc>
          <w:tcPr>
            <w:tcW w:w="50" w:type="pct"/>
            <w:shd w:val="clear" w:color="auto" w:fill="FFFFFF"/>
            <w:noWrap/>
            <w:tcMar>
              <w:top w:w="15" w:type="dxa"/>
              <w:left w:w="0" w:type="dxa"/>
              <w:bottom w:w="0" w:type="dxa"/>
              <w:right w:w="15" w:type="dxa"/>
            </w:tcMar>
            <w:vAlign w:val="bottom"/>
            <w:hideMark/>
          </w:tcPr>
          <w:p w14:paraId="72B45BA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0C2CB990"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AD77D1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27E6A28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2.51%</w:t>
            </w:r>
          </w:p>
        </w:tc>
        <w:tc>
          <w:tcPr>
            <w:tcW w:w="50" w:type="pct"/>
            <w:shd w:val="clear" w:color="auto" w:fill="FFFFFF"/>
            <w:noWrap/>
            <w:tcMar>
              <w:top w:w="15" w:type="dxa"/>
              <w:left w:w="0" w:type="dxa"/>
              <w:bottom w:w="0" w:type="dxa"/>
              <w:right w:w="15" w:type="dxa"/>
            </w:tcMar>
            <w:vAlign w:val="bottom"/>
            <w:hideMark/>
          </w:tcPr>
          <w:p w14:paraId="55F65109"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658FBC5B"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639D31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0363DFA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2,500</w:t>
            </w:r>
          </w:p>
        </w:tc>
        <w:tc>
          <w:tcPr>
            <w:tcW w:w="50" w:type="pct"/>
            <w:shd w:val="clear" w:color="auto" w:fill="FFFFFF"/>
            <w:noWrap/>
            <w:tcMar>
              <w:top w:w="15" w:type="dxa"/>
              <w:left w:w="0" w:type="dxa"/>
              <w:bottom w:w="0" w:type="dxa"/>
              <w:right w:w="15" w:type="dxa"/>
            </w:tcMar>
            <w:vAlign w:val="bottom"/>
            <w:hideMark/>
          </w:tcPr>
          <w:p w14:paraId="2987589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485E73AB"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6A8846A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2.51%</w:t>
            </w:r>
          </w:p>
        </w:tc>
      </w:tr>
      <w:tr w:rsidR="00251D72" w14:paraId="74EBDEC2" w14:textId="77777777">
        <w:trPr>
          <w:divId w:val="1635331532"/>
          <w:jc w:val="center"/>
        </w:trPr>
        <w:tc>
          <w:tcPr>
            <w:tcW w:w="2169" w:type="pct"/>
            <w:shd w:val="clear" w:color="auto" w:fill="CFF0FC"/>
            <w:tcMar>
              <w:top w:w="15" w:type="dxa"/>
              <w:left w:w="0" w:type="dxa"/>
              <w:bottom w:w="0" w:type="dxa"/>
              <w:right w:w="15" w:type="dxa"/>
            </w:tcMar>
            <w:hideMark/>
          </w:tcPr>
          <w:p w14:paraId="15369BB7"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$1,250, 2.625%, due February 2023</w:t>
            </w:r>
          </w:p>
        </w:tc>
        <w:tc>
          <w:tcPr>
            <w:tcW w:w="73" w:type="pct"/>
            <w:shd w:val="clear" w:color="auto" w:fill="CFF0FC"/>
            <w:tcMar>
              <w:top w:w="15" w:type="dxa"/>
              <w:left w:w="0" w:type="dxa"/>
              <w:bottom w:w="0" w:type="dxa"/>
              <w:right w:w="15" w:type="dxa"/>
            </w:tcMar>
            <w:vAlign w:val="bottom"/>
            <w:hideMark/>
          </w:tcPr>
          <w:p w14:paraId="6B007FD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0D344195"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November 2017</w:t>
            </w:r>
          </w:p>
        </w:tc>
        <w:tc>
          <w:tcPr>
            <w:tcW w:w="73" w:type="pct"/>
            <w:shd w:val="clear" w:color="auto" w:fill="CFF0FC"/>
            <w:tcMar>
              <w:top w:w="15" w:type="dxa"/>
              <w:left w:w="0" w:type="dxa"/>
              <w:bottom w:w="0" w:type="dxa"/>
              <w:right w:w="15" w:type="dxa"/>
            </w:tcMar>
            <w:vAlign w:val="bottom"/>
            <w:hideMark/>
          </w:tcPr>
          <w:p w14:paraId="28C49DB7"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9E32BE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3B172BA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CFF0FC"/>
            <w:noWrap/>
            <w:tcMar>
              <w:top w:w="15" w:type="dxa"/>
              <w:left w:w="0" w:type="dxa"/>
              <w:bottom w:w="0" w:type="dxa"/>
              <w:right w:w="15" w:type="dxa"/>
            </w:tcMar>
            <w:vAlign w:val="bottom"/>
            <w:hideMark/>
          </w:tcPr>
          <w:p w14:paraId="02F1B7F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0E2BA84C"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BE4211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39D7142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2.64%</w:t>
            </w:r>
          </w:p>
        </w:tc>
        <w:tc>
          <w:tcPr>
            <w:tcW w:w="50" w:type="pct"/>
            <w:shd w:val="clear" w:color="auto" w:fill="CFF0FC"/>
            <w:noWrap/>
            <w:tcMar>
              <w:top w:w="15" w:type="dxa"/>
              <w:left w:w="0" w:type="dxa"/>
              <w:bottom w:w="0" w:type="dxa"/>
              <w:right w:w="15" w:type="dxa"/>
            </w:tcMar>
            <w:vAlign w:val="bottom"/>
            <w:hideMark/>
          </w:tcPr>
          <w:p w14:paraId="0B2DD67F"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788A78E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34E6ED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2300393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CFF0FC"/>
            <w:noWrap/>
            <w:tcMar>
              <w:top w:w="15" w:type="dxa"/>
              <w:left w:w="0" w:type="dxa"/>
              <w:bottom w:w="0" w:type="dxa"/>
              <w:right w:w="15" w:type="dxa"/>
            </w:tcMar>
            <w:vAlign w:val="bottom"/>
            <w:hideMark/>
          </w:tcPr>
          <w:p w14:paraId="5A9F51C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2D117A51"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128E374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2.64%</w:t>
            </w:r>
          </w:p>
        </w:tc>
      </w:tr>
      <w:tr w:rsidR="00251D72" w14:paraId="2143AC6F" w14:textId="77777777">
        <w:trPr>
          <w:divId w:val="1635331532"/>
          <w:jc w:val="center"/>
        </w:trPr>
        <w:tc>
          <w:tcPr>
            <w:tcW w:w="2169" w:type="pct"/>
            <w:shd w:val="clear" w:color="auto" w:fill="FFFFFF"/>
            <w:tcMar>
              <w:top w:w="15" w:type="dxa"/>
              <w:left w:w="0" w:type="dxa"/>
              <w:bottom w:w="0" w:type="dxa"/>
              <w:right w:w="15" w:type="dxa"/>
            </w:tcMar>
            <w:hideMark/>
          </w:tcPr>
          <w:p w14:paraId="17CDA041"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$1,000, 3.625%, due July 2023</w:t>
            </w:r>
          </w:p>
        </w:tc>
        <w:tc>
          <w:tcPr>
            <w:tcW w:w="73" w:type="pct"/>
            <w:shd w:val="clear" w:color="auto" w:fill="FFFFFF"/>
            <w:tcMar>
              <w:top w:w="15" w:type="dxa"/>
              <w:left w:w="0" w:type="dxa"/>
              <w:bottom w:w="0" w:type="dxa"/>
              <w:right w:w="15" w:type="dxa"/>
            </w:tcMar>
            <w:vAlign w:val="bottom"/>
            <w:hideMark/>
          </w:tcPr>
          <w:p w14:paraId="4689A71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29DD0B02"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2013</w:t>
            </w:r>
          </w:p>
        </w:tc>
        <w:tc>
          <w:tcPr>
            <w:tcW w:w="73" w:type="pct"/>
            <w:shd w:val="clear" w:color="auto" w:fill="FFFFFF"/>
            <w:tcMar>
              <w:top w:w="15" w:type="dxa"/>
              <w:left w:w="0" w:type="dxa"/>
              <w:bottom w:w="0" w:type="dxa"/>
              <w:right w:w="15" w:type="dxa"/>
            </w:tcMar>
            <w:vAlign w:val="bottom"/>
            <w:hideMark/>
          </w:tcPr>
          <w:p w14:paraId="1FFC0ECA"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3D024A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031B59F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1,000</w:t>
            </w:r>
          </w:p>
        </w:tc>
        <w:tc>
          <w:tcPr>
            <w:tcW w:w="50" w:type="pct"/>
            <w:shd w:val="clear" w:color="auto" w:fill="FFFFFF"/>
            <w:noWrap/>
            <w:tcMar>
              <w:top w:w="15" w:type="dxa"/>
              <w:left w:w="0" w:type="dxa"/>
              <w:bottom w:w="0" w:type="dxa"/>
              <w:right w:w="15" w:type="dxa"/>
            </w:tcMar>
            <w:vAlign w:val="bottom"/>
            <w:hideMark/>
          </w:tcPr>
          <w:p w14:paraId="4B5701C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63EC90E7"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57FDBB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151BCCC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3.73%</w:t>
            </w:r>
          </w:p>
        </w:tc>
        <w:tc>
          <w:tcPr>
            <w:tcW w:w="50" w:type="pct"/>
            <w:shd w:val="clear" w:color="auto" w:fill="FFFFFF"/>
            <w:noWrap/>
            <w:tcMar>
              <w:top w:w="15" w:type="dxa"/>
              <w:left w:w="0" w:type="dxa"/>
              <w:bottom w:w="0" w:type="dxa"/>
              <w:right w:w="15" w:type="dxa"/>
            </w:tcMar>
            <w:vAlign w:val="bottom"/>
            <w:hideMark/>
          </w:tcPr>
          <w:p w14:paraId="668AA51C"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6FED0853"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3653A3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0D77E0C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1,000</w:t>
            </w:r>
          </w:p>
        </w:tc>
        <w:tc>
          <w:tcPr>
            <w:tcW w:w="50" w:type="pct"/>
            <w:shd w:val="clear" w:color="auto" w:fill="FFFFFF"/>
            <w:noWrap/>
            <w:tcMar>
              <w:top w:w="15" w:type="dxa"/>
              <w:left w:w="0" w:type="dxa"/>
              <w:bottom w:w="0" w:type="dxa"/>
              <w:right w:w="15" w:type="dxa"/>
            </w:tcMar>
            <w:vAlign w:val="bottom"/>
            <w:hideMark/>
          </w:tcPr>
          <w:p w14:paraId="4AF7B33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1BA365A1"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667E95B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3.73%</w:t>
            </w:r>
          </w:p>
        </w:tc>
      </w:tr>
      <w:tr w:rsidR="00251D72" w14:paraId="0CA3430A" w14:textId="77777777">
        <w:trPr>
          <w:divId w:val="1635331532"/>
          <w:jc w:val="center"/>
        </w:trPr>
        <w:tc>
          <w:tcPr>
            <w:tcW w:w="2169" w:type="pct"/>
            <w:shd w:val="clear" w:color="auto" w:fill="CFF0FC"/>
            <w:tcMar>
              <w:top w:w="15" w:type="dxa"/>
              <w:left w:w="0" w:type="dxa"/>
              <w:bottom w:w="0" w:type="dxa"/>
              <w:right w:w="15" w:type="dxa"/>
            </w:tcMar>
            <w:hideMark/>
          </w:tcPr>
          <w:p w14:paraId="3C3AF551"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$2,500, 2.40%, due September 2023</w:t>
            </w:r>
          </w:p>
        </w:tc>
        <w:tc>
          <w:tcPr>
            <w:tcW w:w="73" w:type="pct"/>
            <w:shd w:val="clear" w:color="auto" w:fill="CFF0FC"/>
            <w:tcMar>
              <w:top w:w="15" w:type="dxa"/>
              <w:left w:w="0" w:type="dxa"/>
              <w:bottom w:w="0" w:type="dxa"/>
              <w:right w:w="15" w:type="dxa"/>
            </w:tcMar>
            <w:vAlign w:val="bottom"/>
            <w:hideMark/>
          </w:tcPr>
          <w:p w14:paraId="3CE1F9D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443AB001"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2016</w:t>
            </w:r>
          </w:p>
        </w:tc>
        <w:tc>
          <w:tcPr>
            <w:tcW w:w="73" w:type="pct"/>
            <w:shd w:val="clear" w:color="auto" w:fill="CFF0FC"/>
            <w:tcMar>
              <w:top w:w="15" w:type="dxa"/>
              <w:left w:w="0" w:type="dxa"/>
              <w:bottom w:w="0" w:type="dxa"/>
              <w:right w:w="15" w:type="dxa"/>
            </w:tcMar>
            <w:vAlign w:val="bottom"/>
            <w:hideMark/>
          </w:tcPr>
          <w:p w14:paraId="1A7EFCB8"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4B1D6F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05909D7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2,500</w:t>
            </w:r>
          </w:p>
        </w:tc>
        <w:tc>
          <w:tcPr>
            <w:tcW w:w="50" w:type="pct"/>
            <w:shd w:val="clear" w:color="auto" w:fill="CFF0FC"/>
            <w:noWrap/>
            <w:tcMar>
              <w:top w:w="15" w:type="dxa"/>
              <w:left w:w="0" w:type="dxa"/>
              <w:bottom w:w="0" w:type="dxa"/>
              <w:right w:w="15" w:type="dxa"/>
            </w:tcMar>
            <w:vAlign w:val="bottom"/>
            <w:hideMark/>
          </w:tcPr>
          <w:p w14:paraId="17F4DE7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2807D3C6"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F542A8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6AF0171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2.40%</w:t>
            </w:r>
          </w:p>
        </w:tc>
        <w:tc>
          <w:tcPr>
            <w:tcW w:w="50" w:type="pct"/>
            <w:shd w:val="clear" w:color="auto" w:fill="CFF0FC"/>
            <w:noWrap/>
            <w:tcMar>
              <w:top w:w="15" w:type="dxa"/>
              <w:left w:w="0" w:type="dxa"/>
              <w:bottom w:w="0" w:type="dxa"/>
              <w:right w:w="15" w:type="dxa"/>
            </w:tcMar>
            <w:vAlign w:val="bottom"/>
            <w:hideMark/>
          </w:tcPr>
          <w:p w14:paraId="17B3BBD5"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65399D70"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E59C15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045AA61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2,500</w:t>
            </w:r>
          </w:p>
        </w:tc>
        <w:tc>
          <w:tcPr>
            <w:tcW w:w="50" w:type="pct"/>
            <w:shd w:val="clear" w:color="auto" w:fill="CFF0FC"/>
            <w:noWrap/>
            <w:tcMar>
              <w:top w:w="15" w:type="dxa"/>
              <w:left w:w="0" w:type="dxa"/>
              <w:bottom w:w="0" w:type="dxa"/>
              <w:right w:w="15" w:type="dxa"/>
            </w:tcMar>
            <w:vAlign w:val="bottom"/>
            <w:hideMark/>
          </w:tcPr>
          <w:p w14:paraId="24A2432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7FF6181C"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1F07E32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2.40%</w:t>
            </w:r>
          </w:p>
        </w:tc>
      </w:tr>
      <w:tr w:rsidR="00251D72" w14:paraId="089D1CE1" w14:textId="77777777">
        <w:trPr>
          <w:divId w:val="1635331532"/>
          <w:jc w:val="center"/>
        </w:trPr>
        <w:tc>
          <w:tcPr>
            <w:tcW w:w="2169" w:type="pct"/>
            <w:shd w:val="clear" w:color="auto" w:fill="FFFFFF"/>
            <w:tcMar>
              <w:top w:w="15" w:type="dxa"/>
              <w:left w:w="0" w:type="dxa"/>
              <w:bottom w:w="0" w:type="dxa"/>
              <w:right w:w="15" w:type="dxa"/>
            </w:tcMar>
            <w:hideMark/>
          </w:tcPr>
          <w:p w14:paraId="6E4F9C9D"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$2,000, 3.40%, due July 2024</w:t>
            </w:r>
          </w:p>
        </w:tc>
        <w:tc>
          <w:tcPr>
            <w:tcW w:w="73" w:type="pct"/>
            <w:shd w:val="clear" w:color="auto" w:fill="FFFFFF"/>
            <w:tcMar>
              <w:top w:w="15" w:type="dxa"/>
              <w:left w:w="0" w:type="dxa"/>
              <w:bottom w:w="0" w:type="dxa"/>
              <w:right w:w="15" w:type="dxa"/>
            </w:tcMar>
            <w:vAlign w:val="bottom"/>
            <w:hideMark/>
          </w:tcPr>
          <w:p w14:paraId="7F3825E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2812D3EE"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2014</w:t>
            </w:r>
          </w:p>
        </w:tc>
        <w:tc>
          <w:tcPr>
            <w:tcW w:w="73" w:type="pct"/>
            <w:shd w:val="clear" w:color="auto" w:fill="FFFFFF"/>
            <w:tcMar>
              <w:top w:w="15" w:type="dxa"/>
              <w:left w:w="0" w:type="dxa"/>
              <w:bottom w:w="0" w:type="dxa"/>
              <w:right w:w="15" w:type="dxa"/>
            </w:tcMar>
            <w:vAlign w:val="bottom"/>
            <w:hideMark/>
          </w:tcPr>
          <w:p w14:paraId="7559102C"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4CE697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2DB0A8E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2,000</w:t>
            </w:r>
          </w:p>
        </w:tc>
        <w:tc>
          <w:tcPr>
            <w:tcW w:w="50" w:type="pct"/>
            <w:shd w:val="clear" w:color="auto" w:fill="FFFFFF"/>
            <w:noWrap/>
            <w:tcMar>
              <w:top w:w="15" w:type="dxa"/>
              <w:left w:w="0" w:type="dxa"/>
              <w:bottom w:w="0" w:type="dxa"/>
              <w:right w:w="15" w:type="dxa"/>
            </w:tcMar>
            <w:vAlign w:val="bottom"/>
            <w:hideMark/>
          </w:tcPr>
          <w:p w14:paraId="6D4CD2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373EF7DB"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5B7653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67B22AC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3.43%</w:t>
            </w:r>
          </w:p>
        </w:tc>
        <w:tc>
          <w:tcPr>
            <w:tcW w:w="50" w:type="pct"/>
            <w:shd w:val="clear" w:color="auto" w:fill="FFFFFF"/>
            <w:noWrap/>
            <w:tcMar>
              <w:top w:w="15" w:type="dxa"/>
              <w:left w:w="0" w:type="dxa"/>
              <w:bottom w:w="0" w:type="dxa"/>
              <w:right w:w="15" w:type="dxa"/>
            </w:tcMar>
            <w:vAlign w:val="bottom"/>
            <w:hideMark/>
          </w:tcPr>
          <w:p w14:paraId="3920A2B6"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340EE859"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AF47C1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50487AE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2,000</w:t>
            </w:r>
          </w:p>
        </w:tc>
        <w:tc>
          <w:tcPr>
            <w:tcW w:w="50" w:type="pct"/>
            <w:shd w:val="clear" w:color="auto" w:fill="FFFFFF"/>
            <w:noWrap/>
            <w:tcMar>
              <w:top w:w="15" w:type="dxa"/>
              <w:left w:w="0" w:type="dxa"/>
              <w:bottom w:w="0" w:type="dxa"/>
              <w:right w:w="15" w:type="dxa"/>
            </w:tcMar>
            <w:vAlign w:val="bottom"/>
            <w:hideMark/>
          </w:tcPr>
          <w:p w14:paraId="07A0E5B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429A3F01"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326FDDC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3.43%</w:t>
            </w:r>
          </w:p>
        </w:tc>
      </w:tr>
      <w:tr w:rsidR="00251D72" w14:paraId="2BA9EBAF" w14:textId="77777777">
        <w:trPr>
          <w:divId w:val="1635331532"/>
          <w:jc w:val="center"/>
        </w:trPr>
        <w:tc>
          <w:tcPr>
            <w:tcW w:w="2169" w:type="pct"/>
            <w:shd w:val="clear" w:color="auto" w:fill="CFF0FC"/>
            <w:tcMar>
              <w:top w:w="15" w:type="dxa"/>
              <w:left w:w="0" w:type="dxa"/>
              <w:bottom w:w="0" w:type="dxa"/>
              <w:right w:w="15" w:type="dxa"/>
            </w:tcMar>
            <w:hideMark/>
          </w:tcPr>
          <w:p w14:paraId="0E698C94"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$2,000, 2.95%, due November 2024</w:t>
            </w:r>
          </w:p>
        </w:tc>
        <w:tc>
          <w:tcPr>
            <w:tcW w:w="73" w:type="pct"/>
            <w:shd w:val="clear" w:color="auto" w:fill="CFF0FC"/>
            <w:tcMar>
              <w:top w:w="15" w:type="dxa"/>
              <w:left w:w="0" w:type="dxa"/>
              <w:bottom w:w="0" w:type="dxa"/>
              <w:right w:w="15" w:type="dxa"/>
            </w:tcMar>
            <w:vAlign w:val="bottom"/>
            <w:hideMark/>
          </w:tcPr>
          <w:p w14:paraId="0242BD0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555A2595"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November 2017</w:t>
            </w:r>
          </w:p>
        </w:tc>
        <w:tc>
          <w:tcPr>
            <w:tcW w:w="73" w:type="pct"/>
            <w:shd w:val="clear" w:color="auto" w:fill="CFF0FC"/>
            <w:tcMar>
              <w:top w:w="15" w:type="dxa"/>
              <w:left w:w="0" w:type="dxa"/>
              <w:bottom w:w="0" w:type="dxa"/>
              <w:right w:w="15" w:type="dxa"/>
            </w:tcMar>
            <w:vAlign w:val="bottom"/>
            <w:hideMark/>
          </w:tcPr>
          <w:p w14:paraId="7E60AAE1"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D88843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5944B28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2,000</w:t>
            </w:r>
          </w:p>
        </w:tc>
        <w:tc>
          <w:tcPr>
            <w:tcW w:w="50" w:type="pct"/>
            <w:shd w:val="clear" w:color="auto" w:fill="CFF0FC"/>
            <w:noWrap/>
            <w:tcMar>
              <w:top w:w="15" w:type="dxa"/>
              <w:left w:w="0" w:type="dxa"/>
              <w:bottom w:w="0" w:type="dxa"/>
              <w:right w:w="15" w:type="dxa"/>
            </w:tcMar>
            <w:vAlign w:val="bottom"/>
            <w:hideMark/>
          </w:tcPr>
          <w:p w14:paraId="3B80E31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5A95D116"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083150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7FC9A34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2.98%</w:t>
            </w:r>
          </w:p>
        </w:tc>
        <w:tc>
          <w:tcPr>
            <w:tcW w:w="50" w:type="pct"/>
            <w:shd w:val="clear" w:color="auto" w:fill="CFF0FC"/>
            <w:noWrap/>
            <w:tcMar>
              <w:top w:w="15" w:type="dxa"/>
              <w:left w:w="0" w:type="dxa"/>
              <w:bottom w:w="0" w:type="dxa"/>
              <w:right w:w="15" w:type="dxa"/>
            </w:tcMar>
            <w:vAlign w:val="bottom"/>
            <w:hideMark/>
          </w:tcPr>
          <w:p w14:paraId="758A95F0"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60A717CA"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548871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4A74182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2,000</w:t>
            </w:r>
          </w:p>
        </w:tc>
        <w:tc>
          <w:tcPr>
            <w:tcW w:w="50" w:type="pct"/>
            <w:shd w:val="clear" w:color="auto" w:fill="CFF0FC"/>
            <w:noWrap/>
            <w:tcMar>
              <w:top w:w="15" w:type="dxa"/>
              <w:left w:w="0" w:type="dxa"/>
              <w:bottom w:w="0" w:type="dxa"/>
              <w:right w:w="15" w:type="dxa"/>
            </w:tcMar>
            <w:vAlign w:val="bottom"/>
            <w:hideMark/>
          </w:tcPr>
          <w:p w14:paraId="62CEBDD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30550997"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495DB9B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2.98%</w:t>
            </w:r>
          </w:p>
        </w:tc>
      </w:tr>
      <w:tr w:rsidR="00251D72" w14:paraId="3F18BB04" w14:textId="77777777">
        <w:trPr>
          <w:divId w:val="1635331532"/>
          <w:jc w:val="center"/>
        </w:trPr>
        <w:tc>
          <w:tcPr>
            <w:tcW w:w="2169" w:type="pct"/>
            <w:shd w:val="clear" w:color="auto" w:fill="FFFFFF"/>
            <w:tcMar>
              <w:top w:w="15" w:type="dxa"/>
              <w:left w:w="0" w:type="dxa"/>
              <w:bottom w:w="0" w:type="dxa"/>
              <w:right w:w="15" w:type="dxa"/>
            </w:tcMar>
            <w:hideMark/>
          </w:tcPr>
          <w:p w14:paraId="30C36261"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$2,500, 2.95%, due May 2025</w:t>
            </w:r>
          </w:p>
        </w:tc>
        <w:tc>
          <w:tcPr>
            <w:tcW w:w="73" w:type="pct"/>
            <w:shd w:val="clear" w:color="auto" w:fill="FFFFFF"/>
            <w:tcMar>
              <w:top w:w="15" w:type="dxa"/>
              <w:left w:w="0" w:type="dxa"/>
              <w:bottom w:w="0" w:type="dxa"/>
              <w:right w:w="15" w:type="dxa"/>
            </w:tcMar>
            <w:vAlign w:val="bottom"/>
            <w:hideMark/>
          </w:tcPr>
          <w:p w14:paraId="52A1F9D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2AFB1F80"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May 2015</w:t>
            </w:r>
          </w:p>
        </w:tc>
        <w:tc>
          <w:tcPr>
            <w:tcW w:w="73" w:type="pct"/>
            <w:shd w:val="clear" w:color="auto" w:fill="FFFFFF"/>
            <w:tcMar>
              <w:top w:w="15" w:type="dxa"/>
              <w:left w:w="0" w:type="dxa"/>
              <w:bottom w:w="0" w:type="dxa"/>
              <w:right w:w="15" w:type="dxa"/>
            </w:tcMar>
            <w:vAlign w:val="bottom"/>
            <w:hideMark/>
          </w:tcPr>
          <w:p w14:paraId="7EF43C46"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AB9544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32E2CB3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2,500</w:t>
            </w:r>
          </w:p>
        </w:tc>
        <w:tc>
          <w:tcPr>
            <w:tcW w:w="50" w:type="pct"/>
            <w:shd w:val="clear" w:color="auto" w:fill="FFFFFF"/>
            <w:noWrap/>
            <w:tcMar>
              <w:top w:w="15" w:type="dxa"/>
              <w:left w:w="0" w:type="dxa"/>
              <w:bottom w:w="0" w:type="dxa"/>
              <w:right w:w="15" w:type="dxa"/>
            </w:tcMar>
            <w:vAlign w:val="bottom"/>
            <w:hideMark/>
          </w:tcPr>
          <w:p w14:paraId="419B937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08760252"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243CA7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6DBA5C4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3.00%</w:t>
            </w:r>
          </w:p>
        </w:tc>
        <w:tc>
          <w:tcPr>
            <w:tcW w:w="50" w:type="pct"/>
            <w:shd w:val="clear" w:color="auto" w:fill="FFFFFF"/>
            <w:noWrap/>
            <w:tcMar>
              <w:top w:w="15" w:type="dxa"/>
              <w:left w:w="0" w:type="dxa"/>
              <w:bottom w:w="0" w:type="dxa"/>
              <w:right w:w="15" w:type="dxa"/>
            </w:tcMar>
            <w:vAlign w:val="bottom"/>
            <w:hideMark/>
          </w:tcPr>
          <w:p w14:paraId="21728947"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420923E9"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3B3878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4963E0E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2,500</w:t>
            </w:r>
          </w:p>
        </w:tc>
        <w:tc>
          <w:tcPr>
            <w:tcW w:w="50" w:type="pct"/>
            <w:shd w:val="clear" w:color="auto" w:fill="FFFFFF"/>
            <w:noWrap/>
            <w:tcMar>
              <w:top w:w="15" w:type="dxa"/>
              <w:left w:w="0" w:type="dxa"/>
              <w:bottom w:w="0" w:type="dxa"/>
              <w:right w:w="15" w:type="dxa"/>
            </w:tcMar>
            <w:vAlign w:val="bottom"/>
            <w:hideMark/>
          </w:tcPr>
          <w:p w14:paraId="17B7A5B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7B5CD589"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3378DF3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3.00%</w:t>
            </w:r>
          </w:p>
        </w:tc>
      </w:tr>
      <w:tr w:rsidR="00251D72" w14:paraId="135CCE02" w14:textId="77777777">
        <w:trPr>
          <w:divId w:val="1635331532"/>
          <w:jc w:val="center"/>
        </w:trPr>
        <w:tc>
          <w:tcPr>
            <w:tcW w:w="2169" w:type="pct"/>
            <w:shd w:val="clear" w:color="auto" w:fill="CFF0FC"/>
            <w:tcMar>
              <w:top w:w="15" w:type="dxa"/>
              <w:left w:w="0" w:type="dxa"/>
              <w:bottom w:w="0" w:type="dxa"/>
              <w:right w:w="15" w:type="dxa"/>
            </w:tcMar>
            <w:hideMark/>
          </w:tcPr>
          <w:p w14:paraId="32CB6777"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€750, 3.125%, due July 2025</w:t>
            </w:r>
            <w:r>
              <w:rPr>
                <w:rFonts w:ascii="Calibri" w:hAnsi="Calibri" w:cs="Calibri"/>
                <w:color w:val="000000"/>
                <w:sz w:val="14"/>
                <w:szCs w:val="14"/>
                <w:vertAlign w:val="superscript"/>
              </w:rPr>
              <w:t>(2)(4)</w:t>
            </w:r>
          </w:p>
        </w:tc>
        <w:tc>
          <w:tcPr>
            <w:tcW w:w="73" w:type="pct"/>
            <w:shd w:val="clear" w:color="auto" w:fill="CFF0FC"/>
            <w:tcMar>
              <w:top w:w="15" w:type="dxa"/>
              <w:left w:w="0" w:type="dxa"/>
              <w:bottom w:w="0" w:type="dxa"/>
              <w:right w:w="15" w:type="dxa"/>
            </w:tcMar>
            <w:vAlign w:val="bottom"/>
            <w:hideMark/>
          </w:tcPr>
          <w:p w14:paraId="404CFFF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6505A337"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2013</w:t>
            </w:r>
          </w:p>
        </w:tc>
        <w:tc>
          <w:tcPr>
            <w:tcW w:w="73" w:type="pct"/>
            <w:shd w:val="clear" w:color="auto" w:fill="CFF0FC"/>
            <w:tcMar>
              <w:top w:w="15" w:type="dxa"/>
              <w:left w:w="0" w:type="dxa"/>
              <w:bottom w:w="0" w:type="dxa"/>
              <w:right w:w="15" w:type="dxa"/>
            </w:tcMar>
            <w:vAlign w:val="bottom"/>
            <w:hideMark/>
          </w:tcPr>
          <w:p w14:paraId="24535D0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D25C76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1D5F10F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836</w:t>
            </w:r>
          </w:p>
        </w:tc>
        <w:tc>
          <w:tcPr>
            <w:tcW w:w="50" w:type="pct"/>
            <w:shd w:val="clear" w:color="auto" w:fill="CFF0FC"/>
            <w:noWrap/>
            <w:tcMar>
              <w:top w:w="15" w:type="dxa"/>
              <w:left w:w="0" w:type="dxa"/>
              <w:bottom w:w="0" w:type="dxa"/>
              <w:right w:w="15" w:type="dxa"/>
            </w:tcMar>
            <w:vAlign w:val="bottom"/>
            <w:hideMark/>
          </w:tcPr>
          <w:p w14:paraId="631B5C3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2BADFE41"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CFFCDA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0C80F81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3.17%</w:t>
            </w:r>
          </w:p>
        </w:tc>
        <w:tc>
          <w:tcPr>
            <w:tcW w:w="50" w:type="pct"/>
            <w:shd w:val="clear" w:color="auto" w:fill="CFF0FC"/>
            <w:noWrap/>
            <w:tcMar>
              <w:top w:w="15" w:type="dxa"/>
              <w:left w:w="0" w:type="dxa"/>
              <w:bottom w:w="0" w:type="dxa"/>
              <w:right w:w="15" w:type="dxa"/>
            </w:tcMar>
            <w:vAlign w:val="bottom"/>
            <w:hideMark/>
          </w:tcPr>
          <w:p w14:paraId="4ABACA06"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7AE51414"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140438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596C042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868</w:t>
            </w:r>
          </w:p>
        </w:tc>
        <w:tc>
          <w:tcPr>
            <w:tcW w:w="50" w:type="pct"/>
            <w:shd w:val="clear" w:color="auto" w:fill="CFF0FC"/>
            <w:noWrap/>
            <w:tcMar>
              <w:top w:w="15" w:type="dxa"/>
              <w:left w:w="0" w:type="dxa"/>
              <w:bottom w:w="0" w:type="dxa"/>
              <w:right w:w="15" w:type="dxa"/>
            </w:tcMar>
            <w:vAlign w:val="bottom"/>
            <w:hideMark/>
          </w:tcPr>
          <w:p w14:paraId="1FE787F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10589D26"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3291830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3.17%</w:t>
            </w:r>
          </w:p>
        </w:tc>
      </w:tr>
      <w:tr w:rsidR="00251D72" w14:paraId="4F99CF0B" w14:textId="77777777">
        <w:trPr>
          <w:divId w:val="1635331532"/>
          <w:jc w:val="center"/>
        </w:trPr>
        <w:tc>
          <w:tcPr>
            <w:tcW w:w="2169" w:type="pct"/>
            <w:shd w:val="clear" w:color="auto" w:fill="FFFFFF"/>
            <w:tcMar>
              <w:top w:w="15" w:type="dxa"/>
              <w:left w:w="0" w:type="dxa"/>
              <w:bottom w:w="0" w:type="dxa"/>
              <w:right w:w="15" w:type="dxa"/>
            </w:tcMar>
            <w:hideMark/>
          </w:tcPr>
          <w:p w14:paraId="6A57DF1E"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$3,000, 2.65%, due July 2026</w:t>
            </w:r>
          </w:p>
        </w:tc>
        <w:tc>
          <w:tcPr>
            <w:tcW w:w="73" w:type="pct"/>
            <w:shd w:val="clear" w:color="auto" w:fill="FFFFFF"/>
            <w:tcMar>
              <w:top w:w="15" w:type="dxa"/>
              <w:left w:w="0" w:type="dxa"/>
              <w:bottom w:w="0" w:type="dxa"/>
              <w:right w:w="15" w:type="dxa"/>
            </w:tcMar>
            <w:vAlign w:val="bottom"/>
            <w:hideMark/>
          </w:tcPr>
          <w:p w14:paraId="48176B2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457758B1"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2016</w:t>
            </w:r>
          </w:p>
        </w:tc>
        <w:tc>
          <w:tcPr>
            <w:tcW w:w="73" w:type="pct"/>
            <w:shd w:val="clear" w:color="auto" w:fill="FFFFFF"/>
            <w:tcMar>
              <w:top w:w="15" w:type="dxa"/>
              <w:left w:w="0" w:type="dxa"/>
              <w:bottom w:w="0" w:type="dxa"/>
              <w:right w:w="15" w:type="dxa"/>
            </w:tcMar>
            <w:vAlign w:val="bottom"/>
            <w:hideMark/>
          </w:tcPr>
          <w:p w14:paraId="0E9252C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E7D381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44DC8D0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3,000</w:t>
            </w:r>
          </w:p>
        </w:tc>
        <w:tc>
          <w:tcPr>
            <w:tcW w:w="50" w:type="pct"/>
            <w:shd w:val="clear" w:color="auto" w:fill="FFFFFF"/>
            <w:noWrap/>
            <w:tcMar>
              <w:top w:w="15" w:type="dxa"/>
              <w:left w:w="0" w:type="dxa"/>
              <w:bottom w:w="0" w:type="dxa"/>
              <w:right w:w="15" w:type="dxa"/>
            </w:tcMar>
            <w:vAlign w:val="bottom"/>
            <w:hideMark/>
          </w:tcPr>
          <w:p w14:paraId="5C1A85B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00882D8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3472D1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5C98D8A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2.69%</w:t>
            </w:r>
          </w:p>
        </w:tc>
        <w:tc>
          <w:tcPr>
            <w:tcW w:w="50" w:type="pct"/>
            <w:shd w:val="clear" w:color="auto" w:fill="FFFFFF"/>
            <w:noWrap/>
            <w:tcMar>
              <w:top w:w="15" w:type="dxa"/>
              <w:left w:w="0" w:type="dxa"/>
              <w:bottom w:w="0" w:type="dxa"/>
              <w:right w:w="15" w:type="dxa"/>
            </w:tcMar>
            <w:vAlign w:val="bottom"/>
            <w:hideMark/>
          </w:tcPr>
          <w:p w14:paraId="6EBBED64"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3A8F16C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E6AB1E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7E36E4C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3,000</w:t>
            </w:r>
          </w:p>
        </w:tc>
        <w:tc>
          <w:tcPr>
            <w:tcW w:w="50" w:type="pct"/>
            <w:shd w:val="clear" w:color="auto" w:fill="FFFFFF"/>
            <w:noWrap/>
            <w:tcMar>
              <w:top w:w="15" w:type="dxa"/>
              <w:left w:w="0" w:type="dxa"/>
              <w:bottom w:w="0" w:type="dxa"/>
              <w:right w:w="15" w:type="dxa"/>
            </w:tcMar>
            <w:vAlign w:val="bottom"/>
            <w:hideMark/>
          </w:tcPr>
          <w:p w14:paraId="1AF43AB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267CE81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FFFFFF"/>
            <w:tcMar>
              <w:top w:w="15" w:type="dxa"/>
              <w:left w:w="0" w:type="dxa"/>
              <w:bottom w:w="0" w:type="dxa"/>
              <w:right w:w="15" w:type="dxa"/>
            </w:tcMar>
            <w:vAlign w:val="bottom"/>
            <w:hideMark/>
          </w:tcPr>
          <w:p w14:paraId="20E0153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2.69%</w:t>
            </w:r>
          </w:p>
        </w:tc>
      </w:tr>
      <w:tr w:rsidR="00251D72" w14:paraId="1A60FFEA" w14:textId="77777777">
        <w:trPr>
          <w:divId w:val="1635331532"/>
          <w:jc w:val="center"/>
        </w:trPr>
        <w:tc>
          <w:tcPr>
            <w:tcW w:w="2169" w:type="pct"/>
            <w:shd w:val="clear" w:color="auto" w:fill="CFF0FC"/>
            <w:tcMar>
              <w:top w:w="15" w:type="dxa"/>
              <w:left w:w="0" w:type="dxa"/>
              <w:bottom w:w="0" w:type="dxa"/>
              <w:right w:w="15" w:type="dxa"/>
            </w:tcMar>
            <w:hideMark/>
          </w:tcPr>
          <w:p w14:paraId="5AA8B575"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$2,750, 3.25%, due November 2027</w:t>
            </w:r>
          </w:p>
        </w:tc>
        <w:tc>
          <w:tcPr>
            <w:tcW w:w="73" w:type="pct"/>
            <w:shd w:val="clear" w:color="auto" w:fill="CFF0FC"/>
            <w:tcMar>
              <w:top w:w="15" w:type="dxa"/>
              <w:left w:w="0" w:type="dxa"/>
              <w:bottom w:w="0" w:type="dxa"/>
              <w:right w:w="15" w:type="dxa"/>
            </w:tcMar>
            <w:vAlign w:val="bottom"/>
            <w:hideMark/>
          </w:tcPr>
          <w:p w14:paraId="154628E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3F9B6F12"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November 2017</w:t>
            </w:r>
          </w:p>
        </w:tc>
        <w:tc>
          <w:tcPr>
            <w:tcW w:w="73" w:type="pct"/>
            <w:shd w:val="clear" w:color="auto" w:fill="CFF0FC"/>
            <w:tcMar>
              <w:top w:w="15" w:type="dxa"/>
              <w:left w:w="0" w:type="dxa"/>
              <w:bottom w:w="0" w:type="dxa"/>
              <w:right w:w="15" w:type="dxa"/>
            </w:tcMar>
            <w:vAlign w:val="bottom"/>
            <w:hideMark/>
          </w:tcPr>
          <w:p w14:paraId="4900E0E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1BFDB5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784DD2D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2,750</w:t>
            </w:r>
          </w:p>
        </w:tc>
        <w:tc>
          <w:tcPr>
            <w:tcW w:w="50" w:type="pct"/>
            <w:shd w:val="clear" w:color="auto" w:fill="CFF0FC"/>
            <w:noWrap/>
            <w:tcMar>
              <w:top w:w="15" w:type="dxa"/>
              <w:left w:w="0" w:type="dxa"/>
              <w:bottom w:w="0" w:type="dxa"/>
              <w:right w:w="15" w:type="dxa"/>
            </w:tcMar>
            <w:vAlign w:val="bottom"/>
            <w:hideMark/>
          </w:tcPr>
          <w:p w14:paraId="5C9EA48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4D1B874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42137E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796BABC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3.26%</w:t>
            </w:r>
          </w:p>
        </w:tc>
        <w:tc>
          <w:tcPr>
            <w:tcW w:w="50" w:type="pct"/>
            <w:shd w:val="clear" w:color="auto" w:fill="CFF0FC"/>
            <w:noWrap/>
            <w:tcMar>
              <w:top w:w="15" w:type="dxa"/>
              <w:left w:w="0" w:type="dxa"/>
              <w:bottom w:w="0" w:type="dxa"/>
              <w:right w:w="15" w:type="dxa"/>
            </w:tcMar>
            <w:vAlign w:val="bottom"/>
            <w:hideMark/>
          </w:tcPr>
          <w:p w14:paraId="32AAF1D3"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630C0C6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043F88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2AA2F0B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2,750</w:t>
            </w:r>
          </w:p>
        </w:tc>
        <w:tc>
          <w:tcPr>
            <w:tcW w:w="50" w:type="pct"/>
            <w:shd w:val="clear" w:color="auto" w:fill="CFF0FC"/>
            <w:noWrap/>
            <w:tcMar>
              <w:top w:w="15" w:type="dxa"/>
              <w:left w:w="0" w:type="dxa"/>
              <w:bottom w:w="0" w:type="dxa"/>
              <w:right w:w="15" w:type="dxa"/>
            </w:tcMar>
            <w:vAlign w:val="bottom"/>
            <w:hideMark/>
          </w:tcPr>
          <w:p w14:paraId="47FA99B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73E7E28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CFF0FC"/>
            <w:tcMar>
              <w:top w:w="15" w:type="dxa"/>
              <w:left w:w="0" w:type="dxa"/>
              <w:bottom w:w="0" w:type="dxa"/>
              <w:right w:w="15" w:type="dxa"/>
            </w:tcMar>
            <w:vAlign w:val="bottom"/>
            <w:hideMark/>
          </w:tcPr>
          <w:p w14:paraId="21E99E0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3.26%</w:t>
            </w:r>
          </w:p>
        </w:tc>
      </w:tr>
      <w:tr w:rsidR="00251D72" w14:paraId="7D150E0D" w14:textId="77777777">
        <w:trPr>
          <w:divId w:val="1635331532"/>
          <w:jc w:val="center"/>
        </w:trPr>
        <w:tc>
          <w:tcPr>
            <w:tcW w:w="2169" w:type="pct"/>
            <w:shd w:val="clear" w:color="auto" w:fill="FFFFFF"/>
            <w:tcMar>
              <w:top w:w="15" w:type="dxa"/>
              <w:left w:w="0" w:type="dxa"/>
              <w:bottom w:w="0" w:type="dxa"/>
              <w:right w:w="15" w:type="dxa"/>
            </w:tcMar>
            <w:hideMark/>
          </w:tcPr>
          <w:p w14:paraId="16466769"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$500, 3.25%, due May 2030</w:t>
            </w:r>
          </w:p>
        </w:tc>
        <w:tc>
          <w:tcPr>
            <w:tcW w:w="73" w:type="pct"/>
            <w:shd w:val="clear" w:color="auto" w:fill="FFFFFF"/>
            <w:tcMar>
              <w:top w:w="15" w:type="dxa"/>
              <w:left w:w="0" w:type="dxa"/>
              <w:bottom w:w="0" w:type="dxa"/>
              <w:right w:w="15" w:type="dxa"/>
            </w:tcMar>
            <w:vAlign w:val="bottom"/>
            <w:hideMark/>
          </w:tcPr>
          <w:p w14:paraId="25F9F1D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00BFEF59"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May 2015</w:t>
            </w:r>
          </w:p>
        </w:tc>
        <w:tc>
          <w:tcPr>
            <w:tcW w:w="73" w:type="pct"/>
            <w:shd w:val="clear" w:color="auto" w:fill="FFFFFF"/>
            <w:tcMar>
              <w:top w:w="15" w:type="dxa"/>
              <w:left w:w="0" w:type="dxa"/>
              <w:bottom w:w="0" w:type="dxa"/>
              <w:right w:w="15" w:type="dxa"/>
            </w:tcMar>
            <w:vAlign w:val="bottom"/>
            <w:hideMark/>
          </w:tcPr>
          <w:p w14:paraId="5E4DD0D1"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A50D79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3A6A9B5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500</w:t>
            </w:r>
          </w:p>
        </w:tc>
        <w:tc>
          <w:tcPr>
            <w:tcW w:w="50" w:type="pct"/>
            <w:shd w:val="clear" w:color="auto" w:fill="FFFFFF"/>
            <w:noWrap/>
            <w:tcMar>
              <w:top w:w="15" w:type="dxa"/>
              <w:left w:w="0" w:type="dxa"/>
              <w:bottom w:w="0" w:type="dxa"/>
              <w:right w:w="15" w:type="dxa"/>
            </w:tcMar>
            <w:vAlign w:val="bottom"/>
            <w:hideMark/>
          </w:tcPr>
          <w:p w14:paraId="26D6EF6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1EAB8AEE"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5FD82A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5989673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3.30%</w:t>
            </w:r>
          </w:p>
        </w:tc>
        <w:tc>
          <w:tcPr>
            <w:tcW w:w="50" w:type="pct"/>
            <w:shd w:val="clear" w:color="auto" w:fill="FFFFFF"/>
            <w:noWrap/>
            <w:tcMar>
              <w:top w:w="15" w:type="dxa"/>
              <w:left w:w="0" w:type="dxa"/>
              <w:bottom w:w="0" w:type="dxa"/>
              <w:right w:w="15" w:type="dxa"/>
            </w:tcMar>
            <w:vAlign w:val="bottom"/>
            <w:hideMark/>
          </w:tcPr>
          <w:p w14:paraId="07491461"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199F8297"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7619AE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16810ED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500</w:t>
            </w:r>
          </w:p>
        </w:tc>
        <w:tc>
          <w:tcPr>
            <w:tcW w:w="50" w:type="pct"/>
            <w:shd w:val="clear" w:color="auto" w:fill="FFFFFF"/>
            <w:noWrap/>
            <w:tcMar>
              <w:top w:w="15" w:type="dxa"/>
              <w:left w:w="0" w:type="dxa"/>
              <w:bottom w:w="0" w:type="dxa"/>
              <w:right w:w="15" w:type="dxa"/>
            </w:tcMar>
            <w:vAlign w:val="bottom"/>
            <w:hideMark/>
          </w:tcPr>
          <w:p w14:paraId="70228C3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786B0D52"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3DEB0B1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3.30%</w:t>
            </w:r>
          </w:p>
        </w:tc>
      </w:tr>
      <w:tr w:rsidR="00251D72" w14:paraId="157BB945" w14:textId="77777777">
        <w:trPr>
          <w:divId w:val="1635331532"/>
          <w:jc w:val="center"/>
        </w:trPr>
        <w:tc>
          <w:tcPr>
            <w:tcW w:w="2169" w:type="pct"/>
            <w:shd w:val="clear" w:color="auto" w:fill="CFF0FC"/>
            <w:tcMar>
              <w:top w:w="15" w:type="dxa"/>
              <w:left w:w="0" w:type="dxa"/>
              <w:bottom w:w="0" w:type="dxa"/>
              <w:right w:w="15" w:type="dxa"/>
            </w:tcMar>
            <w:hideMark/>
          </w:tcPr>
          <w:p w14:paraId="2BC8F85E"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$1,750, 4.30%, due July 2034</w:t>
            </w:r>
          </w:p>
        </w:tc>
        <w:tc>
          <w:tcPr>
            <w:tcW w:w="73" w:type="pct"/>
            <w:shd w:val="clear" w:color="auto" w:fill="CFF0FC"/>
            <w:tcMar>
              <w:top w:w="15" w:type="dxa"/>
              <w:left w:w="0" w:type="dxa"/>
              <w:bottom w:w="0" w:type="dxa"/>
              <w:right w:w="15" w:type="dxa"/>
            </w:tcMar>
            <w:vAlign w:val="bottom"/>
            <w:hideMark/>
          </w:tcPr>
          <w:p w14:paraId="57ECFA8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3952DDDD"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2014</w:t>
            </w:r>
          </w:p>
        </w:tc>
        <w:tc>
          <w:tcPr>
            <w:tcW w:w="73" w:type="pct"/>
            <w:shd w:val="clear" w:color="auto" w:fill="CFF0FC"/>
            <w:tcMar>
              <w:top w:w="15" w:type="dxa"/>
              <w:left w:w="0" w:type="dxa"/>
              <w:bottom w:w="0" w:type="dxa"/>
              <w:right w:w="15" w:type="dxa"/>
            </w:tcMar>
            <w:vAlign w:val="bottom"/>
            <w:hideMark/>
          </w:tcPr>
          <w:p w14:paraId="3B162733"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BEAA70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541730D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1,750</w:t>
            </w:r>
          </w:p>
        </w:tc>
        <w:tc>
          <w:tcPr>
            <w:tcW w:w="50" w:type="pct"/>
            <w:shd w:val="clear" w:color="auto" w:fill="CFF0FC"/>
            <w:noWrap/>
            <w:tcMar>
              <w:top w:w="15" w:type="dxa"/>
              <w:left w:w="0" w:type="dxa"/>
              <w:bottom w:w="0" w:type="dxa"/>
              <w:right w:w="15" w:type="dxa"/>
            </w:tcMar>
            <w:vAlign w:val="bottom"/>
            <w:hideMark/>
          </w:tcPr>
          <w:p w14:paraId="18B91B1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10504427"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253520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017DAEE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4.30%</w:t>
            </w:r>
          </w:p>
        </w:tc>
        <w:tc>
          <w:tcPr>
            <w:tcW w:w="50" w:type="pct"/>
            <w:shd w:val="clear" w:color="auto" w:fill="CFF0FC"/>
            <w:noWrap/>
            <w:tcMar>
              <w:top w:w="15" w:type="dxa"/>
              <w:left w:w="0" w:type="dxa"/>
              <w:bottom w:w="0" w:type="dxa"/>
              <w:right w:w="15" w:type="dxa"/>
            </w:tcMar>
            <w:vAlign w:val="bottom"/>
            <w:hideMark/>
          </w:tcPr>
          <w:p w14:paraId="4DACADB6"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7491035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A3B3A2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4D33316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1,750</w:t>
            </w:r>
          </w:p>
        </w:tc>
        <w:tc>
          <w:tcPr>
            <w:tcW w:w="50" w:type="pct"/>
            <w:shd w:val="clear" w:color="auto" w:fill="CFF0FC"/>
            <w:noWrap/>
            <w:tcMar>
              <w:top w:w="15" w:type="dxa"/>
              <w:left w:w="0" w:type="dxa"/>
              <w:bottom w:w="0" w:type="dxa"/>
              <w:right w:w="15" w:type="dxa"/>
            </w:tcMar>
            <w:vAlign w:val="bottom"/>
            <w:hideMark/>
          </w:tcPr>
          <w:p w14:paraId="3FFB15A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1E7AB4A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6472719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4.30%</w:t>
            </w:r>
          </w:p>
        </w:tc>
      </w:tr>
      <w:tr w:rsidR="00251D72" w14:paraId="57DE257B" w14:textId="77777777">
        <w:trPr>
          <w:divId w:val="1635331532"/>
          <w:jc w:val="center"/>
        </w:trPr>
        <w:tc>
          <w:tcPr>
            <w:tcW w:w="2169" w:type="pct"/>
            <w:shd w:val="clear" w:color="auto" w:fill="FFFFFF"/>
            <w:tcMar>
              <w:top w:w="15" w:type="dxa"/>
              <w:left w:w="0" w:type="dxa"/>
              <w:bottom w:w="0" w:type="dxa"/>
              <w:right w:w="15" w:type="dxa"/>
            </w:tcMar>
            <w:hideMark/>
          </w:tcPr>
          <w:p w14:paraId="467F4DA1"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$1,250, 3.90%, due May 2035</w:t>
            </w:r>
          </w:p>
        </w:tc>
        <w:tc>
          <w:tcPr>
            <w:tcW w:w="73" w:type="pct"/>
            <w:shd w:val="clear" w:color="auto" w:fill="FFFFFF"/>
            <w:tcMar>
              <w:top w:w="15" w:type="dxa"/>
              <w:left w:w="0" w:type="dxa"/>
              <w:bottom w:w="0" w:type="dxa"/>
              <w:right w:w="15" w:type="dxa"/>
            </w:tcMar>
            <w:vAlign w:val="bottom"/>
            <w:hideMark/>
          </w:tcPr>
          <w:p w14:paraId="1CD1F0D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3D11D375"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May 2015</w:t>
            </w:r>
          </w:p>
        </w:tc>
        <w:tc>
          <w:tcPr>
            <w:tcW w:w="73" w:type="pct"/>
            <w:shd w:val="clear" w:color="auto" w:fill="FFFFFF"/>
            <w:tcMar>
              <w:top w:w="15" w:type="dxa"/>
              <w:left w:w="0" w:type="dxa"/>
              <w:bottom w:w="0" w:type="dxa"/>
              <w:right w:w="15" w:type="dxa"/>
            </w:tcMar>
            <w:vAlign w:val="bottom"/>
            <w:hideMark/>
          </w:tcPr>
          <w:p w14:paraId="6FE9F76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DC6458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3A66FF2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FFFFFF"/>
            <w:noWrap/>
            <w:tcMar>
              <w:top w:w="15" w:type="dxa"/>
              <w:left w:w="0" w:type="dxa"/>
              <w:bottom w:w="0" w:type="dxa"/>
              <w:right w:w="15" w:type="dxa"/>
            </w:tcMar>
            <w:vAlign w:val="bottom"/>
            <w:hideMark/>
          </w:tcPr>
          <w:p w14:paraId="1C5829C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7D48901C"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3CD7EE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5D8B349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3.95%</w:t>
            </w:r>
          </w:p>
        </w:tc>
        <w:tc>
          <w:tcPr>
            <w:tcW w:w="50" w:type="pct"/>
            <w:shd w:val="clear" w:color="auto" w:fill="FFFFFF"/>
            <w:noWrap/>
            <w:tcMar>
              <w:top w:w="15" w:type="dxa"/>
              <w:left w:w="0" w:type="dxa"/>
              <w:bottom w:w="0" w:type="dxa"/>
              <w:right w:w="15" w:type="dxa"/>
            </w:tcMar>
            <w:vAlign w:val="bottom"/>
            <w:hideMark/>
          </w:tcPr>
          <w:p w14:paraId="406CA326"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22BBC80A"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8F5FC4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2FDCF98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FFFFFF"/>
            <w:noWrap/>
            <w:tcMar>
              <w:top w:w="15" w:type="dxa"/>
              <w:left w:w="0" w:type="dxa"/>
              <w:bottom w:w="0" w:type="dxa"/>
              <w:right w:w="15" w:type="dxa"/>
            </w:tcMar>
            <w:vAlign w:val="bottom"/>
            <w:hideMark/>
          </w:tcPr>
          <w:p w14:paraId="4B5E7F6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034B2CFA"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7609250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3.95%</w:t>
            </w:r>
          </w:p>
        </w:tc>
      </w:tr>
      <w:tr w:rsidR="00251D72" w14:paraId="1E923405" w14:textId="77777777">
        <w:trPr>
          <w:divId w:val="1635331532"/>
          <w:jc w:val="center"/>
        </w:trPr>
        <w:tc>
          <w:tcPr>
            <w:tcW w:w="2169" w:type="pct"/>
            <w:shd w:val="clear" w:color="auto" w:fill="CFF0FC"/>
            <w:tcMar>
              <w:top w:w="15" w:type="dxa"/>
              <w:left w:w="0" w:type="dxa"/>
              <w:bottom w:w="0" w:type="dxa"/>
              <w:right w:w="15" w:type="dxa"/>
            </w:tcMar>
            <w:hideMark/>
          </w:tcPr>
          <w:p w14:paraId="0050C969"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$1,250, 3.85%, due July 2036</w:t>
            </w:r>
          </w:p>
        </w:tc>
        <w:tc>
          <w:tcPr>
            <w:tcW w:w="73" w:type="pct"/>
            <w:shd w:val="clear" w:color="auto" w:fill="CFF0FC"/>
            <w:tcMar>
              <w:top w:w="15" w:type="dxa"/>
              <w:left w:w="0" w:type="dxa"/>
              <w:bottom w:w="0" w:type="dxa"/>
              <w:right w:w="15" w:type="dxa"/>
            </w:tcMar>
            <w:vAlign w:val="bottom"/>
            <w:hideMark/>
          </w:tcPr>
          <w:p w14:paraId="364B7FE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0977D5E9"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2016</w:t>
            </w:r>
          </w:p>
        </w:tc>
        <w:tc>
          <w:tcPr>
            <w:tcW w:w="73" w:type="pct"/>
            <w:shd w:val="clear" w:color="auto" w:fill="CFF0FC"/>
            <w:tcMar>
              <w:top w:w="15" w:type="dxa"/>
              <w:left w:w="0" w:type="dxa"/>
              <w:bottom w:w="0" w:type="dxa"/>
              <w:right w:w="15" w:type="dxa"/>
            </w:tcMar>
            <w:vAlign w:val="bottom"/>
            <w:hideMark/>
          </w:tcPr>
          <w:p w14:paraId="5556049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FFAF07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38E8F13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CFF0FC"/>
            <w:noWrap/>
            <w:tcMar>
              <w:top w:w="15" w:type="dxa"/>
              <w:left w:w="0" w:type="dxa"/>
              <w:bottom w:w="0" w:type="dxa"/>
              <w:right w:w="15" w:type="dxa"/>
            </w:tcMar>
            <w:vAlign w:val="bottom"/>
            <w:hideMark/>
          </w:tcPr>
          <w:p w14:paraId="5B7B4E0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246C79F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08EFCD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3887ED8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3.85%</w:t>
            </w:r>
          </w:p>
        </w:tc>
        <w:tc>
          <w:tcPr>
            <w:tcW w:w="50" w:type="pct"/>
            <w:shd w:val="clear" w:color="auto" w:fill="CFF0FC"/>
            <w:noWrap/>
            <w:tcMar>
              <w:top w:w="15" w:type="dxa"/>
              <w:left w:w="0" w:type="dxa"/>
              <w:bottom w:w="0" w:type="dxa"/>
              <w:right w:w="15" w:type="dxa"/>
            </w:tcMar>
            <w:vAlign w:val="bottom"/>
            <w:hideMark/>
          </w:tcPr>
          <w:p w14:paraId="51B0FB7C"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0DACA5E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365714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55B85D6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CFF0FC"/>
            <w:noWrap/>
            <w:tcMar>
              <w:top w:w="15" w:type="dxa"/>
              <w:left w:w="0" w:type="dxa"/>
              <w:bottom w:w="0" w:type="dxa"/>
              <w:right w:w="15" w:type="dxa"/>
            </w:tcMar>
            <w:vAlign w:val="bottom"/>
            <w:hideMark/>
          </w:tcPr>
          <w:p w14:paraId="1CE42EB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78E18E8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CFF0FC"/>
            <w:tcMar>
              <w:top w:w="15" w:type="dxa"/>
              <w:left w:w="0" w:type="dxa"/>
              <w:bottom w:w="0" w:type="dxa"/>
              <w:right w:w="15" w:type="dxa"/>
            </w:tcMar>
            <w:vAlign w:val="bottom"/>
            <w:hideMark/>
          </w:tcPr>
          <w:p w14:paraId="0024CB2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3.85%</w:t>
            </w:r>
          </w:p>
        </w:tc>
      </w:tr>
      <w:tr w:rsidR="00251D72" w14:paraId="7B3267C3" w14:textId="77777777">
        <w:trPr>
          <w:divId w:val="1635331532"/>
          <w:jc w:val="center"/>
        </w:trPr>
        <w:tc>
          <w:tcPr>
            <w:tcW w:w="2169" w:type="pct"/>
            <w:shd w:val="clear" w:color="auto" w:fill="FFFFFF"/>
            <w:tcMar>
              <w:top w:w="15" w:type="dxa"/>
              <w:left w:w="0" w:type="dxa"/>
              <w:bottom w:w="0" w:type="dxa"/>
              <w:right w:w="15" w:type="dxa"/>
            </w:tcMar>
            <w:hideMark/>
          </w:tcPr>
          <w:p w14:paraId="69E254AB"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$1,750, 3.80%, due November 2037</w:t>
            </w:r>
          </w:p>
        </w:tc>
        <w:tc>
          <w:tcPr>
            <w:tcW w:w="73" w:type="pct"/>
            <w:shd w:val="clear" w:color="auto" w:fill="FFFFFF"/>
            <w:tcMar>
              <w:top w:w="15" w:type="dxa"/>
              <w:left w:w="0" w:type="dxa"/>
              <w:bottom w:w="0" w:type="dxa"/>
              <w:right w:w="15" w:type="dxa"/>
            </w:tcMar>
            <w:vAlign w:val="bottom"/>
            <w:hideMark/>
          </w:tcPr>
          <w:p w14:paraId="2AD71CD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1979E2C2"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November 2017</w:t>
            </w:r>
          </w:p>
        </w:tc>
        <w:tc>
          <w:tcPr>
            <w:tcW w:w="73" w:type="pct"/>
            <w:shd w:val="clear" w:color="auto" w:fill="FFFFFF"/>
            <w:tcMar>
              <w:top w:w="15" w:type="dxa"/>
              <w:left w:w="0" w:type="dxa"/>
              <w:bottom w:w="0" w:type="dxa"/>
              <w:right w:w="15" w:type="dxa"/>
            </w:tcMar>
            <w:vAlign w:val="bottom"/>
            <w:hideMark/>
          </w:tcPr>
          <w:p w14:paraId="73FCFBF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B5B74F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0EA23A9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1,750</w:t>
            </w:r>
          </w:p>
        </w:tc>
        <w:tc>
          <w:tcPr>
            <w:tcW w:w="50" w:type="pct"/>
            <w:shd w:val="clear" w:color="auto" w:fill="FFFFFF"/>
            <w:noWrap/>
            <w:tcMar>
              <w:top w:w="15" w:type="dxa"/>
              <w:left w:w="0" w:type="dxa"/>
              <w:bottom w:w="0" w:type="dxa"/>
              <w:right w:w="15" w:type="dxa"/>
            </w:tcMar>
            <w:vAlign w:val="bottom"/>
            <w:hideMark/>
          </w:tcPr>
          <w:p w14:paraId="00AD673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175CF4E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42C38E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0F8FEC5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3.83%</w:t>
            </w:r>
          </w:p>
        </w:tc>
        <w:tc>
          <w:tcPr>
            <w:tcW w:w="50" w:type="pct"/>
            <w:shd w:val="clear" w:color="auto" w:fill="FFFFFF"/>
            <w:noWrap/>
            <w:tcMar>
              <w:top w:w="15" w:type="dxa"/>
              <w:left w:w="0" w:type="dxa"/>
              <w:bottom w:w="0" w:type="dxa"/>
              <w:right w:w="15" w:type="dxa"/>
            </w:tcMar>
            <w:vAlign w:val="bottom"/>
            <w:hideMark/>
          </w:tcPr>
          <w:p w14:paraId="1F6AB5DA"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5BCF236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48E94B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5CEB157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1,750</w:t>
            </w:r>
          </w:p>
        </w:tc>
        <w:tc>
          <w:tcPr>
            <w:tcW w:w="50" w:type="pct"/>
            <w:shd w:val="clear" w:color="auto" w:fill="FFFFFF"/>
            <w:noWrap/>
            <w:tcMar>
              <w:top w:w="15" w:type="dxa"/>
              <w:left w:w="0" w:type="dxa"/>
              <w:bottom w:w="0" w:type="dxa"/>
              <w:right w:w="15" w:type="dxa"/>
            </w:tcMar>
            <w:vAlign w:val="bottom"/>
            <w:hideMark/>
          </w:tcPr>
          <w:p w14:paraId="41A2E41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21156E9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FFFFFF"/>
            <w:tcMar>
              <w:top w:w="15" w:type="dxa"/>
              <w:left w:w="0" w:type="dxa"/>
              <w:bottom w:w="0" w:type="dxa"/>
              <w:right w:w="15" w:type="dxa"/>
            </w:tcMar>
            <w:vAlign w:val="bottom"/>
            <w:hideMark/>
          </w:tcPr>
          <w:p w14:paraId="4E3FA88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3.83%</w:t>
            </w:r>
          </w:p>
        </w:tc>
      </w:tr>
      <w:tr w:rsidR="00251D72" w14:paraId="2D858178" w14:textId="77777777">
        <w:trPr>
          <w:divId w:val="1635331532"/>
          <w:jc w:val="center"/>
        </w:trPr>
        <w:tc>
          <w:tcPr>
            <w:tcW w:w="2169" w:type="pct"/>
            <w:shd w:val="clear" w:color="auto" w:fill="CFF0FC"/>
            <w:tcMar>
              <w:top w:w="15" w:type="dxa"/>
              <w:left w:w="0" w:type="dxa"/>
              <w:bottom w:w="0" w:type="dxa"/>
              <w:right w:w="15" w:type="dxa"/>
            </w:tcMar>
            <w:hideMark/>
          </w:tcPr>
          <w:p w14:paraId="57C3A0AB"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$1,250, 6.50%, due April 2038</w:t>
            </w:r>
          </w:p>
        </w:tc>
        <w:tc>
          <w:tcPr>
            <w:tcW w:w="73" w:type="pct"/>
            <w:shd w:val="clear" w:color="auto" w:fill="CFF0FC"/>
            <w:tcMar>
              <w:top w:w="15" w:type="dxa"/>
              <w:left w:w="0" w:type="dxa"/>
              <w:bottom w:w="0" w:type="dxa"/>
              <w:right w:w="15" w:type="dxa"/>
            </w:tcMar>
            <w:vAlign w:val="bottom"/>
            <w:hideMark/>
          </w:tcPr>
          <w:p w14:paraId="06F7B1A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67669B2C"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April 2008</w:t>
            </w:r>
          </w:p>
        </w:tc>
        <w:tc>
          <w:tcPr>
            <w:tcW w:w="73" w:type="pct"/>
            <w:shd w:val="clear" w:color="auto" w:fill="CFF0FC"/>
            <w:tcMar>
              <w:top w:w="15" w:type="dxa"/>
              <w:left w:w="0" w:type="dxa"/>
              <w:bottom w:w="0" w:type="dxa"/>
              <w:right w:w="15" w:type="dxa"/>
            </w:tcMar>
            <w:vAlign w:val="bottom"/>
            <w:hideMark/>
          </w:tcPr>
          <w:p w14:paraId="665BC278"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9406D7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67B4D32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CFF0FC"/>
            <w:noWrap/>
            <w:tcMar>
              <w:top w:w="15" w:type="dxa"/>
              <w:left w:w="0" w:type="dxa"/>
              <w:bottom w:w="0" w:type="dxa"/>
              <w:right w:w="15" w:type="dxa"/>
            </w:tcMar>
            <w:vAlign w:val="bottom"/>
            <w:hideMark/>
          </w:tcPr>
          <w:p w14:paraId="1F14BC2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79842213"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D1C2C4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1CDBD04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6.52%</w:t>
            </w:r>
          </w:p>
        </w:tc>
        <w:tc>
          <w:tcPr>
            <w:tcW w:w="50" w:type="pct"/>
            <w:shd w:val="clear" w:color="auto" w:fill="CFF0FC"/>
            <w:noWrap/>
            <w:tcMar>
              <w:top w:w="15" w:type="dxa"/>
              <w:left w:w="0" w:type="dxa"/>
              <w:bottom w:w="0" w:type="dxa"/>
              <w:right w:w="15" w:type="dxa"/>
            </w:tcMar>
            <w:vAlign w:val="bottom"/>
            <w:hideMark/>
          </w:tcPr>
          <w:p w14:paraId="37D0F806"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66C7D0AC"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A9D562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20FF508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CFF0FC"/>
            <w:noWrap/>
            <w:tcMar>
              <w:top w:w="15" w:type="dxa"/>
              <w:left w:w="0" w:type="dxa"/>
              <w:bottom w:w="0" w:type="dxa"/>
              <w:right w:w="15" w:type="dxa"/>
            </w:tcMar>
            <w:vAlign w:val="bottom"/>
            <w:hideMark/>
          </w:tcPr>
          <w:p w14:paraId="7DC0A7D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62F33B9E"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284300E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6.52%</w:t>
            </w:r>
          </w:p>
        </w:tc>
      </w:tr>
      <w:tr w:rsidR="00251D72" w14:paraId="299273E3" w14:textId="77777777">
        <w:trPr>
          <w:divId w:val="1635331532"/>
          <w:jc w:val="center"/>
        </w:trPr>
        <w:tc>
          <w:tcPr>
            <w:tcW w:w="2169" w:type="pct"/>
            <w:shd w:val="clear" w:color="auto" w:fill="FFFFFF"/>
            <w:tcMar>
              <w:top w:w="15" w:type="dxa"/>
              <w:left w:w="0" w:type="dxa"/>
              <w:bottom w:w="0" w:type="dxa"/>
              <w:right w:w="15" w:type="dxa"/>
            </w:tcMar>
            <w:hideMark/>
          </w:tcPr>
          <w:p w14:paraId="75C4A83D"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$1,250, 6.125%, due July 2039</w:t>
            </w:r>
          </w:p>
        </w:tc>
        <w:tc>
          <w:tcPr>
            <w:tcW w:w="73" w:type="pct"/>
            <w:shd w:val="clear" w:color="auto" w:fill="FFFFFF"/>
            <w:tcMar>
              <w:top w:w="15" w:type="dxa"/>
              <w:left w:w="0" w:type="dxa"/>
              <w:bottom w:w="0" w:type="dxa"/>
              <w:right w:w="15" w:type="dxa"/>
            </w:tcMar>
            <w:vAlign w:val="bottom"/>
            <w:hideMark/>
          </w:tcPr>
          <w:p w14:paraId="14772F9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3B69580C"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2009</w:t>
            </w:r>
          </w:p>
        </w:tc>
        <w:tc>
          <w:tcPr>
            <w:tcW w:w="73" w:type="pct"/>
            <w:shd w:val="clear" w:color="auto" w:fill="FFFFFF"/>
            <w:tcMar>
              <w:top w:w="15" w:type="dxa"/>
              <w:left w:w="0" w:type="dxa"/>
              <w:bottom w:w="0" w:type="dxa"/>
              <w:right w:w="15" w:type="dxa"/>
            </w:tcMar>
            <w:vAlign w:val="bottom"/>
            <w:hideMark/>
          </w:tcPr>
          <w:p w14:paraId="536393E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E2F0DE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5E35BEE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FFFFFF"/>
            <w:noWrap/>
            <w:tcMar>
              <w:top w:w="15" w:type="dxa"/>
              <w:left w:w="0" w:type="dxa"/>
              <w:bottom w:w="0" w:type="dxa"/>
              <w:right w:w="15" w:type="dxa"/>
            </w:tcMar>
            <w:vAlign w:val="bottom"/>
            <w:hideMark/>
          </w:tcPr>
          <w:p w14:paraId="4EE93ED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651BB9C8"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3B3100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377B161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6.19%</w:t>
            </w:r>
          </w:p>
        </w:tc>
        <w:tc>
          <w:tcPr>
            <w:tcW w:w="50" w:type="pct"/>
            <w:shd w:val="clear" w:color="auto" w:fill="FFFFFF"/>
            <w:noWrap/>
            <w:tcMar>
              <w:top w:w="15" w:type="dxa"/>
              <w:left w:w="0" w:type="dxa"/>
              <w:bottom w:w="0" w:type="dxa"/>
              <w:right w:w="15" w:type="dxa"/>
            </w:tcMar>
            <w:vAlign w:val="bottom"/>
            <w:hideMark/>
          </w:tcPr>
          <w:p w14:paraId="080A5A21"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10305033"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8816E7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0876F4E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FFFFFF"/>
            <w:noWrap/>
            <w:tcMar>
              <w:top w:w="15" w:type="dxa"/>
              <w:left w:w="0" w:type="dxa"/>
              <w:bottom w:w="0" w:type="dxa"/>
              <w:right w:w="15" w:type="dxa"/>
            </w:tcMar>
            <w:vAlign w:val="bottom"/>
            <w:hideMark/>
          </w:tcPr>
          <w:p w14:paraId="569E854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1A6AFD0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157AF84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6.19%</w:t>
            </w:r>
          </w:p>
        </w:tc>
      </w:tr>
      <w:tr w:rsidR="00251D72" w14:paraId="7B1D40F6" w14:textId="77777777">
        <w:trPr>
          <w:divId w:val="1635331532"/>
          <w:jc w:val="center"/>
        </w:trPr>
        <w:tc>
          <w:tcPr>
            <w:tcW w:w="2169" w:type="pct"/>
            <w:shd w:val="clear" w:color="auto" w:fill="CFF0FC"/>
            <w:tcMar>
              <w:top w:w="15" w:type="dxa"/>
              <w:left w:w="0" w:type="dxa"/>
              <w:bottom w:w="0" w:type="dxa"/>
              <w:right w:w="15" w:type="dxa"/>
            </w:tcMar>
            <w:hideMark/>
          </w:tcPr>
          <w:p w14:paraId="72748DA0"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$2,250, 5.375%, due July 2040</w:t>
            </w:r>
          </w:p>
        </w:tc>
        <w:tc>
          <w:tcPr>
            <w:tcW w:w="73" w:type="pct"/>
            <w:shd w:val="clear" w:color="auto" w:fill="CFF0FC"/>
            <w:tcMar>
              <w:top w:w="15" w:type="dxa"/>
              <w:left w:w="0" w:type="dxa"/>
              <w:bottom w:w="0" w:type="dxa"/>
              <w:right w:w="15" w:type="dxa"/>
            </w:tcMar>
            <w:vAlign w:val="bottom"/>
            <w:hideMark/>
          </w:tcPr>
          <w:p w14:paraId="7C6A1BD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0DBC37D2"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2010</w:t>
            </w:r>
          </w:p>
        </w:tc>
        <w:tc>
          <w:tcPr>
            <w:tcW w:w="73" w:type="pct"/>
            <w:shd w:val="clear" w:color="auto" w:fill="CFF0FC"/>
            <w:tcMar>
              <w:top w:w="15" w:type="dxa"/>
              <w:left w:w="0" w:type="dxa"/>
              <w:bottom w:w="0" w:type="dxa"/>
              <w:right w:w="15" w:type="dxa"/>
            </w:tcMar>
            <w:vAlign w:val="bottom"/>
            <w:hideMark/>
          </w:tcPr>
          <w:p w14:paraId="08B625D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ED7806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3C66BA1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2,250</w:t>
            </w:r>
          </w:p>
        </w:tc>
        <w:tc>
          <w:tcPr>
            <w:tcW w:w="50" w:type="pct"/>
            <w:shd w:val="clear" w:color="auto" w:fill="CFF0FC"/>
            <w:noWrap/>
            <w:tcMar>
              <w:top w:w="15" w:type="dxa"/>
              <w:left w:w="0" w:type="dxa"/>
              <w:bottom w:w="0" w:type="dxa"/>
              <w:right w:w="15" w:type="dxa"/>
            </w:tcMar>
            <w:vAlign w:val="bottom"/>
            <w:hideMark/>
          </w:tcPr>
          <w:p w14:paraId="4BFD5AF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5198B849"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AE2A59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13F70F8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5.45%</w:t>
            </w:r>
          </w:p>
        </w:tc>
        <w:tc>
          <w:tcPr>
            <w:tcW w:w="50" w:type="pct"/>
            <w:shd w:val="clear" w:color="auto" w:fill="CFF0FC"/>
            <w:noWrap/>
            <w:tcMar>
              <w:top w:w="15" w:type="dxa"/>
              <w:left w:w="0" w:type="dxa"/>
              <w:bottom w:w="0" w:type="dxa"/>
              <w:right w:w="15" w:type="dxa"/>
            </w:tcMar>
            <w:vAlign w:val="bottom"/>
            <w:hideMark/>
          </w:tcPr>
          <w:p w14:paraId="081BBC7C"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2B1A9FFD"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778769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2369615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2,250</w:t>
            </w:r>
          </w:p>
        </w:tc>
        <w:tc>
          <w:tcPr>
            <w:tcW w:w="50" w:type="pct"/>
            <w:shd w:val="clear" w:color="auto" w:fill="CFF0FC"/>
            <w:noWrap/>
            <w:tcMar>
              <w:top w:w="15" w:type="dxa"/>
              <w:left w:w="0" w:type="dxa"/>
              <w:bottom w:w="0" w:type="dxa"/>
              <w:right w:w="15" w:type="dxa"/>
            </w:tcMar>
            <w:vAlign w:val="bottom"/>
            <w:hideMark/>
          </w:tcPr>
          <w:p w14:paraId="1CC8C13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5CAA318D"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083BD9C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5.45%</w:t>
            </w:r>
          </w:p>
        </w:tc>
      </w:tr>
      <w:tr w:rsidR="00251D72" w14:paraId="5822CDA6" w14:textId="77777777">
        <w:trPr>
          <w:divId w:val="1635331532"/>
          <w:jc w:val="center"/>
        </w:trPr>
        <w:tc>
          <w:tcPr>
            <w:tcW w:w="2169" w:type="pct"/>
            <w:shd w:val="clear" w:color="auto" w:fill="FFFFFF"/>
            <w:tcMar>
              <w:top w:w="15" w:type="dxa"/>
              <w:left w:w="0" w:type="dxa"/>
              <w:bottom w:w="0" w:type="dxa"/>
              <w:right w:w="15" w:type="dxa"/>
            </w:tcMar>
            <w:hideMark/>
          </w:tcPr>
          <w:p w14:paraId="2C520FA2"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$1,000, 4.50%, due July 2044</w:t>
            </w:r>
          </w:p>
        </w:tc>
        <w:tc>
          <w:tcPr>
            <w:tcW w:w="73" w:type="pct"/>
            <w:shd w:val="clear" w:color="auto" w:fill="FFFFFF"/>
            <w:tcMar>
              <w:top w:w="15" w:type="dxa"/>
              <w:left w:w="0" w:type="dxa"/>
              <w:bottom w:w="0" w:type="dxa"/>
              <w:right w:w="15" w:type="dxa"/>
            </w:tcMar>
            <w:vAlign w:val="bottom"/>
            <w:hideMark/>
          </w:tcPr>
          <w:p w14:paraId="632E93D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0CEA7EB8"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2014</w:t>
            </w:r>
          </w:p>
        </w:tc>
        <w:tc>
          <w:tcPr>
            <w:tcW w:w="73" w:type="pct"/>
            <w:shd w:val="clear" w:color="auto" w:fill="FFFFFF"/>
            <w:tcMar>
              <w:top w:w="15" w:type="dxa"/>
              <w:left w:w="0" w:type="dxa"/>
              <w:bottom w:w="0" w:type="dxa"/>
              <w:right w:w="15" w:type="dxa"/>
            </w:tcMar>
            <w:vAlign w:val="bottom"/>
            <w:hideMark/>
          </w:tcPr>
          <w:p w14:paraId="1B0C03A1"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6F4067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4AA8C7F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1,000</w:t>
            </w:r>
          </w:p>
        </w:tc>
        <w:tc>
          <w:tcPr>
            <w:tcW w:w="50" w:type="pct"/>
            <w:shd w:val="clear" w:color="auto" w:fill="FFFFFF"/>
            <w:noWrap/>
            <w:tcMar>
              <w:top w:w="15" w:type="dxa"/>
              <w:left w:w="0" w:type="dxa"/>
              <w:bottom w:w="0" w:type="dxa"/>
              <w:right w:w="15" w:type="dxa"/>
            </w:tcMar>
            <w:vAlign w:val="bottom"/>
            <w:hideMark/>
          </w:tcPr>
          <w:p w14:paraId="480B31A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707DC4D6"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3F543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1335CA7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4.50%</w:t>
            </w:r>
          </w:p>
        </w:tc>
        <w:tc>
          <w:tcPr>
            <w:tcW w:w="50" w:type="pct"/>
            <w:shd w:val="clear" w:color="auto" w:fill="FFFFFF"/>
            <w:noWrap/>
            <w:tcMar>
              <w:top w:w="15" w:type="dxa"/>
              <w:left w:w="0" w:type="dxa"/>
              <w:bottom w:w="0" w:type="dxa"/>
              <w:right w:w="15" w:type="dxa"/>
            </w:tcMar>
            <w:vAlign w:val="bottom"/>
            <w:hideMark/>
          </w:tcPr>
          <w:p w14:paraId="11A5E2CC"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23FA673B"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85701F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1CF3887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1,000</w:t>
            </w:r>
          </w:p>
        </w:tc>
        <w:tc>
          <w:tcPr>
            <w:tcW w:w="50" w:type="pct"/>
            <w:shd w:val="clear" w:color="auto" w:fill="FFFFFF"/>
            <w:noWrap/>
            <w:tcMar>
              <w:top w:w="15" w:type="dxa"/>
              <w:left w:w="0" w:type="dxa"/>
              <w:bottom w:w="0" w:type="dxa"/>
              <w:right w:w="15" w:type="dxa"/>
            </w:tcMar>
            <w:vAlign w:val="bottom"/>
            <w:hideMark/>
          </w:tcPr>
          <w:p w14:paraId="45C83E3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2E0781CC"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710B435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4.50%</w:t>
            </w:r>
          </w:p>
        </w:tc>
      </w:tr>
      <w:tr w:rsidR="00251D72" w14:paraId="6F068BA5" w14:textId="77777777">
        <w:trPr>
          <w:divId w:val="1635331532"/>
          <w:jc w:val="center"/>
        </w:trPr>
        <w:tc>
          <w:tcPr>
            <w:tcW w:w="2169" w:type="pct"/>
            <w:shd w:val="clear" w:color="auto" w:fill="CFF0FC"/>
            <w:tcMar>
              <w:top w:w="15" w:type="dxa"/>
              <w:left w:w="0" w:type="dxa"/>
              <w:bottom w:w="0" w:type="dxa"/>
              <w:right w:w="15" w:type="dxa"/>
            </w:tcMar>
            <w:hideMark/>
          </w:tcPr>
          <w:p w14:paraId="4A3834F1"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$2,000, 4.125%, due May 2045</w:t>
            </w:r>
          </w:p>
        </w:tc>
        <w:tc>
          <w:tcPr>
            <w:tcW w:w="73" w:type="pct"/>
            <w:shd w:val="clear" w:color="auto" w:fill="CFF0FC"/>
            <w:tcMar>
              <w:top w:w="15" w:type="dxa"/>
              <w:left w:w="0" w:type="dxa"/>
              <w:bottom w:w="0" w:type="dxa"/>
              <w:right w:w="15" w:type="dxa"/>
            </w:tcMar>
            <w:vAlign w:val="bottom"/>
            <w:hideMark/>
          </w:tcPr>
          <w:p w14:paraId="6953E10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51EBF34D"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May 2015</w:t>
            </w:r>
          </w:p>
        </w:tc>
        <w:tc>
          <w:tcPr>
            <w:tcW w:w="73" w:type="pct"/>
            <w:shd w:val="clear" w:color="auto" w:fill="CFF0FC"/>
            <w:tcMar>
              <w:top w:w="15" w:type="dxa"/>
              <w:left w:w="0" w:type="dxa"/>
              <w:bottom w:w="0" w:type="dxa"/>
              <w:right w:w="15" w:type="dxa"/>
            </w:tcMar>
            <w:vAlign w:val="bottom"/>
            <w:hideMark/>
          </w:tcPr>
          <w:p w14:paraId="63E1A830"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2FE23C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4AAEC00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2,000</w:t>
            </w:r>
          </w:p>
        </w:tc>
        <w:tc>
          <w:tcPr>
            <w:tcW w:w="50" w:type="pct"/>
            <w:shd w:val="clear" w:color="auto" w:fill="CFF0FC"/>
            <w:noWrap/>
            <w:tcMar>
              <w:top w:w="15" w:type="dxa"/>
              <w:left w:w="0" w:type="dxa"/>
              <w:bottom w:w="0" w:type="dxa"/>
              <w:right w:w="15" w:type="dxa"/>
            </w:tcMar>
            <w:vAlign w:val="bottom"/>
            <w:hideMark/>
          </w:tcPr>
          <w:p w14:paraId="2D091A9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514D0098"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21CB1D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71DF712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4.15%</w:t>
            </w:r>
          </w:p>
        </w:tc>
        <w:tc>
          <w:tcPr>
            <w:tcW w:w="50" w:type="pct"/>
            <w:shd w:val="clear" w:color="auto" w:fill="CFF0FC"/>
            <w:noWrap/>
            <w:tcMar>
              <w:top w:w="15" w:type="dxa"/>
              <w:left w:w="0" w:type="dxa"/>
              <w:bottom w:w="0" w:type="dxa"/>
              <w:right w:w="15" w:type="dxa"/>
            </w:tcMar>
            <w:vAlign w:val="bottom"/>
            <w:hideMark/>
          </w:tcPr>
          <w:p w14:paraId="2404BC29"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64B34663"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CA0277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371708D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2,000</w:t>
            </w:r>
          </w:p>
        </w:tc>
        <w:tc>
          <w:tcPr>
            <w:tcW w:w="50" w:type="pct"/>
            <w:shd w:val="clear" w:color="auto" w:fill="CFF0FC"/>
            <w:noWrap/>
            <w:tcMar>
              <w:top w:w="15" w:type="dxa"/>
              <w:left w:w="0" w:type="dxa"/>
              <w:bottom w:w="0" w:type="dxa"/>
              <w:right w:w="15" w:type="dxa"/>
            </w:tcMar>
            <w:vAlign w:val="bottom"/>
            <w:hideMark/>
          </w:tcPr>
          <w:p w14:paraId="09BA658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4ED52AC8"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62D70C7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4.15%</w:t>
            </w:r>
          </w:p>
        </w:tc>
      </w:tr>
      <w:tr w:rsidR="00251D72" w14:paraId="7125F57B" w14:textId="77777777">
        <w:trPr>
          <w:divId w:val="1635331532"/>
          <w:jc w:val="center"/>
        </w:trPr>
        <w:tc>
          <w:tcPr>
            <w:tcW w:w="2169" w:type="pct"/>
            <w:shd w:val="clear" w:color="auto" w:fill="FFFFFF"/>
            <w:tcMar>
              <w:top w:w="15" w:type="dxa"/>
              <w:left w:w="0" w:type="dxa"/>
              <w:bottom w:w="0" w:type="dxa"/>
              <w:right w:w="15" w:type="dxa"/>
            </w:tcMar>
            <w:hideMark/>
          </w:tcPr>
          <w:p w14:paraId="69282549"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$3,000, 4.00%, due July 2046</w:t>
            </w:r>
          </w:p>
        </w:tc>
        <w:tc>
          <w:tcPr>
            <w:tcW w:w="73" w:type="pct"/>
            <w:shd w:val="clear" w:color="auto" w:fill="FFFFFF"/>
            <w:tcMar>
              <w:top w:w="15" w:type="dxa"/>
              <w:left w:w="0" w:type="dxa"/>
              <w:bottom w:w="0" w:type="dxa"/>
              <w:right w:w="15" w:type="dxa"/>
            </w:tcMar>
            <w:vAlign w:val="bottom"/>
            <w:hideMark/>
          </w:tcPr>
          <w:p w14:paraId="442B548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4D56DEA4"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2016</w:t>
            </w:r>
          </w:p>
        </w:tc>
        <w:tc>
          <w:tcPr>
            <w:tcW w:w="73" w:type="pct"/>
            <w:shd w:val="clear" w:color="auto" w:fill="FFFFFF"/>
            <w:tcMar>
              <w:top w:w="15" w:type="dxa"/>
              <w:left w:w="0" w:type="dxa"/>
              <w:bottom w:w="0" w:type="dxa"/>
              <w:right w:w="15" w:type="dxa"/>
            </w:tcMar>
            <w:vAlign w:val="bottom"/>
            <w:hideMark/>
          </w:tcPr>
          <w:p w14:paraId="18A80F6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262888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191C74C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3,000</w:t>
            </w:r>
          </w:p>
        </w:tc>
        <w:tc>
          <w:tcPr>
            <w:tcW w:w="50" w:type="pct"/>
            <w:shd w:val="clear" w:color="auto" w:fill="FFFFFF"/>
            <w:noWrap/>
            <w:tcMar>
              <w:top w:w="15" w:type="dxa"/>
              <w:left w:w="0" w:type="dxa"/>
              <w:bottom w:w="0" w:type="dxa"/>
              <w:right w:w="15" w:type="dxa"/>
            </w:tcMar>
            <w:vAlign w:val="bottom"/>
            <w:hideMark/>
          </w:tcPr>
          <w:p w14:paraId="73B949B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264EDF2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AD2DE6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46AB51C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4.00%</w:t>
            </w:r>
          </w:p>
        </w:tc>
        <w:tc>
          <w:tcPr>
            <w:tcW w:w="50" w:type="pct"/>
            <w:shd w:val="clear" w:color="auto" w:fill="FFFFFF"/>
            <w:noWrap/>
            <w:tcMar>
              <w:top w:w="15" w:type="dxa"/>
              <w:left w:w="0" w:type="dxa"/>
              <w:bottom w:w="0" w:type="dxa"/>
              <w:right w:w="15" w:type="dxa"/>
            </w:tcMar>
            <w:vAlign w:val="bottom"/>
            <w:hideMark/>
          </w:tcPr>
          <w:p w14:paraId="356D7E96"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449E0FE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ED5728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5D977BC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3,000</w:t>
            </w:r>
          </w:p>
        </w:tc>
        <w:tc>
          <w:tcPr>
            <w:tcW w:w="50" w:type="pct"/>
            <w:shd w:val="clear" w:color="auto" w:fill="FFFFFF"/>
            <w:noWrap/>
            <w:tcMar>
              <w:top w:w="15" w:type="dxa"/>
              <w:left w:w="0" w:type="dxa"/>
              <w:bottom w:w="0" w:type="dxa"/>
              <w:right w:w="15" w:type="dxa"/>
            </w:tcMar>
            <w:vAlign w:val="bottom"/>
            <w:hideMark/>
          </w:tcPr>
          <w:p w14:paraId="17759B3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15D0D08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FFFFFF"/>
            <w:tcMar>
              <w:top w:w="15" w:type="dxa"/>
              <w:left w:w="0" w:type="dxa"/>
              <w:bottom w:w="0" w:type="dxa"/>
              <w:right w:w="15" w:type="dxa"/>
            </w:tcMar>
            <w:vAlign w:val="bottom"/>
            <w:hideMark/>
          </w:tcPr>
          <w:p w14:paraId="06DD417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4.00%</w:t>
            </w:r>
          </w:p>
        </w:tc>
      </w:tr>
      <w:tr w:rsidR="00251D72" w14:paraId="4C5FF007" w14:textId="77777777">
        <w:trPr>
          <w:divId w:val="1635331532"/>
          <w:jc w:val="center"/>
        </w:trPr>
        <w:tc>
          <w:tcPr>
            <w:tcW w:w="2169" w:type="pct"/>
            <w:shd w:val="clear" w:color="auto" w:fill="CFF0FC"/>
            <w:tcMar>
              <w:top w:w="15" w:type="dxa"/>
              <w:left w:w="0" w:type="dxa"/>
              <w:bottom w:w="0" w:type="dxa"/>
              <w:right w:w="15" w:type="dxa"/>
            </w:tcMar>
            <w:hideMark/>
          </w:tcPr>
          <w:p w14:paraId="58475BCE"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$2,250, 4.00%, due November 2047</w:t>
            </w:r>
          </w:p>
        </w:tc>
        <w:tc>
          <w:tcPr>
            <w:tcW w:w="73" w:type="pct"/>
            <w:shd w:val="clear" w:color="auto" w:fill="CFF0FC"/>
            <w:tcMar>
              <w:top w:w="15" w:type="dxa"/>
              <w:left w:w="0" w:type="dxa"/>
              <w:bottom w:w="0" w:type="dxa"/>
              <w:right w:w="15" w:type="dxa"/>
            </w:tcMar>
            <w:vAlign w:val="bottom"/>
            <w:hideMark/>
          </w:tcPr>
          <w:p w14:paraId="4499CBD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5B2F0247"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November 2017</w:t>
            </w:r>
          </w:p>
        </w:tc>
        <w:tc>
          <w:tcPr>
            <w:tcW w:w="73" w:type="pct"/>
            <w:shd w:val="clear" w:color="auto" w:fill="CFF0FC"/>
            <w:tcMar>
              <w:top w:w="15" w:type="dxa"/>
              <w:left w:w="0" w:type="dxa"/>
              <w:bottom w:w="0" w:type="dxa"/>
              <w:right w:w="15" w:type="dxa"/>
            </w:tcMar>
            <w:vAlign w:val="bottom"/>
            <w:hideMark/>
          </w:tcPr>
          <w:p w14:paraId="3577369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975D55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78860A9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2,250</w:t>
            </w:r>
          </w:p>
        </w:tc>
        <w:tc>
          <w:tcPr>
            <w:tcW w:w="50" w:type="pct"/>
            <w:shd w:val="clear" w:color="auto" w:fill="CFF0FC"/>
            <w:noWrap/>
            <w:tcMar>
              <w:top w:w="15" w:type="dxa"/>
              <w:left w:w="0" w:type="dxa"/>
              <w:bottom w:w="0" w:type="dxa"/>
              <w:right w:w="15" w:type="dxa"/>
            </w:tcMar>
            <w:vAlign w:val="bottom"/>
            <w:hideMark/>
          </w:tcPr>
          <w:p w14:paraId="49517EE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567F20F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61F850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623F68A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4.03%</w:t>
            </w:r>
          </w:p>
        </w:tc>
        <w:tc>
          <w:tcPr>
            <w:tcW w:w="50" w:type="pct"/>
            <w:shd w:val="clear" w:color="auto" w:fill="CFF0FC"/>
            <w:noWrap/>
            <w:tcMar>
              <w:top w:w="15" w:type="dxa"/>
              <w:left w:w="0" w:type="dxa"/>
              <w:bottom w:w="0" w:type="dxa"/>
              <w:right w:w="15" w:type="dxa"/>
            </w:tcMar>
            <w:vAlign w:val="bottom"/>
            <w:hideMark/>
          </w:tcPr>
          <w:p w14:paraId="359FE72E"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52748EE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C9A05E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1BE2848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2,250</w:t>
            </w:r>
          </w:p>
        </w:tc>
        <w:tc>
          <w:tcPr>
            <w:tcW w:w="50" w:type="pct"/>
            <w:shd w:val="clear" w:color="auto" w:fill="CFF0FC"/>
            <w:noWrap/>
            <w:tcMar>
              <w:top w:w="15" w:type="dxa"/>
              <w:left w:w="0" w:type="dxa"/>
              <w:bottom w:w="0" w:type="dxa"/>
              <w:right w:w="15" w:type="dxa"/>
            </w:tcMar>
            <w:vAlign w:val="bottom"/>
            <w:hideMark/>
          </w:tcPr>
          <w:p w14:paraId="5C022B2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5A3EF67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CFF0FC"/>
            <w:tcMar>
              <w:top w:w="15" w:type="dxa"/>
              <w:left w:w="0" w:type="dxa"/>
              <w:bottom w:w="0" w:type="dxa"/>
              <w:right w:w="15" w:type="dxa"/>
            </w:tcMar>
            <w:vAlign w:val="bottom"/>
            <w:hideMark/>
          </w:tcPr>
          <w:p w14:paraId="3C816DD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4.03%</w:t>
            </w:r>
          </w:p>
        </w:tc>
      </w:tr>
      <w:tr w:rsidR="00251D72" w14:paraId="704907BD" w14:textId="77777777">
        <w:trPr>
          <w:divId w:val="1635331532"/>
          <w:jc w:val="center"/>
        </w:trPr>
        <w:tc>
          <w:tcPr>
            <w:tcW w:w="2169" w:type="pct"/>
            <w:shd w:val="clear" w:color="auto" w:fill="FFFFFF"/>
            <w:tcMar>
              <w:top w:w="15" w:type="dxa"/>
              <w:left w:w="0" w:type="dxa"/>
              <w:bottom w:w="0" w:type="dxa"/>
              <w:right w:w="15" w:type="dxa"/>
            </w:tcMar>
            <w:hideMark/>
          </w:tcPr>
          <w:p w14:paraId="1788205A"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$1,250, 4.375%, due May 2055</w:t>
            </w:r>
          </w:p>
        </w:tc>
        <w:tc>
          <w:tcPr>
            <w:tcW w:w="73" w:type="pct"/>
            <w:shd w:val="clear" w:color="auto" w:fill="FFFFFF"/>
            <w:tcMar>
              <w:top w:w="15" w:type="dxa"/>
              <w:left w:w="0" w:type="dxa"/>
              <w:bottom w:w="0" w:type="dxa"/>
              <w:right w:w="15" w:type="dxa"/>
            </w:tcMar>
            <w:vAlign w:val="bottom"/>
            <w:hideMark/>
          </w:tcPr>
          <w:p w14:paraId="5C4DCE1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2FE77D47"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May 2015</w:t>
            </w:r>
          </w:p>
        </w:tc>
        <w:tc>
          <w:tcPr>
            <w:tcW w:w="73" w:type="pct"/>
            <w:shd w:val="clear" w:color="auto" w:fill="FFFFFF"/>
            <w:tcMar>
              <w:top w:w="15" w:type="dxa"/>
              <w:left w:w="0" w:type="dxa"/>
              <w:bottom w:w="0" w:type="dxa"/>
              <w:right w:w="15" w:type="dxa"/>
            </w:tcMar>
            <w:vAlign w:val="bottom"/>
            <w:hideMark/>
          </w:tcPr>
          <w:p w14:paraId="5EBDE67B"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63FE6C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4C85684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FFFFFF"/>
            <w:noWrap/>
            <w:tcMar>
              <w:top w:w="15" w:type="dxa"/>
              <w:left w:w="0" w:type="dxa"/>
              <w:bottom w:w="0" w:type="dxa"/>
              <w:right w:w="15" w:type="dxa"/>
            </w:tcMar>
            <w:vAlign w:val="bottom"/>
            <w:hideMark/>
          </w:tcPr>
          <w:p w14:paraId="34FEAC5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29271838"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BD8EB2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2BC2ADC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4.40%</w:t>
            </w:r>
          </w:p>
        </w:tc>
        <w:tc>
          <w:tcPr>
            <w:tcW w:w="50" w:type="pct"/>
            <w:shd w:val="clear" w:color="auto" w:fill="FFFFFF"/>
            <w:noWrap/>
            <w:tcMar>
              <w:top w:w="15" w:type="dxa"/>
              <w:left w:w="0" w:type="dxa"/>
              <w:bottom w:w="0" w:type="dxa"/>
              <w:right w:w="15" w:type="dxa"/>
            </w:tcMar>
            <w:vAlign w:val="bottom"/>
            <w:hideMark/>
          </w:tcPr>
          <w:p w14:paraId="6690BCD9"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59A9B4B6"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E8688D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6A3BF74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1,250</w:t>
            </w:r>
          </w:p>
        </w:tc>
        <w:tc>
          <w:tcPr>
            <w:tcW w:w="50" w:type="pct"/>
            <w:shd w:val="clear" w:color="auto" w:fill="FFFFFF"/>
            <w:noWrap/>
            <w:tcMar>
              <w:top w:w="15" w:type="dxa"/>
              <w:left w:w="0" w:type="dxa"/>
              <w:bottom w:w="0" w:type="dxa"/>
              <w:right w:w="15" w:type="dxa"/>
            </w:tcMar>
            <w:vAlign w:val="bottom"/>
            <w:hideMark/>
          </w:tcPr>
          <w:p w14:paraId="1989EC2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5B349490"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0B344BB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4.40%</w:t>
            </w:r>
          </w:p>
        </w:tc>
      </w:tr>
      <w:tr w:rsidR="00251D72" w14:paraId="728F4424" w14:textId="77777777">
        <w:trPr>
          <w:divId w:val="1635331532"/>
          <w:jc w:val="center"/>
        </w:trPr>
        <w:tc>
          <w:tcPr>
            <w:tcW w:w="2169" w:type="pct"/>
            <w:shd w:val="clear" w:color="auto" w:fill="CFF0FC"/>
            <w:tcMar>
              <w:top w:w="15" w:type="dxa"/>
              <w:left w:w="0" w:type="dxa"/>
              <w:bottom w:w="0" w:type="dxa"/>
              <w:right w:w="15" w:type="dxa"/>
            </w:tcMar>
            <w:hideMark/>
          </w:tcPr>
          <w:p w14:paraId="3CBAC53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Floating-rate senior notes:</w:t>
            </w:r>
          </w:p>
        </w:tc>
        <w:tc>
          <w:tcPr>
            <w:tcW w:w="73" w:type="pct"/>
            <w:shd w:val="clear" w:color="auto" w:fill="CFF0FC"/>
            <w:tcMar>
              <w:top w:w="15" w:type="dxa"/>
              <w:left w:w="0" w:type="dxa"/>
              <w:bottom w:w="0" w:type="dxa"/>
              <w:right w:w="15" w:type="dxa"/>
            </w:tcMar>
            <w:vAlign w:val="bottom"/>
            <w:hideMark/>
          </w:tcPr>
          <w:p w14:paraId="642C83A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1AC3921C"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5BC8F9FD"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82B332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3C55591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148D5D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523FD824"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653CAC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0796E4C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2D3477D"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3E6A4BCB"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EEA8C3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571272F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9D1957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7860F735"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3AF8B6F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r>
      <w:tr w:rsidR="00251D72" w14:paraId="7AB6FA16" w14:textId="77777777">
        <w:trPr>
          <w:divId w:val="1635331532"/>
          <w:jc w:val="center"/>
        </w:trPr>
        <w:tc>
          <w:tcPr>
            <w:tcW w:w="2169" w:type="pct"/>
            <w:shd w:val="clear" w:color="auto" w:fill="FFFFFF"/>
            <w:tcMar>
              <w:top w:w="15" w:type="dxa"/>
              <w:left w:w="0" w:type="dxa"/>
              <w:bottom w:w="0" w:type="dxa"/>
              <w:right w:w="15" w:type="dxa"/>
            </w:tcMar>
            <w:hideMark/>
          </w:tcPr>
          <w:p w14:paraId="7D361E4C" w14:textId="77777777" w:rsidR="00251D72" w:rsidRDefault="00251D72">
            <w:pPr>
              <w:pStyle w:val="a3"/>
              <w:spacing w:before="0" w:beforeAutospacing="0" w:after="0" w:afterAutospacing="0"/>
              <w:ind w:left="418" w:hanging="144"/>
              <w:rPr>
                <w:rFonts w:ascii="Calibri" w:hAnsi="Calibri" w:cs="Calibri"/>
                <w:color w:val="000000"/>
                <w:sz w:val="16"/>
                <w:szCs w:val="16"/>
              </w:rPr>
            </w:pPr>
            <w:r>
              <w:rPr>
                <w:rFonts w:ascii="Calibri" w:hAnsi="Calibri" w:cs="Calibri"/>
                <w:color w:val="000000"/>
                <w:sz w:val="16"/>
                <w:szCs w:val="16"/>
              </w:rPr>
              <w:t>$500, three-month LIBOR plus 0.58%, due January 2019</w:t>
            </w:r>
          </w:p>
        </w:tc>
        <w:tc>
          <w:tcPr>
            <w:tcW w:w="73" w:type="pct"/>
            <w:shd w:val="clear" w:color="auto" w:fill="FFFFFF"/>
            <w:tcMar>
              <w:top w:w="15" w:type="dxa"/>
              <w:left w:w="0" w:type="dxa"/>
              <w:bottom w:w="0" w:type="dxa"/>
              <w:right w:w="15" w:type="dxa"/>
            </w:tcMar>
            <w:vAlign w:val="bottom"/>
            <w:hideMark/>
          </w:tcPr>
          <w:p w14:paraId="2035485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372404E6"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2013</w:t>
            </w:r>
          </w:p>
        </w:tc>
        <w:tc>
          <w:tcPr>
            <w:tcW w:w="73" w:type="pct"/>
            <w:shd w:val="clear" w:color="auto" w:fill="FFFFFF"/>
            <w:tcMar>
              <w:top w:w="15" w:type="dxa"/>
              <w:left w:w="0" w:type="dxa"/>
              <w:bottom w:w="0" w:type="dxa"/>
              <w:right w:w="15" w:type="dxa"/>
            </w:tcMar>
            <w:vAlign w:val="bottom"/>
            <w:hideMark/>
          </w:tcPr>
          <w:p w14:paraId="7BDCAB3E"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65" w:type="pct"/>
            <w:gridSpan w:val="2"/>
            <w:shd w:val="clear" w:color="auto" w:fill="FFFFFF"/>
            <w:tcMar>
              <w:top w:w="15" w:type="dxa"/>
              <w:left w:w="0" w:type="dxa"/>
              <w:bottom w:w="0" w:type="dxa"/>
              <w:right w:w="15" w:type="dxa"/>
            </w:tcMar>
            <w:vAlign w:val="bottom"/>
            <w:hideMark/>
          </w:tcPr>
          <w:p w14:paraId="5BA2527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D43BE6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2AEC87AE"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65" w:type="pct"/>
            <w:gridSpan w:val="2"/>
            <w:shd w:val="clear" w:color="auto" w:fill="FFFFFF"/>
            <w:tcMar>
              <w:top w:w="15" w:type="dxa"/>
              <w:left w:w="0" w:type="dxa"/>
              <w:bottom w:w="0" w:type="dxa"/>
              <w:right w:w="15" w:type="dxa"/>
            </w:tcMar>
            <w:vAlign w:val="bottom"/>
            <w:hideMark/>
          </w:tcPr>
          <w:p w14:paraId="4F1DE74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N.A.</w:t>
            </w:r>
          </w:p>
        </w:tc>
        <w:tc>
          <w:tcPr>
            <w:tcW w:w="50" w:type="pct"/>
            <w:shd w:val="clear" w:color="auto" w:fill="FFFFFF"/>
            <w:noWrap/>
            <w:tcMar>
              <w:top w:w="15" w:type="dxa"/>
              <w:left w:w="0" w:type="dxa"/>
              <w:bottom w:w="0" w:type="dxa"/>
              <w:right w:w="15" w:type="dxa"/>
            </w:tcMar>
            <w:vAlign w:val="bottom"/>
            <w:hideMark/>
          </w:tcPr>
          <w:p w14:paraId="493DF95D"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69944092"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77E0E6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39FC99A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500</w:t>
            </w:r>
          </w:p>
        </w:tc>
        <w:tc>
          <w:tcPr>
            <w:tcW w:w="50" w:type="pct"/>
            <w:shd w:val="clear" w:color="auto" w:fill="FFFFFF"/>
            <w:noWrap/>
            <w:tcMar>
              <w:top w:w="15" w:type="dxa"/>
              <w:left w:w="0" w:type="dxa"/>
              <w:bottom w:w="0" w:type="dxa"/>
              <w:right w:w="15" w:type="dxa"/>
            </w:tcMar>
            <w:vAlign w:val="bottom"/>
            <w:hideMark/>
          </w:tcPr>
          <w:p w14:paraId="2A9F9A1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47E68ECA"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7300A49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2.93%</w:t>
            </w:r>
          </w:p>
        </w:tc>
      </w:tr>
      <w:tr w:rsidR="00251D72" w14:paraId="72CFDCA6" w14:textId="77777777">
        <w:trPr>
          <w:divId w:val="1635331532"/>
          <w:jc w:val="center"/>
        </w:trPr>
        <w:tc>
          <w:tcPr>
            <w:tcW w:w="2169" w:type="pct"/>
            <w:shd w:val="clear" w:color="auto" w:fill="CFF0FC"/>
            <w:tcMar>
              <w:top w:w="15" w:type="dxa"/>
              <w:left w:w="0" w:type="dxa"/>
              <w:bottom w:w="0" w:type="dxa"/>
              <w:right w:w="15" w:type="dxa"/>
            </w:tcMar>
            <w:hideMark/>
          </w:tcPr>
          <w:p w14:paraId="58A517E6" w14:textId="77777777" w:rsidR="00251D72" w:rsidRDefault="00251D72">
            <w:pPr>
              <w:pStyle w:val="a3"/>
              <w:spacing w:before="0" w:beforeAutospacing="0" w:after="0" w:afterAutospacing="0"/>
              <w:ind w:left="418" w:hanging="144"/>
              <w:rPr>
                <w:rFonts w:ascii="Calibri" w:hAnsi="Calibri" w:cs="Calibri"/>
                <w:color w:val="000000"/>
                <w:sz w:val="16"/>
                <w:szCs w:val="16"/>
              </w:rPr>
            </w:pPr>
            <w:r>
              <w:rPr>
                <w:rFonts w:ascii="Calibri" w:hAnsi="Calibri" w:cs="Calibri"/>
                <w:color w:val="000000"/>
                <w:sz w:val="16"/>
                <w:szCs w:val="16"/>
              </w:rPr>
              <w:t>$750, three-month LIBOR plus 0.51%, due October 2019</w:t>
            </w:r>
          </w:p>
        </w:tc>
        <w:tc>
          <w:tcPr>
            <w:tcW w:w="73" w:type="pct"/>
            <w:shd w:val="clear" w:color="auto" w:fill="CFF0FC"/>
            <w:tcMar>
              <w:top w:w="15" w:type="dxa"/>
              <w:left w:w="0" w:type="dxa"/>
              <w:bottom w:w="0" w:type="dxa"/>
              <w:right w:w="15" w:type="dxa"/>
            </w:tcMar>
            <w:vAlign w:val="bottom"/>
            <w:hideMark/>
          </w:tcPr>
          <w:p w14:paraId="5092C0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28FA4D30"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July 2014</w:t>
            </w:r>
          </w:p>
        </w:tc>
        <w:tc>
          <w:tcPr>
            <w:tcW w:w="73" w:type="pct"/>
            <w:shd w:val="clear" w:color="auto" w:fill="CFF0FC"/>
            <w:tcMar>
              <w:top w:w="15" w:type="dxa"/>
              <w:left w:w="0" w:type="dxa"/>
              <w:bottom w:w="0" w:type="dxa"/>
              <w:right w:w="15" w:type="dxa"/>
            </w:tcMar>
            <w:vAlign w:val="bottom"/>
            <w:hideMark/>
          </w:tcPr>
          <w:p w14:paraId="256FFB70"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40DB8B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2D74848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750</w:t>
            </w:r>
          </w:p>
        </w:tc>
        <w:tc>
          <w:tcPr>
            <w:tcW w:w="50" w:type="pct"/>
            <w:shd w:val="clear" w:color="auto" w:fill="CFF0FC"/>
            <w:noWrap/>
            <w:tcMar>
              <w:top w:w="15" w:type="dxa"/>
              <w:left w:w="0" w:type="dxa"/>
              <w:bottom w:w="0" w:type="dxa"/>
              <w:right w:w="15" w:type="dxa"/>
            </w:tcMar>
            <w:vAlign w:val="bottom"/>
            <w:hideMark/>
          </w:tcPr>
          <w:p w14:paraId="6A0CD10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08BD1820"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95337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688F90F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3.10%</w:t>
            </w:r>
          </w:p>
        </w:tc>
        <w:tc>
          <w:tcPr>
            <w:tcW w:w="50" w:type="pct"/>
            <w:shd w:val="clear" w:color="auto" w:fill="CFF0FC"/>
            <w:noWrap/>
            <w:tcMar>
              <w:top w:w="15" w:type="dxa"/>
              <w:left w:w="0" w:type="dxa"/>
              <w:bottom w:w="0" w:type="dxa"/>
              <w:right w:w="15" w:type="dxa"/>
            </w:tcMar>
            <w:vAlign w:val="bottom"/>
            <w:hideMark/>
          </w:tcPr>
          <w:p w14:paraId="66B8BB4D"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57F670E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457533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45216A3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750</w:t>
            </w:r>
          </w:p>
        </w:tc>
        <w:tc>
          <w:tcPr>
            <w:tcW w:w="50" w:type="pct"/>
            <w:shd w:val="clear" w:color="auto" w:fill="CFF0FC"/>
            <w:noWrap/>
            <w:tcMar>
              <w:top w:w="15" w:type="dxa"/>
              <w:left w:w="0" w:type="dxa"/>
              <w:bottom w:w="0" w:type="dxa"/>
              <w:right w:w="15" w:type="dxa"/>
            </w:tcMar>
            <w:vAlign w:val="bottom"/>
            <w:hideMark/>
          </w:tcPr>
          <w:p w14:paraId="2DF54B2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3651CCD9"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CFF0FC"/>
            <w:tcMar>
              <w:top w:w="15" w:type="dxa"/>
              <w:left w:w="0" w:type="dxa"/>
              <w:bottom w:w="0" w:type="dxa"/>
              <w:right w:w="15" w:type="dxa"/>
            </w:tcMar>
            <w:vAlign w:val="bottom"/>
            <w:hideMark/>
          </w:tcPr>
          <w:p w14:paraId="7B2C6FF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2.84%</w:t>
            </w:r>
          </w:p>
        </w:tc>
      </w:tr>
      <w:tr w:rsidR="00251D72" w14:paraId="70E1E217" w14:textId="77777777">
        <w:trPr>
          <w:divId w:val="1635331532"/>
          <w:jc w:val="center"/>
        </w:trPr>
        <w:tc>
          <w:tcPr>
            <w:tcW w:w="2169" w:type="pct"/>
            <w:shd w:val="clear" w:color="auto" w:fill="FFFFFF"/>
            <w:tcMar>
              <w:top w:w="15" w:type="dxa"/>
              <w:left w:w="0" w:type="dxa"/>
              <w:bottom w:w="0" w:type="dxa"/>
              <w:right w:w="15" w:type="dxa"/>
            </w:tcMar>
            <w:hideMark/>
          </w:tcPr>
          <w:p w14:paraId="2B50B3A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Revolving credit agreements and other borrowings:</w:t>
            </w:r>
          </w:p>
        </w:tc>
        <w:tc>
          <w:tcPr>
            <w:tcW w:w="73" w:type="pct"/>
            <w:shd w:val="clear" w:color="auto" w:fill="FFFFFF"/>
            <w:tcMar>
              <w:top w:w="15" w:type="dxa"/>
              <w:left w:w="0" w:type="dxa"/>
              <w:bottom w:w="0" w:type="dxa"/>
              <w:right w:w="15" w:type="dxa"/>
            </w:tcMar>
            <w:vAlign w:val="bottom"/>
            <w:hideMark/>
          </w:tcPr>
          <w:p w14:paraId="520813E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1AF0A51E"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1CFB30B7"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B88948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71B6D3C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DE7B0A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0C706FB4"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07A03F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73F7D23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548182B"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39D3E617"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12ECA3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4B113D6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F6CAD6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3745D363"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15" w:type="pct"/>
            <w:shd w:val="clear" w:color="auto" w:fill="FFFFFF"/>
            <w:tcMar>
              <w:top w:w="15" w:type="dxa"/>
              <w:left w:w="0" w:type="dxa"/>
              <w:bottom w:w="0" w:type="dxa"/>
              <w:right w:w="15" w:type="dxa"/>
            </w:tcMar>
            <w:vAlign w:val="bottom"/>
            <w:hideMark/>
          </w:tcPr>
          <w:p w14:paraId="0CCB5E0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r>
      <w:tr w:rsidR="00251D72" w14:paraId="3D5061EE" w14:textId="77777777">
        <w:trPr>
          <w:divId w:val="1635331532"/>
          <w:jc w:val="center"/>
        </w:trPr>
        <w:tc>
          <w:tcPr>
            <w:tcW w:w="2169" w:type="pct"/>
            <w:shd w:val="clear" w:color="auto" w:fill="CFF0FC"/>
            <w:tcMar>
              <w:top w:w="15" w:type="dxa"/>
              <w:left w:w="0" w:type="dxa"/>
              <w:bottom w:w="0" w:type="dxa"/>
              <w:right w:w="15" w:type="dxa"/>
            </w:tcMar>
            <w:hideMark/>
          </w:tcPr>
          <w:p w14:paraId="24AB801F"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$2,500, LIBOR plus 0.50%, due June 2018</w:t>
            </w:r>
          </w:p>
        </w:tc>
        <w:tc>
          <w:tcPr>
            <w:tcW w:w="73" w:type="pct"/>
            <w:shd w:val="clear" w:color="auto" w:fill="CFF0FC"/>
            <w:tcMar>
              <w:top w:w="15" w:type="dxa"/>
              <w:left w:w="0" w:type="dxa"/>
              <w:bottom w:w="0" w:type="dxa"/>
              <w:right w:w="15" w:type="dxa"/>
            </w:tcMar>
            <w:vAlign w:val="bottom"/>
            <w:hideMark/>
          </w:tcPr>
          <w:p w14:paraId="625EF12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6F56B22B"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May 2018</w:t>
            </w:r>
          </w:p>
        </w:tc>
        <w:tc>
          <w:tcPr>
            <w:tcW w:w="73" w:type="pct"/>
            <w:shd w:val="clear" w:color="auto" w:fill="CFF0FC"/>
            <w:tcMar>
              <w:top w:w="15" w:type="dxa"/>
              <w:left w:w="0" w:type="dxa"/>
              <w:bottom w:w="0" w:type="dxa"/>
              <w:right w:w="15" w:type="dxa"/>
            </w:tcMar>
            <w:vAlign w:val="bottom"/>
            <w:hideMark/>
          </w:tcPr>
          <w:p w14:paraId="6BFE1A9F"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65" w:type="pct"/>
            <w:gridSpan w:val="2"/>
            <w:shd w:val="clear" w:color="auto" w:fill="CFF0FC"/>
            <w:tcMar>
              <w:top w:w="15" w:type="dxa"/>
              <w:left w:w="0" w:type="dxa"/>
              <w:bottom w:w="0" w:type="dxa"/>
              <w:right w:w="15" w:type="dxa"/>
            </w:tcMar>
            <w:vAlign w:val="bottom"/>
            <w:hideMark/>
          </w:tcPr>
          <w:p w14:paraId="0E50417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7EC6E3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044DE53E"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65" w:type="pct"/>
            <w:gridSpan w:val="2"/>
            <w:shd w:val="clear" w:color="auto" w:fill="CFF0FC"/>
            <w:tcMar>
              <w:top w:w="15" w:type="dxa"/>
              <w:left w:w="0" w:type="dxa"/>
              <w:bottom w:w="0" w:type="dxa"/>
              <w:right w:w="15" w:type="dxa"/>
            </w:tcMar>
            <w:vAlign w:val="bottom"/>
            <w:hideMark/>
          </w:tcPr>
          <w:p w14:paraId="3B602F2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N.A.</w:t>
            </w:r>
          </w:p>
        </w:tc>
        <w:tc>
          <w:tcPr>
            <w:tcW w:w="50" w:type="pct"/>
            <w:shd w:val="clear" w:color="auto" w:fill="CFF0FC"/>
            <w:noWrap/>
            <w:tcMar>
              <w:top w:w="15" w:type="dxa"/>
              <w:left w:w="0" w:type="dxa"/>
              <w:bottom w:w="0" w:type="dxa"/>
              <w:right w:w="15" w:type="dxa"/>
            </w:tcMar>
            <w:vAlign w:val="bottom"/>
            <w:hideMark/>
          </w:tcPr>
          <w:p w14:paraId="73FDA469"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649947A7"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75EC71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3A083C4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2,500</w:t>
            </w:r>
          </w:p>
        </w:tc>
        <w:tc>
          <w:tcPr>
            <w:tcW w:w="50" w:type="pct"/>
            <w:shd w:val="clear" w:color="auto" w:fill="CFF0FC"/>
            <w:noWrap/>
            <w:tcMar>
              <w:top w:w="15" w:type="dxa"/>
              <w:left w:w="0" w:type="dxa"/>
              <w:bottom w:w="0" w:type="dxa"/>
              <w:right w:w="15" w:type="dxa"/>
            </w:tcMar>
            <w:vAlign w:val="bottom"/>
            <w:hideMark/>
          </w:tcPr>
          <w:p w14:paraId="68FE67B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02DD6FC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CFF0FC"/>
            <w:tcMar>
              <w:top w:w="15" w:type="dxa"/>
              <w:left w:w="0" w:type="dxa"/>
              <w:bottom w:w="0" w:type="dxa"/>
              <w:right w:w="15" w:type="dxa"/>
            </w:tcMar>
            <w:vAlign w:val="bottom"/>
            <w:hideMark/>
          </w:tcPr>
          <w:p w14:paraId="041539A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2.48%</w:t>
            </w:r>
          </w:p>
        </w:tc>
      </w:tr>
      <w:tr w:rsidR="00251D72" w14:paraId="6207B1F9" w14:textId="77777777">
        <w:trPr>
          <w:divId w:val="1635331532"/>
          <w:jc w:val="center"/>
        </w:trPr>
        <w:tc>
          <w:tcPr>
            <w:tcW w:w="2169" w:type="pct"/>
            <w:shd w:val="clear" w:color="auto" w:fill="FFFFFF"/>
            <w:tcMar>
              <w:top w:w="15" w:type="dxa"/>
              <w:left w:w="0" w:type="dxa"/>
              <w:bottom w:w="0" w:type="dxa"/>
              <w:right w:w="15" w:type="dxa"/>
            </w:tcMar>
            <w:vAlign w:val="bottom"/>
            <w:hideMark/>
          </w:tcPr>
          <w:p w14:paraId="4FC9B7C6" w14:textId="77777777" w:rsidR="00251D72" w:rsidRDefault="00251D72">
            <w:pPr>
              <w:pStyle w:val="a3"/>
              <w:spacing w:before="0" w:beforeAutospacing="0" w:after="0" w:afterAutospacing="0"/>
              <w:ind w:left="274"/>
              <w:rPr>
                <w:rFonts w:ascii="Calibri" w:hAnsi="Calibri" w:cs="Calibri"/>
                <w:color w:val="000000"/>
                <w:sz w:val="16"/>
                <w:szCs w:val="16"/>
              </w:rPr>
            </w:pPr>
            <w:r>
              <w:rPr>
                <w:rFonts w:ascii="Calibri" w:hAnsi="Calibri" w:cs="Calibri"/>
                <w:color w:val="000000"/>
                <w:sz w:val="16"/>
                <w:szCs w:val="16"/>
              </w:rPr>
              <w:t>Other borrowings due August 2025</w:t>
            </w:r>
          </w:p>
        </w:tc>
        <w:tc>
          <w:tcPr>
            <w:tcW w:w="73" w:type="pct"/>
            <w:shd w:val="clear" w:color="auto" w:fill="FFFFFF"/>
            <w:tcMar>
              <w:top w:w="15" w:type="dxa"/>
              <w:left w:w="0" w:type="dxa"/>
              <w:bottom w:w="0" w:type="dxa"/>
              <w:right w:w="15" w:type="dxa"/>
            </w:tcMar>
            <w:vAlign w:val="bottom"/>
            <w:hideMark/>
          </w:tcPr>
          <w:p w14:paraId="089C0D1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65ADC207"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November 2016</w:t>
            </w:r>
          </w:p>
        </w:tc>
        <w:tc>
          <w:tcPr>
            <w:tcW w:w="73" w:type="pct"/>
            <w:shd w:val="clear" w:color="auto" w:fill="FFFFFF"/>
            <w:tcMar>
              <w:top w:w="15" w:type="dxa"/>
              <w:left w:w="0" w:type="dxa"/>
              <w:bottom w:w="0" w:type="dxa"/>
              <w:right w:w="15" w:type="dxa"/>
            </w:tcMar>
            <w:vAlign w:val="bottom"/>
            <w:hideMark/>
          </w:tcPr>
          <w:p w14:paraId="55F96E9E"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D1588B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tcBorders>
              <w:bottom w:val="single" w:sz="6" w:space="0" w:color="000000"/>
            </w:tcBorders>
            <w:shd w:val="clear" w:color="auto" w:fill="FFFFFF"/>
            <w:noWrap/>
            <w:tcMar>
              <w:top w:w="15" w:type="dxa"/>
              <w:left w:w="0" w:type="dxa"/>
              <w:bottom w:w="0" w:type="dxa"/>
              <w:right w:w="15" w:type="dxa"/>
            </w:tcMar>
            <w:vAlign w:val="bottom"/>
            <w:hideMark/>
          </w:tcPr>
          <w:p w14:paraId="1E2A2B0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113</w:t>
            </w:r>
          </w:p>
        </w:tc>
        <w:tc>
          <w:tcPr>
            <w:tcW w:w="50" w:type="pct"/>
            <w:shd w:val="clear" w:color="auto" w:fill="FFFFFF"/>
            <w:noWrap/>
            <w:tcMar>
              <w:top w:w="15" w:type="dxa"/>
              <w:left w:w="0" w:type="dxa"/>
              <w:bottom w:w="0" w:type="dxa"/>
              <w:right w:w="15" w:type="dxa"/>
            </w:tcMar>
            <w:vAlign w:val="bottom"/>
            <w:hideMark/>
          </w:tcPr>
          <w:p w14:paraId="52C2340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7F5344D0"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883CFF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33CDAF2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3.53%</w:t>
            </w:r>
          </w:p>
        </w:tc>
        <w:tc>
          <w:tcPr>
            <w:tcW w:w="50" w:type="pct"/>
            <w:shd w:val="clear" w:color="auto" w:fill="FFFFFF"/>
            <w:noWrap/>
            <w:tcMar>
              <w:top w:w="15" w:type="dxa"/>
              <w:left w:w="0" w:type="dxa"/>
              <w:bottom w:w="0" w:type="dxa"/>
              <w:right w:w="15" w:type="dxa"/>
            </w:tcMar>
            <w:vAlign w:val="bottom"/>
            <w:hideMark/>
          </w:tcPr>
          <w:p w14:paraId="74C5AAD5"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5E379FA5" w14:textId="77777777" w:rsidR="00251D72" w:rsidRDefault="00251D7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6F456E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tcBorders>
              <w:bottom w:val="single" w:sz="6" w:space="0" w:color="000000"/>
            </w:tcBorders>
            <w:shd w:val="clear" w:color="auto" w:fill="FFFFFF"/>
            <w:noWrap/>
            <w:tcMar>
              <w:top w:w="15" w:type="dxa"/>
              <w:left w:w="0" w:type="dxa"/>
              <w:bottom w:w="0" w:type="dxa"/>
              <w:right w:w="15" w:type="dxa"/>
            </w:tcMar>
            <w:vAlign w:val="bottom"/>
            <w:hideMark/>
          </w:tcPr>
          <w:p w14:paraId="36B7C81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113</w:t>
            </w:r>
          </w:p>
        </w:tc>
        <w:tc>
          <w:tcPr>
            <w:tcW w:w="50" w:type="pct"/>
            <w:shd w:val="clear" w:color="auto" w:fill="FFFFFF"/>
            <w:noWrap/>
            <w:tcMar>
              <w:top w:w="15" w:type="dxa"/>
              <w:left w:w="0" w:type="dxa"/>
              <w:bottom w:w="0" w:type="dxa"/>
              <w:right w:w="15" w:type="dxa"/>
            </w:tcMar>
            <w:vAlign w:val="bottom"/>
            <w:hideMark/>
          </w:tcPr>
          <w:p w14:paraId="43832BB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1A2FCDE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FFFFFF"/>
            <w:tcMar>
              <w:top w:w="15" w:type="dxa"/>
              <w:left w:w="0" w:type="dxa"/>
              <w:bottom w:w="0" w:type="dxa"/>
              <w:right w:w="15" w:type="dxa"/>
            </w:tcMar>
            <w:vAlign w:val="bottom"/>
            <w:hideMark/>
          </w:tcPr>
          <w:p w14:paraId="36FB4EB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3.53%</w:t>
            </w:r>
          </w:p>
        </w:tc>
      </w:tr>
      <w:tr w:rsidR="00251D72" w14:paraId="440C06DA" w14:textId="77777777">
        <w:trPr>
          <w:divId w:val="1635331532"/>
          <w:jc w:val="center"/>
        </w:trPr>
        <w:tc>
          <w:tcPr>
            <w:tcW w:w="2169" w:type="pct"/>
            <w:shd w:val="clear" w:color="auto" w:fill="CFF0FC"/>
            <w:tcMar>
              <w:top w:w="15" w:type="dxa"/>
              <w:left w:w="0" w:type="dxa"/>
              <w:bottom w:w="0" w:type="dxa"/>
              <w:right w:w="15" w:type="dxa"/>
            </w:tcMar>
            <w:hideMark/>
          </w:tcPr>
          <w:p w14:paraId="5C438216" w14:textId="77777777" w:rsidR="00251D72" w:rsidRDefault="00251D72">
            <w:pPr>
              <w:pStyle w:val="a3"/>
              <w:spacing w:before="0" w:beforeAutospacing="0" w:after="0" w:afterAutospacing="0"/>
              <w:ind w:left="691" w:hanging="144"/>
              <w:rPr>
                <w:rFonts w:ascii="Calibri" w:hAnsi="Calibri" w:cs="Calibri"/>
                <w:color w:val="000000"/>
                <w:sz w:val="16"/>
                <w:szCs w:val="16"/>
              </w:rPr>
            </w:pPr>
            <w:r>
              <w:rPr>
                <w:rFonts w:ascii="Calibri" w:hAnsi="Calibri" w:cs="Calibri"/>
                <w:color w:val="000000"/>
                <w:sz w:val="16"/>
                <w:szCs w:val="16"/>
              </w:rPr>
              <w:t>Total senior notes and other borrowings</w:t>
            </w:r>
          </w:p>
        </w:tc>
        <w:tc>
          <w:tcPr>
            <w:tcW w:w="73" w:type="pct"/>
            <w:shd w:val="clear" w:color="auto" w:fill="CFF0FC"/>
            <w:tcMar>
              <w:top w:w="15" w:type="dxa"/>
              <w:left w:w="0" w:type="dxa"/>
              <w:bottom w:w="0" w:type="dxa"/>
              <w:right w:w="15" w:type="dxa"/>
            </w:tcMar>
            <w:vAlign w:val="bottom"/>
            <w:hideMark/>
          </w:tcPr>
          <w:p w14:paraId="24E25DA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1B2FE3C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17430D4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2616CE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1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E9AD8E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56,342</w:t>
            </w:r>
          </w:p>
        </w:tc>
        <w:tc>
          <w:tcPr>
            <w:tcW w:w="50" w:type="pct"/>
            <w:shd w:val="clear" w:color="auto" w:fill="CFF0FC"/>
            <w:noWrap/>
            <w:tcMar>
              <w:top w:w="15" w:type="dxa"/>
              <w:left w:w="0" w:type="dxa"/>
              <w:bottom w:w="0" w:type="dxa"/>
              <w:right w:w="15" w:type="dxa"/>
            </w:tcMar>
            <w:vAlign w:val="bottom"/>
            <w:hideMark/>
          </w:tcPr>
          <w:p w14:paraId="457F84E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481AC69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640A66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393CB5A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9129C24"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09FCF94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8F4F23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1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7FCE96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60,927</w:t>
            </w:r>
          </w:p>
        </w:tc>
        <w:tc>
          <w:tcPr>
            <w:tcW w:w="50" w:type="pct"/>
            <w:shd w:val="clear" w:color="auto" w:fill="CFF0FC"/>
            <w:noWrap/>
            <w:tcMar>
              <w:top w:w="15" w:type="dxa"/>
              <w:left w:w="0" w:type="dxa"/>
              <w:bottom w:w="0" w:type="dxa"/>
              <w:right w:w="15" w:type="dxa"/>
            </w:tcMar>
            <w:vAlign w:val="bottom"/>
            <w:hideMark/>
          </w:tcPr>
          <w:p w14:paraId="3C92911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5DD62C6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CFF0FC"/>
            <w:tcMar>
              <w:top w:w="15" w:type="dxa"/>
              <w:left w:w="0" w:type="dxa"/>
              <w:bottom w:w="0" w:type="dxa"/>
              <w:right w:w="15" w:type="dxa"/>
            </w:tcMar>
            <w:vAlign w:val="bottom"/>
            <w:hideMark/>
          </w:tcPr>
          <w:p w14:paraId="7C72329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r>
      <w:tr w:rsidR="00251D72" w14:paraId="091E9EF7" w14:textId="77777777">
        <w:trPr>
          <w:divId w:val="1635331532"/>
          <w:jc w:val="center"/>
        </w:trPr>
        <w:tc>
          <w:tcPr>
            <w:tcW w:w="2169" w:type="pct"/>
            <w:shd w:val="clear" w:color="auto" w:fill="FFFFFF"/>
            <w:tcMar>
              <w:top w:w="15" w:type="dxa"/>
              <w:left w:w="0" w:type="dxa"/>
              <w:bottom w:w="0" w:type="dxa"/>
              <w:right w:w="15" w:type="dxa"/>
            </w:tcMar>
            <w:hideMark/>
          </w:tcPr>
          <w:p w14:paraId="1C6FA8FF" w14:textId="77777777" w:rsidR="00251D72" w:rsidRDefault="00251D72">
            <w:pPr>
              <w:pStyle w:val="a3"/>
              <w:spacing w:before="0" w:beforeAutospacing="0" w:after="0" w:afterAutospacing="0"/>
              <w:ind w:left="691" w:hanging="144"/>
              <w:rPr>
                <w:rFonts w:ascii="Calibri" w:hAnsi="Calibri" w:cs="Calibri"/>
                <w:color w:val="000000"/>
                <w:sz w:val="16"/>
                <w:szCs w:val="16"/>
              </w:rPr>
            </w:pPr>
            <w:r>
              <w:rPr>
                <w:rFonts w:ascii="Calibri" w:hAnsi="Calibri" w:cs="Calibri"/>
                <w:color w:val="000000"/>
                <w:sz w:val="16"/>
                <w:szCs w:val="16"/>
              </w:rPr>
              <w:t>Unamortized discount/issuance costs</w:t>
            </w:r>
          </w:p>
        </w:tc>
        <w:tc>
          <w:tcPr>
            <w:tcW w:w="73" w:type="pct"/>
            <w:shd w:val="clear" w:color="auto" w:fill="FFFFFF"/>
            <w:tcMar>
              <w:top w:w="15" w:type="dxa"/>
              <w:left w:w="0" w:type="dxa"/>
              <w:bottom w:w="0" w:type="dxa"/>
              <w:right w:w="15" w:type="dxa"/>
            </w:tcMar>
            <w:vAlign w:val="bottom"/>
            <w:hideMark/>
          </w:tcPr>
          <w:p w14:paraId="02B3034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28915698"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6AB3C79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DFD739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tcBorders>
              <w:top w:val="single" w:sz="6" w:space="0" w:color="000000"/>
            </w:tcBorders>
            <w:shd w:val="clear" w:color="auto" w:fill="FFFFFF"/>
            <w:noWrap/>
            <w:tcMar>
              <w:top w:w="15" w:type="dxa"/>
              <w:left w:w="0" w:type="dxa"/>
              <w:bottom w:w="0" w:type="dxa"/>
              <w:right w:w="15" w:type="dxa"/>
            </w:tcMar>
            <w:vAlign w:val="bottom"/>
            <w:hideMark/>
          </w:tcPr>
          <w:p w14:paraId="4F48C32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(202</w:t>
            </w:r>
          </w:p>
        </w:tc>
        <w:tc>
          <w:tcPr>
            <w:tcW w:w="50" w:type="pct"/>
            <w:shd w:val="clear" w:color="auto" w:fill="FFFFFF"/>
            <w:noWrap/>
            <w:tcMar>
              <w:top w:w="15" w:type="dxa"/>
              <w:left w:w="0" w:type="dxa"/>
              <w:bottom w:w="0" w:type="dxa"/>
              <w:right w:w="15" w:type="dxa"/>
            </w:tcMar>
            <w:vAlign w:val="bottom"/>
            <w:hideMark/>
          </w:tcPr>
          <w:p w14:paraId="35743BD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73" w:type="pct"/>
            <w:shd w:val="clear" w:color="auto" w:fill="FFFFFF"/>
            <w:tcMar>
              <w:top w:w="15" w:type="dxa"/>
              <w:left w:w="0" w:type="dxa"/>
              <w:bottom w:w="0" w:type="dxa"/>
              <w:right w:w="15" w:type="dxa"/>
            </w:tcMar>
            <w:vAlign w:val="bottom"/>
            <w:hideMark/>
          </w:tcPr>
          <w:p w14:paraId="47294EB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6BCF27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69AE4CA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EBF1D1F"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64CD1D8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BF2BA2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tcBorders>
              <w:top w:val="single" w:sz="6" w:space="0" w:color="000000"/>
            </w:tcBorders>
            <w:shd w:val="clear" w:color="auto" w:fill="FFFFFF"/>
            <w:noWrap/>
            <w:tcMar>
              <w:top w:w="15" w:type="dxa"/>
              <w:left w:w="0" w:type="dxa"/>
              <w:bottom w:w="0" w:type="dxa"/>
              <w:right w:w="15" w:type="dxa"/>
            </w:tcMar>
            <w:vAlign w:val="bottom"/>
            <w:hideMark/>
          </w:tcPr>
          <w:p w14:paraId="19DB680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(282</w:t>
            </w:r>
          </w:p>
        </w:tc>
        <w:tc>
          <w:tcPr>
            <w:tcW w:w="50" w:type="pct"/>
            <w:shd w:val="clear" w:color="auto" w:fill="FFFFFF"/>
            <w:noWrap/>
            <w:tcMar>
              <w:top w:w="15" w:type="dxa"/>
              <w:left w:w="0" w:type="dxa"/>
              <w:bottom w:w="0" w:type="dxa"/>
              <w:right w:w="15" w:type="dxa"/>
            </w:tcMar>
            <w:vAlign w:val="bottom"/>
            <w:hideMark/>
          </w:tcPr>
          <w:p w14:paraId="11324E1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73" w:type="pct"/>
            <w:shd w:val="clear" w:color="auto" w:fill="FFFFFF"/>
            <w:tcMar>
              <w:top w:w="15" w:type="dxa"/>
              <w:left w:w="0" w:type="dxa"/>
              <w:bottom w:w="0" w:type="dxa"/>
              <w:right w:w="15" w:type="dxa"/>
            </w:tcMar>
            <w:vAlign w:val="bottom"/>
            <w:hideMark/>
          </w:tcPr>
          <w:p w14:paraId="51EAFD7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FFFFFF"/>
            <w:tcMar>
              <w:top w:w="15" w:type="dxa"/>
              <w:left w:w="0" w:type="dxa"/>
              <w:bottom w:w="0" w:type="dxa"/>
              <w:right w:w="15" w:type="dxa"/>
            </w:tcMar>
            <w:vAlign w:val="bottom"/>
            <w:hideMark/>
          </w:tcPr>
          <w:p w14:paraId="3F0A4C5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r>
      <w:tr w:rsidR="00251D72" w14:paraId="017605B8" w14:textId="77777777">
        <w:trPr>
          <w:divId w:val="1635331532"/>
          <w:jc w:val="center"/>
        </w:trPr>
        <w:tc>
          <w:tcPr>
            <w:tcW w:w="2169" w:type="pct"/>
            <w:shd w:val="clear" w:color="auto" w:fill="CFF0FC"/>
            <w:tcMar>
              <w:top w:w="15" w:type="dxa"/>
              <w:left w:w="0" w:type="dxa"/>
              <w:bottom w:w="0" w:type="dxa"/>
              <w:right w:w="15" w:type="dxa"/>
            </w:tcMar>
            <w:hideMark/>
          </w:tcPr>
          <w:p w14:paraId="76C50D8B" w14:textId="77777777" w:rsidR="00251D72" w:rsidRDefault="00251D72">
            <w:pPr>
              <w:pStyle w:val="a3"/>
              <w:spacing w:before="0" w:beforeAutospacing="0" w:after="0" w:afterAutospacing="0"/>
              <w:ind w:left="691" w:hanging="144"/>
              <w:rPr>
                <w:rFonts w:ascii="Calibri" w:hAnsi="Calibri" w:cs="Calibri"/>
                <w:color w:val="000000"/>
                <w:sz w:val="16"/>
                <w:szCs w:val="16"/>
              </w:rPr>
            </w:pPr>
            <w:r>
              <w:rPr>
                <w:rFonts w:ascii="Calibri" w:hAnsi="Calibri" w:cs="Calibri"/>
                <w:color w:val="000000"/>
                <w:sz w:val="16"/>
                <w:szCs w:val="16"/>
              </w:rPr>
              <w:t>Hedge accounting fair value adjustments</w:t>
            </w:r>
            <w:r>
              <w:rPr>
                <w:rFonts w:ascii="Calibri" w:hAnsi="Calibri" w:cs="Calibri"/>
                <w:color w:val="000000"/>
                <w:sz w:val="14"/>
                <w:szCs w:val="14"/>
                <w:vertAlign w:val="superscript"/>
              </w:rPr>
              <w:t>(1)(4)</w:t>
            </w:r>
          </w:p>
        </w:tc>
        <w:tc>
          <w:tcPr>
            <w:tcW w:w="73" w:type="pct"/>
            <w:shd w:val="clear" w:color="auto" w:fill="CFF0FC"/>
            <w:tcMar>
              <w:top w:w="15" w:type="dxa"/>
              <w:left w:w="0" w:type="dxa"/>
              <w:bottom w:w="0" w:type="dxa"/>
              <w:right w:w="15" w:type="dxa"/>
            </w:tcMar>
            <w:vAlign w:val="bottom"/>
            <w:hideMark/>
          </w:tcPr>
          <w:p w14:paraId="00A586F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69372969"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043C9B2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181B3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tcBorders>
              <w:bottom w:val="single" w:sz="6" w:space="0" w:color="000000"/>
            </w:tcBorders>
            <w:shd w:val="clear" w:color="auto" w:fill="CFF0FC"/>
            <w:noWrap/>
            <w:tcMar>
              <w:top w:w="15" w:type="dxa"/>
              <w:left w:w="0" w:type="dxa"/>
              <w:bottom w:w="0" w:type="dxa"/>
              <w:right w:w="15" w:type="dxa"/>
            </w:tcMar>
            <w:vAlign w:val="bottom"/>
            <w:hideMark/>
          </w:tcPr>
          <w:p w14:paraId="4BD8680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27</w:t>
            </w:r>
          </w:p>
        </w:tc>
        <w:tc>
          <w:tcPr>
            <w:tcW w:w="50" w:type="pct"/>
            <w:shd w:val="clear" w:color="auto" w:fill="CFF0FC"/>
            <w:noWrap/>
            <w:tcMar>
              <w:top w:w="15" w:type="dxa"/>
              <w:left w:w="0" w:type="dxa"/>
              <w:bottom w:w="0" w:type="dxa"/>
              <w:right w:w="15" w:type="dxa"/>
            </w:tcMar>
            <w:vAlign w:val="bottom"/>
            <w:hideMark/>
          </w:tcPr>
          <w:p w14:paraId="481C32C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7CD4F2C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071B6A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7577C9C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F85A7B9"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15802D9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160C07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tcBorders>
              <w:bottom w:val="single" w:sz="6" w:space="0" w:color="000000"/>
            </w:tcBorders>
            <w:shd w:val="clear" w:color="auto" w:fill="CFF0FC"/>
            <w:noWrap/>
            <w:tcMar>
              <w:top w:w="15" w:type="dxa"/>
              <w:left w:w="0" w:type="dxa"/>
              <w:bottom w:w="0" w:type="dxa"/>
              <w:right w:w="15" w:type="dxa"/>
            </w:tcMar>
            <w:vAlign w:val="bottom"/>
            <w:hideMark/>
          </w:tcPr>
          <w:p w14:paraId="27C5205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(26</w:t>
            </w:r>
          </w:p>
        </w:tc>
        <w:tc>
          <w:tcPr>
            <w:tcW w:w="50" w:type="pct"/>
            <w:shd w:val="clear" w:color="auto" w:fill="CFF0FC"/>
            <w:noWrap/>
            <w:tcMar>
              <w:top w:w="15" w:type="dxa"/>
              <w:left w:w="0" w:type="dxa"/>
              <w:bottom w:w="0" w:type="dxa"/>
              <w:right w:w="15" w:type="dxa"/>
            </w:tcMar>
            <w:vAlign w:val="bottom"/>
            <w:hideMark/>
          </w:tcPr>
          <w:p w14:paraId="5076E54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73" w:type="pct"/>
            <w:shd w:val="clear" w:color="auto" w:fill="CFF0FC"/>
            <w:tcMar>
              <w:top w:w="15" w:type="dxa"/>
              <w:left w:w="0" w:type="dxa"/>
              <w:bottom w:w="0" w:type="dxa"/>
              <w:right w:w="15" w:type="dxa"/>
            </w:tcMar>
            <w:vAlign w:val="bottom"/>
            <w:hideMark/>
          </w:tcPr>
          <w:p w14:paraId="7C47952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CFF0FC"/>
            <w:tcMar>
              <w:top w:w="15" w:type="dxa"/>
              <w:left w:w="0" w:type="dxa"/>
              <w:bottom w:w="0" w:type="dxa"/>
              <w:right w:w="15" w:type="dxa"/>
            </w:tcMar>
            <w:vAlign w:val="bottom"/>
            <w:hideMark/>
          </w:tcPr>
          <w:p w14:paraId="6133209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r>
      <w:tr w:rsidR="00251D72" w14:paraId="1FA3373F" w14:textId="77777777">
        <w:trPr>
          <w:divId w:val="1635331532"/>
          <w:jc w:val="center"/>
        </w:trPr>
        <w:tc>
          <w:tcPr>
            <w:tcW w:w="2169" w:type="pct"/>
            <w:shd w:val="clear" w:color="auto" w:fill="FFFFFF"/>
            <w:tcMar>
              <w:top w:w="15" w:type="dxa"/>
              <w:left w:w="0" w:type="dxa"/>
              <w:bottom w:w="0" w:type="dxa"/>
              <w:right w:w="15" w:type="dxa"/>
            </w:tcMar>
            <w:hideMark/>
          </w:tcPr>
          <w:p w14:paraId="27C6148D" w14:textId="77777777" w:rsidR="00251D72" w:rsidRDefault="00251D72">
            <w:pPr>
              <w:pStyle w:val="a3"/>
              <w:spacing w:before="0" w:beforeAutospacing="0" w:after="0" w:afterAutospacing="0"/>
              <w:ind w:left="821"/>
              <w:rPr>
                <w:rFonts w:ascii="Calibri" w:hAnsi="Calibri" w:cs="Calibri"/>
                <w:color w:val="000000"/>
                <w:sz w:val="16"/>
                <w:szCs w:val="16"/>
              </w:rPr>
            </w:pPr>
            <w:r>
              <w:rPr>
                <w:rFonts w:ascii="Calibri" w:hAnsi="Calibri" w:cs="Calibri"/>
                <w:color w:val="000000"/>
                <w:sz w:val="16"/>
                <w:szCs w:val="16"/>
              </w:rPr>
              <w:t>Total notes payable and other borrowings</w:t>
            </w:r>
          </w:p>
        </w:tc>
        <w:tc>
          <w:tcPr>
            <w:tcW w:w="73" w:type="pct"/>
            <w:shd w:val="clear" w:color="auto" w:fill="FFFFFF"/>
            <w:tcMar>
              <w:top w:w="15" w:type="dxa"/>
              <w:left w:w="0" w:type="dxa"/>
              <w:bottom w:w="0" w:type="dxa"/>
              <w:right w:w="15" w:type="dxa"/>
            </w:tcMar>
            <w:vAlign w:val="bottom"/>
            <w:hideMark/>
          </w:tcPr>
          <w:p w14:paraId="750F1B3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5F9523CD"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778B64E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AA242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1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F39649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56,167</w:t>
            </w:r>
          </w:p>
        </w:tc>
        <w:tc>
          <w:tcPr>
            <w:tcW w:w="50" w:type="pct"/>
            <w:shd w:val="clear" w:color="auto" w:fill="FFFFFF"/>
            <w:noWrap/>
            <w:tcMar>
              <w:top w:w="15" w:type="dxa"/>
              <w:left w:w="0" w:type="dxa"/>
              <w:bottom w:w="0" w:type="dxa"/>
              <w:right w:w="15" w:type="dxa"/>
            </w:tcMar>
            <w:vAlign w:val="bottom"/>
            <w:hideMark/>
          </w:tcPr>
          <w:p w14:paraId="67D5348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794CC49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11E620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55A418A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351FA7C"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4B0335A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2DE98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1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650A8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60,619</w:t>
            </w:r>
          </w:p>
        </w:tc>
        <w:tc>
          <w:tcPr>
            <w:tcW w:w="50" w:type="pct"/>
            <w:shd w:val="clear" w:color="auto" w:fill="FFFFFF"/>
            <w:noWrap/>
            <w:tcMar>
              <w:top w:w="15" w:type="dxa"/>
              <w:left w:w="0" w:type="dxa"/>
              <w:bottom w:w="0" w:type="dxa"/>
              <w:right w:w="15" w:type="dxa"/>
            </w:tcMar>
            <w:vAlign w:val="bottom"/>
            <w:hideMark/>
          </w:tcPr>
          <w:p w14:paraId="0850D99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20B96BA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FFFFFF"/>
            <w:tcMar>
              <w:top w:w="15" w:type="dxa"/>
              <w:left w:w="0" w:type="dxa"/>
              <w:bottom w:w="0" w:type="dxa"/>
              <w:right w:w="15" w:type="dxa"/>
            </w:tcMar>
            <w:vAlign w:val="bottom"/>
            <w:hideMark/>
          </w:tcPr>
          <w:p w14:paraId="0464873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r>
      <w:tr w:rsidR="00251D72" w14:paraId="5BC1A860" w14:textId="77777777">
        <w:trPr>
          <w:divId w:val="1635331532"/>
          <w:jc w:val="center"/>
        </w:trPr>
        <w:tc>
          <w:tcPr>
            <w:tcW w:w="2169" w:type="pct"/>
            <w:shd w:val="clear" w:color="auto" w:fill="CFF0FC"/>
            <w:tcMar>
              <w:top w:w="15" w:type="dxa"/>
              <w:left w:w="0" w:type="dxa"/>
              <w:bottom w:w="0" w:type="dxa"/>
              <w:right w:w="15" w:type="dxa"/>
            </w:tcMar>
            <w:hideMark/>
          </w:tcPr>
          <w:p w14:paraId="538B3A90" w14:textId="77777777" w:rsidR="00251D72" w:rsidRDefault="00251D72">
            <w:pPr>
              <w:pStyle w:val="a3"/>
              <w:spacing w:before="0" w:beforeAutospacing="0" w:after="0" w:afterAutospacing="0"/>
              <w:ind w:left="821"/>
              <w:rPr>
                <w:rFonts w:ascii="Calibri" w:hAnsi="Calibri" w:cs="Calibri"/>
                <w:color w:val="000000"/>
                <w:sz w:val="16"/>
                <w:szCs w:val="16"/>
              </w:rPr>
            </w:pPr>
            <w:r>
              <w:rPr>
                <w:rFonts w:ascii="Calibri" w:hAnsi="Calibri" w:cs="Calibri"/>
                <w:color w:val="000000"/>
                <w:sz w:val="16"/>
                <w:szCs w:val="16"/>
              </w:rPr>
              <w:t>Notes payable and other borrowings, current</w:t>
            </w:r>
          </w:p>
        </w:tc>
        <w:tc>
          <w:tcPr>
            <w:tcW w:w="73" w:type="pct"/>
            <w:shd w:val="clear" w:color="auto" w:fill="CFF0FC"/>
            <w:tcMar>
              <w:top w:w="15" w:type="dxa"/>
              <w:left w:w="0" w:type="dxa"/>
              <w:bottom w:w="0" w:type="dxa"/>
              <w:right w:w="15" w:type="dxa"/>
            </w:tcMar>
            <w:vAlign w:val="bottom"/>
            <w:hideMark/>
          </w:tcPr>
          <w:p w14:paraId="1F52758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CFF0FC"/>
            <w:tcMar>
              <w:top w:w="15" w:type="dxa"/>
              <w:left w:w="0" w:type="dxa"/>
              <w:bottom w:w="0" w:type="dxa"/>
              <w:right w:w="15" w:type="dxa"/>
            </w:tcMar>
            <w:vAlign w:val="bottom"/>
            <w:hideMark/>
          </w:tcPr>
          <w:p w14:paraId="3972FC34" w14:textId="77777777" w:rsidR="00251D72" w:rsidRDefault="00251D7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0B423A0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6B8B79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1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767292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4,494</w:t>
            </w:r>
          </w:p>
        </w:tc>
        <w:tc>
          <w:tcPr>
            <w:tcW w:w="50" w:type="pct"/>
            <w:shd w:val="clear" w:color="auto" w:fill="CFF0FC"/>
            <w:noWrap/>
            <w:tcMar>
              <w:top w:w="15" w:type="dxa"/>
              <w:left w:w="0" w:type="dxa"/>
              <w:bottom w:w="0" w:type="dxa"/>
              <w:right w:w="15" w:type="dxa"/>
            </w:tcMar>
            <w:vAlign w:val="bottom"/>
            <w:hideMark/>
          </w:tcPr>
          <w:p w14:paraId="4BA2206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25C1A62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10ECE8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CFF0FC"/>
            <w:noWrap/>
            <w:tcMar>
              <w:top w:w="15" w:type="dxa"/>
              <w:left w:w="0" w:type="dxa"/>
              <w:bottom w:w="0" w:type="dxa"/>
              <w:right w:w="15" w:type="dxa"/>
            </w:tcMar>
            <w:vAlign w:val="bottom"/>
            <w:hideMark/>
          </w:tcPr>
          <w:p w14:paraId="0015CDA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F7FA435"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CFF0FC"/>
            <w:tcMar>
              <w:top w:w="15" w:type="dxa"/>
              <w:left w:w="0" w:type="dxa"/>
              <w:bottom w:w="0" w:type="dxa"/>
              <w:right w:w="15" w:type="dxa"/>
            </w:tcMar>
            <w:vAlign w:val="bottom"/>
            <w:hideMark/>
          </w:tcPr>
          <w:p w14:paraId="3ECB80F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01F409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1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9FD0DC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4,491</w:t>
            </w:r>
          </w:p>
        </w:tc>
        <w:tc>
          <w:tcPr>
            <w:tcW w:w="50" w:type="pct"/>
            <w:shd w:val="clear" w:color="auto" w:fill="CFF0FC"/>
            <w:noWrap/>
            <w:tcMar>
              <w:top w:w="15" w:type="dxa"/>
              <w:left w:w="0" w:type="dxa"/>
              <w:bottom w:w="0" w:type="dxa"/>
              <w:right w:w="15" w:type="dxa"/>
            </w:tcMar>
            <w:vAlign w:val="bottom"/>
            <w:hideMark/>
          </w:tcPr>
          <w:p w14:paraId="2C05BAD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CFF0FC"/>
            <w:tcMar>
              <w:top w:w="15" w:type="dxa"/>
              <w:left w:w="0" w:type="dxa"/>
              <w:bottom w:w="0" w:type="dxa"/>
              <w:right w:w="15" w:type="dxa"/>
            </w:tcMar>
            <w:vAlign w:val="bottom"/>
            <w:hideMark/>
          </w:tcPr>
          <w:p w14:paraId="72DCE0F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CFF0FC"/>
            <w:tcMar>
              <w:top w:w="15" w:type="dxa"/>
              <w:left w:w="0" w:type="dxa"/>
              <w:bottom w:w="0" w:type="dxa"/>
              <w:right w:w="15" w:type="dxa"/>
            </w:tcMar>
            <w:vAlign w:val="bottom"/>
            <w:hideMark/>
          </w:tcPr>
          <w:p w14:paraId="1EAFDD1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r>
      <w:tr w:rsidR="00251D72" w14:paraId="696D4BCB" w14:textId="77777777">
        <w:trPr>
          <w:divId w:val="1635331532"/>
          <w:jc w:val="center"/>
        </w:trPr>
        <w:tc>
          <w:tcPr>
            <w:tcW w:w="2169" w:type="pct"/>
            <w:shd w:val="clear" w:color="auto" w:fill="FFFFFF"/>
            <w:tcMar>
              <w:top w:w="15" w:type="dxa"/>
              <w:left w:w="0" w:type="dxa"/>
              <w:bottom w:w="0" w:type="dxa"/>
              <w:right w:w="15" w:type="dxa"/>
            </w:tcMar>
            <w:hideMark/>
          </w:tcPr>
          <w:p w14:paraId="2F654FBB" w14:textId="77777777" w:rsidR="00251D72" w:rsidRDefault="00251D72">
            <w:pPr>
              <w:pStyle w:val="a3"/>
              <w:spacing w:before="0" w:beforeAutospacing="0" w:after="0" w:afterAutospacing="0"/>
              <w:ind w:left="1002" w:hanging="181"/>
              <w:rPr>
                <w:rFonts w:ascii="Calibri" w:hAnsi="Calibri" w:cs="Calibri"/>
                <w:color w:val="000000"/>
                <w:sz w:val="16"/>
                <w:szCs w:val="16"/>
              </w:rPr>
            </w:pPr>
            <w:r>
              <w:rPr>
                <w:rFonts w:ascii="Calibri" w:hAnsi="Calibri" w:cs="Calibri"/>
                <w:color w:val="000000"/>
                <w:sz w:val="16"/>
                <w:szCs w:val="16"/>
              </w:rPr>
              <w:t>Notes payable and other borrowings, non-current</w:t>
            </w:r>
          </w:p>
        </w:tc>
        <w:tc>
          <w:tcPr>
            <w:tcW w:w="73" w:type="pct"/>
            <w:shd w:val="clear" w:color="auto" w:fill="FFFFFF"/>
            <w:tcMar>
              <w:top w:w="15" w:type="dxa"/>
              <w:left w:w="0" w:type="dxa"/>
              <w:bottom w:w="0" w:type="dxa"/>
              <w:right w:w="15" w:type="dxa"/>
            </w:tcMar>
            <w:vAlign w:val="bottom"/>
            <w:hideMark/>
          </w:tcPr>
          <w:p w14:paraId="5CB07F2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0" w:type="pct"/>
            <w:shd w:val="clear" w:color="auto" w:fill="FFFFFF"/>
            <w:tcMar>
              <w:top w:w="15" w:type="dxa"/>
              <w:left w:w="0" w:type="dxa"/>
              <w:bottom w:w="0" w:type="dxa"/>
              <w:right w:w="15" w:type="dxa"/>
            </w:tcMar>
            <w:vAlign w:val="bottom"/>
            <w:hideMark/>
          </w:tcPr>
          <w:p w14:paraId="7A0A697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7C7D98F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962B46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1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AB0419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51,673</w:t>
            </w:r>
          </w:p>
        </w:tc>
        <w:tc>
          <w:tcPr>
            <w:tcW w:w="50" w:type="pct"/>
            <w:shd w:val="clear" w:color="auto" w:fill="FFFFFF"/>
            <w:noWrap/>
            <w:tcMar>
              <w:top w:w="15" w:type="dxa"/>
              <w:left w:w="0" w:type="dxa"/>
              <w:bottom w:w="0" w:type="dxa"/>
              <w:right w:w="15" w:type="dxa"/>
            </w:tcMar>
            <w:vAlign w:val="bottom"/>
            <w:hideMark/>
          </w:tcPr>
          <w:p w14:paraId="36D20EA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33892F1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0DFE94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15" w:type="pct"/>
            <w:shd w:val="clear" w:color="auto" w:fill="FFFFFF"/>
            <w:noWrap/>
            <w:tcMar>
              <w:top w:w="15" w:type="dxa"/>
              <w:left w:w="0" w:type="dxa"/>
              <w:bottom w:w="0" w:type="dxa"/>
              <w:right w:w="15" w:type="dxa"/>
            </w:tcMar>
            <w:vAlign w:val="bottom"/>
            <w:hideMark/>
          </w:tcPr>
          <w:p w14:paraId="19045E6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7A6253A" w14:textId="77777777" w:rsidR="00251D72" w:rsidRDefault="00251D72">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1BEF086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C22F5B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1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4396F8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56,128</w:t>
            </w:r>
          </w:p>
        </w:tc>
        <w:tc>
          <w:tcPr>
            <w:tcW w:w="50" w:type="pct"/>
            <w:shd w:val="clear" w:color="auto" w:fill="FFFFFF"/>
            <w:noWrap/>
            <w:tcMar>
              <w:top w:w="15" w:type="dxa"/>
              <w:left w:w="0" w:type="dxa"/>
              <w:bottom w:w="0" w:type="dxa"/>
              <w:right w:w="15" w:type="dxa"/>
            </w:tcMar>
            <w:vAlign w:val="bottom"/>
            <w:hideMark/>
          </w:tcPr>
          <w:p w14:paraId="4A79810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3" w:type="pct"/>
            <w:shd w:val="clear" w:color="auto" w:fill="FFFFFF"/>
            <w:tcMar>
              <w:top w:w="15" w:type="dxa"/>
              <w:left w:w="0" w:type="dxa"/>
              <w:bottom w:w="0" w:type="dxa"/>
              <w:right w:w="15" w:type="dxa"/>
            </w:tcMar>
            <w:vAlign w:val="bottom"/>
            <w:hideMark/>
          </w:tcPr>
          <w:p w14:paraId="3257358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5" w:type="pct"/>
            <w:shd w:val="clear" w:color="auto" w:fill="FFFFFF"/>
            <w:tcMar>
              <w:top w:w="15" w:type="dxa"/>
              <w:left w:w="0" w:type="dxa"/>
              <w:bottom w:w="0" w:type="dxa"/>
              <w:right w:w="15" w:type="dxa"/>
            </w:tcMar>
            <w:vAlign w:val="bottom"/>
            <w:hideMark/>
          </w:tcPr>
          <w:p w14:paraId="56ADED16" w14:textId="77777777" w:rsidR="00251D72" w:rsidRDefault="00251D72">
            <w:pPr>
              <w:pStyle w:val="a3"/>
              <w:spacing w:before="0" w:beforeAutospacing="0" w:after="0" w:afterAutospacing="0"/>
              <w:jc w:val="right"/>
              <w:rPr>
                <w:rFonts w:ascii="Calibri" w:hAnsi="Calibri" w:cs="Calibri"/>
                <w:color w:val="000000"/>
                <w:sz w:val="2"/>
                <w:szCs w:val="2"/>
              </w:rPr>
            </w:pPr>
            <w:r>
              <w:rPr>
                <w:rFonts w:ascii="Calibri" w:hAnsi="Calibri" w:cs="Calibri"/>
                <w:color w:val="000000"/>
                <w:sz w:val="2"/>
                <w:szCs w:val="2"/>
              </w:rPr>
              <w:t> </w:t>
            </w:r>
          </w:p>
        </w:tc>
      </w:tr>
    </w:tbl>
    <w:p w14:paraId="21018CAE"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5E9DD86D" w14:textId="77777777">
        <w:tc>
          <w:tcPr>
            <w:tcW w:w="192" w:type="pct"/>
            <w:noWrap/>
            <w:hideMark/>
          </w:tcPr>
          <w:p w14:paraId="537EB232" w14:textId="77777777" w:rsidR="00251D72" w:rsidRDefault="00251D72">
            <w:pPr>
              <w:pStyle w:val="a3"/>
              <w:spacing w:before="40" w:beforeAutospacing="0" w:after="0" w:afterAutospacing="0"/>
              <w:jc w:val="both"/>
              <w:rPr>
                <w:rFonts w:ascii="Calibri" w:hAnsi="Calibri" w:cs="Calibri"/>
                <w:sz w:val="14"/>
                <w:szCs w:val="14"/>
              </w:rPr>
            </w:pPr>
            <w:r>
              <w:rPr>
                <w:rFonts w:ascii="Calibri" w:hAnsi="Calibri" w:cs="Calibri"/>
                <w:sz w:val="12"/>
                <w:szCs w:val="12"/>
                <w:vertAlign w:val="superscript"/>
              </w:rPr>
              <w:t>(1)</w:t>
            </w:r>
          </w:p>
        </w:tc>
        <w:tc>
          <w:tcPr>
            <w:tcW w:w="0" w:type="auto"/>
            <w:hideMark/>
          </w:tcPr>
          <w:p w14:paraId="3E8710D7" w14:textId="77777777" w:rsidR="00251D72" w:rsidRDefault="00251D72">
            <w:pPr>
              <w:pStyle w:val="a3"/>
              <w:spacing w:before="40" w:beforeAutospacing="0" w:after="0" w:afterAutospacing="0"/>
              <w:jc w:val="both"/>
              <w:rPr>
                <w:rFonts w:ascii="Calibri" w:hAnsi="Calibri" w:cs="Calibri"/>
                <w:sz w:val="14"/>
                <w:szCs w:val="14"/>
              </w:rPr>
            </w:pPr>
            <w:bookmarkStart w:id="131" w:name="_AEIOULastRenderedPageBreakAEIOU94"/>
            <w:bookmarkStart w:id="132" w:name="_Hlk8053048"/>
            <w:bookmarkEnd w:id="131"/>
            <w:bookmarkEnd w:id="132"/>
            <w:r>
              <w:rPr>
                <w:rFonts w:ascii="Calibri" w:hAnsi="Calibri" w:cs="Calibri"/>
                <w:sz w:val="15"/>
                <w:szCs w:val="15"/>
              </w:rPr>
              <w:t xml:space="preserve">We entered into certain interest rate swap agreements that have the economic effects of modifying the fixed-interest obligations associated with the 2.375% senior notes that were due and settled in January 2019 (January 2019 Notes), the 2.25% senior notes due October 2019 (October 2019 Notes) and the 2.80% senior notes due July 2021 (July 2021 Notes) so that the interest payable on these notes effectively became variable based on LIBOR. The effective interest rates after consideration of these fixed to variable interest rate swap agreements were 3.00% as of May 31, 2018 for </w:t>
            </w:r>
          </w:p>
        </w:tc>
      </w:tr>
    </w:tbl>
    <w:p w14:paraId="6884C302"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91</w:t>
      </w:r>
    </w:p>
    <w:p w14:paraId="483A15C4" w14:textId="77777777" w:rsidR="00251D72" w:rsidRDefault="00251D72">
      <w:pPr>
        <w:rPr>
          <w:rFonts w:ascii="Times New Roman" w:eastAsia="Times New Roman" w:hAnsi="Times New Roman" w:cs="Times New Roman"/>
          <w:sz w:val="24"/>
          <w:szCs w:val="24"/>
        </w:rPr>
      </w:pPr>
      <w:r>
        <w:rPr>
          <w:rFonts w:eastAsia="Times New Roman"/>
        </w:rPr>
        <w:pict w14:anchorId="4574BA58">
          <v:rect id="_x0000_i1117" style="width:415.3pt;height:1.5pt" o:hralign="center" o:hrstd="t" o:hr="t" fillcolor="#a0a0a0" stroked="f"/>
        </w:pict>
      </w:r>
    </w:p>
    <w:p w14:paraId="7761EB93"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02974B69"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134A8EE"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5C416543"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53D6B205"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6E784C1F" w14:textId="77777777" w:rsidR="00251D72" w:rsidRDefault="00251D7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0B8C14AB" w14:textId="77777777">
        <w:tc>
          <w:tcPr>
            <w:tcW w:w="192" w:type="pct"/>
            <w:noWrap/>
            <w:hideMark/>
          </w:tcPr>
          <w:p w14:paraId="180D2718" w14:textId="77777777" w:rsidR="00251D72" w:rsidRDefault="00251D72">
            <w:pPr>
              <w:rPr>
                <w:sz w:val="20"/>
                <w:szCs w:val="20"/>
              </w:rPr>
            </w:pPr>
          </w:p>
        </w:tc>
        <w:tc>
          <w:tcPr>
            <w:tcW w:w="0" w:type="auto"/>
            <w:hideMark/>
          </w:tcPr>
          <w:p w14:paraId="4BA17180" w14:textId="77777777" w:rsidR="00251D72" w:rsidRDefault="00251D72">
            <w:pPr>
              <w:pStyle w:val="a3"/>
              <w:spacing w:before="40" w:beforeAutospacing="0" w:after="0" w:afterAutospacing="0"/>
              <w:jc w:val="both"/>
              <w:rPr>
                <w:rFonts w:ascii="Calibri" w:hAnsi="Calibri" w:cs="Calibri"/>
                <w:sz w:val="14"/>
                <w:szCs w:val="14"/>
              </w:rPr>
            </w:pPr>
            <w:r>
              <w:rPr>
                <w:rFonts w:ascii="Calibri" w:hAnsi="Calibri" w:cs="Calibri"/>
                <w:sz w:val="15"/>
                <w:szCs w:val="15"/>
              </w:rPr>
              <w:t>the January 2019 Notes; and 3.07% and 2.81%, respectively, for the October 2019 Notes, and 3.22% and 2.96%, respectively, for the July 2021 Notes as of May 31, 2019 and 2018, respectively. Refer to Notes 1 and 10 for a description of our accounting for fair value hedges associated with our October 2019 Notes and July 2021 Notes and to our Annual Report for the year ended May 31, 2018 for a description of our accounting for fair value hedges associated with our January 2019 Notes.</w:t>
            </w:r>
          </w:p>
        </w:tc>
      </w:tr>
    </w:tbl>
    <w:p w14:paraId="18019D72"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2D002968" w14:textId="77777777">
        <w:tc>
          <w:tcPr>
            <w:tcW w:w="192" w:type="pct"/>
            <w:noWrap/>
            <w:hideMark/>
          </w:tcPr>
          <w:p w14:paraId="1101D02B" w14:textId="77777777" w:rsidR="00251D72" w:rsidRDefault="00251D72">
            <w:pPr>
              <w:pStyle w:val="a3"/>
              <w:spacing w:before="120" w:beforeAutospacing="0" w:after="0" w:afterAutospacing="0"/>
              <w:jc w:val="both"/>
              <w:rPr>
                <w:rFonts w:ascii="Calibri" w:hAnsi="Calibri" w:cs="Calibri"/>
                <w:sz w:val="14"/>
                <w:szCs w:val="14"/>
              </w:rPr>
            </w:pPr>
            <w:r>
              <w:rPr>
                <w:rFonts w:ascii="Calibri" w:hAnsi="Calibri" w:cs="Calibri"/>
                <w:sz w:val="12"/>
                <w:szCs w:val="12"/>
                <w:vertAlign w:val="superscript"/>
              </w:rPr>
              <w:t>(2)</w:t>
            </w:r>
          </w:p>
        </w:tc>
        <w:tc>
          <w:tcPr>
            <w:tcW w:w="0" w:type="auto"/>
            <w:hideMark/>
          </w:tcPr>
          <w:p w14:paraId="0D9BCC7A" w14:textId="77777777" w:rsidR="00251D72" w:rsidRDefault="00251D72">
            <w:pPr>
              <w:pStyle w:val="a3"/>
              <w:spacing w:before="120" w:beforeAutospacing="0" w:after="0" w:afterAutospacing="0"/>
              <w:jc w:val="both"/>
              <w:rPr>
                <w:rFonts w:ascii="Calibri" w:hAnsi="Calibri" w:cs="Calibri"/>
                <w:sz w:val="14"/>
                <w:szCs w:val="14"/>
              </w:rPr>
            </w:pPr>
            <w:r>
              <w:rPr>
                <w:rFonts w:ascii="Calibri" w:hAnsi="Calibri" w:cs="Calibri"/>
                <w:sz w:val="15"/>
                <w:szCs w:val="15"/>
              </w:rPr>
              <w:t>In July 2013, we issued €2.0 billion of fixed-rate senior notes comprised of €1.25 billion of 2.25% senior notes due January 2021 (January 2021 Notes) and €750 million of 3.125% senior notes due July 2025 (July 2025 Notes, and together with the January 2021 Notes, the Euro Notes). Principal and unamortized discount/issuance costs for the Euro Notes in the table above were calculated using foreign currency exchange rates as of May 31, 2019 and May 31, 2018, respectively. The Euro Notes are registered and trade on the New York Stock Exchange.</w:t>
            </w:r>
          </w:p>
        </w:tc>
      </w:tr>
    </w:tbl>
    <w:p w14:paraId="7A414063"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7C2083F5" w14:textId="77777777">
        <w:tc>
          <w:tcPr>
            <w:tcW w:w="192" w:type="pct"/>
            <w:noWrap/>
            <w:hideMark/>
          </w:tcPr>
          <w:p w14:paraId="34500C5A" w14:textId="77777777" w:rsidR="00251D72" w:rsidRDefault="00251D72">
            <w:pPr>
              <w:pStyle w:val="a3"/>
              <w:spacing w:before="120" w:beforeAutospacing="0" w:after="0" w:afterAutospacing="0"/>
              <w:jc w:val="both"/>
              <w:rPr>
                <w:rFonts w:ascii="Calibri" w:hAnsi="Calibri" w:cs="Calibri"/>
                <w:sz w:val="14"/>
                <w:szCs w:val="14"/>
              </w:rPr>
            </w:pPr>
            <w:r>
              <w:rPr>
                <w:rFonts w:ascii="Calibri" w:hAnsi="Calibri" w:cs="Calibri"/>
                <w:sz w:val="12"/>
                <w:szCs w:val="12"/>
                <w:vertAlign w:val="superscript"/>
              </w:rPr>
              <w:t>(3)</w:t>
            </w:r>
          </w:p>
        </w:tc>
        <w:tc>
          <w:tcPr>
            <w:tcW w:w="0" w:type="auto"/>
            <w:hideMark/>
          </w:tcPr>
          <w:p w14:paraId="7DF6B23B" w14:textId="77777777" w:rsidR="00251D72" w:rsidRDefault="00251D72">
            <w:pPr>
              <w:pStyle w:val="a3"/>
              <w:spacing w:before="120" w:beforeAutospacing="0" w:after="0" w:afterAutospacing="0"/>
              <w:jc w:val="both"/>
              <w:rPr>
                <w:rFonts w:ascii="Calibri" w:hAnsi="Calibri" w:cs="Calibri"/>
                <w:sz w:val="14"/>
                <w:szCs w:val="14"/>
              </w:rPr>
            </w:pPr>
            <w:bookmarkStart w:id="133" w:name="_Hlk8053286"/>
            <w:bookmarkEnd w:id="133"/>
            <w:r>
              <w:rPr>
                <w:rFonts w:ascii="Calibri" w:hAnsi="Calibri" w:cs="Calibri"/>
                <w:sz w:val="15"/>
                <w:szCs w:val="15"/>
              </w:rPr>
              <w:t>In connection with the issuance of the January 2021 Notes, we entered into certain cross-currency swap agreements that have the economic effect of converting our fixed-rate, Euro-denominated debt, including annual interest payments and the payment of principal at maturity, to a fixed-rate, U.S. Dollar-denominated debt of $1.6 billion with a fixed annual interest rate of 3.53% (see Note 10 for additional information).</w:t>
            </w:r>
          </w:p>
        </w:tc>
      </w:tr>
    </w:tbl>
    <w:p w14:paraId="06733808"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1B3FD882" w14:textId="77777777">
        <w:tc>
          <w:tcPr>
            <w:tcW w:w="192" w:type="pct"/>
            <w:noWrap/>
            <w:hideMark/>
          </w:tcPr>
          <w:p w14:paraId="0D393F49" w14:textId="77777777" w:rsidR="00251D72" w:rsidRDefault="00251D72">
            <w:pPr>
              <w:pStyle w:val="a3"/>
              <w:spacing w:before="120" w:beforeAutospacing="0" w:after="0" w:afterAutospacing="0"/>
              <w:jc w:val="both"/>
              <w:rPr>
                <w:rFonts w:ascii="Calibri" w:hAnsi="Calibri" w:cs="Calibri"/>
                <w:sz w:val="14"/>
                <w:szCs w:val="14"/>
              </w:rPr>
            </w:pPr>
            <w:r>
              <w:rPr>
                <w:rFonts w:ascii="Calibri" w:hAnsi="Calibri" w:cs="Calibri"/>
                <w:sz w:val="12"/>
                <w:szCs w:val="12"/>
                <w:vertAlign w:val="superscript"/>
              </w:rPr>
              <w:t>(4)</w:t>
            </w:r>
          </w:p>
        </w:tc>
        <w:tc>
          <w:tcPr>
            <w:tcW w:w="0" w:type="auto"/>
            <w:hideMark/>
          </w:tcPr>
          <w:p w14:paraId="683D85B8" w14:textId="77777777" w:rsidR="00251D72" w:rsidRDefault="00251D72">
            <w:pPr>
              <w:pStyle w:val="a3"/>
              <w:spacing w:before="120" w:beforeAutospacing="0" w:after="0" w:afterAutospacing="0"/>
              <w:jc w:val="both"/>
              <w:rPr>
                <w:rFonts w:ascii="Calibri" w:hAnsi="Calibri" w:cs="Calibri"/>
                <w:sz w:val="14"/>
                <w:szCs w:val="14"/>
              </w:rPr>
            </w:pPr>
            <w:bookmarkStart w:id="134" w:name="_Hlk8053262"/>
            <w:bookmarkEnd w:id="134"/>
            <w:r>
              <w:rPr>
                <w:rFonts w:ascii="Calibri" w:hAnsi="Calibri" w:cs="Calibri"/>
                <w:sz w:val="15"/>
                <w:szCs w:val="15"/>
              </w:rPr>
              <w:t>In fiscal 2018 we entered into certain cross-currency interest rate swap agreements that have the economic effect of converting our fixed-rate, Euro-denominated debt, including annual interest payments and the payment of principal at maturity, to a variable-rate, U.S. Dollar-denominated debt of $871 million based on LIBOR. The effective interest rate as of May 31, 2019 and 2018 after consideration of the cross-currency interest rate swap agreements were 5.74% and 5.17%, respectively, for the July 2025 Notes. Refer to Notes 1 and 10 for a description of our accounting for fair value hedges.</w:t>
            </w:r>
            <w:r>
              <w:rPr>
                <w:rFonts w:ascii="Calibri" w:hAnsi="Calibri" w:cs="Calibri"/>
                <w:b/>
                <w:bCs/>
                <w:sz w:val="15"/>
                <w:szCs w:val="15"/>
              </w:rPr>
              <w:t xml:space="preserve"> </w:t>
            </w:r>
          </w:p>
        </w:tc>
      </w:tr>
    </w:tbl>
    <w:p w14:paraId="7B61C5F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Future principal payments (adjusted for the effects of the cross-currency swap agreements associated with the January 2021 Notes and July 2025 Notes) for all of our borrowings at May 31, 2019 were as follows (in millions):</w:t>
      </w:r>
      <w:r>
        <w:rPr>
          <w:sz w:val="20"/>
          <w:szCs w:val="20"/>
        </w:rPr>
        <w:t xml:space="preserve"> </w:t>
      </w:r>
    </w:p>
    <w:p w14:paraId="70F3C322"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7056"/>
        <w:gridCol w:w="162"/>
        <w:gridCol w:w="117"/>
        <w:gridCol w:w="896"/>
        <w:gridCol w:w="75"/>
      </w:tblGrid>
      <w:tr w:rsidR="00251D72" w14:paraId="5CF70D40" w14:textId="77777777">
        <w:trPr>
          <w:divId w:val="1082070874"/>
          <w:jc w:val="center"/>
        </w:trPr>
        <w:tc>
          <w:tcPr>
            <w:tcW w:w="4252" w:type="pct"/>
            <w:shd w:val="clear" w:color="auto" w:fill="CFF0FC"/>
            <w:tcMar>
              <w:top w:w="15" w:type="dxa"/>
              <w:left w:w="0" w:type="dxa"/>
              <w:bottom w:w="0" w:type="dxa"/>
              <w:right w:w="15" w:type="dxa"/>
            </w:tcMar>
            <w:vAlign w:val="bottom"/>
            <w:hideMark/>
          </w:tcPr>
          <w:p w14:paraId="5291D0A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2020</w:t>
            </w:r>
          </w:p>
        </w:tc>
        <w:tc>
          <w:tcPr>
            <w:tcW w:w="103" w:type="pct"/>
            <w:shd w:val="clear" w:color="auto" w:fill="CFF0FC"/>
            <w:tcMar>
              <w:top w:w="15" w:type="dxa"/>
              <w:left w:w="0" w:type="dxa"/>
              <w:bottom w:w="0" w:type="dxa"/>
              <w:right w:w="15" w:type="dxa"/>
            </w:tcMar>
            <w:vAlign w:val="bottom"/>
            <w:hideMark/>
          </w:tcPr>
          <w:p w14:paraId="3EFFA1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E7EE4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left w:w="0" w:type="dxa"/>
              <w:bottom w:w="0" w:type="dxa"/>
              <w:right w:w="15" w:type="dxa"/>
            </w:tcMar>
            <w:vAlign w:val="bottom"/>
            <w:hideMark/>
          </w:tcPr>
          <w:p w14:paraId="2FAD2FB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4,500</w:t>
            </w:r>
          </w:p>
        </w:tc>
        <w:tc>
          <w:tcPr>
            <w:tcW w:w="50" w:type="pct"/>
            <w:shd w:val="clear" w:color="auto" w:fill="CFF0FC"/>
            <w:noWrap/>
            <w:tcMar>
              <w:top w:w="15" w:type="dxa"/>
              <w:left w:w="0" w:type="dxa"/>
              <w:bottom w:w="0" w:type="dxa"/>
              <w:right w:w="15" w:type="dxa"/>
            </w:tcMar>
            <w:vAlign w:val="bottom"/>
            <w:hideMark/>
          </w:tcPr>
          <w:p w14:paraId="220CB7E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6CA4417" w14:textId="77777777">
        <w:trPr>
          <w:divId w:val="1082070874"/>
          <w:jc w:val="center"/>
        </w:trPr>
        <w:tc>
          <w:tcPr>
            <w:tcW w:w="4252" w:type="pct"/>
            <w:shd w:val="clear" w:color="auto" w:fill="FFFFFF"/>
            <w:tcMar>
              <w:top w:w="15" w:type="dxa"/>
              <w:left w:w="0" w:type="dxa"/>
              <w:bottom w:w="0" w:type="dxa"/>
              <w:right w:w="15" w:type="dxa"/>
            </w:tcMar>
            <w:vAlign w:val="bottom"/>
            <w:hideMark/>
          </w:tcPr>
          <w:p w14:paraId="0CC43A4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2021</w:t>
            </w:r>
          </w:p>
        </w:tc>
        <w:tc>
          <w:tcPr>
            <w:tcW w:w="103" w:type="pct"/>
            <w:shd w:val="clear" w:color="auto" w:fill="FFFFFF"/>
            <w:tcMar>
              <w:top w:w="15" w:type="dxa"/>
              <w:left w:w="0" w:type="dxa"/>
              <w:bottom w:w="0" w:type="dxa"/>
              <w:right w:w="15" w:type="dxa"/>
            </w:tcMar>
            <w:vAlign w:val="bottom"/>
            <w:hideMark/>
          </w:tcPr>
          <w:p w14:paraId="5EFC6A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7EEC5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left w:w="0" w:type="dxa"/>
              <w:bottom w:w="0" w:type="dxa"/>
              <w:right w:w="15" w:type="dxa"/>
            </w:tcMar>
            <w:vAlign w:val="bottom"/>
            <w:hideMark/>
          </w:tcPr>
          <w:p w14:paraId="643CB1D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2,631</w:t>
            </w:r>
          </w:p>
        </w:tc>
        <w:tc>
          <w:tcPr>
            <w:tcW w:w="50" w:type="pct"/>
            <w:shd w:val="clear" w:color="auto" w:fill="FFFFFF"/>
            <w:noWrap/>
            <w:tcMar>
              <w:top w:w="15" w:type="dxa"/>
              <w:left w:w="0" w:type="dxa"/>
              <w:bottom w:w="0" w:type="dxa"/>
              <w:right w:w="15" w:type="dxa"/>
            </w:tcMar>
            <w:vAlign w:val="bottom"/>
            <w:hideMark/>
          </w:tcPr>
          <w:p w14:paraId="077FA4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B8D13F7" w14:textId="77777777">
        <w:trPr>
          <w:divId w:val="1082070874"/>
          <w:jc w:val="center"/>
        </w:trPr>
        <w:tc>
          <w:tcPr>
            <w:tcW w:w="4252" w:type="pct"/>
            <w:shd w:val="clear" w:color="auto" w:fill="CFF0FC"/>
            <w:tcMar>
              <w:top w:w="15" w:type="dxa"/>
              <w:left w:w="0" w:type="dxa"/>
              <w:bottom w:w="0" w:type="dxa"/>
              <w:right w:w="15" w:type="dxa"/>
            </w:tcMar>
            <w:vAlign w:val="bottom"/>
            <w:hideMark/>
          </w:tcPr>
          <w:p w14:paraId="58A2F5D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2022</w:t>
            </w:r>
          </w:p>
        </w:tc>
        <w:tc>
          <w:tcPr>
            <w:tcW w:w="103" w:type="pct"/>
            <w:shd w:val="clear" w:color="auto" w:fill="CFF0FC"/>
            <w:tcMar>
              <w:top w:w="15" w:type="dxa"/>
              <w:left w:w="0" w:type="dxa"/>
              <w:bottom w:w="0" w:type="dxa"/>
              <w:right w:w="15" w:type="dxa"/>
            </w:tcMar>
            <w:vAlign w:val="bottom"/>
            <w:hideMark/>
          </w:tcPr>
          <w:p w14:paraId="7EBEA1A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4D893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left w:w="0" w:type="dxa"/>
              <w:bottom w:w="0" w:type="dxa"/>
              <w:right w:w="15" w:type="dxa"/>
            </w:tcMar>
            <w:vAlign w:val="bottom"/>
            <w:hideMark/>
          </w:tcPr>
          <w:p w14:paraId="239610A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8,250</w:t>
            </w:r>
          </w:p>
        </w:tc>
        <w:tc>
          <w:tcPr>
            <w:tcW w:w="50" w:type="pct"/>
            <w:shd w:val="clear" w:color="auto" w:fill="CFF0FC"/>
            <w:noWrap/>
            <w:tcMar>
              <w:top w:w="15" w:type="dxa"/>
              <w:left w:w="0" w:type="dxa"/>
              <w:bottom w:w="0" w:type="dxa"/>
              <w:right w:w="15" w:type="dxa"/>
            </w:tcMar>
            <w:vAlign w:val="bottom"/>
            <w:hideMark/>
          </w:tcPr>
          <w:p w14:paraId="4F0A5C8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ACAB922" w14:textId="77777777">
        <w:trPr>
          <w:divId w:val="1082070874"/>
          <w:jc w:val="center"/>
        </w:trPr>
        <w:tc>
          <w:tcPr>
            <w:tcW w:w="4252" w:type="pct"/>
            <w:shd w:val="clear" w:color="auto" w:fill="FFFFFF"/>
            <w:tcMar>
              <w:top w:w="15" w:type="dxa"/>
              <w:left w:w="0" w:type="dxa"/>
              <w:bottom w:w="0" w:type="dxa"/>
              <w:right w:w="15" w:type="dxa"/>
            </w:tcMar>
            <w:vAlign w:val="bottom"/>
            <w:hideMark/>
          </w:tcPr>
          <w:p w14:paraId="4E43D1E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FFFFFF"/>
            <w:tcMar>
              <w:top w:w="15" w:type="dxa"/>
              <w:left w:w="0" w:type="dxa"/>
              <w:bottom w:w="0" w:type="dxa"/>
              <w:right w:w="15" w:type="dxa"/>
            </w:tcMar>
            <w:vAlign w:val="bottom"/>
            <w:hideMark/>
          </w:tcPr>
          <w:p w14:paraId="1AD88FB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0D4E0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left w:w="0" w:type="dxa"/>
              <w:bottom w:w="0" w:type="dxa"/>
              <w:right w:w="15" w:type="dxa"/>
            </w:tcMar>
            <w:vAlign w:val="bottom"/>
            <w:hideMark/>
          </w:tcPr>
          <w:p w14:paraId="7677E68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3,750</w:t>
            </w:r>
          </w:p>
        </w:tc>
        <w:tc>
          <w:tcPr>
            <w:tcW w:w="50" w:type="pct"/>
            <w:shd w:val="clear" w:color="auto" w:fill="FFFFFF"/>
            <w:noWrap/>
            <w:tcMar>
              <w:top w:w="15" w:type="dxa"/>
              <w:left w:w="0" w:type="dxa"/>
              <w:bottom w:w="0" w:type="dxa"/>
              <w:right w:w="15" w:type="dxa"/>
            </w:tcMar>
            <w:vAlign w:val="bottom"/>
            <w:hideMark/>
          </w:tcPr>
          <w:p w14:paraId="70D4479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AB63841" w14:textId="77777777">
        <w:trPr>
          <w:divId w:val="1082070874"/>
          <w:jc w:val="center"/>
        </w:trPr>
        <w:tc>
          <w:tcPr>
            <w:tcW w:w="4252" w:type="pct"/>
            <w:shd w:val="clear" w:color="auto" w:fill="CFF0FC"/>
            <w:tcMar>
              <w:top w:w="15" w:type="dxa"/>
              <w:left w:w="0" w:type="dxa"/>
              <w:bottom w:w="0" w:type="dxa"/>
              <w:right w:w="15" w:type="dxa"/>
            </w:tcMar>
            <w:vAlign w:val="bottom"/>
            <w:hideMark/>
          </w:tcPr>
          <w:p w14:paraId="6E2D020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CFF0FC"/>
            <w:tcMar>
              <w:top w:w="15" w:type="dxa"/>
              <w:left w:w="0" w:type="dxa"/>
              <w:bottom w:w="0" w:type="dxa"/>
              <w:right w:w="15" w:type="dxa"/>
            </w:tcMar>
            <w:vAlign w:val="bottom"/>
            <w:hideMark/>
          </w:tcPr>
          <w:p w14:paraId="4FB394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5955B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left w:w="0" w:type="dxa"/>
              <w:bottom w:w="0" w:type="dxa"/>
              <w:right w:w="15" w:type="dxa"/>
            </w:tcMar>
            <w:vAlign w:val="bottom"/>
            <w:hideMark/>
          </w:tcPr>
          <w:p w14:paraId="793AA2B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3,500</w:t>
            </w:r>
          </w:p>
        </w:tc>
        <w:tc>
          <w:tcPr>
            <w:tcW w:w="50" w:type="pct"/>
            <w:shd w:val="clear" w:color="auto" w:fill="CFF0FC"/>
            <w:noWrap/>
            <w:tcMar>
              <w:top w:w="15" w:type="dxa"/>
              <w:left w:w="0" w:type="dxa"/>
              <w:bottom w:w="0" w:type="dxa"/>
              <w:right w:w="15" w:type="dxa"/>
            </w:tcMar>
            <w:vAlign w:val="bottom"/>
            <w:hideMark/>
          </w:tcPr>
          <w:p w14:paraId="5981917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F0BDC2D" w14:textId="77777777">
        <w:trPr>
          <w:divId w:val="1082070874"/>
          <w:jc w:val="center"/>
        </w:trPr>
        <w:tc>
          <w:tcPr>
            <w:tcW w:w="4252" w:type="pct"/>
            <w:shd w:val="clear" w:color="auto" w:fill="FFFFFF"/>
            <w:tcMar>
              <w:top w:w="15" w:type="dxa"/>
              <w:left w:w="0" w:type="dxa"/>
              <w:bottom w:w="0" w:type="dxa"/>
              <w:right w:w="15" w:type="dxa"/>
            </w:tcMar>
            <w:vAlign w:val="bottom"/>
            <w:hideMark/>
          </w:tcPr>
          <w:p w14:paraId="1B98EE0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FFFFFF"/>
            <w:tcMar>
              <w:top w:w="15" w:type="dxa"/>
              <w:left w:w="0" w:type="dxa"/>
              <w:bottom w:w="0" w:type="dxa"/>
              <w:right w:w="15" w:type="dxa"/>
            </w:tcMar>
            <w:vAlign w:val="bottom"/>
            <w:hideMark/>
          </w:tcPr>
          <w:p w14:paraId="54F0694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603570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FFFFFF"/>
            <w:noWrap/>
            <w:tcMar>
              <w:top w:w="15" w:type="dxa"/>
              <w:left w:w="0" w:type="dxa"/>
              <w:bottom w:w="0" w:type="dxa"/>
              <w:right w:w="15" w:type="dxa"/>
            </w:tcMar>
            <w:vAlign w:val="bottom"/>
            <w:hideMark/>
          </w:tcPr>
          <w:p w14:paraId="692E950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33,984</w:t>
            </w:r>
          </w:p>
        </w:tc>
        <w:tc>
          <w:tcPr>
            <w:tcW w:w="50" w:type="pct"/>
            <w:shd w:val="clear" w:color="auto" w:fill="FFFFFF"/>
            <w:noWrap/>
            <w:tcMar>
              <w:top w:w="15" w:type="dxa"/>
              <w:left w:w="0" w:type="dxa"/>
              <w:bottom w:w="0" w:type="dxa"/>
              <w:right w:w="15" w:type="dxa"/>
            </w:tcMar>
            <w:vAlign w:val="bottom"/>
            <w:hideMark/>
          </w:tcPr>
          <w:p w14:paraId="3B177C6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99A0218" w14:textId="77777777">
        <w:trPr>
          <w:divId w:val="1082070874"/>
          <w:jc w:val="center"/>
        </w:trPr>
        <w:tc>
          <w:tcPr>
            <w:tcW w:w="4252" w:type="pct"/>
            <w:shd w:val="clear" w:color="auto" w:fill="CFF0FC"/>
            <w:tcMar>
              <w:top w:w="15" w:type="dxa"/>
              <w:left w:w="0" w:type="dxa"/>
              <w:bottom w:w="0" w:type="dxa"/>
              <w:right w:w="15" w:type="dxa"/>
            </w:tcMar>
            <w:vAlign w:val="bottom"/>
            <w:hideMark/>
          </w:tcPr>
          <w:p w14:paraId="550A67A3"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w:t>
            </w:r>
          </w:p>
        </w:tc>
        <w:tc>
          <w:tcPr>
            <w:tcW w:w="103" w:type="pct"/>
            <w:shd w:val="clear" w:color="auto" w:fill="CFF0FC"/>
            <w:tcMar>
              <w:top w:w="15" w:type="dxa"/>
              <w:left w:w="0" w:type="dxa"/>
              <w:bottom w:w="0" w:type="dxa"/>
              <w:right w:w="15" w:type="dxa"/>
            </w:tcMar>
            <w:vAlign w:val="bottom"/>
            <w:hideMark/>
          </w:tcPr>
          <w:p w14:paraId="0B36C86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B22E3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A3F34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56,615</w:t>
            </w:r>
          </w:p>
        </w:tc>
        <w:tc>
          <w:tcPr>
            <w:tcW w:w="50" w:type="pct"/>
            <w:shd w:val="clear" w:color="auto" w:fill="CFF0FC"/>
            <w:noWrap/>
            <w:tcMar>
              <w:top w:w="15" w:type="dxa"/>
              <w:left w:w="0" w:type="dxa"/>
              <w:bottom w:w="0" w:type="dxa"/>
              <w:right w:w="15" w:type="dxa"/>
            </w:tcMar>
            <w:vAlign w:val="bottom"/>
            <w:hideMark/>
          </w:tcPr>
          <w:p w14:paraId="09B9024D"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444F0196"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Senior Notes</w:t>
      </w:r>
    </w:p>
    <w:p w14:paraId="25FCB5C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Interest is payable semi-annually for the senior notes listed in the above table except for the Euro Notes for which interest is payable annually and the floating-rate senior notes for which interest is payable quarterly. We may redeem some or all of the senior notes of each series prior to their maturity, subject to certain restrictions, and the payment of an applicable make-whole premium in certain instances except for the floating-rate senior notes, which may not be redeemed prior to their maturity.</w:t>
      </w:r>
    </w:p>
    <w:p w14:paraId="6AD6E3E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senior notes rank pari passu with any other notes we may issue in the future pursuant to our commercial paper program (see additional discussion regarding our commercial paper program below) and all existing and future unsecured senior indebtedness of Oracle Corporation. All existing and future liabilities of the subsidiaries of Oracle Corporation are or will be effectively senior to the senior notes and any future issuances of commercial paper notes. We were in compliance with all debt-related covenants at May 31, 2019.</w:t>
      </w:r>
    </w:p>
    <w:p w14:paraId="50F1960B"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Revolving Credit Agreements</w:t>
      </w:r>
    </w:p>
    <w:p w14:paraId="5F15F35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May 2018, we borrowed $2.5 billion pursuant to three revolving credit agreements with JPMorgan Chase Bank, N.A., as initial lender and administrative agent (the 2018 Credit Agreements). In June 2018, we repaid the $2.5 billion and the 2018 Credit Agreements expired pursuant to their terms.</w:t>
      </w:r>
    </w:p>
    <w:p w14:paraId="68255E84"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92</w:t>
      </w:r>
    </w:p>
    <w:p w14:paraId="7CA7EF33" w14:textId="77777777" w:rsidR="00251D72" w:rsidRDefault="00251D72">
      <w:pPr>
        <w:rPr>
          <w:rFonts w:ascii="Times New Roman" w:eastAsia="Times New Roman" w:hAnsi="Times New Roman" w:cs="Times New Roman"/>
          <w:sz w:val="24"/>
          <w:szCs w:val="24"/>
        </w:rPr>
      </w:pPr>
      <w:r>
        <w:rPr>
          <w:rFonts w:eastAsia="Times New Roman"/>
        </w:rPr>
        <w:pict w14:anchorId="2A1DADF1">
          <v:rect id="_x0000_i1118" style="width:415.3pt;height:1.5pt" o:hralign="center" o:hrstd="t" o:hr="t" fillcolor="#a0a0a0" stroked="f"/>
        </w:pict>
      </w:r>
    </w:p>
    <w:p w14:paraId="51908464"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3033DCC0"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0A88538"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6C0B9C85"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148078BB"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1FA44C51" w14:textId="77777777" w:rsidR="00251D72" w:rsidRDefault="00251D72">
      <w:pPr>
        <w:pStyle w:val="a3"/>
        <w:spacing w:before="0" w:beforeAutospacing="0" w:after="0" w:afterAutospacing="0"/>
        <w:rPr>
          <w:sz w:val="20"/>
          <w:szCs w:val="20"/>
        </w:rPr>
      </w:pPr>
      <w:r>
        <w:rPr>
          <w:sz w:val="20"/>
          <w:szCs w:val="20"/>
        </w:rPr>
        <w:t> </w:t>
      </w:r>
    </w:p>
    <w:p w14:paraId="7D10839B" w14:textId="77777777" w:rsidR="00251D72" w:rsidRDefault="00251D72">
      <w:pPr>
        <w:pStyle w:val="a3"/>
        <w:spacing w:before="240" w:beforeAutospacing="0" w:after="0" w:afterAutospacing="0"/>
        <w:jc w:val="both"/>
        <w:rPr>
          <w:rFonts w:ascii="Calibri" w:hAnsi="Calibri" w:cs="Calibri"/>
          <w:b/>
          <w:bCs/>
          <w:sz w:val="20"/>
          <w:szCs w:val="20"/>
        </w:rPr>
      </w:pPr>
      <w:bookmarkStart w:id="135" w:name="_AEIOULastRenderedPageBreakAEIOU95"/>
      <w:bookmarkEnd w:id="135"/>
      <w:r>
        <w:rPr>
          <w:rFonts w:ascii="Calibri" w:hAnsi="Calibri" w:cs="Calibri"/>
          <w:b/>
          <w:bCs/>
          <w:sz w:val="20"/>
          <w:szCs w:val="20"/>
        </w:rPr>
        <w:t>Commercial Paper Program and Commercial Paper Notes</w:t>
      </w:r>
    </w:p>
    <w:p w14:paraId="7D95DCBF"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existing $3.0 billion commercial paper program allows us to issue and sell unsecured short-term promissory notes pursuant to a private placement exemption from the registration requirements under federal and state securities laws pursuant to dealer agreements with various banks and an Issuing and Paying Agency Agreement with Deutsche Bank Trust Company Americas. As of May 31, 2019 and 2018, we did not have any outstanding commercial paper notes.</w:t>
      </w:r>
    </w:p>
    <w:tbl>
      <w:tblPr>
        <w:tblW w:w="5000" w:type="pct"/>
        <w:tblCellMar>
          <w:left w:w="0" w:type="dxa"/>
          <w:right w:w="0" w:type="dxa"/>
        </w:tblCellMar>
        <w:tblLook w:val="04A0" w:firstRow="1" w:lastRow="0" w:firstColumn="1" w:lastColumn="0" w:noHBand="0" w:noVBand="1"/>
      </w:tblPr>
      <w:tblGrid>
        <w:gridCol w:w="435"/>
        <w:gridCol w:w="7871"/>
      </w:tblGrid>
      <w:tr w:rsidR="00251D72" w14:paraId="05C1F36A" w14:textId="77777777">
        <w:tc>
          <w:tcPr>
            <w:tcW w:w="262" w:type="pct"/>
            <w:noWrap/>
            <w:hideMark/>
          </w:tcPr>
          <w:p w14:paraId="79428CEF"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8.</w:t>
            </w:r>
          </w:p>
        </w:tc>
        <w:tc>
          <w:tcPr>
            <w:tcW w:w="0" w:type="auto"/>
            <w:hideMark/>
          </w:tcPr>
          <w:p w14:paraId="0925AF47"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7CA3DAF5"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Fiscal 2019 Oracle Restructuring Plan</w:t>
      </w:r>
    </w:p>
    <w:p w14:paraId="3513E4B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During fiscal 2019, our management approved, committed to and initiated plans to restructure and further improve efficiencies in our operations due to our acquisitions and certain other operational activities (2019 Restructuring Plan).</w:t>
      </w:r>
      <w:r>
        <w:rPr>
          <w:rFonts w:ascii="Calibri" w:hAnsi="Calibri" w:cs="Calibri"/>
          <w:color w:val="000000"/>
          <w:sz w:val="20"/>
          <w:szCs w:val="20"/>
        </w:rPr>
        <w:t xml:space="preserve"> In the fourth quarter of fiscal 2019, our management supplemented the 2019 Restructuring Plan to reflect additional actions that we expect to take. The total estimated restructuring costs associated with the 2019 Restructuring Plan are up to $584 million and will be recorded to the restructuring expense line item within our consolidated statements of operations as they are incurred. </w:t>
      </w:r>
      <w:r>
        <w:rPr>
          <w:rFonts w:ascii="Calibri" w:hAnsi="Calibri" w:cs="Calibri"/>
          <w:sz w:val="20"/>
          <w:szCs w:val="20"/>
        </w:rPr>
        <w:t>We recorded $476 million of restructuring expenses in connection with the 2019 Restructuring Plan in fiscal 2019 and we expect to incur the majority of the estimated $108 million through the end of fiscal 2020. Any changes to the estimates of executing the 2019 Restructuring Plan will be reflected in our future results of operations</w:t>
      </w:r>
      <w:r>
        <w:rPr>
          <w:rFonts w:ascii="Calibri" w:hAnsi="Calibri" w:cs="Calibri"/>
          <w:color w:val="000000"/>
          <w:sz w:val="20"/>
          <w:szCs w:val="20"/>
        </w:rPr>
        <w:t>.</w:t>
      </w:r>
      <w:r>
        <w:rPr>
          <w:rFonts w:ascii="Calibri" w:hAnsi="Calibri" w:cs="Calibri"/>
          <w:sz w:val="20"/>
          <w:szCs w:val="20"/>
        </w:rPr>
        <w:t xml:space="preserve"> </w:t>
      </w:r>
    </w:p>
    <w:p w14:paraId="5739EFC2"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Fiscal 2017 Oracle Restructuring Plan</w:t>
      </w:r>
    </w:p>
    <w:p w14:paraId="64AFD6E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During fiscal 2017, our management approved, committed to and initiated plans to restructure and further improve efficiencies in our operations due to our acquisitions and certain other operational activities (2017 Restructuring Plan).</w:t>
      </w:r>
      <w:r>
        <w:rPr>
          <w:rFonts w:ascii="Calibri" w:hAnsi="Calibri" w:cs="Calibri"/>
          <w:color w:val="000000"/>
          <w:sz w:val="20"/>
          <w:szCs w:val="20"/>
        </w:rPr>
        <w:t xml:space="preserve"> Restructuring costs associated with the 2017 Restructuring Plan were recorded to the restructuring expense line item within our consolidated statements of operations as they were incurred. </w:t>
      </w:r>
      <w:r>
        <w:rPr>
          <w:rFonts w:ascii="Calibri" w:hAnsi="Calibri" w:cs="Calibri"/>
          <w:sz w:val="20"/>
          <w:szCs w:val="20"/>
        </w:rPr>
        <w:t xml:space="preserve">We recorded $601 million and $486 million of restructuring expenses in connection with the 2017 Restructuring Plan in fiscal 2018 and 2017, respectively. </w:t>
      </w:r>
      <w:r>
        <w:rPr>
          <w:rFonts w:ascii="Calibri" w:hAnsi="Calibri" w:cs="Calibri"/>
          <w:color w:val="000000"/>
          <w:sz w:val="20"/>
          <w:szCs w:val="20"/>
        </w:rPr>
        <w:t>Actions pursuant to the 2017 Restructuring Plan were substantially complete as of May 31, 2018.</w:t>
      </w:r>
    </w:p>
    <w:p w14:paraId="48D4CF5C"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Summary of All Plans </w:t>
      </w:r>
    </w:p>
    <w:p w14:paraId="2723DC08"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Fiscal 2019 Activity</w:t>
      </w:r>
    </w:p>
    <w:p w14:paraId="25BCF00E"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2697"/>
        <w:gridCol w:w="81"/>
        <w:gridCol w:w="108"/>
        <w:gridCol w:w="451"/>
        <w:gridCol w:w="64"/>
        <w:gridCol w:w="64"/>
        <w:gridCol w:w="108"/>
        <w:gridCol w:w="451"/>
        <w:gridCol w:w="64"/>
        <w:gridCol w:w="64"/>
        <w:gridCol w:w="108"/>
        <w:gridCol w:w="451"/>
        <w:gridCol w:w="70"/>
        <w:gridCol w:w="58"/>
        <w:gridCol w:w="108"/>
        <w:gridCol w:w="535"/>
        <w:gridCol w:w="70"/>
        <w:gridCol w:w="59"/>
        <w:gridCol w:w="108"/>
        <w:gridCol w:w="452"/>
        <w:gridCol w:w="70"/>
        <w:gridCol w:w="60"/>
        <w:gridCol w:w="108"/>
        <w:gridCol w:w="452"/>
        <w:gridCol w:w="65"/>
        <w:gridCol w:w="65"/>
        <w:gridCol w:w="107"/>
        <w:gridCol w:w="435"/>
        <w:gridCol w:w="65"/>
        <w:gridCol w:w="65"/>
        <w:gridCol w:w="108"/>
        <w:gridCol w:w="488"/>
        <w:gridCol w:w="47"/>
      </w:tblGrid>
      <w:tr w:rsidR="00251D72" w14:paraId="08461F48" w14:textId="77777777">
        <w:trPr>
          <w:divId w:val="1839038294"/>
          <w:trHeight w:val="291"/>
          <w:jc w:val="center"/>
        </w:trPr>
        <w:tc>
          <w:tcPr>
            <w:tcW w:w="1635" w:type="pct"/>
            <w:shd w:val="clear" w:color="auto" w:fill="FFFFFF"/>
            <w:tcMar>
              <w:top w:w="15" w:type="dxa"/>
              <w:left w:w="0" w:type="dxa"/>
              <w:bottom w:w="0" w:type="dxa"/>
              <w:right w:w="15" w:type="dxa"/>
            </w:tcMar>
            <w:vAlign w:val="bottom"/>
            <w:hideMark/>
          </w:tcPr>
          <w:p w14:paraId="5C52180F" w14:textId="77777777" w:rsidR="00251D72" w:rsidRDefault="00251D72">
            <w:pPr>
              <w:pStyle w:val="a3"/>
              <w:spacing w:before="0" w:beforeAutospacing="0" w:after="0" w:afterAutospacing="0"/>
              <w:jc w:val="center"/>
              <w:rPr>
                <w:sz w:val="15"/>
                <w:szCs w:val="15"/>
              </w:rPr>
            </w:pPr>
            <w:r>
              <w:rPr>
                <w:sz w:val="15"/>
                <w:szCs w:val="15"/>
              </w:rPr>
              <w:t> </w:t>
            </w:r>
          </w:p>
        </w:tc>
        <w:tc>
          <w:tcPr>
            <w:tcW w:w="60" w:type="pct"/>
            <w:shd w:val="clear" w:color="auto" w:fill="FFFFFF"/>
            <w:tcMar>
              <w:top w:w="15" w:type="dxa"/>
              <w:left w:w="0" w:type="dxa"/>
              <w:bottom w:w="0" w:type="dxa"/>
              <w:right w:w="15" w:type="dxa"/>
            </w:tcMar>
            <w:vAlign w:val="bottom"/>
            <w:hideMark/>
          </w:tcPr>
          <w:p w14:paraId="5471E28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32" w:type="pct"/>
            <w:gridSpan w:val="2"/>
            <w:vMerge w:val="restart"/>
            <w:shd w:val="clear" w:color="auto" w:fill="FFFFFF"/>
            <w:tcMar>
              <w:top w:w="15" w:type="dxa"/>
              <w:left w:w="0" w:type="dxa"/>
              <w:bottom w:w="0" w:type="dxa"/>
              <w:right w:w="15" w:type="dxa"/>
            </w:tcMar>
            <w:vAlign w:val="bottom"/>
            <w:hideMark/>
          </w:tcPr>
          <w:p w14:paraId="300BF7D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562EA4D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567630A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r>
              <w:rPr>
                <w:rFonts w:ascii="Calibri" w:hAnsi="Calibri" w:cs="Calibri"/>
                <w:b/>
                <w:bCs/>
                <w:color w:val="000000"/>
                <w:sz w:val="13"/>
                <w:szCs w:val="13"/>
                <w:vertAlign w:val="superscript"/>
              </w:rPr>
              <w:t>(2)</w:t>
            </w:r>
          </w:p>
        </w:tc>
        <w:tc>
          <w:tcPr>
            <w:tcW w:w="50" w:type="pct"/>
            <w:shd w:val="clear" w:color="auto" w:fill="FFFFFF"/>
            <w:noWrap/>
            <w:tcMar>
              <w:top w:w="15" w:type="dxa"/>
              <w:left w:w="0" w:type="dxa"/>
              <w:bottom w:w="0" w:type="dxa"/>
              <w:right w:w="15" w:type="dxa"/>
            </w:tcMar>
            <w:vAlign w:val="bottom"/>
            <w:hideMark/>
          </w:tcPr>
          <w:p w14:paraId="0F3670F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36992AF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627" w:type="pct"/>
            <w:gridSpan w:val="14"/>
            <w:tcBorders>
              <w:bottom w:val="single" w:sz="6" w:space="0" w:color="000000"/>
            </w:tcBorders>
            <w:shd w:val="clear" w:color="auto" w:fill="FFFFFF"/>
            <w:tcMar>
              <w:top w:w="15" w:type="dxa"/>
              <w:left w:w="0" w:type="dxa"/>
              <w:bottom w:w="0" w:type="dxa"/>
              <w:right w:w="15" w:type="dxa"/>
            </w:tcMar>
            <w:vAlign w:val="bottom"/>
            <w:hideMark/>
          </w:tcPr>
          <w:p w14:paraId="2D133C0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 2019</w:t>
            </w:r>
          </w:p>
        </w:tc>
        <w:tc>
          <w:tcPr>
            <w:tcW w:w="50" w:type="pct"/>
            <w:shd w:val="clear" w:color="auto" w:fill="FFFFFF"/>
            <w:noWrap/>
            <w:tcMar>
              <w:top w:w="15" w:type="dxa"/>
              <w:left w:w="0" w:type="dxa"/>
              <w:bottom w:w="0" w:type="dxa"/>
              <w:right w:w="15" w:type="dxa"/>
            </w:tcMar>
            <w:vAlign w:val="bottom"/>
            <w:hideMark/>
          </w:tcPr>
          <w:p w14:paraId="55F18AC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2E66497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32" w:type="pct"/>
            <w:gridSpan w:val="2"/>
            <w:vMerge w:val="restart"/>
            <w:shd w:val="clear" w:color="auto" w:fill="FFFFFF"/>
            <w:tcMar>
              <w:top w:w="15" w:type="dxa"/>
              <w:left w:w="0" w:type="dxa"/>
              <w:bottom w:w="0" w:type="dxa"/>
              <w:right w:w="15" w:type="dxa"/>
            </w:tcMar>
            <w:vAlign w:val="bottom"/>
            <w:hideMark/>
          </w:tcPr>
          <w:p w14:paraId="251D2B2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6B0D579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79E6800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r>
              <w:rPr>
                <w:rFonts w:ascii="Calibri" w:hAnsi="Calibri" w:cs="Calibri"/>
                <w:b/>
                <w:bCs/>
                <w:color w:val="000000"/>
                <w:sz w:val="13"/>
                <w:szCs w:val="13"/>
                <w:vertAlign w:val="superscript"/>
              </w:rPr>
              <w:t>(2)</w:t>
            </w:r>
          </w:p>
        </w:tc>
        <w:tc>
          <w:tcPr>
            <w:tcW w:w="50" w:type="pct"/>
            <w:shd w:val="clear" w:color="auto" w:fill="FFFFFF"/>
            <w:noWrap/>
            <w:tcMar>
              <w:top w:w="15" w:type="dxa"/>
              <w:left w:w="0" w:type="dxa"/>
              <w:bottom w:w="0" w:type="dxa"/>
              <w:right w:w="15" w:type="dxa"/>
            </w:tcMar>
            <w:vAlign w:val="bottom"/>
            <w:hideMark/>
          </w:tcPr>
          <w:p w14:paraId="1ACA07F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53A0B24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99" w:type="pct"/>
            <w:gridSpan w:val="2"/>
            <w:vMerge w:val="restart"/>
            <w:shd w:val="clear" w:color="auto" w:fill="FFFFFF"/>
            <w:tcMar>
              <w:top w:w="15" w:type="dxa"/>
              <w:left w:w="0" w:type="dxa"/>
              <w:bottom w:w="0" w:type="dxa"/>
              <w:right w:w="15" w:type="dxa"/>
            </w:tcMar>
            <w:vAlign w:val="bottom"/>
            <w:hideMark/>
          </w:tcPr>
          <w:p w14:paraId="56E4FB7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298F75E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Costs</w:t>
            </w:r>
          </w:p>
          <w:p w14:paraId="7FAB9DF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75D83EF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 Date</w:t>
            </w:r>
          </w:p>
        </w:tc>
        <w:tc>
          <w:tcPr>
            <w:tcW w:w="50" w:type="pct"/>
            <w:shd w:val="clear" w:color="auto" w:fill="FFFFFF"/>
            <w:noWrap/>
            <w:tcMar>
              <w:top w:w="15" w:type="dxa"/>
              <w:left w:w="0" w:type="dxa"/>
              <w:bottom w:w="0" w:type="dxa"/>
              <w:right w:w="15" w:type="dxa"/>
            </w:tcMar>
            <w:vAlign w:val="bottom"/>
            <w:hideMark/>
          </w:tcPr>
          <w:p w14:paraId="03F5282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6F13566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vMerge w:val="restart"/>
            <w:shd w:val="clear" w:color="auto" w:fill="FFFFFF"/>
            <w:tcMar>
              <w:top w:w="15" w:type="dxa"/>
              <w:left w:w="0" w:type="dxa"/>
              <w:bottom w:w="0" w:type="dxa"/>
              <w:right w:w="15" w:type="dxa"/>
            </w:tcMar>
            <w:vAlign w:val="bottom"/>
            <w:hideMark/>
          </w:tcPr>
          <w:p w14:paraId="53E7C57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7D8FBB8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Expected</w:t>
            </w:r>
          </w:p>
          <w:p w14:paraId="0E1AEF1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Program</w:t>
            </w:r>
          </w:p>
          <w:p w14:paraId="3A52D0F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Costs</w:t>
            </w:r>
          </w:p>
        </w:tc>
        <w:tc>
          <w:tcPr>
            <w:tcW w:w="11" w:type="pct"/>
            <w:shd w:val="clear" w:color="auto" w:fill="FFFFFF"/>
            <w:noWrap/>
            <w:tcMar>
              <w:top w:w="15" w:type="dxa"/>
              <w:left w:w="0" w:type="dxa"/>
              <w:bottom w:w="0" w:type="dxa"/>
              <w:right w:w="15" w:type="dxa"/>
            </w:tcMar>
            <w:vAlign w:val="bottom"/>
            <w:hideMark/>
          </w:tcPr>
          <w:p w14:paraId="162799DB" w14:textId="77777777" w:rsidR="00251D72" w:rsidRDefault="00251D72">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r>
      <w:tr w:rsidR="00251D72" w14:paraId="666A7D91" w14:textId="77777777">
        <w:trPr>
          <w:divId w:val="1839038294"/>
          <w:jc w:val="center"/>
        </w:trPr>
        <w:tc>
          <w:tcPr>
            <w:tcW w:w="1635" w:type="pct"/>
            <w:tcBorders>
              <w:bottom w:val="single" w:sz="6" w:space="0" w:color="000000"/>
            </w:tcBorders>
            <w:shd w:val="clear" w:color="auto" w:fill="FFFFFF"/>
            <w:tcMar>
              <w:top w:w="15" w:type="dxa"/>
              <w:left w:w="0" w:type="dxa"/>
              <w:bottom w:w="0" w:type="dxa"/>
              <w:right w:w="15" w:type="dxa"/>
            </w:tcMar>
            <w:vAlign w:val="bottom"/>
            <w:hideMark/>
          </w:tcPr>
          <w:p w14:paraId="052AD3E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0" w:type="pct"/>
            <w:shd w:val="clear" w:color="auto" w:fill="FFFFFF"/>
            <w:tcMar>
              <w:top w:w="15" w:type="dxa"/>
              <w:left w:w="0" w:type="dxa"/>
              <w:bottom w:w="0" w:type="dxa"/>
              <w:right w:w="15" w:type="dxa"/>
            </w:tcMar>
            <w:vAlign w:val="bottom"/>
            <w:hideMark/>
          </w:tcPr>
          <w:p w14:paraId="570F974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0" w:type="auto"/>
            <w:gridSpan w:val="2"/>
            <w:vMerge/>
            <w:vAlign w:val="center"/>
            <w:hideMark/>
          </w:tcPr>
          <w:p w14:paraId="0C2BB3F9" w14:textId="77777777" w:rsidR="00251D72" w:rsidRDefault="00251D72">
            <w:pPr>
              <w:rPr>
                <w:rFonts w:ascii="Calibri" w:hAnsi="Calibri" w:cs="Calibri"/>
                <w:b/>
                <w:bCs/>
                <w:color w:val="000000"/>
                <w:sz w:val="15"/>
                <w:szCs w:val="15"/>
              </w:rPr>
            </w:pPr>
          </w:p>
        </w:tc>
        <w:tc>
          <w:tcPr>
            <w:tcW w:w="50" w:type="pct"/>
            <w:shd w:val="clear" w:color="auto" w:fill="FFFFFF"/>
            <w:noWrap/>
            <w:tcMar>
              <w:top w:w="15" w:type="dxa"/>
              <w:left w:w="0" w:type="dxa"/>
              <w:bottom w:w="0" w:type="dxa"/>
              <w:right w:w="15" w:type="dxa"/>
            </w:tcMar>
            <w:vAlign w:val="bottom"/>
            <w:hideMark/>
          </w:tcPr>
          <w:p w14:paraId="03A412E1" w14:textId="77777777" w:rsidR="00251D72" w:rsidRDefault="00251D72">
            <w:pPr>
              <w:pStyle w:val="a3"/>
              <w:spacing w:before="0" w:beforeAutospacing="0" w:after="0" w:afterAutospacing="0"/>
              <w:rPr>
                <w:color w:val="000000"/>
                <w:sz w:val="15"/>
                <w:szCs w:val="15"/>
              </w:rPr>
            </w:pPr>
            <w:r>
              <w:rPr>
                <w:color w:val="000000"/>
                <w:sz w:val="15"/>
                <w:szCs w:val="15"/>
              </w:rPr>
              <w:t> </w:t>
            </w:r>
          </w:p>
        </w:tc>
        <w:tc>
          <w:tcPr>
            <w:tcW w:w="50" w:type="pct"/>
            <w:shd w:val="clear" w:color="auto" w:fill="FFFFFF"/>
            <w:tcMar>
              <w:top w:w="15" w:type="dxa"/>
              <w:left w:w="0" w:type="dxa"/>
              <w:bottom w:w="0" w:type="dxa"/>
              <w:right w:w="15" w:type="dxa"/>
            </w:tcMar>
            <w:vAlign w:val="bottom"/>
            <w:hideMark/>
          </w:tcPr>
          <w:p w14:paraId="4874F6C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A2C6DF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25825FC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3"/>
                <w:szCs w:val="13"/>
                <w:vertAlign w:val="superscript"/>
              </w:rPr>
              <w:t>(3)</w:t>
            </w:r>
          </w:p>
        </w:tc>
        <w:tc>
          <w:tcPr>
            <w:tcW w:w="50" w:type="pct"/>
            <w:shd w:val="clear" w:color="auto" w:fill="FFFFFF"/>
            <w:noWrap/>
            <w:tcMar>
              <w:top w:w="15" w:type="dxa"/>
              <w:left w:w="0" w:type="dxa"/>
              <w:bottom w:w="0" w:type="dxa"/>
              <w:right w:w="15" w:type="dxa"/>
            </w:tcMar>
            <w:vAlign w:val="bottom"/>
            <w:hideMark/>
          </w:tcPr>
          <w:p w14:paraId="15A091EF" w14:textId="77777777" w:rsidR="00251D72" w:rsidRDefault="00251D72">
            <w:pPr>
              <w:pStyle w:val="a3"/>
              <w:spacing w:before="0" w:beforeAutospacing="0" w:after="0" w:afterAutospacing="0"/>
              <w:rPr>
                <w:color w:val="000000"/>
                <w:sz w:val="15"/>
                <w:szCs w:val="15"/>
              </w:rPr>
            </w:pPr>
            <w:r>
              <w:rPr>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4C0B4C5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7CD9F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18C26DD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3"/>
                <w:szCs w:val="13"/>
                <w:vertAlign w:val="superscript"/>
              </w:rPr>
              <w:t>(4)</w:t>
            </w:r>
          </w:p>
        </w:tc>
        <w:tc>
          <w:tcPr>
            <w:tcW w:w="50" w:type="pct"/>
            <w:shd w:val="clear" w:color="auto" w:fill="FFFFFF"/>
            <w:noWrap/>
            <w:tcMar>
              <w:top w:w="15" w:type="dxa"/>
              <w:left w:w="0" w:type="dxa"/>
              <w:bottom w:w="0" w:type="dxa"/>
              <w:right w:w="15" w:type="dxa"/>
            </w:tcMar>
            <w:vAlign w:val="bottom"/>
            <w:hideMark/>
          </w:tcPr>
          <w:p w14:paraId="75FD734D" w14:textId="77777777" w:rsidR="00251D72" w:rsidRDefault="00251D72">
            <w:pPr>
              <w:pStyle w:val="a3"/>
              <w:spacing w:before="0" w:beforeAutospacing="0" w:after="0" w:afterAutospacing="0"/>
              <w:rPr>
                <w:color w:val="000000"/>
                <w:sz w:val="15"/>
                <w:szCs w:val="15"/>
              </w:rPr>
            </w:pPr>
            <w:r>
              <w:rPr>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173D3DC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3777E8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3A3D608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50" w:type="pct"/>
            <w:shd w:val="clear" w:color="auto" w:fill="FFFFFF"/>
            <w:noWrap/>
            <w:tcMar>
              <w:top w:w="15" w:type="dxa"/>
              <w:left w:w="0" w:type="dxa"/>
              <w:bottom w:w="0" w:type="dxa"/>
              <w:right w:w="15" w:type="dxa"/>
            </w:tcMar>
            <w:vAlign w:val="bottom"/>
            <w:hideMark/>
          </w:tcPr>
          <w:p w14:paraId="5FACD4F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0472CAD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DD76E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3"/>
                <w:szCs w:val="13"/>
                <w:vertAlign w:val="superscript"/>
              </w:rPr>
              <w:t>(5)</w:t>
            </w:r>
          </w:p>
        </w:tc>
        <w:tc>
          <w:tcPr>
            <w:tcW w:w="50" w:type="pct"/>
            <w:shd w:val="clear" w:color="auto" w:fill="FFFFFF"/>
            <w:noWrap/>
            <w:tcMar>
              <w:top w:w="15" w:type="dxa"/>
              <w:left w:w="0" w:type="dxa"/>
              <w:bottom w:w="0" w:type="dxa"/>
              <w:right w:w="15" w:type="dxa"/>
            </w:tcMar>
            <w:vAlign w:val="bottom"/>
            <w:hideMark/>
          </w:tcPr>
          <w:p w14:paraId="45271DA3" w14:textId="77777777" w:rsidR="00251D72" w:rsidRDefault="00251D72">
            <w:pPr>
              <w:pStyle w:val="a3"/>
              <w:spacing w:before="0" w:beforeAutospacing="0" w:after="0" w:afterAutospacing="0"/>
              <w:rPr>
                <w:color w:val="000000"/>
                <w:sz w:val="15"/>
                <w:szCs w:val="15"/>
              </w:rPr>
            </w:pPr>
            <w:r>
              <w:rPr>
                <w:color w:val="000000"/>
                <w:sz w:val="15"/>
                <w:szCs w:val="15"/>
              </w:rPr>
              <w:t> </w:t>
            </w:r>
          </w:p>
        </w:tc>
        <w:tc>
          <w:tcPr>
            <w:tcW w:w="50" w:type="pct"/>
            <w:shd w:val="clear" w:color="auto" w:fill="FFFFFF"/>
            <w:tcMar>
              <w:top w:w="15" w:type="dxa"/>
              <w:left w:w="0" w:type="dxa"/>
              <w:bottom w:w="0" w:type="dxa"/>
              <w:right w:w="15" w:type="dxa"/>
            </w:tcMar>
            <w:vAlign w:val="bottom"/>
            <w:hideMark/>
          </w:tcPr>
          <w:p w14:paraId="08A8C60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0" w:type="auto"/>
            <w:gridSpan w:val="2"/>
            <w:vMerge/>
            <w:vAlign w:val="center"/>
            <w:hideMark/>
          </w:tcPr>
          <w:p w14:paraId="4DC14C16" w14:textId="77777777" w:rsidR="00251D72" w:rsidRDefault="00251D72">
            <w:pPr>
              <w:rPr>
                <w:rFonts w:ascii="Calibri" w:hAnsi="Calibri" w:cs="Calibri"/>
                <w:b/>
                <w:bCs/>
                <w:color w:val="000000"/>
                <w:sz w:val="15"/>
                <w:szCs w:val="15"/>
              </w:rPr>
            </w:pPr>
          </w:p>
        </w:tc>
        <w:tc>
          <w:tcPr>
            <w:tcW w:w="50" w:type="pct"/>
            <w:shd w:val="clear" w:color="auto" w:fill="FFFFFF"/>
            <w:noWrap/>
            <w:tcMar>
              <w:top w:w="15" w:type="dxa"/>
              <w:left w:w="0" w:type="dxa"/>
              <w:bottom w:w="0" w:type="dxa"/>
              <w:right w:w="15" w:type="dxa"/>
            </w:tcMar>
            <w:vAlign w:val="bottom"/>
            <w:hideMark/>
          </w:tcPr>
          <w:p w14:paraId="0B90D085" w14:textId="77777777" w:rsidR="00251D72" w:rsidRDefault="00251D72">
            <w:pPr>
              <w:pStyle w:val="a3"/>
              <w:spacing w:before="0" w:beforeAutospacing="0" w:after="0" w:afterAutospacing="0"/>
              <w:rPr>
                <w:color w:val="000000"/>
                <w:sz w:val="15"/>
                <w:szCs w:val="15"/>
              </w:rPr>
            </w:pPr>
            <w:r>
              <w:rPr>
                <w:color w:val="000000"/>
                <w:sz w:val="15"/>
                <w:szCs w:val="15"/>
              </w:rPr>
              <w:t> </w:t>
            </w:r>
          </w:p>
        </w:tc>
        <w:tc>
          <w:tcPr>
            <w:tcW w:w="50" w:type="pct"/>
            <w:shd w:val="clear" w:color="auto" w:fill="FFFFFF"/>
            <w:tcMar>
              <w:top w:w="15" w:type="dxa"/>
              <w:left w:w="0" w:type="dxa"/>
              <w:bottom w:w="0" w:type="dxa"/>
              <w:right w:w="15" w:type="dxa"/>
            </w:tcMar>
            <w:vAlign w:val="bottom"/>
            <w:hideMark/>
          </w:tcPr>
          <w:p w14:paraId="4D9C40B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0" w:type="auto"/>
            <w:gridSpan w:val="2"/>
            <w:vMerge/>
            <w:vAlign w:val="center"/>
            <w:hideMark/>
          </w:tcPr>
          <w:p w14:paraId="7E6B10AE" w14:textId="77777777" w:rsidR="00251D72" w:rsidRDefault="00251D72">
            <w:pPr>
              <w:rPr>
                <w:rFonts w:ascii="Calibri" w:hAnsi="Calibri" w:cs="Calibri"/>
                <w:b/>
                <w:bCs/>
                <w:color w:val="000000"/>
                <w:sz w:val="15"/>
                <w:szCs w:val="15"/>
              </w:rPr>
            </w:pPr>
          </w:p>
        </w:tc>
        <w:tc>
          <w:tcPr>
            <w:tcW w:w="50" w:type="pct"/>
            <w:shd w:val="clear" w:color="auto" w:fill="FFFFFF"/>
            <w:noWrap/>
            <w:tcMar>
              <w:top w:w="15" w:type="dxa"/>
              <w:left w:w="0" w:type="dxa"/>
              <w:bottom w:w="0" w:type="dxa"/>
              <w:right w:w="15" w:type="dxa"/>
            </w:tcMar>
            <w:vAlign w:val="bottom"/>
            <w:hideMark/>
          </w:tcPr>
          <w:p w14:paraId="6C6BD48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7FC424E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0" w:type="auto"/>
            <w:gridSpan w:val="2"/>
            <w:vMerge/>
            <w:vAlign w:val="center"/>
            <w:hideMark/>
          </w:tcPr>
          <w:p w14:paraId="22C90CEF" w14:textId="77777777" w:rsidR="00251D72" w:rsidRDefault="00251D72">
            <w:pPr>
              <w:rPr>
                <w:rFonts w:ascii="Calibri" w:hAnsi="Calibri" w:cs="Calibri"/>
                <w:b/>
                <w:bCs/>
                <w:color w:val="000000"/>
                <w:sz w:val="15"/>
                <w:szCs w:val="15"/>
              </w:rPr>
            </w:pPr>
          </w:p>
        </w:tc>
        <w:tc>
          <w:tcPr>
            <w:tcW w:w="11" w:type="pct"/>
            <w:shd w:val="clear" w:color="auto" w:fill="FFFFFF"/>
            <w:noWrap/>
            <w:tcMar>
              <w:top w:w="15" w:type="dxa"/>
              <w:left w:w="0" w:type="dxa"/>
              <w:bottom w:w="0" w:type="dxa"/>
              <w:right w:w="15" w:type="dxa"/>
            </w:tcMar>
            <w:vAlign w:val="bottom"/>
            <w:hideMark/>
          </w:tcPr>
          <w:p w14:paraId="16020445" w14:textId="77777777" w:rsidR="00251D72" w:rsidRDefault="00251D72">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r>
      <w:tr w:rsidR="00251D72" w14:paraId="239BE0CF" w14:textId="77777777">
        <w:trPr>
          <w:divId w:val="1839038294"/>
          <w:jc w:val="center"/>
        </w:trPr>
        <w:tc>
          <w:tcPr>
            <w:tcW w:w="1635" w:type="pct"/>
            <w:tcBorders>
              <w:top w:val="single" w:sz="6" w:space="0" w:color="000000"/>
            </w:tcBorders>
            <w:shd w:val="clear" w:color="auto" w:fill="CFF0FC"/>
            <w:tcMar>
              <w:top w:w="15" w:type="dxa"/>
              <w:left w:w="0" w:type="dxa"/>
              <w:bottom w:w="0" w:type="dxa"/>
              <w:right w:w="15" w:type="dxa"/>
            </w:tcMar>
            <w:hideMark/>
          </w:tcPr>
          <w:p w14:paraId="1E600DDA" w14:textId="77777777" w:rsidR="00251D72" w:rsidRDefault="00251D72">
            <w:pPr>
              <w:pStyle w:val="a3"/>
              <w:spacing w:before="0" w:beforeAutospacing="0" w:after="0" w:afterAutospacing="0"/>
              <w:ind w:left="144" w:hanging="144"/>
              <w:rPr>
                <w:rFonts w:ascii="Calibri" w:hAnsi="Calibri" w:cs="Calibri"/>
                <w:b/>
                <w:bCs/>
                <w:color w:val="000000"/>
                <w:sz w:val="18"/>
                <w:szCs w:val="18"/>
              </w:rPr>
            </w:pPr>
            <w:r>
              <w:rPr>
                <w:rFonts w:ascii="Calibri" w:hAnsi="Calibri" w:cs="Calibri"/>
                <w:b/>
                <w:bCs/>
                <w:color w:val="000000"/>
                <w:sz w:val="18"/>
                <w:szCs w:val="18"/>
              </w:rPr>
              <w:t>Fiscal 2019 Oracle Restructuring Plan</w:t>
            </w:r>
            <w:r>
              <w:rPr>
                <w:rFonts w:ascii="Calibri" w:hAnsi="Calibri" w:cs="Calibri"/>
                <w:b/>
                <w:bCs/>
                <w:color w:val="000000"/>
                <w:sz w:val="15"/>
                <w:szCs w:val="15"/>
                <w:vertAlign w:val="superscript"/>
              </w:rPr>
              <w:t>(1)</w:t>
            </w:r>
          </w:p>
        </w:tc>
        <w:tc>
          <w:tcPr>
            <w:tcW w:w="60" w:type="pct"/>
            <w:shd w:val="clear" w:color="auto" w:fill="CFF0FC"/>
            <w:tcMar>
              <w:top w:w="15" w:type="dxa"/>
              <w:left w:w="0" w:type="dxa"/>
              <w:bottom w:w="0" w:type="dxa"/>
              <w:right w:w="15" w:type="dxa"/>
            </w:tcMar>
            <w:vAlign w:val="bottom"/>
            <w:hideMark/>
          </w:tcPr>
          <w:p w14:paraId="6600266E"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ECF39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14:paraId="5EE49B6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329C9E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53391C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6DABC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14:paraId="48650D7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7C2BCA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34CC9A3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448B9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14:paraId="68AB08D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48052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49FC970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A3B40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14:paraId="4E21E31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510D9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2777A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9302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14:paraId="5EC2436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DA187E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18E8C5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F810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top w:val="single" w:sz="6" w:space="0" w:color="000000"/>
            </w:tcBorders>
            <w:shd w:val="clear" w:color="auto" w:fill="CFF0FC"/>
            <w:noWrap/>
            <w:tcMar>
              <w:top w:w="15" w:type="dxa"/>
              <w:left w:w="0" w:type="dxa"/>
              <w:bottom w:w="0" w:type="dxa"/>
              <w:right w:w="15" w:type="dxa"/>
            </w:tcMar>
            <w:vAlign w:val="bottom"/>
            <w:hideMark/>
          </w:tcPr>
          <w:p w14:paraId="2BA29FD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8DAF38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22BCE4D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3A32C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tcBorders>
              <w:top w:val="single" w:sz="6" w:space="0" w:color="000000"/>
            </w:tcBorders>
            <w:shd w:val="clear" w:color="auto" w:fill="CFF0FC"/>
            <w:noWrap/>
            <w:tcMar>
              <w:top w:w="15" w:type="dxa"/>
              <w:left w:w="0" w:type="dxa"/>
              <w:bottom w:w="0" w:type="dxa"/>
              <w:right w:w="15" w:type="dxa"/>
            </w:tcMar>
            <w:vAlign w:val="bottom"/>
            <w:hideMark/>
          </w:tcPr>
          <w:p w14:paraId="65E6470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E40C4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25CB72E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902B2E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4795EBE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11" w:type="pct"/>
            <w:shd w:val="clear" w:color="auto" w:fill="CFF0FC"/>
            <w:noWrap/>
            <w:tcMar>
              <w:top w:w="15" w:type="dxa"/>
              <w:left w:w="0" w:type="dxa"/>
              <w:bottom w:w="0" w:type="dxa"/>
              <w:right w:w="15" w:type="dxa"/>
            </w:tcMar>
            <w:vAlign w:val="bottom"/>
            <w:hideMark/>
          </w:tcPr>
          <w:p w14:paraId="5D871E22"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0DBACE86" w14:textId="77777777">
        <w:trPr>
          <w:divId w:val="1839038294"/>
          <w:jc w:val="center"/>
        </w:trPr>
        <w:tc>
          <w:tcPr>
            <w:tcW w:w="1635" w:type="pct"/>
            <w:shd w:val="clear" w:color="auto" w:fill="FFFFFF"/>
            <w:tcMar>
              <w:top w:w="15" w:type="dxa"/>
              <w:left w:w="0" w:type="dxa"/>
              <w:bottom w:w="0" w:type="dxa"/>
              <w:right w:w="15" w:type="dxa"/>
            </w:tcMar>
            <w:hideMark/>
          </w:tcPr>
          <w:p w14:paraId="2E0C329A"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Cloud and license</w:t>
            </w:r>
          </w:p>
        </w:tc>
        <w:tc>
          <w:tcPr>
            <w:tcW w:w="60" w:type="pct"/>
            <w:shd w:val="clear" w:color="auto" w:fill="FFFFFF"/>
            <w:tcMar>
              <w:top w:w="15" w:type="dxa"/>
              <w:left w:w="0" w:type="dxa"/>
              <w:bottom w:w="0" w:type="dxa"/>
              <w:right w:w="15" w:type="dxa"/>
            </w:tcMar>
            <w:vAlign w:val="bottom"/>
            <w:hideMark/>
          </w:tcPr>
          <w:p w14:paraId="24FE09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0C9C3E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shd w:val="clear" w:color="auto" w:fill="FFFFFF"/>
            <w:noWrap/>
            <w:tcMar>
              <w:top w:w="15" w:type="dxa"/>
              <w:left w:w="0" w:type="dxa"/>
              <w:bottom w:w="0" w:type="dxa"/>
              <w:right w:w="15" w:type="dxa"/>
            </w:tcMar>
            <w:vAlign w:val="bottom"/>
            <w:hideMark/>
          </w:tcPr>
          <w:p w14:paraId="176C452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FA5249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6D7A46C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FAB69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shd w:val="clear" w:color="auto" w:fill="FFFFFF"/>
            <w:noWrap/>
            <w:tcMar>
              <w:top w:w="15" w:type="dxa"/>
              <w:left w:w="0" w:type="dxa"/>
              <w:bottom w:w="0" w:type="dxa"/>
              <w:right w:w="15" w:type="dxa"/>
            </w:tcMar>
            <w:vAlign w:val="bottom"/>
            <w:hideMark/>
          </w:tcPr>
          <w:p w14:paraId="5B3B4E1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191</w:t>
            </w:r>
          </w:p>
        </w:tc>
        <w:tc>
          <w:tcPr>
            <w:tcW w:w="50" w:type="pct"/>
            <w:shd w:val="clear" w:color="auto" w:fill="FFFFFF"/>
            <w:noWrap/>
            <w:tcMar>
              <w:top w:w="15" w:type="dxa"/>
              <w:left w:w="0" w:type="dxa"/>
              <w:bottom w:w="0" w:type="dxa"/>
              <w:right w:w="15" w:type="dxa"/>
            </w:tcMar>
            <w:vAlign w:val="bottom"/>
            <w:hideMark/>
          </w:tcPr>
          <w:p w14:paraId="0D2EB72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5434DF8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B703D2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shd w:val="clear" w:color="auto" w:fill="FFFFFF"/>
            <w:noWrap/>
            <w:tcMar>
              <w:top w:w="15" w:type="dxa"/>
              <w:left w:w="0" w:type="dxa"/>
              <w:bottom w:w="0" w:type="dxa"/>
              <w:right w:w="15" w:type="dxa"/>
            </w:tcMar>
            <w:vAlign w:val="bottom"/>
            <w:hideMark/>
          </w:tcPr>
          <w:p w14:paraId="6BE5AA7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left w:w="0" w:type="dxa"/>
              <w:bottom w:w="0" w:type="dxa"/>
              <w:right w:w="15" w:type="dxa"/>
            </w:tcMar>
            <w:vAlign w:val="bottom"/>
            <w:hideMark/>
          </w:tcPr>
          <w:p w14:paraId="64CABA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5073F7F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BFB9A5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shd w:val="clear" w:color="auto" w:fill="FFFFFF"/>
            <w:noWrap/>
            <w:tcMar>
              <w:top w:w="15" w:type="dxa"/>
              <w:left w:w="0" w:type="dxa"/>
              <w:bottom w:w="0" w:type="dxa"/>
              <w:right w:w="15" w:type="dxa"/>
            </w:tcMar>
            <w:vAlign w:val="bottom"/>
            <w:hideMark/>
          </w:tcPr>
          <w:p w14:paraId="4E5CC18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(113</w:t>
            </w:r>
          </w:p>
        </w:tc>
        <w:tc>
          <w:tcPr>
            <w:tcW w:w="50" w:type="pct"/>
            <w:shd w:val="clear" w:color="auto" w:fill="FFFFFF"/>
            <w:noWrap/>
            <w:tcMar>
              <w:top w:w="15" w:type="dxa"/>
              <w:left w:w="0" w:type="dxa"/>
              <w:bottom w:w="0" w:type="dxa"/>
              <w:right w:w="15" w:type="dxa"/>
            </w:tcMar>
            <w:vAlign w:val="bottom"/>
            <w:hideMark/>
          </w:tcPr>
          <w:p w14:paraId="5778AA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4B31467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6920E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shd w:val="clear" w:color="auto" w:fill="FFFFFF"/>
            <w:noWrap/>
            <w:tcMar>
              <w:top w:w="15" w:type="dxa"/>
              <w:left w:w="0" w:type="dxa"/>
              <w:bottom w:w="0" w:type="dxa"/>
              <w:right w:w="15" w:type="dxa"/>
            </w:tcMar>
            <w:vAlign w:val="bottom"/>
            <w:hideMark/>
          </w:tcPr>
          <w:p w14:paraId="281FA69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left w:w="0" w:type="dxa"/>
              <w:bottom w:w="0" w:type="dxa"/>
              <w:right w:w="15" w:type="dxa"/>
            </w:tcMar>
            <w:vAlign w:val="bottom"/>
            <w:hideMark/>
          </w:tcPr>
          <w:p w14:paraId="6147C26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18FAD74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A22303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shd w:val="clear" w:color="auto" w:fill="FFFFFF"/>
            <w:noWrap/>
            <w:tcMar>
              <w:top w:w="15" w:type="dxa"/>
              <w:left w:w="0" w:type="dxa"/>
              <w:bottom w:w="0" w:type="dxa"/>
              <w:right w:w="15" w:type="dxa"/>
            </w:tcMar>
            <w:vAlign w:val="bottom"/>
            <w:hideMark/>
          </w:tcPr>
          <w:p w14:paraId="3CA06AE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72</w:t>
            </w:r>
          </w:p>
        </w:tc>
        <w:tc>
          <w:tcPr>
            <w:tcW w:w="50" w:type="pct"/>
            <w:shd w:val="clear" w:color="auto" w:fill="FFFFFF"/>
            <w:noWrap/>
            <w:tcMar>
              <w:top w:w="15" w:type="dxa"/>
              <w:left w:w="0" w:type="dxa"/>
              <w:bottom w:w="0" w:type="dxa"/>
              <w:right w:w="15" w:type="dxa"/>
            </w:tcMar>
            <w:vAlign w:val="bottom"/>
            <w:hideMark/>
          </w:tcPr>
          <w:p w14:paraId="7131C6E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1DA790F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071048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shd w:val="clear" w:color="auto" w:fill="FFFFFF"/>
            <w:noWrap/>
            <w:tcMar>
              <w:top w:w="15" w:type="dxa"/>
              <w:left w:w="0" w:type="dxa"/>
              <w:bottom w:w="0" w:type="dxa"/>
              <w:right w:w="15" w:type="dxa"/>
            </w:tcMar>
            <w:vAlign w:val="bottom"/>
            <w:hideMark/>
          </w:tcPr>
          <w:p w14:paraId="4AC6D29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187</w:t>
            </w:r>
          </w:p>
        </w:tc>
        <w:tc>
          <w:tcPr>
            <w:tcW w:w="50" w:type="pct"/>
            <w:shd w:val="clear" w:color="auto" w:fill="FFFFFF"/>
            <w:noWrap/>
            <w:tcMar>
              <w:top w:w="15" w:type="dxa"/>
              <w:left w:w="0" w:type="dxa"/>
              <w:bottom w:w="0" w:type="dxa"/>
              <w:right w:w="15" w:type="dxa"/>
            </w:tcMar>
            <w:vAlign w:val="bottom"/>
            <w:hideMark/>
          </w:tcPr>
          <w:p w14:paraId="488972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5BF7805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033A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6" w:type="pct"/>
            <w:shd w:val="clear" w:color="auto" w:fill="FFFFFF"/>
            <w:noWrap/>
            <w:tcMar>
              <w:top w:w="15" w:type="dxa"/>
              <w:left w:w="0" w:type="dxa"/>
              <w:bottom w:w="0" w:type="dxa"/>
              <w:right w:w="15" w:type="dxa"/>
            </w:tcMar>
            <w:vAlign w:val="bottom"/>
            <w:hideMark/>
          </w:tcPr>
          <w:p w14:paraId="33EF247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245</w:t>
            </w:r>
          </w:p>
        </w:tc>
        <w:tc>
          <w:tcPr>
            <w:tcW w:w="11" w:type="pct"/>
            <w:shd w:val="clear" w:color="auto" w:fill="FFFFFF"/>
            <w:noWrap/>
            <w:tcMar>
              <w:top w:w="15" w:type="dxa"/>
              <w:left w:w="0" w:type="dxa"/>
              <w:bottom w:w="0" w:type="dxa"/>
              <w:right w:w="15" w:type="dxa"/>
            </w:tcMar>
            <w:vAlign w:val="bottom"/>
            <w:hideMark/>
          </w:tcPr>
          <w:p w14:paraId="7855C6DC"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725A1CED" w14:textId="77777777">
        <w:trPr>
          <w:divId w:val="1839038294"/>
          <w:jc w:val="center"/>
        </w:trPr>
        <w:tc>
          <w:tcPr>
            <w:tcW w:w="1635" w:type="pct"/>
            <w:shd w:val="clear" w:color="auto" w:fill="CFF0FC"/>
            <w:tcMar>
              <w:top w:w="15" w:type="dxa"/>
              <w:left w:w="0" w:type="dxa"/>
              <w:bottom w:w="0" w:type="dxa"/>
              <w:right w:w="15" w:type="dxa"/>
            </w:tcMar>
            <w:hideMark/>
          </w:tcPr>
          <w:p w14:paraId="5291B409"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Hardware</w:t>
            </w:r>
          </w:p>
        </w:tc>
        <w:tc>
          <w:tcPr>
            <w:tcW w:w="60" w:type="pct"/>
            <w:shd w:val="clear" w:color="auto" w:fill="CFF0FC"/>
            <w:tcMar>
              <w:top w:w="15" w:type="dxa"/>
              <w:left w:w="0" w:type="dxa"/>
              <w:bottom w:w="0" w:type="dxa"/>
              <w:right w:w="15" w:type="dxa"/>
            </w:tcMar>
            <w:vAlign w:val="bottom"/>
            <w:hideMark/>
          </w:tcPr>
          <w:p w14:paraId="3AB4907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C160A5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CFF0FC"/>
            <w:noWrap/>
            <w:tcMar>
              <w:top w:w="15" w:type="dxa"/>
              <w:left w:w="0" w:type="dxa"/>
              <w:bottom w:w="0" w:type="dxa"/>
              <w:right w:w="15" w:type="dxa"/>
            </w:tcMar>
            <w:vAlign w:val="bottom"/>
            <w:hideMark/>
          </w:tcPr>
          <w:p w14:paraId="34980D9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84E2D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A2510B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AFF274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CFF0FC"/>
            <w:noWrap/>
            <w:tcMar>
              <w:top w:w="15" w:type="dxa"/>
              <w:left w:w="0" w:type="dxa"/>
              <w:bottom w:w="0" w:type="dxa"/>
              <w:right w:w="15" w:type="dxa"/>
            </w:tcMar>
            <w:vAlign w:val="bottom"/>
            <w:hideMark/>
          </w:tcPr>
          <w:p w14:paraId="2991BC4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w:t>
            </w:r>
          </w:p>
        </w:tc>
        <w:tc>
          <w:tcPr>
            <w:tcW w:w="50" w:type="pct"/>
            <w:shd w:val="clear" w:color="auto" w:fill="CFF0FC"/>
            <w:noWrap/>
            <w:tcMar>
              <w:top w:w="15" w:type="dxa"/>
              <w:left w:w="0" w:type="dxa"/>
              <w:bottom w:w="0" w:type="dxa"/>
              <w:right w:w="15" w:type="dxa"/>
            </w:tcMar>
            <w:vAlign w:val="bottom"/>
            <w:hideMark/>
          </w:tcPr>
          <w:p w14:paraId="56F1F87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1BD6D2C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B61612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CFF0FC"/>
            <w:noWrap/>
            <w:tcMar>
              <w:top w:w="15" w:type="dxa"/>
              <w:left w:w="0" w:type="dxa"/>
              <w:bottom w:w="0" w:type="dxa"/>
              <w:right w:w="15" w:type="dxa"/>
            </w:tcMar>
            <w:vAlign w:val="bottom"/>
            <w:hideMark/>
          </w:tcPr>
          <w:p w14:paraId="01D80F5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8D1936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B11FBD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BF660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CFF0FC"/>
            <w:noWrap/>
            <w:tcMar>
              <w:top w:w="15" w:type="dxa"/>
              <w:left w:w="0" w:type="dxa"/>
              <w:bottom w:w="0" w:type="dxa"/>
              <w:right w:w="15" w:type="dxa"/>
            </w:tcMar>
            <w:vAlign w:val="bottom"/>
            <w:hideMark/>
          </w:tcPr>
          <w:p w14:paraId="35DC795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(35</w:t>
            </w:r>
          </w:p>
        </w:tc>
        <w:tc>
          <w:tcPr>
            <w:tcW w:w="50" w:type="pct"/>
            <w:shd w:val="clear" w:color="auto" w:fill="CFF0FC"/>
            <w:noWrap/>
            <w:tcMar>
              <w:top w:w="15" w:type="dxa"/>
              <w:left w:w="0" w:type="dxa"/>
              <w:bottom w:w="0" w:type="dxa"/>
              <w:right w:w="15" w:type="dxa"/>
            </w:tcMar>
            <w:vAlign w:val="bottom"/>
            <w:hideMark/>
          </w:tcPr>
          <w:p w14:paraId="66274A6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0C5D544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37767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CFF0FC"/>
            <w:noWrap/>
            <w:tcMar>
              <w:top w:w="15" w:type="dxa"/>
              <w:left w:w="0" w:type="dxa"/>
              <w:bottom w:w="0" w:type="dxa"/>
              <w:right w:w="15" w:type="dxa"/>
            </w:tcMar>
            <w:vAlign w:val="bottom"/>
            <w:hideMark/>
          </w:tcPr>
          <w:p w14:paraId="46D1856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EF6CE2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0D4F87E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F1EA6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CFF0FC"/>
            <w:noWrap/>
            <w:tcMar>
              <w:top w:w="15" w:type="dxa"/>
              <w:left w:w="0" w:type="dxa"/>
              <w:bottom w:w="0" w:type="dxa"/>
              <w:right w:w="15" w:type="dxa"/>
            </w:tcMar>
            <w:vAlign w:val="bottom"/>
            <w:hideMark/>
          </w:tcPr>
          <w:p w14:paraId="15ED264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w:t>
            </w:r>
          </w:p>
        </w:tc>
        <w:tc>
          <w:tcPr>
            <w:tcW w:w="50" w:type="pct"/>
            <w:shd w:val="clear" w:color="auto" w:fill="CFF0FC"/>
            <w:noWrap/>
            <w:tcMar>
              <w:top w:w="15" w:type="dxa"/>
              <w:left w:w="0" w:type="dxa"/>
              <w:bottom w:w="0" w:type="dxa"/>
              <w:right w:w="15" w:type="dxa"/>
            </w:tcMar>
            <w:vAlign w:val="bottom"/>
            <w:hideMark/>
          </w:tcPr>
          <w:p w14:paraId="45E2F73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2F32EF5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015C2B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shd w:val="clear" w:color="auto" w:fill="CFF0FC"/>
            <w:noWrap/>
            <w:tcMar>
              <w:top w:w="15" w:type="dxa"/>
              <w:left w:w="0" w:type="dxa"/>
              <w:bottom w:w="0" w:type="dxa"/>
              <w:right w:w="15" w:type="dxa"/>
            </w:tcMar>
            <w:vAlign w:val="bottom"/>
            <w:hideMark/>
          </w:tcPr>
          <w:p w14:paraId="6DDAB61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w:t>
            </w:r>
          </w:p>
        </w:tc>
        <w:tc>
          <w:tcPr>
            <w:tcW w:w="50" w:type="pct"/>
            <w:shd w:val="clear" w:color="auto" w:fill="CFF0FC"/>
            <w:noWrap/>
            <w:tcMar>
              <w:top w:w="15" w:type="dxa"/>
              <w:left w:w="0" w:type="dxa"/>
              <w:bottom w:w="0" w:type="dxa"/>
              <w:right w:w="15" w:type="dxa"/>
            </w:tcMar>
            <w:vAlign w:val="bottom"/>
            <w:hideMark/>
          </w:tcPr>
          <w:p w14:paraId="7A88C6F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6C4571C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F2BCC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6" w:type="pct"/>
            <w:shd w:val="clear" w:color="auto" w:fill="CFF0FC"/>
            <w:noWrap/>
            <w:tcMar>
              <w:top w:w="15" w:type="dxa"/>
              <w:left w:w="0" w:type="dxa"/>
              <w:bottom w:w="0" w:type="dxa"/>
              <w:right w:w="15" w:type="dxa"/>
            </w:tcMar>
            <w:vAlign w:val="bottom"/>
            <w:hideMark/>
          </w:tcPr>
          <w:p w14:paraId="0E59837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65</w:t>
            </w:r>
          </w:p>
        </w:tc>
        <w:tc>
          <w:tcPr>
            <w:tcW w:w="11" w:type="pct"/>
            <w:shd w:val="clear" w:color="auto" w:fill="CFF0FC"/>
            <w:noWrap/>
            <w:tcMar>
              <w:top w:w="15" w:type="dxa"/>
              <w:left w:w="0" w:type="dxa"/>
              <w:bottom w:w="0" w:type="dxa"/>
              <w:right w:w="15" w:type="dxa"/>
            </w:tcMar>
            <w:vAlign w:val="bottom"/>
            <w:hideMark/>
          </w:tcPr>
          <w:p w14:paraId="1B143C4D"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67916BE9" w14:textId="77777777">
        <w:trPr>
          <w:divId w:val="1839038294"/>
          <w:jc w:val="center"/>
        </w:trPr>
        <w:tc>
          <w:tcPr>
            <w:tcW w:w="1635" w:type="pct"/>
            <w:shd w:val="clear" w:color="auto" w:fill="FFFFFF"/>
            <w:tcMar>
              <w:top w:w="15" w:type="dxa"/>
              <w:left w:w="0" w:type="dxa"/>
              <w:bottom w:w="0" w:type="dxa"/>
              <w:right w:w="15" w:type="dxa"/>
            </w:tcMar>
            <w:hideMark/>
          </w:tcPr>
          <w:p w14:paraId="0614B0D4"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Services</w:t>
            </w:r>
          </w:p>
        </w:tc>
        <w:tc>
          <w:tcPr>
            <w:tcW w:w="60" w:type="pct"/>
            <w:shd w:val="clear" w:color="auto" w:fill="FFFFFF"/>
            <w:tcMar>
              <w:top w:w="15" w:type="dxa"/>
              <w:left w:w="0" w:type="dxa"/>
              <w:bottom w:w="0" w:type="dxa"/>
              <w:right w:w="15" w:type="dxa"/>
            </w:tcMar>
            <w:vAlign w:val="bottom"/>
            <w:hideMark/>
          </w:tcPr>
          <w:p w14:paraId="62D06A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A177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noWrap/>
            <w:tcMar>
              <w:top w:w="15" w:type="dxa"/>
              <w:left w:w="0" w:type="dxa"/>
              <w:bottom w:w="0" w:type="dxa"/>
              <w:right w:w="15" w:type="dxa"/>
            </w:tcMar>
            <w:vAlign w:val="bottom"/>
            <w:hideMark/>
          </w:tcPr>
          <w:p w14:paraId="7D6ADA4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745BCA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19621B5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BEE06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noWrap/>
            <w:tcMar>
              <w:top w:w="15" w:type="dxa"/>
              <w:left w:w="0" w:type="dxa"/>
              <w:bottom w:w="0" w:type="dxa"/>
              <w:right w:w="15" w:type="dxa"/>
            </w:tcMar>
            <w:vAlign w:val="bottom"/>
            <w:hideMark/>
          </w:tcPr>
          <w:p w14:paraId="2CB45B9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w:t>
            </w:r>
          </w:p>
        </w:tc>
        <w:tc>
          <w:tcPr>
            <w:tcW w:w="50" w:type="pct"/>
            <w:shd w:val="clear" w:color="auto" w:fill="FFFFFF"/>
            <w:noWrap/>
            <w:tcMar>
              <w:top w:w="15" w:type="dxa"/>
              <w:left w:w="0" w:type="dxa"/>
              <w:bottom w:w="0" w:type="dxa"/>
              <w:right w:w="15" w:type="dxa"/>
            </w:tcMar>
            <w:vAlign w:val="bottom"/>
            <w:hideMark/>
          </w:tcPr>
          <w:p w14:paraId="1E2A66D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5BB89F7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4CABC7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noWrap/>
            <w:tcMar>
              <w:top w:w="15" w:type="dxa"/>
              <w:left w:w="0" w:type="dxa"/>
              <w:bottom w:w="0" w:type="dxa"/>
              <w:right w:w="15" w:type="dxa"/>
            </w:tcMar>
            <w:vAlign w:val="bottom"/>
            <w:hideMark/>
          </w:tcPr>
          <w:p w14:paraId="00AD4DC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138E247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4F189F4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A41E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noWrap/>
            <w:tcMar>
              <w:top w:w="15" w:type="dxa"/>
              <w:left w:w="0" w:type="dxa"/>
              <w:bottom w:w="0" w:type="dxa"/>
              <w:right w:w="15" w:type="dxa"/>
            </w:tcMar>
            <w:vAlign w:val="bottom"/>
            <w:hideMark/>
          </w:tcPr>
          <w:p w14:paraId="792B89D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w:t>
            </w:r>
          </w:p>
        </w:tc>
        <w:tc>
          <w:tcPr>
            <w:tcW w:w="50" w:type="pct"/>
            <w:shd w:val="clear" w:color="auto" w:fill="FFFFFF"/>
            <w:noWrap/>
            <w:tcMar>
              <w:top w:w="15" w:type="dxa"/>
              <w:left w:w="0" w:type="dxa"/>
              <w:bottom w:w="0" w:type="dxa"/>
              <w:right w:w="15" w:type="dxa"/>
            </w:tcMar>
            <w:vAlign w:val="bottom"/>
            <w:hideMark/>
          </w:tcPr>
          <w:p w14:paraId="165533D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5DB1798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C8FBDA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noWrap/>
            <w:tcMar>
              <w:top w:w="15" w:type="dxa"/>
              <w:left w:w="0" w:type="dxa"/>
              <w:bottom w:w="0" w:type="dxa"/>
              <w:right w:w="15" w:type="dxa"/>
            </w:tcMar>
            <w:vAlign w:val="bottom"/>
            <w:hideMark/>
          </w:tcPr>
          <w:p w14:paraId="316C984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E1B7E9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6FD43EA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7521D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shd w:val="clear" w:color="auto" w:fill="FFFFFF"/>
            <w:noWrap/>
            <w:tcMar>
              <w:top w:w="15" w:type="dxa"/>
              <w:left w:w="0" w:type="dxa"/>
              <w:bottom w:w="0" w:type="dxa"/>
              <w:right w:w="15" w:type="dxa"/>
            </w:tcMar>
            <w:vAlign w:val="bottom"/>
            <w:hideMark/>
          </w:tcPr>
          <w:p w14:paraId="749F97A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FFFFFF"/>
            <w:noWrap/>
            <w:tcMar>
              <w:top w:w="15" w:type="dxa"/>
              <w:left w:w="0" w:type="dxa"/>
              <w:bottom w:w="0" w:type="dxa"/>
              <w:right w:w="15" w:type="dxa"/>
            </w:tcMar>
            <w:vAlign w:val="bottom"/>
            <w:hideMark/>
          </w:tcPr>
          <w:p w14:paraId="2989F97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2D34711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FE3934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shd w:val="clear" w:color="auto" w:fill="FFFFFF"/>
            <w:noWrap/>
            <w:tcMar>
              <w:top w:w="15" w:type="dxa"/>
              <w:left w:w="0" w:type="dxa"/>
              <w:bottom w:w="0" w:type="dxa"/>
              <w:right w:w="15" w:type="dxa"/>
            </w:tcMar>
            <w:vAlign w:val="bottom"/>
            <w:hideMark/>
          </w:tcPr>
          <w:p w14:paraId="6895609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w:t>
            </w:r>
          </w:p>
        </w:tc>
        <w:tc>
          <w:tcPr>
            <w:tcW w:w="50" w:type="pct"/>
            <w:shd w:val="clear" w:color="auto" w:fill="FFFFFF"/>
            <w:noWrap/>
            <w:tcMar>
              <w:top w:w="15" w:type="dxa"/>
              <w:left w:w="0" w:type="dxa"/>
              <w:bottom w:w="0" w:type="dxa"/>
              <w:right w:w="15" w:type="dxa"/>
            </w:tcMar>
            <w:vAlign w:val="bottom"/>
            <w:hideMark/>
          </w:tcPr>
          <w:p w14:paraId="45A810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5B89D6B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1FF3D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6" w:type="pct"/>
            <w:shd w:val="clear" w:color="auto" w:fill="FFFFFF"/>
            <w:noWrap/>
            <w:tcMar>
              <w:top w:w="15" w:type="dxa"/>
              <w:left w:w="0" w:type="dxa"/>
              <w:bottom w:w="0" w:type="dxa"/>
              <w:right w:w="15" w:type="dxa"/>
            </w:tcMar>
            <w:vAlign w:val="bottom"/>
            <w:hideMark/>
          </w:tcPr>
          <w:p w14:paraId="47E6CCC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72</w:t>
            </w:r>
          </w:p>
        </w:tc>
        <w:tc>
          <w:tcPr>
            <w:tcW w:w="11" w:type="pct"/>
            <w:shd w:val="clear" w:color="auto" w:fill="FFFFFF"/>
            <w:noWrap/>
            <w:tcMar>
              <w:top w:w="15" w:type="dxa"/>
              <w:left w:w="0" w:type="dxa"/>
              <w:bottom w:w="0" w:type="dxa"/>
              <w:right w:w="15" w:type="dxa"/>
            </w:tcMar>
            <w:vAlign w:val="bottom"/>
            <w:hideMark/>
          </w:tcPr>
          <w:p w14:paraId="7C4B15D4"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6C1BEDE5" w14:textId="77777777">
        <w:trPr>
          <w:divId w:val="1839038294"/>
          <w:jc w:val="center"/>
        </w:trPr>
        <w:tc>
          <w:tcPr>
            <w:tcW w:w="1635" w:type="pct"/>
            <w:shd w:val="clear" w:color="auto" w:fill="CFF0FC"/>
            <w:tcMar>
              <w:top w:w="15" w:type="dxa"/>
              <w:left w:w="0" w:type="dxa"/>
              <w:bottom w:w="0" w:type="dxa"/>
              <w:right w:w="15" w:type="dxa"/>
            </w:tcMar>
            <w:hideMark/>
          </w:tcPr>
          <w:p w14:paraId="50E5BA43"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5"/>
                <w:szCs w:val="15"/>
                <w:vertAlign w:val="superscript"/>
              </w:rPr>
              <w:t>(6)</w:t>
            </w:r>
          </w:p>
        </w:tc>
        <w:tc>
          <w:tcPr>
            <w:tcW w:w="60" w:type="pct"/>
            <w:shd w:val="clear" w:color="auto" w:fill="CFF0FC"/>
            <w:tcMar>
              <w:top w:w="15" w:type="dxa"/>
              <w:left w:w="0" w:type="dxa"/>
              <w:bottom w:w="0" w:type="dxa"/>
              <w:right w:w="15" w:type="dxa"/>
            </w:tcMar>
            <w:vAlign w:val="bottom"/>
            <w:hideMark/>
          </w:tcPr>
          <w:p w14:paraId="1827766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CF633F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14:paraId="4C358AA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D156B1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9BAD25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F24EE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14:paraId="16D7334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190</w:t>
            </w:r>
          </w:p>
        </w:tc>
        <w:tc>
          <w:tcPr>
            <w:tcW w:w="50" w:type="pct"/>
            <w:shd w:val="clear" w:color="auto" w:fill="CFF0FC"/>
            <w:noWrap/>
            <w:tcMar>
              <w:top w:w="15" w:type="dxa"/>
              <w:left w:w="0" w:type="dxa"/>
              <w:bottom w:w="0" w:type="dxa"/>
              <w:right w:w="15" w:type="dxa"/>
            </w:tcMar>
            <w:vAlign w:val="bottom"/>
            <w:hideMark/>
          </w:tcPr>
          <w:p w14:paraId="58D6F7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49EE02A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AE80EC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14:paraId="438B501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left w:w="0" w:type="dxa"/>
              <w:bottom w:w="0" w:type="dxa"/>
              <w:right w:w="15" w:type="dxa"/>
            </w:tcMar>
            <w:vAlign w:val="bottom"/>
            <w:hideMark/>
          </w:tcPr>
          <w:p w14:paraId="528C68D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6F9F85F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5E3C1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14:paraId="1D890AF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(87</w:t>
            </w:r>
          </w:p>
        </w:tc>
        <w:tc>
          <w:tcPr>
            <w:tcW w:w="50" w:type="pct"/>
            <w:shd w:val="clear" w:color="auto" w:fill="CFF0FC"/>
            <w:noWrap/>
            <w:tcMar>
              <w:top w:w="15" w:type="dxa"/>
              <w:left w:w="0" w:type="dxa"/>
              <w:bottom w:w="0" w:type="dxa"/>
              <w:right w:w="15" w:type="dxa"/>
            </w:tcMar>
            <w:vAlign w:val="bottom"/>
            <w:hideMark/>
          </w:tcPr>
          <w:p w14:paraId="2D779E9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610D064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BB623A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14:paraId="2582024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079D298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334E85B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6DAD3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83" w:type="pct"/>
            <w:tcBorders>
              <w:bottom w:val="single" w:sz="6" w:space="0" w:color="000000"/>
            </w:tcBorders>
            <w:shd w:val="clear" w:color="auto" w:fill="CFF0FC"/>
            <w:noWrap/>
            <w:tcMar>
              <w:top w:w="15" w:type="dxa"/>
              <w:left w:w="0" w:type="dxa"/>
              <w:bottom w:w="0" w:type="dxa"/>
              <w:right w:w="15" w:type="dxa"/>
            </w:tcMar>
            <w:vAlign w:val="bottom"/>
            <w:hideMark/>
          </w:tcPr>
          <w:p w14:paraId="189B76C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108</w:t>
            </w:r>
          </w:p>
        </w:tc>
        <w:tc>
          <w:tcPr>
            <w:tcW w:w="50" w:type="pct"/>
            <w:shd w:val="clear" w:color="auto" w:fill="CFF0FC"/>
            <w:noWrap/>
            <w:tcMar>
              <w:top w:w="15" w:type="dxa"/>
              <w:left w:w="0" w:type="dxa"/>
              <w:bottom w:w="0" w:type="dxa"/>
              <w:right w:w="15" w:type="dxa"/>
            </w:tcMar>
            <w:vAlign w:val="bottom"/>
            <w:hideMark/>
          </w:tcPr>
          <w:p w14:paraId="1F2912B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05C0404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B6E2A4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tcBorders>
              <w:bottom w:val="single" w:sz="6" w:space="0" w:color="000000"/>
            </w:tcBorders>
            <w:shd w:val="clear" w:color="auto" w:fill="CFF0FC"/>
            <w:noWrap/>
            <w:tcMar>
              <w:top w:w="15" w:type="dxa"/>
              <w:left w:w="0" w:type="dxa"/>
              <w:bottom w:w="0" w:type="dxa"/>
              <w:right w:w="15" w:type="dxa"/>
            </w:tcMar>
            <w:vAlign w:val="bottom"/>
            <w:hideMark/>
          </w:tcPr>
          <w:p w14:paraId="0C579FE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194</w:t>
            </w:r>
          </w:p>
        </w:tc>
        <w:tc>
          <w:tcPr>
            <w:tcW w:w="50" w:type="pct"/>
            <w:shd w:val="clear" w:color="auto" w:fill="CFF0FC"/>
            <w:noWrap/>
            <w:tcMar>
              <w:top w:w="15" w:type="dxa"/>
              <w:left w:w="0" w:type="dxa"/>
              <w:bottom w:w="0" w:type="dxa"/>
              <w:right w:w="15" w:type="dxa"/>
            </w:tcMar>
            <w:vAlign w:val="bottom"/>
            <w:hideMark/>
          </w:tcPr>
          <w:p w14:paraId="189E6C2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10A740E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B727F2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6" w:type="pct"/>
            <w:tcBorders>
              <w:bottom w:val="single" w:sz="6" w:space="0" w:color="000000"/>
            </w:tcBorders>
            <w:shd w:val="clear" w:color="auto" w:fill="CFF0FC"/>
            <w:noWrap/>
            <w:tcMar>
              <w:top w:w="15" w:type="dxa"/>
              <w:left w:w="0" w:type="dxa"/>
              <w:bottom w:w="0" w:type="dxa"/>
              <w:right w:w="15" w:type="dxa"/>
            </w:tcMar>
            <w:vAlign w:val="bottom"/>
            <w:hideMark/>
          </w:tcPr>
          <w:p w14:paraId="7284670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202</w:t>
            </w:r>
          </w:p>
        </w:tc>
        <w:tc>
          <w:tcPr>
            <w:tcW w:w="11" w:type="pct"/>
            <w:shd w:val="clear" w:color="auto" w:fill="CFF0FC"/>
            <w:noWrap/>
            <w:tcMar>
              <w:top w:w="15" w:type="dxa"/>
              <w:left w:w="0" w:type="dxa"/>
              <w:bottom w:w="0" w:type="dxa"/>
              <w:right w:w="15" w:type="dxa"/>
            </w:tcMar>
            <w:vAlign w:val="bottom"/>
            <w:hideMark/>
          </w:tcPr>
          <w:p w14:paraId="5C70BD53"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57428809" w14:textId="77777777">
        <w:trPr>
          <w:divId w:val="1839038294"/>
          <w:jc w:val="center"/>
        </w:trPr>
        <w:tc>
          <w:tcPr>
            <w:tcW w:w="1635" w:type="pct"/>
            <w:shd w:val="clear" w:color="auto" w:fill="FFFFFF"/>
            <w:tcMar>
              <w:top w:w="15" w:type="dxa"/>
              <w:left w:w="0" w:type="dxa"/>
              <w:bottom w:w="0" w:type="dxa"/>
              <w:right w:w="15" w:type="dxa"/>
            </w:tcMar>
            <w:hideMark/>
          </w:tcPr>
          <w:p w14:paraId="068254BE" w14:textId="77777777" w:rsidR="00251D72" w:rsidRDefault="00251D72">
            <w:pPr>
              <w:pStyle w:val="a3"/>
              <w:spacing w:before="0" w:beforeAutospacing="0" w:after="0" w:afterAutospacing="0"/>
              <w:ind w:left="547" w:hanging="144"/>
              <w:rPr>
                <w:rFonts w:ascii="Calibri" w:hAnsi="Calibri" w:cs="Calibri"/>
                <w:color w:val="000000"/>
                <w:sz w:val="18"/>
                <w:szCs w:val="18"/>
              </w:rPr>
            </w:pPr>
            <w:r>
              <w:rPr>
                <w:rFonts w:ascii="Calibri" w:hAnsi="Calibri" w:cs="Calibri"/>
                <w:color w:val="000000"/>
                <w:sz w:val="18"/>
                <w:szCs w:val="18"/>
              </w:rPr>
              <w:t>Total Fiscal 2019 Oracle Restructuring Plan</w:t>
            </w:r>
          </w:p>
        </w:tc>
        <w:tc>
          <w:tcPr>
            <w:tcW w:w="60" w:type="pct"/>
            <w:shd w:val="clear" w:color="auto" w:fill="FFFFFF"/>
            <w:tcMar>
              <w:top w:w="15" w:type="dxa"/>
              <w:left w:w="0" w:type="dxa"/>
              <w:bottom w:w="0" w:type="dxa"/>
              <w:right w:w="15" w:type="dxa"/>
            </w:tcMar>
            <w:vAlign w:val="bottom"/>
            <w:hideMark/>
          </w:tcPr>
          <w:p w14:paraId="50F9BB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A9DC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7D80C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BC14CE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71B0C74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DA155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A723C2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475</w:t>
            </w:r>
          </w:p>
        </w:tc>
        <w:tc>
          <w:tcPr>
            <w:tcW w:w="50" w:type="pct"/>
            <w:shd w:val="clear" w:color="auto" w:fill="FFFFFF"/>
            <w:noWrap/>
            <w:tcMar>
              <w:top w:w="15" w:type="dxa"/>
              <w:left w:w="0" w:type="dxa"/>
              <w:bottom w:w="0" w:type="dxa"/>
              <w:right w:w="15" w:type="dxa"/>
            </w:tcMar>
            <w:vAlign w:val="bottom"/>
            <w:hideMark/>
          </w:tcPr>
          <w:p w14:paraId="4B7B1D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4D39F04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2C4130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1A228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40AC212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268012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493FF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271C2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(262</w:t>
            </w:r>
          </w:p>
        </w:tc>
        <w:tc>
          <w:tcPr>
            <w:tcW w:w="50" w:type="pct"/>
            <w:shd w:val="clear" w:color="auto" w:fill="FFFFFF"/>
            <w:noWrap/>
            <w:tcMar>
              <w:top w:w="15" w:type="dxa"/>
              <w:left w:w="0" w:type="dxa"/>
              <w:bottom w:w="0" w:type="dxa"/>
              <w:right w:w="15" w:type="dxa"/>
            </w:tcMar>
            <w:vAlign w:val="bottom"/>
            <w:hideMark/>
          </w:tcPr>
          <w:p w14:paraId="0270CE7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3CAD05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4B4B19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30D935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2AD983B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759FA00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CC34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00E62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213</w:t>
            </w:r>
          </w:p>
        </w:tc>
        <w:tc>
          <w:tcPr>
            <w:tcW w:w="50" w:type="pct"/>
            <w:shd w:val="clear" w:color="auto" w:fill="FFFFFF"/>
            <w:noWrap/>
            <w:tcMar>
              <w:top w:w="15" w:type="dxa"/>
              <w:left w:w="0" w:type="dxa"/>
              <w:bottom w:w="0" w:type="dxa"/>
              <w:right w:w="15" w:type="dxa"/>
            </w:tcMar>
            <w:vAlign w:val="bottom"/>
            <w:hideMark/>
          </w:tcPr>
          <w:p w14:paraId="7D8ABD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4E83E6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530A40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611CDE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476</w:t>
            </w:r>
          </w:p>
        </w:tc>
        <w:tc>
          <w:tcPr>
            <w:tcW w:w="50" w:type="pct"/>
            <w:shd w:val="clear" w:color="auto" w:fill="FFFFFF"/>
            <w:noWrap/>
            <w:tcMar>
              <w:top w:w="15" w:type="dxa"/>
              <w:left w:w="0" w:type="dxa"/>
              <w:bottom w:w="0" w:type="dxa"/>
              <w:right w:w="15" w:type="dxa"/>
            </w:tcMar>
            <w:vAlign w:val="bottom"/>
            <w:hideMark/>
          </w:tcPr>
          <w:p w14:paraId="1415E31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26B531E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4881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A0AF2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584</w:t>
            </w:r>
          </w:p>
        </w:tc>
        <w:tc>
          <w:tcPr>
            <w:tcW w:w="11" w:type="pct"/>
            <w:shd w:val="clear" w:color="auto" w:fill="FFFFFF"/>
            <w:noWrap/>
            <w:tcMar>
              <w:top w:w="15" w:type="dxa"/>
              <w:left w:w="0" w:type="dxa"/>
              <w:bottom w:w="0" w:type="dxa"/>
              <w:right w:w="15" w:type="dxa"/>
            </w:tcMar>
            <w:vAlign w:val="bottom"/>
            <w:hideMark/>
          </w:tcPr>
          <w:p w14:paraId="576BA269"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266AB1CD" w14:textId="77777777">
        <w:trPr>
          <w:divId w:val="1839038294"/>
          <w:jc w:val="center"/>
        </w:trPr>
        <w:tc>
          <w:tcPr>
            <w:tcW w:w="1635" w:type="pct"/>
            <w:shd w:val="clear" w:color="auto" w:fill="CFF0FC"/>
            <w:tcMar>
              <w:top w:w="15" w:type="dxa"/>
              <w:left w:w="0" w:type="dxa"/>
              <w:bottom w:w="0" w:type="dxa"/>
              <w:right w:w="15" w:type="dxa"/>
            </w:tcMar>
            <w:hideMark/>
          </w:tcPr>
          <w:p w14:paraId="2E699EB5" w14:textId="77777777" w:rsidR="00251D72" w:rsidRDefault="00251D72">
            <w:pPr>
              <w:pStyle w:val="a3"/>
              <w:spacing w:before="0" w:beforeAutospacing="0" w:after="0" w:afterAutospacing="0"/>
              <w:ind w:left="547" w:hanging="144"/>
              <w:rPr>
                <w:rFonts w:ascii="Calibri" w:hAnsi="Calibri" w:cs="Calibri"/>
                <w:color w:val="000000"/>
                <w:sz w:val="18"/>
                <w:szCs w:val="18"/>
              </w:rPr>
            </w:pPr>
            <w:r>
              <w:rPr>
                <w:rFonts w:ascii="Calibri" w:hAnsi="Calibri" w:cs="Calibri"/>
                <w:color w:val="000000"/>
                <w:sz w:val="18"/>
                <w:szCs w:val="18"/>
              </w:rPr>
              <w:t>Total other restructuring plans</w:t>
            </w:r>
            <w:r>
              <w:rPr>
                <w:rFonts w:ascii="Calibri" w:hAnsi="Calibri" w:cs="Calibri"/>
                <w:color w:val="000000"/>
                <w:sz w:val="15"/>
                <w:szCs w:val="15"/>
                <w:vertAlign w:val="superscript"/>
              </w:rPr>
              <w:t>(7)</w:t>
            </w:r>
          </w:p>
        </w:tc>
        <w:tc>
          <w:tcPr>
            <w:tcW w:w="60" w:type="pct"/>
            <w:shd w:val="clear" w:color="auto" w:fill="CFF0FC"/>
            <w:tcMar>
              <w:top w:w="15" w:type="dxa"/>
              <w:left w:w="0" w:type="dxa"/>
              <w:bottom w:w="0" w:type="dxa"/>
              <w:right w:w="15" w:type="dxa"/>
            </w:tcMar>
            <w:vAlign w:val="bottom"/>
            <w:hideMark/>
          </w:tcPr>
          <w:p w14:paraId="24FA4CA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15ADC9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5CE2CE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282</w:t>
            </w:r>
          </w:p>
        </w:tc>
        <w:tc>
          <w:tcPr>
            <w:tcW w:w="50" w:type="pct"/>
            <w:shd w:val="clear" w:color="auto" w:fill="CFF0FC"/>
            <w:noWrap/>
            <w:tcMar>
              <w:top w:w="15" w:type="dxa"/>
              <w:left w:w="0" w:type="dxa"/>
              <w:bottom w:w="0" w:type="dxa"/>
              <w:right w:w="15" w:type="dxa"/>
            </w:tcMar>
            <w:vAlign w:val="bottom"/>
            <w:hideMark/>
          </w:tcPr>
          <w:p w14:paraId="519C964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F3DA96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B99F5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C67F71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noWrap/>
            <w:tcMar>
              <w:top w:w="15" w:type="dxa"/>
              <w:left w:w="0" w:type="dxa"/>
              <w:bottom w:w="0" w:type="dxa"/>
              <w:right w:w="15" w:type="dxa"/>
            </w:tcMar>
            <w:vAlign w:val="bottom"/>
            <w:hideMark/>
          </w:tcPr>
          <w:p w14:paraId="1B7EE7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6E7B51E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C02E7B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67FF94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w:t>
            </w:r>
          </w:p>
        </w:tc>
        <w:tc>
          <w:tcPr>
            <w:tcW w:w="50" w:type="pct"/>
            <w:shd w:val="clear" w:color="auto" w:fill="CFF0FC"/>
            <w:noWrap/>
            <w:tcMar>
              <w:top w:w="15" w:type="dxa"/>
              <w:left w:w="0" w:type="dxa"/>
              <w:bottom w:w="0" w:type="dxa"/>
              <w:right w:w="15" w:type="dxa"/>
            </w:tcMar>
            <w:vAlign w:val="bottom"/>
            <w:hideMark/>
          </w:tcPr>
          <w:p w14:paraId="568AC93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25556A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8D1EA8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81F48A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(181</w:t>
            </w:r>
          </w:p>
        </w:tc>
        <w:tc>
          <w:tcPr>
            <w:tcW w:w="50" w:type="pct"/>
            <w:shd w:val="clear" w:color="auto" w:fill="CFF0FC"/>
            <w:noWrap/>
            <w:tcMar>
              <w:top w:w="15" w:type="dxa"/>
              <w:left w:w="0" w:type="dxa"/>
              <w:bottom w:w="0" w:type="dxa"/>
              <w:right w:w="15" w:type="dxa"/>
            </w:tcMar>
            <w:vAlign w:val="bottom"/>
            <w:hideMark/>
          </w:tcPr>
          <w:p w14:paraId="333257E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2D6305B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ADF44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259883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6FCBA61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2B04B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03B10B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4FC960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49</w:t>
            </w:r>
          </w:p>
        </w:tc>
        <w:tc>
          <w:tcPr>
            <w:tcW w:w="50" w:type="pct"/>
            <w:shd w:val="clear" w:color="auto" w:fill="CFF0FC"/>
            <w:noWrap/>
            <w:tcMar>
              <w:top w:w="15" w:type="dxa"/>
              <w:left w:w="0" w:type="dxa"/>
              <w:bottom w:w="0" w:type="dxa"/>
              <w:right w:w="15" w:type="dxa"/>
            </w:tcMar>
            <w:vAlign w:val="bottom"/>
            <w:hideMark/>
          </w:tcPr>
          <w:p w14:paraId="0914F6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0452585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612C9F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tcBorders>
              <w:top w:val="double" w:sz="6" w:space="0" w:color="000000"/>
            </w:tcBorders>
            <w:shd w:val="clear" w:color="auto" w:fill="CFF0FC"/>
            <w:noWrap/>
            <w:tcMar>
              <w:top w:w="15" w:type="dxa"/>
              <w:left w:w="0" w:type="dxa"/>
              <w:bottom w:w="0" w:type="dxa"/>
              <w:right w:w="15" w:type="dxa"/>
            </w:tcMar>
            <w:vAlign w:val="bottom"/>
            <w:hideMark/>
          </w:tcPr>
          <w:p w14:paraId="79DA8E1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08B3E7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08E810C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49D983C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6" w:type="pct"/>
            <w:tcBorders>
              <w:top w:val="double" w:sz="6" w:space="0" w:color="000000"/>
            </w:tcBorders>
            <w:shd w:val="clear" w:color="auto" w:fill="CFF0FC"/>
            <w:noWrap/>
            <w:tcMar>
              <w:top w:w="15" w:type="dxa"/>
              <w:left w:w="0" w:type="dxa"/>
              <w:bottom w:w="0" w:type="dxa"/>
              <w:right w:w="15" w:type="dxa"/>
            </w:tcMar>
            <w:vAlign w:val="bottom"/>
            <w:hideMark/>
          </w:tcPr>
          <w:p w14:paraId="38A24EE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11" w:type="pct"/>
            <w:shd w:val="clear" w:color="auto" w:fill="CFF0FC"/>
            <w:noWrap/>
            <w:tcMar>
              <w:top w:w="15" w:type="dxa"/>
              <w:left w:w="0" w:type="dxa"/>
              <w:bottom w:w="0" w:type="dxa"/>
              <w:right w:w="15" w:type="dxa"/>
            </w:tcMar>
            <w:vAlign w:val="bottom"/>
            <w:hideMark/>
          </w:tcPr>
          <w:p w14:paraId="45BAB2D0"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6201391C" w14:textId="77777777">
        <w:trPr>
          <w:divId w:val="1839038294"/>
          <w:jc w:val="center"/>
        </w:trPr>
        <w:tc>
          <w:tcPr>
            <w:tcW w:w="1635" w:type="pct"/>
            <w:shd w:val="clear" w:color="auto" w:fill="FFFFFF"/>
            <w:tcMar>
              <w:top w:w="15" w:type="dxa"/>
              <w:left w:w="0" w:type="dxa"/>
              <w:bottom w:w="0" w:type="dxa"/>
              <w:right w:w="15" w:type="dxa"/>
            </w:tcMar>
            <w:hideMark/>
          </w:tcPr>
          <w:p w14:paraId="6633CFF3" w14:textId="77777777" w:rsidR="00251D72" w:rsidRDefault="00251D72">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restructuring plans</w:t>
            </w:r>
          </w:p>
        </w:tc>
        <w:tc>
          <w:tcPr>
            <w:tcW w:w="60" w:type="pct"/>
            <w:shd w:val="clear" w:color="auto" w:fill="FFFFFF"/>
            <w:tcMar>
              <w:top w:w="15" w:type="dxa"/>
              <w:left w:w="0" w:type="dxa"/>
              <w:bottom w:w="0" w:type="dxa"/>
              <w:right w:w="15" w:type="dxa"/>
            </w:tcMar>
            <w:vAlign w:val="bottom"/>
            <w:hideMark/>
          </w:tcPr>
          <w:p w14:paraId="6CBD8C3E"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EBA27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67ADE9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282</w:t>
            </w:r>
          </w:p>
        </w:tc>
        <w:tc>
          <w:tcPr>
            <w:tcW w:w="50" w:type="pct"/>
            <w:shd w:val="clear" w:color="auto" w:fill="FFFFFF"/>
            <w:noWrap/>
            <w:tcMar>
              <w:top w:w="15" w:type="dxa"/>
              <w:left w:w="0" w:type="dxa"/>
              <w:bottom w:w="0" w:type="dxa"/>
              <w:right w:w="15" w:type="dxa"/>
            </w:tcMar>
            <w:vAlign w:val="bottom"/>
            <w:hideMark/>
          </w:tcPr>
          <w:p w14:paraId="32BA585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31DCDE3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146F76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A8DB5B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480</w:t>
            </w:r>
          </w:p>
        </w:tc>
        <w:tc>
          <w:tcPr>
            <w:tcW w:w="50" w:type="pct"/>
            <w:shd w:val="clear" w:color="auto" w:fill="FFFFFF"/>
            <w:noWrap/>
            <w:tcMar>
              <w:top w:w="15" w:type="dxa"/>
              <w:left w:w="0" w:type="dxa"/>
              <w:bottom w:w="0" w:type="dxa"/>
              <w:right w:w="15" w:type="dxa"/>
            </w:tcMar>
            <w:vAlign w:val="bottom"/>
            <w:hideMark/>
          </w:tcPr>
          <w:p w14:paraId="4981B12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0F772CC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9FDC8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8049A0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w:t>
            </w:r>
          </w:p>
        </w:tc>
        <w:tc>
          <w:tcPr>
            <w:tcW w:w="50" w:type="pct"/>
            <w:shd w:val="clear" w:color="auto" w:fill="FFFFFF"/>
            <w:noWrap/>
            <w:tcMar>
              <w:top w:w="15" w:type="dxa"/>
              <w:left w:w="0" w:type="dxa"/>
              <w:bottom w:w="0" w:type="dxa"/>
              <w:right w:w="15" w:type="dxa"/>
            </w:tcMar>
            <w:vAlign w:val="bottom"/>
            <w:hideMark/>
          </w:tcPr>
          <w:p w14:paraId="7395C4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5395BC1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25C874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2BF9ED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(443</w:t>
            </w:r>
          </w:p>
        </w:tc>
        <w:tc>
          <w:tcPr>
            <w:tcW w:w="50" w:type="pct"/>
            <w:shd w:val="clear" w:color="auto" w:fill="FFFFFF"/>
            <w:noWrap/>
            <w:tcMar>
              <w:top w:w="15" w:type="dxa"/>
              <w:left w:w="0" w:type="dxa"/>
              <w:bottom w:w="0" w:type="dxa"/>
              <w:right w:w="15" w:type="dxa"/>
            </w:tcMar>
            <w:vAlign w:val="bottom"/>
            <w:hideMark/>
          </w:tcPr>
          <w:p w14:paraId="2C3D805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4E7142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A01B7A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EEEBA0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763D2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1B92FD9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116702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8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4DA59A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262</w:t>
            </w:r>
          </w:p>
        </w:tc>
        <w:tc>
          <w:tcPr>
            <w:tcW w:w="50" w:type="pct"/>
            <w:shd w:val="clear" w:color="auto" w:fill="FFFFFF"/>
            <w:noWrap/>
            <w:tcMar>
              <w:top w:w="15" w:type="dxa"/>
              <w:left w:w="0" w:type="dxa"/>
              <w:bottom w:w="0" w:type="dxa"/>
              <w:right w:w="15" w:type="dxa"/>
            </w:tcMar>
            <w:vAlign w:val="bottom"/>
            <w:hideMark/>
          </w:tcPr>
          <w:p w14:paraId="47ADEC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76690B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6DB23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shd w:val="clear" w:color="auto" w:fill="FFFFFF"/>
            <w:noWrap/>
            <w:tcMar>
              <w:top w:w="15" w:type="dxa"/>
              <w:left w:w="0" w:type="dxa"/>
              <w:bottom w:w="0" w:type="dxa"/>
              <w:right w:w="15" w:type="dxa"/>
            </w:tcMar>
            <w:vAlign w:val="bottom"/>
            <w:hideMark/>
          </w:tcPr>
          <w:p w14:paraId="0FF892F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E29CE8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34E462D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8AF9CA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6" w:type="pct"/>
            <w:shd w:val="clear" w:color="auto" w:fill="FFFFFF"/>
            <w:noWrap/>
            <w:tcMar>
              <w:top w:w="15" w:type="dxa"/>
              <w:left w:w="0" w:type="dxa"/>
              <w:bottom w:w="0" w:type="dxa"/>
              <w:right w:w="15" w:type="dxa"/>
            </w:tcMar>
            <w:vAlign w:val="bottom"/>
            <w:hideMark/>
          </w:tcPr>
          <w:p w14:paraId="4418A8E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11" w:type="pct"/>
            <w:shd w:val="clear" w:color="auto" w:fill="FFFFFF"/>
            <w:noWrap/>
            <w:tcMar>
              <w:top w:w="15" w:type="dxa"/>
              <w:left w:w="0" w:type="dxa"/>
              <w:bottom w:w="0" w:type="dxa"/>
              <w:right w:w="15" w:type="dxa"/>
            </w:tcMar>
            <w:vAlign w:val="bottom"/>
            <w:hideMark/>
          </w:tcPr>
          <w:p w14:paraId="011371CB"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3F8C222" w14:textId="77777777" w:rsidR="00251D72" w:rsidRDefault="00251D72">
      <w:pPr>
        <w:pStyle w:val="a3"/>
        <w:spacing w:before="0" w:beforeAutospacing="0" w:after="0" w:afterAutospacing="0"/>
        <w:rPr>
          <w:sz w:val="12"/>
          <w:szCs w:val="12"/>
        </w:rPr>
      </w:pPr>
      <w:r>
        <w:rPr>
          <w:sz w:val="12"/>
          <w:szCs w:val="12"/>
        </w:rPr>
        <w:t> </w:t>
      </w:r>
    </w:p>
    <w:p w14:paraId="593C8B4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93</w:t>
      </w:r>
    </w:p>
    <w:p w14:paraId="02B84FCE" w14:textId="77777777" w:rsidR="00251D72" w:rsidRDefault="00251D72">
      <w:pPr>
        <w:rPr>
          <w:rFonts w:ascii="Times New Roman" w:eastAsia="Times New Roman" w:hAnsi="Times New Roman" w:cs="Times New Roman"/>
          <w:sz w:val="24"/>
          <w:szCs w:val="24"/>
        </w:rPr>
      </w:pPr>
      <w:r>
        <w:rPr>
          <w:rFonts w:eastAsia="Times New Roman"/>
        </w:rPr>
        <w:pict w14:anchorId="4FA6C693">
          <v:rect id="_x0000_i1119" style="width:415.3pt;height:1.5pt" o:hralign="center" o:hrstd="t" o:hr="t" fillcolor="#a0a0a0" stroked="f"/>
        </w:pict>
      </w:r>
    </w:p>
    <w:p w14:paraId="73DA54F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19FAA4B6"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F8D92D7"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354708D7"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012AE591"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65B5ADC3" w14:textId="77777777" w:rsidR="00251D72" w:rsidRDefault="00251D72">
      <w:pPr>
        <w:pStyle w:val="a3"/>
        <w:spacing w:before="0" w:beforeAutospacing="0" w:after="0" w:afterAutospacing="0"/>
        <w:rPr>
          <w:sz w:val="20"/>
          <w:szCs w:val="20"/>
        </w:rPr>
      </w:pPr>
      <w:r>
        <w:rPr>
          <w:sz w:val="20"/>
          <w:szCs w:val="20"/>
        </w:rPr>
        <w:t> </w:t>
      </w:r>
    </w:p>
    <w:p w14:paraId="05D7F3A0" w14:textId="77777777" w:rsidR="00251D72" w:rsidRDefault="00251D72">
      <w:pPr>
        <w:pStyle w:val="a3"/>
        <w:spacing w:before="120" w:beforeAutospacing="0" w:after="0" w:afterAutospacing="0"/>
        <w:jc w:val="both"/>
        <w:rPr>
          <w:rFonts w:ascii="Calibri" w:hAnsi="Calibri" w:cs="Calibri"/>
          <w:b/>
          <w:bCs/>
          <w:i/>
          <w:iCs/>
          <w:sz w:val="20"/>
          <w:szCs w:val="20"/>
        </w:rPr>
      </w:pPr>
      <w:bookmarkStart w:id="136" w:name="_AEIOULastRenderedPageBreakAEIOU96"/>
      <w:bookmarkEnd w:id="136"/>
      <w:r>
        <w:rPr>
          <w:rFonts w:ascii="Calibri" w:hAnsi="Calibri" w:cs="Calibri"/>
          <w:b/>
          <w:bCs/>
          <w:i/>
          <w:iCs/>
          <w:sz w:val="20"/>
          <w:szCs w:val="20"/>
        </w:rPr>
        <w:t>Fiscal 2018 Activity</w:t>
      </w:r>
    </w:p>
    <w:p w14:paraId="48AA01A3"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3277"/>
        <w:gridCol w:w="109"/>
        <w:gridCol w:w="108"/>
        <w:gridCol w:w="591"/>
        <w:gridCol w:w="71"/>
        <w:gridCol w:w="71"/>
        <w:gridCol w:w="108"/>
        <w:gridCol w:w="593"/>
        <w:gridCol w:w="71"/>
        <w:gridCol w:w="71"/>
        <w:gridCol w:w="108"/>
        <w:gridCol w:w="593"/>
        <w:gridCol w:w="71"/>
        <w:gridCol w:w="72"/>
        <w:gridCol w:w="108"/>
        <w:gridCol w:w="594"/>
        <w:gridCol w:w="72"/>
        <w:gridCol w:w="72"/>
        <w:gridCol w:w="108"/>
        <w:gridCol w:w="594"/>
        <w:gridCol w:w="72"/>
        <w:gridCol w:w="72"/>
        <w:gridCol w:w="108"/>
        <w:gridCol w:w="527"/>
        <w:gridCol w:w="65"/>
      </w:tblGrid>
      <w:tr w:rsidR="00251D72" w14:paraId="6E572896" w14:textId="77777777">
        <w:trPr>
          <w:divId w:val="2094813432"/>
          <w:jc w:val="center"/>
        </w:trPr>
        <w:tc>
          <w:tcPr>
            <w:tcW w:w="1980" w:type="pct"/>
            <w:shd w:val="clear" w:color="auto" w:fill="FFFFFF"/>
            <w:tcMar>
              <w:top w:w="15" w:type="dxa"/>
              <w:left w:w="0" w:type="dxa"/>
              <w:bottom w:w="0" w:type="dxa"/>
              <w:right w:w="15" w:type="dxa"/>
            </w:tcMar>
            <w:vAlign w:val="bottom"/>
            <w:hideMark/>
          </w:tcPr>
          <w:p w14:paraId="3D0DB31D" w14:textId="77777777" w:rsidR="00251D72" w:rsidRDefault="00251D72">
            <w:pPr>
              <w:pStyle w:val="a3"/>
              <w:spacing w:before="0" w:beforeAutospacing="0" w:after="0" w:afterAutospacing="0"/>
              <w:jc w:val="center"/>
              <w:rPr>
                <w:sz w:val="15"/>
                <w:szCs w:val="15"/>
              </w:rPr>
            </w:pPr>
            <w:r>
              <w:rPr>
                <w:sz w:val="15"/>
                <w:szCs w:val="15"/>
              </w:rPr>
              <w:t> </w:t>
            </w:r>
          </w:p>
        </w:tc>
        <w:tc>
          <w:tcPr>
            <w:tcW w:w="73" w:type="pct"/>
            <w:shd w:val="clear" w:color="auto" w:fill="FFFFFF"/>
            <w:tcMar>
              <w:top w:w="15" w:type="dxa"/>
              <w:left w:w="0" w:type="dxa"/>
              <w:bottom w:w="0" w:type="dxa"/>
              <w:right w:w="15" w:type="dxa"/>
            </w:tcMar>
            <w:vAlign w:val="bottom"/>
            <w:hideMark/>
          </w:tcPr>
          <w:p w14:paraId="519D44C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11" w:type="pct"/>
            <w:gridSpan w:val="2"/>
            <w:vMerge w:val="restart"/>
            <w:shd w:val="clear" w:color="auto" w:fill="FFFFFF"/>
            <w:tcMar>
              <w:top w:w="15" w:type="dxa"/>
              <w:left w:w="0" w:type="dxa"/>
              <w:bottom w:w="0" w:type="dxa"/>
              <w:right w:w="15" w:type="dxa"/>
            </w:tcMar>
            <w:vAlign w:val="bottom"/>
            <w:hideMark/>
          </w:tcPr>
          <w:p w14:paraId="1963D5E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261158A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0281F94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4F45A62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3E044CA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951" w:type="pct"/>
            <w:gridSpan w:val="14"/>
            <w:tcBorders>
              <w:bottom w:val="single" w:sz="6" w:space="0" w:color="000000"/>
            </w:tcBorders>
            <w:shd w:val="clear" w:color="auto" w:fill="FFFFFF"/>
            <w:tcMar>
              <w:top w:w="15" w:type="dxa"/>
              <w:left w:w="0" w:type="dxa"/>
              <w:bottom w:w="0" w:type="dxa"/>
              <w:right w:w="15" w:type="dxa"/>
            </w:tcMar>
            <w:vAlign w:val="bottom"/>
            <w:hideMark/>
          </w:tcPr>
          <w:p w14:paraId="45FDD11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 2018</w:t>
            </w:r>
          </w:p>
        </w:tc>
        <w:tc>
          <w:tcPr>
            <w:tcW w:w="50" w:type="pct"/>
            <w:shd w:val="clear" w:color="auto" w:fill="FFFFFF"/>
            <w:noWrap/>
            <w:tcMar>
              <w:top w:w="15" w:type="dxa"/>
              <w:left w:w="0" w:type="dxa"/>
              <w:bottom w:w="0" w:type="dxa"/>
              <w:right w:w="15" w:type="dxa"/>
            </w:tcMar>
            <w:vAlign w:val="bottom"/>
            <w:hideMark/>
          </w:tcPr>
          <w:p w14:paraId="354BA6E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324E478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4" w:type="pct"/>
            <w:gridSpan w:val="2"/>
            <w:vMerge w:val="restart"/>
            <w:shd w:val="clear" w:color="auto" w:fill="FFFFFF"/>
            <w:tcMar>
              <w:top w:w="15" w:type="dxa"/>
              <w:left w:w="0" w:type="dxa"/>
              <w:bottom w:w="0" w:type="dxa"/>
              <w:right w:w="15" w:type="dxa"/>
            </w:tcMar>
            <w:vAlign w:val="bottom"/>
            <w:hideMark/>
          </w:tcPr>
          <w:p w14:paraId="0019EF1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7DF5126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3DD0C2B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r>
              <w:rPr>
                <w:rFonts w:ascii="Calibri" w:hAnsi="Calibri" w:cs="Calibri"/>
                <w:b/>
                <w:bCs/>
                <w:color w:val="000000"/>
                <w:sz w:val="13"/>
                <w:szCs w:val="13"/>
                <w:vertAlign w:val="superscript"/>
              </w:rPr>
              <w:t>(2)</w:t>
            </w:r>
          </w:p>
        </w:tc>
        <w:tc>
          <w:tcPr>
            <w:tcW w:w="11" w:type="pct"/>
            <w:shd w:val="clear" w:color="auto" w:fill="FFFFFF"/>
            <w:noWrap/>
            <w:tcMar>
              <w:top w:w="15" w:type="dxa"/>
              <w:left w:w="0" w:type="dxa"/>
              <w:bottom w:w="0" w:type="dxa"/>
              <w:right w:w="15" w:type="dxa"/>
            </w:tcMar>
            <w:vAlign w:val="bottom"/>
            <w:hideMark/>
          </w:tcPr>
          <w:p w14:paraId="0CCB4D0A" w14:textId="77777777" w:rsidR="00251D72" w:rsidRDefault="00251D72">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r>
      <w:tr w:rsidR="00251D72" w14:paraId="128FD3EF" w14:textId="77777777">
        <w:trPr>
          <w:divId w:val="2094813432"/>
          <w:jc w:val="center"/>
        </w:trPr>
        <w:tc>
          <w:tcPr>
            <w:tcW w:w="1980" w:type="pct"/>
            <w:tcBorders>
              <w:bottom w:val="single" w:sz="6" w:space="0" w:color="000000"/>
            </w:tcBorders>
            <w:shd w:val="clear" w:color="auto" w:fill="FFFFFF"/>
            <w:tcMar>
              <w:top w:w="15" w:type="dxa"/>
              <w:left w:w="0" w:type="dxa"/>
              <w:bottom w:w="0" w:type="dxa"/>
              <w:right w:w="15" w:type="dxa"/>
            </w:tcMar>
            <w:vAlign w:val="bottom"/>
            <w:hideMark/>
          </w:tcPr>
          <w:p w14:paraId="20BCE5E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left w:w="0" w:type="dxa"/>
              <w:bottom w:w="0" w:type="dxa"/>
              <w:right w:w="15" w:type="dxa"/>
            </w:tcMar>
            <w:vAlign w:val="bottom"/>
            <w:hideMark/>
          </w:tcPr>
          <w:p w14:paraId="09CD6A1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0" w:type="auto"/>
            <w:gridSpan w:val="2"/>
            <w:vMerge/>
            <w:vAlign w:val="center"/>
            <w:hideMark/>
          </w:tcPr>
          <w:p w14:paraId="286B1E7D" w14:textId="77777777" w:rsidR="00251D72" w:rsidRDefault="00251D72">
            <w:pPr>
              <w:rPr>
                <w:rFonts w:ascii="Calibri" w:hAnsi="Calibri" w:cs="Calibri"/>
                <w:b/>
                <w:bCs/>
                <w:color w:val="000000"/>
                <w:sz w:val="15"/>
                <w:szCs w:val="15"/>
              </w:rPr>
            </w:pPr>
          </w:p>
        </w:tc>
        <w:tc>
          <w:tcPr>
            <w:tcW w:w="50" w:type="pct"/>
            <w:shd w:val="clear" w:color="auto" w:fill="FFFFFF"/>
            <w:noWrap/>
            <w:tcMar>
              <w:top w:w="15" w:type="dxa"/>
              <w:left w:w="0" w:type="dxa"/>
              <w:bottom w:w="0" w:type="dxa"/>
              <w:right w:w="15" w:type="dxa"/>
            </w:tcMar>
            <w:vAlign w:val="bottom"/>
            <w:hideMark/>
          </w:tcPr>
          <w:p w14:paraId="307D751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5802628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8AA71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5838F33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3"/>
                <w:szCs w:val="13"/>
                <w:vertAlign w:val="superscript"/>
              </w:rPr>
              <w:t>(3)</w:t>
            </w:r>
          </w:p>
        </w:tc>
        <w:tc>
          <w:tcPr>
            <w:tcW w:w="50" w:type="pct"/>
            <w:shd w:val="clear" w:color="auto" w:fill="FFFFFF"/>
            <w:noWrap/>
            <w:tcMar>
              <w:top w:w="15" w:type="dxa"/>
              <w:left w:w="0" w:type="dxa"/>
              <w:bottom w:w="0" w:type="dxa"/>
              <w:right w:w="15" w:type="dxa"/>
            </w:tcMar>
            <w:vAlign w:val="bottom"/>
            <w:hideMark/>
          </w:tcPr>
          <w:p w14:paraId="1BD7B1D8" w14:textId="77777777" w:rsidR="00251D72" w:rsidRDefault="00251D72">
            <w:pPr>
              <w:pStyle w:val="a3"/>
              <w:spacing w:before="0" w:beforeAutospacing="0" w:after="0" w:afterAutospacing="0"/>
              <w:rPr>
                <w:color w:val="000000"/>
                <w:sz w:val="15"/>
                <w:szCs w:val="15"/>
              </w:rPr>
            </w:pPr>
            <w:r>
              <w:rPr>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3CCE60A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45F589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68D7465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3"/>
                <w:szCs w:val="13"/>
                <w:vertAlign w:val="superscript"/>
              </w:rPr>
              <w:t>(4)</w:t>
            </w:r>
          </w:p>
        </w:tc>
        <w:tc>
          <w:tcPr>
            <w:tcW w:w="50" w:type="pct"/>
            <w:shd w:val="clear" w:color="auto" w:fill="FFFFFF"/>
            <w:noWrap/>
            <w:tcMar>
              <w:top w:w="15" w:type="dxa"/>
              <w:left w:w="0" w:type="dxa"/>
              <w:bottom w:w="0" w:type="dxa"/>
              <w:right w:w="15" w:type="dxa"/>
            </w:tcMar>
            <w:vAlign w:val="bottom"/>
            <w:hideMark/>
          </w:tcPr>
          <w:p w14:paraId="25B35AFE" w14:textId="77777777" w:rsidR="00251D72" w:rsidRDefault="00251D72">
            <w:pPr>
              <w:pStyle w:val="a3"/>
              <w:spacing w:before="0" w:beforeAutospacing="0" w:after="0" w:afterAutospacing="0"/>
              <w:rPr>
                <w:color w:val="000000"/>
                <w:sz w:val="15"/>
                <w:szCs w:val="15"/>
              </w:rPr>
            </w:pPr>
            <w:r>
              <w:rPr>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6CB689C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CF95E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03B6318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50" w:type="pct"/>
            <w:shd w:val="clear" w:color="auto" w:fill="FFFFFF"/>
            <w:noWrap/>
            <w:tcMar>
              <w:top w:w="15" w:type="dxa"/>
              <w:left w:w="0" w:type="dxa"/>
              <w:bottom w:w="0" w:type="dxa"/>
              <w:right w:w="15" w:type="dxa"/>
            </w:tcMar>
            <w:vAlign w:val="bottom"/>
            <w:hideMark/>
          </w:tcPr>
          <w:p w14:paraId="7F960E5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3AB1B9D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34100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3"/>
                <w:szCs w:val="13"/>
                <w:vertAlign w:val="superscript"/>
              </w:rPr>
              <w:t>(5)</w:t>
            </w:r>
          </w:p>
        </w:tc>
        <w:tc>
          <w:tcPr>
            <w:tcW w:w="50" w:type="pct"/>
            <w:shd w:val="clear" w:color="auto" w:fill="FFFFFF"/>
            <w:noWrap/>
            <w:tcMar>
              <w:top w:w="15" w:type="dxa"/>
              <w:left w:w="0" w:type="dxa"/>
              <w:bottom w:w="0" w:type="dxa"/>
              <w:right w:w="15" w:type="dxa"/>
            </w:tcMar>
            <w:vAlign w:val="bottom"/>
            <w:hideMark/>
          </w:tcPr>
          <w:p w14:paraId="1B58A87A" w14:textId="77777777" w:rsidR="00251D72" w:rsidRDefault="00251D72">
            <w:pPr>
              <w:pStyle w:val="a3"/>
              <w:spacing w:before="0" w:beforeAutospacing="0" w:after="0" w:afterAutospacing="0"/>
              <w:rPr>
                <w:color w:val="000000"/>
                <w:sz w:val="15"/>
                <w:szCs w:val="15"/>
              </w:rPr>
            </w:pPr>
            <w:r>
              <w:rPr>
                <w:color w:val="000000"/>
                <w:sz w:val="15"/>
                <w:szCs w:val="15"/>
              </w:rPr>
              <w:t> </w:t>
            </w:r>
          </w:p>
        </w:tc>
        <w:tc>
          <w:tcPr>
            <w:tcW w:w="50" w:type="pct"/>
            <w:shd w:val="clear" w:color="auto" w:fill="FFFFFF"/>
            <w:tcMar>
              <w:top w:w="15" w:type="dxa"/>
              <w:left w:w="0" w:type="dxa"/>
              <w:bottom w:w="0" w:type="dxa"/>
              <w:right w:w="15" w:type="dxa"/>
            </w:tcMar>
            <w:vAlign w:val="bottom"/>
            <w:hideMark/>
          </w:tcPr>
          <w:p w14:paraId="33441D6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0" w:type="auto"/>
            <w:gridSpan w:val="2"/>
            <w:vMerge/>
            <w:vAlign w:val="center"/>
            <w:hideMark/>
          </w:tcPr>
          <w:p w14:paraId="57298E8D" w14:textId="77777777" w:rsidR="00251D72" w:rsidRDefault="00251D72">
            <w:pPr>
              <w:rPr>
                <w:rFonts w:ascii="Calibri" w:hAnsi="Calibri" w:cs="Calibri"/>
                <w:b/>
                <w:bCs/>
                <w:color w:val="000000"/>
                <w:sz w:val="15"/>
                <w:szCs w:val="15"/>
              </w:rPr>
            </w:pPr>
          </w:p>
        </w:tc>
        <w:tc>
          <w:tcPr>
            <w:tcW w:w="11" w:type="pct"/>
            <w:shd w:val="clear" w:color="auto" w:fill="FFFFFF"/>
            <w:noWrap/>
            <w:tcMar>
              <w:top w:w="15" w:type="dxa"/>
              <w:left w:w="0" w:type="dxa"/>
              <w:bottom w:w="0" w:type="dxa"/>
              <w:right w:w="15" w:type="dxa"/>
            </w:tcMar>
            <w:vAlign w:val="bottom"/>
            <w:hideMark/>
          </w:tcPr>
          <w:p w14:paraId="704E9AA6" w14:textId="77777777" w:rsidR="00251D72" w:rsidRDefault="00251D72">
            <w:pPr>
              <w:pStyle w:val="a3"/>
              <w:spacing w:before="0" w:beforeAutospacing="0" w:after="0" w:afterAutospacing="0"/>
              <w:rPr>
                <w:color w:val="000000"/>
                <w:sz w:val="20"/>
                <w:szCs w:val="20"/>
              </w:rPr>
            </w:pPr>
            <w:r>
              <w:rPr>
                <w:color w:val="000000"/>
                <w:sz w:val="20"/>
                <w:szCs w:val="20"/>
              </w:rPr>
              <w:t> </w:t>
            </w:r>
          </w:p>
        </w:tc>
      </w:tr>
      <w:tr w:rsidR="00251D72" w14:paraId="6D5B261B" w14:textId="77777777">
        <w:trPr>
          <w:divId w:val="2094813432"/>
          <w:jc w:val="center"/>
        </w:trPr>
        <w:tc>
          <w:tcPr>
            <w:tcW w:w="1980" w:type="pct"/>
            <w:tcBorders>
              <w:top w:val="single" w:sz="6" w:space="0" w:color="000000"/>
            </w:tcBorders>
            <w:shd w:val="clear" w:color="auto" w:fill="CFF0FC"/>
            <w:tcMar>
              <w:top w:w="15" w:type="dxa"/>
              <w:left w:w="0" w:type="dxa"/>
              <w:bottom w:w="0" w:type="dxa"/>
              <w:right w:w="15" w:type="dxa"/>
            </w:tcMar>
            <w:hideMark/>
          </w:tcPr>
          <w:p w14:paraId="32C23498"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Fiscal 2017 Oracle Restructuring Plan</w:t>
            </w:r>
            <w:r>
              <w:rPr>
                <w:rFonts w:ascii="Calibri" w:hAnsi="Calibri" w:cs="Calibri"/>
                <w:b/>
                <w:bCs/>
                <w:color w:val="000000"/>
                <w:sz w:val="15"/>
                <w:szCs w:val="15"/>
                <w:vertAlign w:val="superscript"/>
              </w:rPr>
              <w:t>(1)</w:t>
            </w:r>
          </w:p>
        </w:tc>
        <w:tc>
          <w:tcPr>
            <w:tcW w:w="73" w:type="pct"/>
            <w:shd w:val="clear" w:color="auto" w:fill="CFF0FC"/>
            <w:tcMar>
              <w:top w:w="15" w:type="dxa"/>
              <w:left w:w="0" w:type="dxa"/>
              <w:bottom w:w="0" w:type="dxa"/>
              <w:right w:w="15" w:type="dxa"/>
            </w:tcMar>
            <w:vAlign w:val="bottom"/>
            <w:hideMark/>
          </w:tcPr>
          <w:p w14:paraId="5F686A9B"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49" w:type="pct"/>
            <w:tcBorders>
              <w:top w:val="single" w:sz="6" w:space="0" w:color="000000"/>
            </w:tcBorders>
            <w:shd w:val="clear" w:color="auto" w:fill="CFF0FC"/>
            <w:noWrap/>
            <w:tcMar>
              <w:top w:w="15" w:type="dxa"/>
              <w:left w:w="0" w:type="dxa"/>
              <w:bottom w:w="0" w:type="dxa"/>
              <w:right w:w="15" w:type="dxa"/>
            </w:tcMar>
            <w:vAlign w:val="bottom"/>
            <w:hideMark/>
          </w:tcPr>
          <w:p w14:paraId="43CEAF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3" w:type="pct"/>
            <w:tcBorders>
              <w:top w:val="single" w:sz="6" w:space="0" w:color="000000"/>
            </w:tcBorders>
            <w:shd w:val="clear" w:color="auto" w:fill="CFF0FC"/>
            <w:noWrap/>
            <w:tcMar>
              <w:top w:w="15" w:type="dxa"/>
              <w:left w:w="0" w:type="dxa"/>
              <w:bottom w:w="0" w:type="dxa"/>
              <w:right w:w="15" w:type="dxa"/>
            </w:tcMar>
            <w:vAlign w:val="bottom"/>
            <w:hideMark/>
          </w:tcPr>
          <w:p w14:paraId="6B3A153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E4DF55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FC8FFC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D08C5C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top w:val="single" w:sz="6" w:space="0" w:color="000000"/>
            </w:tcBorders>
            <w:shd w:val="clear" w:color="auto" w:fill="CFF0FC"/>
            <w:noWrap/>
            <w:tcMar>
              <w:top w:w="15" w:type="dxa"/>
              <w:left w:w="0" w:type="dxa"/>
              <w:bottom w:w="0" w:type="dxa"/>
              <w:right w:w="15" w:type="dxa"/>
            </w:tcMar>
            <w:vAlign w:val="bottom"/>
            <w:hideMark/>
          </w:tcPr>
          <w:p w14:paraId="3498AA3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FC756B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D56E75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9F7247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top w:val="single" w:sz="6" w:space="0" w:color="000000"/>
            </w:tcBorders>
            <w:shd w:val="clear" w:color="auto" w:fill="CFF0FC"/>
            <w:noWrap/>
            <w:tcMar>
              <w:top w:w="15" w:type="dxa"/>
              <w:left w:w="0" w:type="dxa"/>
              <w:bottom w:w="0" w:type="dxa"/>
              <w:right w:w="15" w:type="dxa"/>
            </w:tcMar>
            <w:vAlign w:val="bottom"/>
            <w:hideMark/>
          </w:tcPr>
          <w:p w14:paraId="693FCEB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EA0D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610B817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1722F3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top w:val="single" w:sz="6" w:space="0" w:color="000000"/>
            </w:tcBorders>
            <w:shd w:val="clear" w:color="auto" w:fill="CFF0FC"/>
            <w:noWrap/>
            <w:tcMar>
              <w:top w:w="15" w:type="dxa"/>
              <w:left w:w="0" w:type="dxa"/>
              <w:bottom w:w="0" w:type="dxa"/>
              <w:right w:w="15" w:type="dxa"/>
            </w:tcMar>
            <w:vAlign w:val="bottom"/>
            <w:hideMark/>
          </w:tcPr>
          <w:p w14:paraId="648AE07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ED1527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F55DC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C018D3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top w:val="single" w:sz="6" w:space="0" w:color="000000"/>
            </w:tcBorders>
            <w:shd w:val="clear" w:color="auto" w:fill="CFF0FC"/>
            <w:noWrap/>
            <w:tcMar>
              <w:top w:w="15" w:type="dxa"/>
              <w:left w:w="0" w:type="dxa"/>
              <w:bottom w:w="0" w:type="dxa"/>
              <w:right w:w="15" w:type="dxa"/>
            </w:tcMar>
            <w:vAlign w:val="bottom"/>
            <w:hideMark/>
          </w:tcPr>
          <w:p w14:paraId="0293089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DBD56A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43B14D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E9F33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4" w:type="pct"/>
            <w:tcBorders>
              <w:top w:val="single" w:sz="6" w:space="0" w:color="000000"/>
            </w:tcBorders>
            <w:shd w:val="clear" w:color="auto" w:fill="CFF0FC"/>
            <w:noWrap/>
            <w:tcMar>
              <w:top w:w="15" w:type="dxa"/>
              <w:left w:w="0" w:type="dxa"/>
              <w:bottom w:w="0" w:type="dxa"/>
              <w:right w:w="15" w:type="dxa"/>
            </w:tcMar>
            <w:vAlign w:val="bottom"/>
            <w:hideMark/>
          </w:tcPr>
          <w:p w14:paraId="412540B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11" w:type="pct"/>
            <w:shd w:val="clear" w:color="auto" w:fill="CFF0FC"/>
            <w:noWrap/>
            <w:tcMar>
              <w:top w:w="15" w:type="dxa"/>
              <w:left w:w="0" w:type="dxa"/>
              <w:bottom w:w="0" w:type="dxa"/>
              <w:right w:w="15" w:type="dxa"/>
            </w:tcMar>
            <w:vAlign w:val="bottom"/>
            <w:hideMark/>
          </w:tcPr>
          <w:p w14:paraId="4D310A0B"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4485C0B2" w14:textId="77777777">
        <w:trPr>
          <w:divId w:val="2094813432"/>
          <w:jc w:val="center"/>
        </w:trPr>
        <w:tc>
          <w:tcPr>
            <w:tcW w:w="1980" w:type="pct"/>
            <w:shd w:val="clear" w:color="auto" w:fill="FFFFFF"/>
            <w:tcMar>
              <w:top w:w="15" w:type="dxa"/>
              <w:left w:w="0" w:type="dxa"/>
              <w:bottom w:w="0" w:type="dxa"/>
              <w:right w:w="15" w:type="dxa"/>
            </w:tcMar>
            <w:hideMark/>
          </w:tcPr>
          <w:p w14:paraId="5CD1B9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and license</w:t>
            </w:r>
          </w:p>
        </w:tc>
        <w:tc>
          <w:tcPr>
            <w:tcW w:w="73" w:type="pct"/>
            <w:shd w:val="clear" w:color="auto" w:fill="FFFFFF"/>
            <w:tcMar>
              <w:top w:w="15" w:type="dxa"/>
              <w:left w:w="0" w:type="dxa"/>
              <w:bottom w:w="0" w:type="dxa"/>
              <w:right w:w="15" w:type="dxa"/>
            </w:tcMar>
            <w:vAlign w:val="bottom"/>
            <w:hideMark/>
          </w:tcPr>
          <w:p w14:paraId="74B4AF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shd w:val="clear" w:color="auto" w:fill="FFFFFF"/>
            <w:noWrap/>
            <w:tcMar>
              <w:top w:w="15" w:type="dxa"/>
              <w:left w:w="0" w:type="dxa"/>
              <w:bottom w:w="0" w:type="dxa"/>
              <w:right w:w="15" w:type="dxa"/>
            </w:tcMar>
            <w:vAlign w:val="bottom"/>
            <w:hideMark/>
          </w:tcPr>
          <w:p w14:paraId="52C6D03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3" w:type="pct"/>
            <w:shd w:val="clear" w:color="auto" w:fill="FFFFFF"/>
            <w:noWrap/>
            <w:tcMar>
              <w:top w:w="15" w:type="dxa"/>
              <w:left w:w="0" w:type="dxa"/>
              <w:bottom w:w="0" w:type="dxa"/>
              <w:right w:w="15" w:type="dxa"/>
            </w:tcMar>
            <w:vAlign w:val="bottom"/>
            <w:hideMark/>
          </w:tcPr>
          <w:p w14:paraId="302E667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85</w:t>
            </w:r>
          </w:p>
        </w:tc>
        <w:tc>
          <w:tcPr>
            <w:tcW w:w="50" w:type="pct"/>
            <w:shd w:val="clear" w:color="auto" w:fill="FFFFFF"/>
            <w:noWrap/>
            <w:tcMar>
              <w:top w:w="15" w:type="dxa"/>
              <w:left w:w="0" w:type="dxa"/>
              <w:bottom w:w="0" w:type="dxa"/>
              <w:right w:w="15" w:type="dxa"/>
            </w:tcMar>
            <w:vAlign w:val="bottom"/>
            <w:hideMark/>
          </w:tcPr>
          <w:p w14:paraId="7F1E65B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4C31AA1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85761F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shd w:val="clear" w:color="auto" w:fill="FFFFFF"/>
            <w:noWrap/>
            <w:tcMar>
              <w:top w:w="15" w:type="dxa"/>
              <w:left w:w="0" w:type="dxa"/>
              <w:bottom w:w="0" w:type="dxa"/>
              <w:right w:w="15" w:type="dxa"/>
            </w:tcMar>
            <w:vAlign w:val="bottom"/>
            <w:hideMark/>
          </w:tcPr>
          <w:p w14:paraId="3B56154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156</w:t>
            </w:r>
          </w:p>
        </w:tc>
        <w:tc>
          <w:tcPr>
            <w:tcW w:w="50" w:type="pct"/>
            <w:shd w:val="clear" w:color="auto" w:fill="FFFFFF"/>
            <w:noWrap/>
            <w:tcMar>
              <w:top w:w="15" w:type="dxa"/>
              <w:left w:w="0" w:type="dxa"/>
              <w:bottom w:w="0" w:type="dxa"/>
              <w:right w:w="15" w:type="dxa"/>
            </w:tcMar>
            <w:vAlign w:val="bottom"/>
            <w:hideMark/>
          </w:tcPr>
          <w:p w14:paraId="707A0DE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1573D54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7C9923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shd w:val="clear" w:color="auto" w:fill="FFFFFF"/>
            <w:noWrap/>
            <w:tcMar>
              <w:top w:w="15" w:type="dxa"/>
              <w:left w:w="0" w:type="dxa"/>
              <w:bottom w:w="0" w:type="dxa"/>
              <w:right w:w="15" w:type="dxa"/>
            </w:tcMar>
            <w:vAlign w:val="bottom"/>
            <w:hideMark/>
          </w:tcPr>
          <w:p w14:paraId="2AFAC27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FFFFFF"/>
            <w:noWrap/>
            <w:tcMar>
              <w:top w:w="15" w:type="dxa"/>
              <w:left w:w="0" w:type="dxa"/>
              <w:bottom w:w="0" w:type="dxa"/>
              <w:right w:w="15" w:type="dxa"/>
            </w:tcMar>
            <w:vAlign w:val="bottom"/>
            <w:hideMark/>
          </w:tcPr>
          <w:p w14:paraId="71020B9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768395F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11C229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shd w:val="clear" w:color="auto" w:fill="FFFFFF"/>
            <w:noWrap/>
            <w:tcMar>
              <w:top w:w="15" w:type="dxa"/>
              <w:left w:w="0" w:type="dxa"/>
              <w:bottom w:w="0" w:type="dxa"/>
              <w:right w:w="15" w:type="dxa"/>
            </w:tcMar>
            <w:vAlign w:val="bottom"/>
            <w:hideMark/>
          </w:tcPr>
          <w:p w14:paraId="1F67747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(150</w:t>
            </w:r>
          </w:p>
        </w:tc>
        <w:tc>
          <w:tcPr>
            <w:tcW w:w="50" w:type="pct"/>
            <w:shd w:val="clear" w:color="auto" w:fill="FFFFFF"/>
            <w:noWrap/>
            <w:tcMar>
              <w:top w:w="15" w:type="dxa"/>
              <w:left w:w="0" w:type="dxa"/>
              <w:bottom w:w="0" w:type="dxa"/>
              <w:right w:w="15" w:type="dxa"/>
            </w:tcMar>
            <w:vAlign w:val="bottom"/>
            <w:hideMark/>
          </w:tcPr>
          <w:p w14:paraId="5EECA8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3804DB0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D532EB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shd w:val="clear" w:color="auto" w:fill="FFFFFF"/>
            <w:noWrap/>
            <w:tcMar>
              <w:top w:w="15" w:type="dxa"/>
              <w:left w:w="0" w:type="dxa"/>
              <w:bottom w:w="0" w:type="dxa"/>
              <w:right w:w="15" w:type="dxa"/>
            </w:tcMar>
            <w:vAlign w:val="bottom"/>
            <w:hideMark/>
          </w:tcPr>
          <w:p w14:paraId="6B345C3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left w:w="0" w:type="dxa"/>
              <w:bottom w:w="0" w:type="dxa"/>
              <w:right w:w="15" w:type="dxa"/>
            </w:tcMar>
            <w:vAlign w:val="bottom"/>
            <w:hideMark/>
          </w:tcPr>
          <w:p w14:paraId="52C301E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1E2DA77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87DFC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24" w:type="pct"/>
            <w:shd w:val="clear" w:color="auto" w:fill="FFFFFF"/>
            <w:noWrap/>
            <w:tcMar>
              <w:top w:w="15" w:type="dxa"/>
              <w:left w:w="0" w:type="dxa"/>
              <w:bottom w:w="0" w:type="dxa"/>
              <w:right w:w="15" w:type="dxa"/>
            </w:tcMar>
            <w:vAlign w:val="bottom"/>
            <w:hideMark/>
          </w:tcPr>
          <w:p w14:paraId="744BF7B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82</w:t>
            </w:r>
          </w:p>
        </w:tc>
        <w:tc>
          <w:tcPr>
            <w:tcW w:w="11" w:type="pct"/>
            <w:shd w:val="clear" w:color="auto" w:fill="FFFFFF"/>
            <w:noWrap/>
            <w:tcMar>
              <w:top w:w="15" w:type="dxa"/>
              <w:left w:w="0" w:type="dxa"/>
              <w:bottom w:w="0" w:type="dxa"/>
              <w:right w:w="15" w:type="dxa"/>
            </w:tcMar>
            <w:vAlign w:val="bottom"/>
            <w:hideMark/>
          </w:tcPr>
          <w:p w14:paraId="216BED92"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4F0ACFA0" w14:textId="77777777">
        <w:trPr>
          <w:divId w:val="2094813432"/>
          <w:jc w:val="center"/>
        </w:trPr>
        <w:tc>
          <w:tcPr>
            <w:tcW w:w="1980" w:type="pct"/>
            <w:shd w:val="clear" w:color="auto" w:fill="CFF0FC"/>
            <w:tcMar>
              <w:top w:w="15" w:type="dxa"/>
              <w:left w:w="0" w:type="dxa"/>
              <w:bottom w:w="0" w:type="dxa"/>
              <w:right w:w="15" w:type="dxa"/>
            </w:tcMar>
            <w:hideMark/>
          </w:tcPr>
          <w:p w14:paraId="5A3E51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Hardware</w:t>
            </w:r>
          </w:p>
        </w:tc>
        <w:tc>
          <w:tcPr>
            <w:tcW w:w="73" w:type="pct"/>
            <w:shd w:val="clear" w:color="auto" w:fill="CFF0FC"/>
            <w:tcMar>
              <w:top w:w="15" w:type="dxa"/>
              <w:left w:w="0" w:type="dxa"/>
              <w:bottom w:w="0" w:type="dxa"/>
              <w:right w:w="15" w:type="dxa"/>
            </w:tcMar>
            <w:vAlign w:val="bottom"/>
            <w:hideMark/>
          </w:tcPr>
          <w:p w14:paraId="23CA21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shd w:val="clear" w:color="auto" w:fill="CFF0FC"/>
            <w:noWrap/>
            <w:tcMar>
              <w:top w:w="15" w:type="dxa"/>
              <w:left w:w="0" w:type="dxa"/>
              <w:bottom w:w="0" w:type="dxa"/>
              <w:right w:w="15" w:type="dxa"/>
            </w:tcMar>
            <w:vAlign w:val="bottom"/>
            <w:hideMark/>
          </w:tcPr>
          <w:p w14:paraId="1C74F31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3" w:type="pct"/>
            <w:shd w:val="clear" w:color="auto" w:fill="CFF0FC"/>
            <w:noWrap/>
            <w:tcMar>
              <w:top w:w="15" w:type="dxa"/>
              <w:left w:w="0" w:type="dxa"/>
              <w:bottom w:w="0" w:type="dxa"/>
              <w:right w:w="15" w:type="dxa"/>
            </w:tcMar>
            <w:vAlign w:val="bottom"/>
            <w:hideMark/>
          </w:tcPr>
          <w:p w14:paraId="4D9E71E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w:t>
            </w:r>
          </w:p>
        </w:tc>
        <w:tc>
          <w:tcPr>
            <w:tcW w:w="50" w:type="pct"/>
            <w:shd w:val="clear" w:color="auto" w:fill="CFF0FC"/>
            <w:noWrap/>
            <w:tcMar>
              <w:top w:w="15" w:type="dxa"/>
              <w:left w:w="0" w:type="dxa"/>
              <w:bottom w:w="0" w:type="dxa"/>
              <w:right w:w="15" w:type="dxa"/>
            </w:tcMar>
            <w:vAlign w:val="bottom"/>
            <w:hideMark/>
          </w:tcPr>
          <w:p w14:paraId="528570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643061A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F20118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CFF0FC"/>
            <w:noWrap/>
            <w:tcMar>
              <w:top w:w="15" w:type="dxa"/>
              <w:left w:w="0" w:type="dxa"/>
              <w:bottom w:w="0" w:type="dxa"/>
              <w:right w:w="15" w:type="dxa"/>
            </w:tcMar>
            <w:vAlign w:val="bottom"/>
            <w:hideMark/>
          </w:tcPr>
          <w:p w14:paraId="7C4E10A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167</w:t>
            </w:r>
          </w:p>
        </w:tc>
        <w:tc>
          <w:tcPr>
            <w:tcW w:w="50" w:type="pct"/>
            <w:shd w:val="clear" w:color="auto" w:fill="CFF0FC"/>
            <w:noWrap/>
            <w:tcMar>
              <w:top w:w="15" w:type="dxa"/>
              <w:left w:w="0" w:type="dxa"/>
              <w:bottom w:w="0" w:type="dxa"/>
              <w:right w:w="15" w:type="dxa"/>
            </w:tcMar>
            <w:vAlign w:val="bottom"/>
            <w:hideMark/>
          </w:tcPr>
          <w:p w14:paraId="59E2E7D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0E4C3B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33484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CFF0FC"/>
            <w:noWrap/>
            <w:tcMar>
              <w:top w:w="15" w:type="dxa"/>
              <w:left w:w="0" w:type="dxa"/>
              <w:bottom w:w="0" w:type="dxa"/>
              <w:right w:w="15" w:type="dxa"/>
            </w:tcMar>
            <w:vAlign w:val="bottom"/>
            <w:hideMark/>
          </w:tcPr>
          <w:p w14:paraId="60C7CC9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noWrap/>
            <w:tcMar>
              <w:top w:w="15" w:type="dxa"/>
              <w:left w:w="0" w:type="dxa"/>
              <w:bottom w:w="0" w:type="dxa"/>
              <w:right w:w="15" w:type="dxa"/>
            </w:tcMar>
            <w:vAlign w:val="bottom"/>
            <w:hideMark/>
          </w:tcPr>
          <w:p w14:paraId="6BFFA12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48D6442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F00CD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CFF0FC"/>
            <w:noWrap/>
            <w:tcMar>
              <w:top w:w="15" w:type="dxa"/>
              <w:left w:w="0" w:type="dxa"/>
              <w:bottom w:w="0" w:type="dxa"/>
              <w:right w:w="15" w:type="dxa"/>
            </w:tcMar>
            <w:vAlign w:val="bottom"/>
            <w:hideMark/>
          </w:tcPr>
          <w:p w14:paraId="3CC5747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(122</w:t>
            </w:r>
          </w:p>
        </w:tc>
        <w:tc>
          <w:tcPr>
            <w:tcW w:w="50" w:type="pct"/>
            <w:shd w:val="clear" w:color="auto" w:fill="CFF0FC"/>
            <w:noWrap/>
            <w:tcMar>
              <w:top w:w="15" w:type="dxa"/>
              <w:left w:w="0" w:type="dxa"/>
              <w:bottom w:w="0" w:type="dxa"/>
              <w:right w:w="15" w:type="dxa"/>
            </w:tcMar>
            <w:vAlign w:val="bottom"/>
            <w:hideMark/>
          </w:tcPr>
          <w:p w14:paraId="7E1279B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25D40B9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2CD7C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CFF0FC"/>
            <w:noWrap/>
            <w:tcMar>
              <w:top w:w="15" w:type="dxa"/>
              <w:left w:w="0" w:type="dxa"/>
              <w:bottom w:w="0" w:type="dxa"/>
              <w:right w:w="15" w:type="dxa"/>
            </w:tcMar>
            <w:vAlign w:val="bottom"/>
            <w:hideMark/>
          </w:tcPr>
          <w:p w14:paraId="3040EDA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5E9B6D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3217750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8F04B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4" w:type="pct"/>
            <w:shd w:val="clear" w:color="auto" w:fill="CFF0FC"/>
            <w:noWrap/>
            <w:tcMar>
              <w:top w:w="15" w:type="dxa"/>
              <w:left w:w="0" w:type="dxa"/>
              <w:bottom w:w="0" w:type="dxa"/>
              <w:right w:w="15" w:type="dxa"/>
            </w:tcMar>
            <w:vAlign w:val="bottom"/>
            <w:hideMark/>
          </w:tcPr>
          <w:p w14:paraId="4583D6A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61</w:t>
            </w:r>
          </w:p>
        </w:tc>
        <w:tc>
          <w:tcPr>
            <w:tcW w:w="11" w:type="pct"/>
            <w:shd w:val="clear" w:color="auto" w:fill="CFF0FC"/>
            <w:noWrap/>
            <w:tcMar>
              <w:top w:w="15" w:type="dxa"/>
              <w:left w:w="0" w:type="dxa"/>
              <w:bottom w:w="0" w:type="dxa"/>
              <w:right w:w="15" w:type="dxa"/>
            </w:tcMar>
            <w:vAlign w:val="bottom"/>
            <w:hideMark/>
          </w:tcPr>
          <w:p w14:paraId="6DCF916C"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1183A0E8" w14:textId="77777777">
        <w:trPr>
          <w:divId w:val="2094813432"/>
          <w:jc w:val="center"/>
        </w:trPr>
        <w:tc>
          <w:tcPr>
            <w:tcW w:w="1980" w:type="pct"/>
            <w:shd w:val="clear" w:color="auto" w:fill="FFFFFF"/>
            <w:tcMar>
              <w:top w:w="15" w:type="dxa"/>
              <w:left w:w="0" w:type="dxa"/>
              <w:bottom w:w="0" w:type="dxa"/>
              <w:right w:w="15" w:type="dxa"/>
            </w:tcMar>
            <w:hideMark/>
          </w:tcPr>
          <w:p w14:paraId="6CCBFC7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Services</w:t>
            </w:r>
          </w:p>
        </w:tc>
        <w:tc>
          <w:tcPr>
            <w:tcW w:w="73" w:type="pct"/>
            <w:shd w:val="clear" w:color="auto" w:fill="FFFFFF"/>
            <w:tcMar>
              <w:top w:w="15" w:type="dxa"/>
              <w:left w:w="0" w:type="dxa"/>
              <w:bottom w:w="0" w:type="dxa"/>
              <w:right w:w="15" w:type="dxa"/>
            </w:tcMar>
            <w:vAlign w:val="bottom"/>
            <w:hideMark/>
          </w:tcPr>
          <w:p w14:paraId="68A1958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shd w:val="clear" w:color="auto" w:fill="FFFFFF"/>
            <w:noWrap/>
            <w:tcMar>
              <w:top w:w="15" w:type="dxa"/>
              <w:left w:w="0" w:type="dxa"/>
              <w:bottom w:w="0" w:type="dxa"/>
              <w:right w:w="15" w:type="dxa"/>
            </w:tcMar>
            <w:vAlign w:val="bottom"/>
            <w:hideMark/>
          </w:tcPr>
          <w:p w14:paraId="19F1774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3" w:type="pct"/>
            <w:shd w:val="clear" w:color="auto" w:fill="FFFFFF"/>
            <w:noWrap/>
            <w:tcMar>
              <w:top w:w="15" w:type="dxa"/>
              <w:left w:w="0" w:type="dxa"/>
              <w:bottom w:w="0" w:type="dxa"/>
              <w:right w:w="15" w:type="dxa"/>
            </w:tcMar>
            <w:vAlign w:val="bottom"/>
            <w:hideMark/>
          </w:tcPr>
          <w:p w14:paraId="5F7939C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w:t>
            </w:r>
          </w:p>
        </w:tc>
        <w:tc>
          <w:tcPr>
            <w:tcW w:w="50" w:type="pct"/>
            <w:shd w:val="clear" w:color="auto" w:fill="FFFFFF"/>
            <w:noWrap/>
            <w:tcMar>
              <w:top w:w="15" w:type="dxa"/>
              <w:left w:w="0" w:type="dxa"/>
              <w:bottom w:w="0" w:type="dxa"/>
              <w:right w:w="15" w:type="dxa"/>
            </w:tcMar>
            <w:vAlign w:val="bottom"/>
            <w:hideMark/>
          </w:tcPr>
          <w:p w14:paraId="48AA6B7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4CE9D52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A3FF7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FFFFFF"/>
            <w:noWrap/>
            <w:tcMar>
              <w:top w:w="15" w:type="dxa"/>
              <w:left w:w="0" w:type="dxa"/>
              <w:bottom w:w="0" w:type="dxa"/>
              <w:right w:w="15" w:type="dxa"/>
            </w:tcMar>
            <w:vAlign w:val="bottom"/>
            <w:hideMark/>
          </w:tcPr>
          <w:p w14:paraId="4B8CED3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48</w:t>
            </w:r>
          </w:p>
        </w:tc>
        <w:tc>
          <w:tcPr>
            <w:tcW w:w="50" w:type="pct"/>
            <w:shd w:val="clear" w:color="auto" w:fill="FFFFFF"/>
            <w:noWrap/>
            <w:tcMar>
              <w:top w:w="15" w:type="dxa"/>
              <w:left w:w="0" w:type="dxa"/>
              <w:bottom w:w="0" w:type="dxa"/>
              <w:right w:w="15" w:type="dxa"/>
            </w:tcMar>
            <w:vAlign w:val="bottom"/>
            <w:hideMark/>
          </w:tcPr>
          <w:p w14:paraId="7876626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70A8EA9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B3BB9E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FFFFFF"/>
            <w:noWrap/>
            <w:tcMar>
              <w:top w:w="15" w:type="dxa"/>
              <w:left w:w="0" w:type="dxa"/>
              <w:bottom w:w="0" w:type="dxa"/>
              <w:right w:w="15" w:type="dxa"/>
            </w:tcMar>
            <w:vAlign w:val="bottom"/>
            <w:hideMark/>
          </w:tcPr>
          <w:p w14:paraId="5D56DAA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left w:w="0" w:type="dxa"/>
              <w:bottom w:w="0" w:type="dxa"/>
              <w:right w:w="15" w:type="dxa"/>
            </w:tcMar>
            <w:vAlign w:val="bottom"/>
            <w:hideMark/>
          </w:tcPr>
          <w:p w14:paraId="680F4A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2DB495C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3E2B2D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FFFFFF"/>
            <w:noWrap/>
            <w:tcMar>
              <w:top w:w="15" w:type="dxa"/>
              <w:left w:w="0" w:type="dxa"/>
              <w:bottom w:w="0" w:type="dxa"/>
              <w:right w:w="15" w:type="dxa"/>
            </w:tcMar>
            <w:vAlign w:val="bottom"/>
            <w:hideMark/>
          </w:tcPr>
          <w:p w14:paraId="2AF3706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(54</w:t>
            </w:r>
          </w:p>
        </w:tc>
        <w:tc>
          <w:tcPr>
            <w:tcW w:w="50" w:type="pct"/>
            <w:shd w:val="clear" w:color="auto" w:fill="FFFFFF"/>
            <w:noWrap/>
            <w:tcMar>
              <w:top w:w="15" w:type="dxa"/>
              <w:left w:w="0" w:type="dxa"/>
              <w:bottom w:w="0" w:type="dxa"/>
              <w:right w:w="15" w:type="dxa"/>
            </w:tcMar>
            <w:vAlign w:val="bottom"/>
            <w:hideMark/>
          </w:tcPr>
          <w:p w14:paraId="582C86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3F41D61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BBF2AF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FFFFFF"/>
            <w:noWrap/>
            <w:tcMar>
              <w:top w:w="15" w:type="dxa"/>
              <w:left w:w="0" w:type="dxa"/>
              <w:bottom w:w="0" w:type="dxa"/>
              <w:right w:w="15" w:type="dxa"/>
            </w:tcMar>
            <w:vAlign w:val="bottom"/>
            <w:hideMark/>
          </w:tcPr>
          <w:p w14:paraId="4FDF195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3CDB3A5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415A673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43563C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4" w:type="pct"/>
            <w:shd w:val="clear" w:color="auto" w:fill="FFFFFF"/>
            <w:noWrap/>
            <w:tcMar>
              <w:top w:w="15" w:type="dxa"/>
              <w:left w:w="0" w:type="dxa"/>
              <w:bottom w:w="0" w:type="dxa"/>
              <w:right w:w="15" w:type="dxa"/>
            </w:tcMar>
            <w:vAlign w:val="bottom"/>
            <w:hideMark/>
          </w:tcPr>
          <w:p w14:paraId="4F41536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w:t>
            </w:r>
          </w:p>
        </w:tc>
        <w:tc>
          <w:tcPr>
            <w:tcW w:w="11" w:type="pct"/>
            <w:shd w:val="clear" w:color="auto" w:fill="FFFFFF"/>
            <w:noWrap/>
            <w:tcMar>
              <w:top w:w="15" w:type="dxa"/>
              <w:left w:w="0" w:type="dxa"/>
              <w:bottom w:w="0" w:type="dxa"/>
              <w:right w:w="15" w:type="dxa"/>
            </w:tcMar>
            <w:vAlign w:val="bottom"/>
            <w:hideMark/>
          </w:tcPr>
          <w:p w14:paraId="1829AAA1"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5749EAA0" w14:textId="77777777">
        <w:trPr>
          <w:divId w:val="2094813432"/>
          <w:jc w:val="center"/>
        </w:trPr>
        <w:tc>
          <w:tcPr>
            <w:tcW w:w="1980" w:type="pct"/>
            <w:shd w:val="clear" w:color="auto" w:fill="CFF0FC"/>
            <w:tcMar>
              <w:top w:w="15" w:type="dxa"/>
              <w:left w:w="0" w:type="dxa"/>
              <w:bottom w:w="0" w:type="dxa"/>
              <w:right w:w="15" w:type="dxa"/>
            </w:tcMar>
            <w:hideMark/>
          </w:tcPr>
          <w:p w14:paraId="01C0A38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5"/>
                <w:szCs w:val="15"/>
                <w:vertAlign w:val="superscript"/>
              </w:rPr>
              <w:t>(6)</w:t>
            </w:r>
          </w:p>
        </w:tc>
        <w:tc>
          <w:tcPr>
            <w:tcW w:w="73" w:type="pct"/>
            <w:shd w:val="clear" w:color="auto" w:fill="CFF0FC"/>
            <w:tcMar>
              <w:top w:w="15" w:type="dxa"/>
              <w:left w:w="0" w:type="dxa"/>
              <w:bottom w:w="0" w:type="dxa"/>
              <w:right w:w="15" w:type="dxa"/>
            </w:tcMar>
            <w:vAlign w:val="bottom"/>
            <w:hideMark/>
          </w:tcPr>
          <w:p w14:paraId="564E0AD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tcBorders>
              <w:bottom w:val="single" w:sz="6" w:space="0" w:color="000000"/>
            </w:tcBorders>
            <w:shd w:val="clear" w:color="auto" w:fill="CFF0FC"/>
            <w:noWrap/>
            <w:tcMar>
              <w:top w:w="15" w:type="dxa"/>
              <w:left w:w="0" w:type="dxa"/>
              <w:bottom w:w="0" w:type="dxa"/>
              <w:right w:w="15" w:type="dxa"/>
            </w:tcMar>
            <w:vAlign w:val="bottom"/>
            <w:hideMark/>
          </w:tcPr>
          <w:p w14:paraId="0B02DF0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3" w:type="pct"/>
            <w:tcBorders>
              <w:bottom w:val="single" w:sz="6" w:space="0" w:color="000000"/>
            </w:tcBorders>
            <w:shd w:val="clear" w:color="auto" w:fill="CFF0FC"/>
            <w:noWrap/>
            <w:tcMar>
              <w:top w:w="15" w:type="dxa"/>
              <w:left w:w="0" w:type="dxa"/>
              <w:bottom w:w="0" w:type="dxa"/>
              <w:right w:w="15" w:type="dxa"/>
            </w:tcMar>
            <w:vAlign w:val="bottom"/>
            <w:hideMark/>
          </w:tcPr>
          <w:p w14:paraId="0833093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CFF0FC"/>
            <w:noWrap/>
            <w:tcMar>
              <w:top w:w="15" w:type="dxa"/>
              <w:left w:w="0" w:type="dxa"/>
              <w:bottom w:w="0" w:type="dxa"/>
              <w:right w:w="15" w:type="dxa"/>
            </w:tcMar>
            <w:vAlign w:val="bottom"/>
            <w:hideMark/>
          </w:tcPr>
          <w:p w14:paraId="28F5CF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91EF05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2F780B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bottom w:val="single" w:sz="6" w:space="0" w:color="000000"/>
            </w:tcBorders>
            <w:shd w:val="clear" w:color="auto" w:fill="CFF0FC"/>
            <w:noWrap/>
            <w:tcMar>
              <w:top w:w="15" w:type="dxa"/>
              <w:left w:w="0" w:type="dxa"/>
              <w:bottom w:w="0" w:type="dxa"/>
              <w:right w:w="15" w:type="dxa"/>
            </w:tcMar>
            <w:vAlign w:val="bottom"/>
            <w:hideMark/>
          </w:tcPr>
          <w:p w14:paraId="5C10D19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267</w:t>
            </w:r>
          </w:p>
        </w:tc>
        <w:tc>
          <w:tcPr>
            <w:tcW w:w="50" w:type="pct"/>
            <w:shd w:val="clear" w:color="auto" w:fill="CFF0FC"/>
            <w:noWrap/>
            <w:tcMar>
              <w:top w:w="15" w:type="dxa"/>
              <w:left w:w="0" w:type="dxa"/>
              <w:bottom w:w="0" w:type="dxa"/>
              <w:right w:w="15" w:type="dxa"/>
            </w:tcMar>
            <w:vAlign w:val="bottom"/>
            <w:hideMark/>
          </w:tcPr>
          <w:p w14:paraId="0C45EFD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20EDE5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F74F4F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bottom w:val="single" w:sz="6" w:space="0" w:color="000000"/>
            </w:tcBorders>
            <w:shd w:val="clear" w:color="auto" w:fill="CFF0FC"/>
            <w:noWrap/>
            <w:tcMar>
              <w:top w:w="15" w:type="dxa"/>
              <w:left w:w="0" w:type="dxa"/>
              <w:bottom w:w="0" w:type="dxa"/>
              <w:right w:w="15" w:type="dxa"/>
            </w:tcMar>
            <w:vAlign w:val="bottom"/>
            <w:hideMark/>
          </w:tcPr>
          <w:p w14:paraId="04E692A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noWrap/>
            <w:tcMar>
              <w:top w:w="15" w:type="dxa"/>
              <w:left w:w="0" w:type="dxa"/>
              <w:bottom w:w="0" w:type="dxa"/>
              <w:right w:w="15" w:type="dxa"/>
            </w:tcMar>
            <w:vAlign w:val="bottom"/>
            <w:hideMark/>
          </w:tcPr>
          <w:p w14:paraId="1C94F23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191D619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73541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bottom w:val="single" w:sz="6" w:space="0" w:color="000000"/>
            </w:tcBorders>
            <w:shd w:val="clear" w:color="auto" w:fill="CFF0FC"/>
            <w:noWrap/>
            <w:tcMar>
              <w:top w:w="15" w:type="dxa"/>
              <w:left w:w="0" w:type="dxa"/>
              <w:bottom w:w="0" w:type="dxa"/>
              <w:right w:w="15" w:type="dxa"/>
            </w:tcMar>
            <w:vAlign w:val="bottom"/>
            <w:hideMark/>
          </w:tcPr>
          <w:p w14:paraId="7125A50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(208</w:t>
            </w:r>
          </w:p>
        </w:tc>
        <w:tc>
          <w:tcPr>
            <w:tcW w:w="50" w:type="pct"/>
            <w:shd w:val="clear" w:color="auto" w:fill="CFF0FC"/>
            <w:noWrap/>
            <w:tcMar>
              <w:top w:w="15" w:type="dxa"/>
              <w:left w:w="0" w:type="dxa"/>
              <w:bottom w:w="0" w:type="dxa"/>
              <w:right w:w="15" w:type="dxa"/>
            </w:tcMar>
            <w:vAlign w:val="bottom"/>
            <w:hideMark/>
          </w:tcPr>
          <w:p w14:paraId="4C38B7D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36F172D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7D09E9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bottom w:val="single" w:sz="6" w:space="0" w:color="000000"/>
            </w:tcBorders>
            <w:shd w:val="clear" w:color="auto" w:fill="CFF0FC"/>
            <w:noWrap/>
            <w:tcMar>
              <w:top w:w="15" w:type="dxa"/>
              <w:left w:w="0" w:type="dxa"/>
              <w:bottom w:w="0" w:type="dxa"/>
              <w:right w:w="15" w:type="dxa"/>
            </w:tcMar>
            <w:vAlign w:val="bottom"/>
            <w:hideMark/>
          </w:tcPr>
          <w:p w14:paraId="4960EEE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left w:w="0" w:type="dxa"/>
              <w:bottom w:w="0" w:type="dxa"/>
              <w:right w:w="15" w:type="dxa"/>
            </w:tcMar>
            <w:vAlign w:val="bottom"/>
            <w:hideMark/>
          </w:tcPr>
          <w:p w14:paraId="26BB05C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6FD8F9D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1F635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4" w:type="pct"/>
            <w:tcBorders>
              <w:bottom w:val="single" w:sz="6" w:space="0" w:color="000000"/>
            </w:tcBorders>
            <w:shd w:val="clear" w:color="auto" w:fill="CFF0FC"/>
            <w:noWrap/>
            <w:tcMar>
              <w:top w:w="15" w:type="dxa"/>
              <w:left w:w="0" w:type="dxa"/>
              <w:bottom w:w="0" w:type="dxa"/>
              <w:right w:w="15" w:type="dxa"/>
            </w:tcMar>
            <w:vAlign w:val="bottom"/>
            <w:hideMark/>
          </w:tcPr>
          <w:p w14:paraId="0D73364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90</w:t>
            </w:r>
          </w:p>
        </w:tc>
        <w:tc>
          <w:tcPr>
            <w:tcW w:w="11" w:type="pct"/>
            <w:shd w:val="clear" w:color="auto" w:fill="CFF0FC"/>
            <w:noWrap/>
            <w:tcMar>
              <w:top w:w="15" w:type="dxa"/>
              <w:left w:w="0" w:type="dxa"/>
              <w:bottom w:w="0" w:type="dxa"/>
              <w:right w:w="15" w:type="dxa"/>
            </w:tcMar>
            <w:vAlign w:val="bottom"/>
            <w:hideMark/>
          </w:tcPr>
          <w:p w14:paraId="17F619D6"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77A1EFF8" w14:textId="77777777">
        <w:trPr>
          <w:divId w:val="2094813432"/>
          <w:jc w:val="center"/>
        </w:trPr>
        <w:tc>
          <w:tcPr>
            <w:tcW w:w="1980" w:type="pct"/>
            <w:shd w:val="clear" w:color="auto" w:fill="FFFFFF"/>
            <w:tcMar>
              <w:top w:w="15" w:type="dxa"/>
              <w:left w:w="0" w:type="dxa"/>
              <w:bottom w:w="0" w:type="dxa"/>
              <w:right w:w="15" w:type="dxa"/>
            </w:tcMar>
            <w:hideMark/>
          </w:tcPr>
          <w:p w14:paraId="49BAEBB1" w14:textId="77777777" w:rsidR="00251D72" w:rsidRDefault="00251D72">
            <w:pPr>
              <w:pStyle w:val="a3"/>
              <w:spacing w:before="0" w:beforeAutospacing="0" w:after="0" w:afterAutospacing="0"/>
              <w:ind w:left="547" w:hanging="144"/>
              <w:rPr>
                <w:rFonts w:ascii="Calibri" w:hAnsi="Calibri" w:cs="Calibri"/>
                <w:color w:val="000000"/>
                <w:sz w:val="18"/>
                <w:szCs w:val="18"/>
              </w:rPr>
            </w:pPr>
            <w:r>
              <w:rPr>
                <w:rFonts w:ascii="Calibri" w:hAnsi="Calibri" w:cs="Calibri"/>
                <w:color w:val="000000"/>
                <w:sz w:val="18"/>
                <w:szCs w:val="18"/>
              </w:rPr>
              <w:t>Total Fiscal 2017 Oracle Restructuring Plan</w:t>
            </w:r>
          </w:p>
        </w:tc>
        <w:tc>
          <w:tcPr>
            <w:tcW w:w="73" w:type="pct"/>
            <w:shd w:val="clear" w:color="auto" w:fill="FFFFFF"/>
            <w:tcMar>
              <w:top w:w="15" w:type="dxa"/>
              <w:left w:w="0" w:type="dxa"/>
              <w:bottom w:w="0" w:type="dxa"/>
              <w:right w:w="15" w:type="dxa"/>
            </w:tcMar>
            <w:vAlign w:val="bottom"/>
            <w:hideMark/>
          </w:tcPr>
          <w:p w14:paraId="22F0D0E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8ADB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043C3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185</w:t>
            </w:r>
          </w:p>
        </w:tc>
        <w:tc>
          <w:tcPr>
            <w:tcW w:w="50" w:type="pct"/>
            <w:shd w:val="clear" w:color="auto" w:fill="FFFFFF"/>
            <w:noWrap/>
            <w:tcMar>
              <w:top w:w="15" w:type="dxa"/>
              <w:left w:w="0" w:type="dxa"/>
              <w:bottom w:w="0" w:type="dxa"/>
              <w:right w:w="15" w:type="dxa"/>
            </w:tcMar>
            <w:vAlign w:val="bottom"/>
            <w:hideMark/>
          </w:tcPr>
          <w:p w14:paraId="6287575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7D2F398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BF4A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08CD77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638</w:t>
            </w:r>
          </w:p>
        </w:tc>
        <w:tc>
          <w:tcPr>
            <w:tcW w:w="50" w:type="pct"/>
            <w:shd w:val="clear" w:color="auto" w:fill="FFFFFF"/>
            <w:noWrap/>
            <w:tcMar>
              <w:top w:w="15" w:type="dxa"/>
              <w:left w:w="0" w:type="dxa"/>
              <w:bottom w:w="0" w:type="dxa"/>
              <w:right w:w="15" w:type="dxa"/>
            </w:tcMar>
            <w:vAlign w:val="bottom"/>
            <w:hideMark/>
          </w:tcPr>
          <w:p w14:paraId="5631EE0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5484820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7DA62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5B1A6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w:t>
            </w:r>
          </w:p>
        </w:tc>
        <w:tc>
          <w:tcPr>
            <w:tcW w:w="50" w:type="pct"/>
            <w:shd w:val="clear" w:color="auto" w:fill="FFFFFF"/>
            <w:noWrap/>
            <w:tcMar>
              <w:top w:w="15" w:type="dxa"/>
              <w:left w:w="0" w:type="dxa"/>
              <w:bottom w:w="0" w:type="dxa"/>
              <w:right w:w="15" w:type="dxa"/>
            </w:tcMar>
            <w:vAlign w:val="bottom"/>
            <w:hideMark/>
          </w:tcPr>
          <w:p w14:paraId="5F11AAB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43CF87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8748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FEBBBE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(534</w:t>
            </w:r>
          </w:p>
        </w:tc>
        <w:tc>
          <w:tcPr>
            <w:tcW w:w="50" w:type="pct"/>
            <w:shd w:val="clear" w:color="auto" w:fill="FFFFFF"/>
            <w:noWrap/>
            <w:tcMar>
              <w:top w:w="15" w:type="dxa"/>
              <w:left w:w="0" w:type="dxa"/>
              <w:bottom w:w="0" w:type="dxa"/>
              <w:right w:w="15" w:type="dxa"/>
            </w:tcMar>
            <w:vAlign w:val="bottom"/>
            <w:hideMark/>
          </w:tcPr>
          <w:p w14:paraId="71957C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0EE512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F3DF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D17DC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left w:w="0" w:type="dxa"/>
              <w:bottom w:w="0" w:type="dxa"/>
              <w:right w:w="15" w:type="dxa"/>
            </w:tcMar>
            <w:vAlign w:val="bottom"/>
            <w:hideMark/>
          </w:tcPr>
          <w:p w14:paraId="71D3EE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6A7453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BC9D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EA61B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249</w:t>
            </w:r>
          </w:p>
        </w:tc>
        <w:tc>
          <w:tcPr>
            <w:tcW w:w="11" w:type="pct"/>
            <w:shd w:val="clear" w:color="auto" w:fill="FFFFFF"/>
            <w:noWrap/>
            <w:tcMar>
              <w:top w:w="15" w:type="dxa"/>
              <w:left w:w="0" w:type="dxa"/>
              <w:bottom w:w="0" w:type="dxa"/>
              <w:right w:w="15" w:type="dxa"/>
            </w:tcMar>
            <w:vAlign w:val="bottom"/>
            <w:hideMark/>
          </w:tcPr>
          <w:p w14:paraId="03B2A649"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3C7908B6" w14:textId="77777777">
        <w:trPr>
          <w:divId w:val="2094813432"/>
          <w:jc w:val="center"/>
        </w:trPr>
        <w:tc>
          <w:tcPr>
            <w:tcW w:w="1980" w:type="pct"/>
            <w:shd w:val="clear" w:color="auto" w:fill="CFF0FC"/>
            <w:tcMar>
              <w:top w:w="15" w:type="dxa"/>
              <w:left w:w="0" w:type="dxa"/>
              <w:bottom w:w="0" w:type="dxa"/>
              <w:right w:w="15" w:type="dxa"/>
            </w:tcMar>
            <w:hideMark/>
          </w:tcPr>
          <w:p w14:paraId="1A7FF8CE" w14:textId="77777777" w:rsidR="00251D72" w:rsidRDefault="00251D72">
            <w:pPr>
              <w:pStyle w:val="a3"/>
              <w:spacing w:before="0" w:beforeAutospacing="0" w:after="0" w:afterAutospacing="0"/>
              <w:ind w:left="547" w:hanging="144"/>
              <w:rPr>
                <w:rFonts w:ascii="Calibri" w:hAnsi="Calibri" w:cs="Calibri"/>
                <w:color w:val="000000"/>
                <w:sz w:val="18"/>
                <w:szCs w:val="18"/>
              </w:rPr>
            </w:pPr>
            <w:r>
              <w:rPr>
                <w:rFonts w:ascii="Calibri" w:hAnsi="Calibri" w:cs="Calibri"/>
                <w:color w:val="000000"/>
                <w:sz w:val="18"/>
                <w:szCs w:val="18"/>
              </w:rPr>
              <w:t>Total other restructuring plans</w:t>
            </w:r>
            <w:r>
              <w:rPr>
                <w:rFonts w:ascii="Calibri" w:hAnsi="Calibri" w:cs="Calibri"/>
                <w:color w:val="000000"/>
                <w:sz w:val="15"/>
                <w:szCs w:val="15"/>
                <w:vertAlign w:val="superscript"/>
              </w:rPr>
              <w:t>(7)</w:t>
            </w:r>
          </w:p>
        </w:tc>
        <w:tc>
          <w:tcPr>
            <w:tcW w:w="73" w:type="pct"/>
            <w:shd w:val="clear" w:color="auto" w:fill="CFF0FC"/>
            <w:tcMar>
              <w:top w:w="15" w:type="dxa"/>
              <w:left w:w="0" w:type="dxa"/>
              <w:bottom w:w="0" w:type="dxa"/>
              <w:right w:w="15" w:type="dxa"/>
            </w:tcMar>
            <w:vAlign w:val="bottom"/>
            <w:hideMark/>
          </w:tcPr>
          <w:p w14:paraId="3A78A61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18997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6982BC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79</w:t>
            </w:r>
          </w:p>
        </w:tc>
        <w:tc>
          <w:tcPr>
            <w:tcW w:w="50" w:type="pct"/>
            <w:shd w:val="clear" w:color="auto" w:fill="CFF0FC"/>
            <w:noWrap/>
            <w:tcMar>
              <w:top w:w="15" w:type="dxa"/>
              <w:left w:w="0" w:type="dxa"/>
              <w:bottom w:w="0" w:type="dxa"/>
              <w:right w:w="15" w:type="dxa"/>
            </w:tcMar>
            <w:vAlign w:val="bottom"/>
            <w:hideMark/>
          </w:tcPr>
          <w:p w14:paraId="26D583C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682E6D5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825BE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B02A16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6EF702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151F1C1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584433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E127D2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CFF0FC"/>
            <w:noWrap/>
            <w:tcMar>
              <w:top w:w="15" w:type="dxa"/>
              <w:left w:w="0" w:type="dxa"/>
              <w:bottom w:w="0" w:type="dxa"/>
              <w:right w:w="15" w:type="dxa"/>
            </w:tcMar>
            <w:vAlign w:val="bottom"/>
            <w:hideMark/>
          </w:tcPr>
          <w:p w14:paraId="4659010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5F89A05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DDA17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2CF212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w:t>
            </w:r>
          </w:p>
        </w:tc>
        <w:tc>
          <w:tcPr>
            <w:tcW w:w="50" w:type="pct"/>
            <w:shd w:val="clear" w:color="auto" w:fill="CFF0FC"/>
            <w:noWrap/>
            <w:tcMar>
              <w:top w:w="15" w:type="dxa"/>
              <w:left w:w="0" w:type="dxa"/>
              <w:bottom w:w="0" w:type="dxa"/>
              <w:right w:w="15" w:type="dxa"/>
            </w:tcMar>
            <w:vAlign w:val="bottom"/>
            <w:hideMark/>
          </w:tcPr>
          <w:p w14:paraId="0F36E82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4874C8B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344857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6C2266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left w:w="0" w:type="dxa"/>
              <w:bottom w:w="0" w:type="dxa"/>
              <w:right w:w="15" w:type="dxa"/>
            </w:tcMar>
            <w:vAlign w:val="bottom"/>
            <w:hideMark/>
          </w:tcPr>
          <w:p w14:paraId="5147883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4041A78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1C4E86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2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A152CC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w:t>
            </w:r>
          </w:p>
        </w:tc>
        <w:tc>
          <w:tcPr>
            <w:tcW w:w="11" w:type="pct"/>
            <w:shd w:val="clear" w:color="auto" w:fill="CFF0FC"/>
            <w:noWrap/>
            <w:tcMar>
              <w:top w:w="15" w:type="dxa"/>
              <w:left w:w="0" w:type="dxa"/>
              <w:bottom w:w="0" w:type="dxa"/>
              <w:right w:w="15" w:type="dxa"/>
            </w:tcMar>
            <w:vAlign w:val="bottom"/>
            <w:hideMark/>
          </w:tcPr>
          <w:p w14:paraId="4964D62B"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602B5700" w14:textId="77777777">
        <w:trPr>
          <w:divId w:val="2094813432"/>
          <w:jc w:val="center"/>
        </w:trPr>
        <w:tc>
          <w:tcPr>
            <w:tcW w:w="1980" w:type="pct"/>
            <w:shd w:val="clear" w:color="auto" w:fill="FFFFFF"/>
            <w:tcMar>
              <w:top w:w="15" w:type="dxa"/>
              <w:left w:w="0" w:type="dxa"/>
              <w:bottom w:w="0" w:type="dxa"/>
              <w:right w:w="15" w:type="dxa"/>
            </w:tcMar>
            <w:hideMark/>
          </w:tcPr>
          <w:p w14:paraId="0A5006D6" w14:textId="77777777" w:rsidR="00251D72" w:rsidRDefault="00251D72">
            <w:pPr>
              <w:pStyle w:val="a3"/>
              <w:spacing w:before="0" w:beforeAutospacing="0" w:after="0" w:afterAutospacing="0"/>
              <w:ind w:left="835" w:hanging="144"/>
              <w:rPr>
                <w:rFonts w:ascii="Calibri" w:hAnsi="Calibri" w:cs="Calibri"/>
                <w:color w:val="000000"/>
                <w:sz w:val="18"/>
                <w:szCs w:val="18"/>
              </w:rPr>
            </w:pPr>
            <w:r>
              <w:rPr>
                <w:rFonts w:ascii="Calibri" w:hAnsi="Calibri" w:cs="Calibri"/>
                <w:color w:val="000000"/>
                <w:sz w:val="18"/>
                <w:szCs w:val="18"/>
              </w:rPr>
              <w:t>Total restructuring plans</w:t>
            </w:r>
          </w:p>
        </w:tc>
        <w:tc>
          <w:tcPr>
            <w:tcW w:w="73" w:type="pct"/>
            <w:shd w:val="clear" w:color="auto" w:fill="FFFFFF"/>
            <w:tcMar>
              <w:top w:w="15" w:type="dxa"/>
              <w:left w:w="0" w:type="dxa"/>
              <w:bottom w:w="0" w:type="dxa"/>
              <w:right w:w="15" w:type="dxa"/>
            </w:tcMar>
            <w:vAlign w:val="bottom"/>
            <w:hideMark/>
          </w:tcPr>
          <w:p w14:paraId="3B22F59E"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4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73578E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96B185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264</w:t>
            </w:r>
          </w:p>
        </w:tc>
        <w:tc>
          <w:tcPr>
            <w:tcW w:w="50" w:type="pct"/>
            <w:shd w:val="clear" w:color="auto" w:fill="FFFFFF"/>
            <w:noWrap/>
            <w:tcMar>
              <w:top w:w="15" w:type="dxa"/>
              <w:left w:w="0" w:type="dxa"/>
              <w:bottom w:w="0" w:type="dxa"/>
              <w:right w:w="15" w:type="dxa"/>
            </w:tcMar>
            <w:vAlign w:val="bottom"/>
            <w:hideMark/>
          </w:tcPr>
          <w:p w14:paraId="4C91C22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0ED3533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C2C9CD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68A4DA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639</w:t>
            </w:r>
          </w:p>
        </w:tc>
        <w:tc>
          <w:tcPr>
            <w:tcW w:w="50" w:type="pct"/>
            <w:shd w:val="clear" w:color="auto" w:fill="FFFFFF"/>
            <w:noWrap/>
            <w:tcMar>
              <w:top w:w="15" w:type="dxa"/>
              <w:left w:w="0" w:type="dxa"/>
              <w:bottom w:w="0" w:type="dxa"/>
              <w:right w:w="15" w:type="dxa"/>
            </w:tcMar>
            <w:vAlign w:val="bottom"/>
            <w:hideMark/>
          </w:tcPr>
          <w:p w14:paraId="72D2068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7E51B42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F79E64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28534F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w:t>
            </w:r>
          </w:p>
        </w:tc>
        <w:tc>
          <w:tcPr>
            <w:tcW w:w="50" w:type="pct"/>
            <w:shd w:val="clear" w:color="auto" w:fill="FFFFFF"/>
            <w:noWrap/>
            <w:tcMar>
              <w:top w:w="15" w:type="dxa"/>
              <w:left w:w="0" w:type="dxa"/>
              <w:bottom w:w="0" w:type="dxa"/>
              <w:right w:w="15" w:type="dxa"/>
            </w:tcMar>
            <w:vAlign w:val="bottom"/>
            <w:hideMark/>
          </w:tcPr>
          <w:p w14:paraId="6B4D165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075F97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9392A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11D140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(571</w:t>
            </w:r>
          </w:p>
        </w:tc>
        <w:tc>
          <w:tcPr>
            <w:tcW w:w="50" w:type="pct"/>
            <w:shd w:val="clear" w:color="auto" w:fill="FFFFFF"/>
            <w:noWrap/>
            <w:tcMar>
              <w:top w:w="15" w:type="dxa"/>
              <w:left w:w="0" w:type="dxa"/>
              <w:bottom w:w="0" w:type="dxa"/>
              <w:right w:w="15" w:type="dxa"/>
            </w:tcMar>
            <w:vAlign w:val="bottom"/>
            <w:hideMark/>
          </w:tcPr>
          <w:p w14:paraId="739528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3C44802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AF5461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E8EA5B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6179252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7F92BB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B4267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2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D7EC3D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282</w:t>
            </w:r>
          </w:p>
        </w:tc>
        <w:tc>
          <w:tcPr>
            <w:tcW w:w="11" w:type="pct"/>
            <w:shd w:val="clear" w:color="auto" w:fill="FFFFFF"/>
            <w:noWrap/>
            <w:tcMar>
              <w:top w:w="15" w:type="dxa"/>
              <w:left w:w="0" w:type="dxa"/>
              <w:bottom w:w="0" w:type="dxa"/>
              <w:right w:w="15" w:type="dxa"/>
            </w:tcMar>
            <w:vAlign w:val="bottom"/>
            <w:hideMark/>
          </w:tcPr>
          <w:p w14:paraId="032C93B6"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9B58972" w14:textId="77777777" w:rsidR="00251D72" w:rsidRDefault="00251D72">
      <w:pPr>
        <w:pStyle w:val="a3"/>
        <w:spacing w:before="0" w:beforeAutospacing="0" w:after="0" w:afterAutospacing="0"/>
        <w:rPr>
          <w:sz w:val="12"/>
          <w:szCs w:val="12"/>
        </w:rPr>
      </w:pPr>
      <w:r>
        <w:rPr>
          <w:sz w:val="12"/>
          <w:szCs w:val="12"/>
        </w:rPr>
        <w:t> </w:t>
      </w:r>
    </w:p>
    <w:p w14:paraId="4466C137"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Fiscal 2017 Activity</w:t>
      </w:r>
    </w:p>
    <w:p w14:paraId="350F3CEA"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3278"/>
        <w:gridCol w:w="110"/>
        <w:gridCol w:w="108"/>
        <w:gridCol w:w="592"/>
        <w:gridCol w:w="72"/>
        <w:gridCol w:w="72"/>
        <w:gridCol w:w="108"/>
        <w:gridCol w:w="594"/>
        <w:gridCol w:w="72"/>
        <w:gridCol w:w="72"/>
        <w:gridCol w:w="108"/>
        <w:gridCol w:w="594"/>
        <w:gridCol w:w="72"/>
        <w:gridCol w:w="73"/>
        <w:gridCol w:w="108"/>
        <w:gridCol w:w="595"/>
        <w:gridCol w:w="73"/>
        <w:gridCol w:w="73"/>
        <w:gridCol w:w="108"/>
        <w:gridCol w:w="595"/>
        <w:gridCol w:w="73"/>
        <w:gridCol w:w="73"/>
        <w:gridCol w:w="108"/>
        <w:gridCol w:w="528"/>
        <w:gridCol w:w="47"/>
      </w:tblGrid>
      <w:tr w:rsidR="00251D72" w14:paraId="3684C433" w14:textId="77777777">
        <w:trPr>
          <w:divId w:val="662052593"/>
          <w:jc w:val="center"/>
        </w:trPr>
        <w:tc>
          <w:tcPr>
            <w:tcW w:w="1980" w:type="pct"/>
            <w:shd w:val="clear" w:color="auto" w:fill="FFFFFF"/>
            <w:tcMar>
              <w:top w:w="15" w:type="dxa"/>
              <w:left w:w="0" w:type="dxa"/>
              <w:bottom w:w="0" w:type="dxa"/>
              <w:right w:w="15" w:type="dxa"/>
            </w:tcMar>
            <w:vAlign w:val="bottom"/>
            <w:hideMark/>
          </w:tcPr>
          <w:p w14:paraId="24A09FFF" w14:textId="77777777" w:rsidR="00251D72" w:rsidRDefault="00251D72">
            <w:pPr>
              <w:pStyle w:val="a3"/>
              <w:spacing w:before="0" w:beforeAutospacing="0" w:after="0" w:afterAutospacing="0"/>
              <w:jc w:val="center"/>
              <w:rPr>
                <w:sz w:val="15"/>
                <w:szCs w:val="15"/>
              </w:rPr>
            </w:pPr>
            <w:r>
              <w:rPr>
                <w:sz w:val="15"/>
                <w:szCs w:val="15"/>
              </w:rPr>
              <w:t> </w:t>
            </w:r>
          </w:p>
        </w:tc>
        <w:tc>
          <w:tcPr>
            <w:tcW w:w="73" w:type="pct"/>
            <w:shd w:val="clear" w:color="auto" w:fill="FFFFFF"/>
            <w:tcMar>
              <w:top w:w="15" w:type="dxa"/>
              <w:left w:w="0" w:type="dxa"/>
              <w:bottom w:w="0" w:type="dxa"/>
              <w:right w:w="15" w:type="dxa"/>
            </w:tcMar>
            <w:vAlign w:val="bottom"/>
            <w:hideMark/>
          </w:tcPr>
          <w:p w14:paraId="4126BBF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11" w:type="pct"/>
            <w:gridSpan w:val="2"/>
            <w:vMerge w:val="restart"/>
            <w:shd w:val="clear" w:color="auto" w:fill="FFFFFF"/>
            <w:tcMar>
              <w:top w:w="15" w:type="dxa"/>
              <w:left w:w="0" w:type="dxa"/>
              <w:bottom w:w="0" w:type="dxa"/>
              <w:right w:w="15" w:type="dxa"/>
            </w:tcMar>
            <w:vAlign w:val="bottom"/>
            <w:hideMark/>
          </w:tcPr>
          <w:p w14:paraId="0605299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0F19C7F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6B1A4D5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2016</w:t>
            </w:r>
          </w:p>
        </w:tc>
        <w:tc>
          <w:tcPr>
            <w:tcW w:w="50" w:type="pct"/>
            <w:shd w:val="clear" w:color="auto" w:fill="FFFFFF"/>
            <w:noWrap/>
            <w:tcMar>
              <w:top w:w="15" w:type="dxa"/>
              <w:left w:w="0" w:type="dxa"/>
              <w:bottom w:w="0" w:type="dxa"/>
              <w:right w:w="15" w:type="dxa"/>
            </w:tcMar>
            <w:vAlign w:val="bottom"/>
            <w:hideMark/>
          </w:tcPr>
          <w:p w14:paraId="6B14E16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1B19446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951" w:type="pct"/>
            <w:gridSpan w:val="14"/>
            <w:tcBorders>
              <w:bottom w:val="single" w:sz="6" w:space="0" w:color="000000"/>
            </w:tcBorders>
            <w:shd w:val="clear" w:color="auto" w:fill="FFFFFF"/>
            <w:tcMar>
              <w:top w:w="15" w:type="dxa"/>
              <w:left w:w="0" w:type="dxa"/>
              <w:bottom w:w="0" w:type="dxa"/>
              <w:right w:w="15" w:type="dxa"/>
            </w:tcMar>
            <w:vAlign w:val="bottom"/>
            <w:hideMark/>
          </w:tcPr>
          <w:p w14:paraId="3361FE9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 2017</w:t>
            </w:r>
          </w:p>
        </w:tc>
        <w:tc>
          <w:tcPr>
            <w:tcW w:w="50" w:type="pct"/>
            <w:shd w:val="clear" w:color="auto" w:fill="FFFFFF"/>
            <w:noWrap/>
            <w:tcMar>
              <w:top w:w="15" w:type="dxa"/>
              <w:left w:w="0" w:type="dxa"/>
              <w:bottom w:w="0" w:type="dxa"/>
              <w:right w:w="15" w:type="dxa"/>
            </w:tcMar>
            <w:vAlign w:val="bottom"/>
            <w:hideMark/>
          </w:tcPr>
          <w:p w14:paraId="51715C5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04EF91B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4" w:type="pct"/>
            <w:gridSpan w:val="2"/>
            <w:vMerge w:val="restart"/>
            <w:shd w:val="clear" w:color="auto" w:fill="FFFFFF"/>
            <w:tcMar>
              <w:top w:w="15" w:type="dxa"/>
              <w:left w:w="0" w:type="dxa"/>
              <w:bottom w:w="0" w:type="dxa"/>
              <w:right w:w="15" w:type="dxa"/>
            </w:tcMar>
            <w:vAlign w:val="bottom"/>
            <w:hideMark/>
          </w:tcPr>
          <w:p w14:paraId="75B6618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70C8C43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611C977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11" w:type="pct"/>
            <w:shd w:val="clear" w:color="auto" w:fill="FFFFFF"/>
            <w:noWrap/>
            <w:tcMar>
              <w:top w:w="15" w:type="dxa"/>
              <w:left w:w="0" w:type="dxa"/>
              <w:bottom w:w="0" w:type="dxa"/>
              <w:right w:w="15" w:type="dxa"/>
            </w:tcMar>
            <w:vAlign w:val="bottom"/>
            <w:hideMark/>
          </w:tcPr>
          <w:p w14:paraId="20ECC66B" w14:textId="77777777" w:rsidR="00251D72" w:rsidRDefault="00251D72">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r>
      <w:tr w:rsidR="00251D72" w14:paraId="0CDF5DCD" w14:textId="77777777">
        <w:trPr>
          <w:divId w:val="662052593"/>
          <w:jc w:val="center"/>
        </w:trPr>
        <w:tc>
          <w:tcPr>
            <w:tcW w:w="1980" w:type="pct"/>
            <w:tcBorders>
              <w:bottom w:val="single" w:sz="6" w:space="0" w:color="000000"/>
            </w:tcBorders>
            <w:shd w:val="clear" w:color="auto" w:fill="FFFFFF"/>
            <w:tcMar>
              <w:top w:w="15" w:type="dxa"/>
              <w:left w:w="0" w:type="dxa"/>
              <w:bottom w:w="0" w:type="dxa"/>
              <w:right w:w="15" w:type="dxa"/>
            </w:tcMar>
            <w:vAlign w:val="bottom"/>
            <w:hideMark/>
          </w:tcPr>
          <w:p w14:paraId="1E679D6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left w:w="0" w:type="dxa"/>
              <w:bottom w:w="0" w:type="dxa"/>
              <w:right w:w="15" w:type="dxa"/>
            </w:tcMar>
            <w:vAlign w:val="bottom"/>
            <w:hideMark/>
          </w:tcPr>
          <w:p w14:paraId="080DB60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0" w:type="auto"/>
            <w:gridSpan w:val="2"/>
            <w:vMerge/>
            <w:vAlign w:val="center"/>
            <w:hideMark/>
          </w:tcPr>
          <w:p w14:paraId="110D2D4C" w14:textId="77777777" w:rsidR="00251D72" w:rsidRDefault="00251D72">
            <w:pPr>
              <w:rPr>
                <w:rFonts w:ascii="Calibri" w:hAnsi="Calibri" w:cs="Calibri"/>
                <w:b/>
                <w:bCs/>
                <w:color w:val="000000"/>
                <w:sz w:val="15"/>
                <w:szCs w:val="15"/>
              </w:rPr>
            </w:pPr>
          </w:p>
        </w:tc>
        <w:tc>
          <w:tcPr>
            <w:tcW w:w="50" w:type="pct"/>
            <w:shd w:val="clear" w:color="auto" w:fill="FFFFFF"/>
            <w:noWrap/>
            <w:tcMar>
              <w:top w:w="15" w:type="dxa"/>
              <w:left w:w="0" w:type="dxa"/>
              <w:bottom w:w="0" w:type="dxa"/>
              <w:right w:w="15" w:type="dxa"/>
            </w:tcMar>
            <w:vAlign w:val="bottom"/>
            <w:hideMark/>
          </w:tcPr>
          <w:p w14:paraId="418F6EA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3695301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463F03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5903A82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3"/>
                <w:szCs w:val="13"/>
                <w:vertAlign w:val="superscript"/>
              </w:rPr>
              <w:t>(3)</w:t>
            </w:r>
          </w:p>
        </w:tc>
        <w:tc>
          <w:tcPr>
            <w:tcW w:w="50" w:type="pct"/>
            <w:shd w:val="clear" w:color="auto" w:fill="FFFFFF"/>
            <w:noWrap/>
            <w:tcMar>
              <w:top w:w="15" w:type="dxa"/>
              <w:left w:w="0" w:type="dxa"/>
              <w:bottom w:w="0" w:type="dxa"/>
              <w:right w:w="15" w:type="dxa"/>
            </w:tcMar>
            <w:vAlign w:val="bottom"/>
            <w:hideMark/>
          </w:tcPr>
          <w:p w14:paraId="7C57AEA5" w14:textId="77777777" w:rsidR="00251D72" w:rsidRDefault="00251D72">
            <w:pPr>
              <w:pStyle w:val="a3"/>
              <w:spacing w:before="0" w:beforeAutospacing="0" w:after="0" w:afterAutospacing="0"/>
              <w:rPr>
                <w:color w:val="000000"/>
                <w:sz w:val="15"/>
                <w:szCs w:val="15"/>
              </w:rPr>
            </w:pPr>
            <w:r>
              <w:rPr>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4AD3EA2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ECA978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7D24338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3"/>
                <w:szCs w:val="13"/>
                <w:vertAlign w:val="superscript"/>
              </w:rPr>
              <w:t>(4)</w:t>
            </w:r>
          </w:p>
        </w:tc>
        <w:tc>
          <w:tcPr>
            <w:tcW w:w="50" w:type="pct"/>
            <w:shd w:val="clear" w:color="auto" w:fill="FFFFFF"/>
            <w:noWrap/>
            <w:tcMar>
              <w:top w:w="15" w:type="dxa"/>
              <w:left w:w="0" w:type="dxa"/>
              <w:bottom w:w="0" w:type="dxa"/>
              <w:right w:w="15" w:type="dxa"/>
            </w:tcMar>
            <w:vAlign w:val="bottom"/>
            <w:hideMark/>
          </w:tcPr>
          <w:p w14:paraId="70DA2DFD" w14:textId="77777777" w:rsidR="00251D72" w:rsidRDefault="00251D72">
            <w:pPr>
              <w:pStyle w:val="a3"/>
              <w:spacing w:before="0" w:beforeAutospacing="0" w:after="0" w:afterAutospacing="0"/>
              <w:rPr>
                <w:color w:val="000000"/>
                <w:sz w:val="15"/>
                <w:szCs w:val="15"/>
              </w:rPr>
            </w:pPr>
            <w:r>
              <w:rPr>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7D2342A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C1420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2D100C3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50" w:type="pct"/>
            <w:shd w:val="clear" w:color="auto" w:fill="FFFFFF"/>
            <w:noWrap/>
            <w:tcMar>
              <w:top w:w="15" w:type="dxa"/>
              <w:left w:w="0" w:type="dxa"/>
              <w:bottom w:w="0" w:type="dxa"/>
              <w:right w:w="15" w:type="dxa"/>
            </w:tcMar>
            <w:vAlign w:val="bottom"/>
            <w:hideMark/>
          </w:tcPr>
          <w:p w14:paraId="5BB29BB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6E0C724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87F8F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3"/>
                <w:szCs w:val="13"/>
                <w:vertAlign w:val="superscript"/>
              </w:rPr>
              <w:t>(5)</w:t>
            </w:r>
          </w:p>
        </w:tc>
        <w:tc>
          <w:tcPr>
            <w:tcW w:w="50" w:type="pct"/>
            <w:shd w:val="clear" w:color="auto" w:fill="FFFFFF"/>
            <w:noWrap/>
            <w:tcMar>
              <w:top w:w="15" w:type="dxa"/>
              <w:left w:w="0" w:type="dxa"/>
              <w:bottom w:w="0" w:type="dxa"/>
              <w:right w:w="15" w:type="dxa"/>
            </w:tcMar>
            <w:vAlign w:val="bottom"/>
            <w:hideMark/>
          </w:tcPr>
          <w:p w14:paraId="7167BF93" w14:textId="77777777" w:rsidR="00251D72" w:rsidRDefault="00251D72">
            <w:pPr>
              <w:pStyle w:val="a3"/>
              <w:spacing w:before="0" w:beforeAutospacing="0" w:after="0" w:afterAutospacing="0"/>
              <w:rPr>
                <w:color w:val="000000"/>
                <w:sz w:val="15"/>
                <w:szCs w:val="15"/>
              </w:rPr>
            </w:pPr>
            <w:r>
              <w:rPr>
                <w:color w:val="000000"/>
                <w:sz w:val="15"/>
                <w:szCs w:val="15"/>
              </w:rPr>
              <w:t> </w:t>
            </w:r>
          </w:p>
        </w:tc>
        <w:tc>
          <w:tcPr>
            <w:tcW w:w="50" w:type="pct"/>
            <w:shd w:val="clear" w:color="auto" w:fill="FFFFFF"/>
            <w:tcMar>
              <w:top w:w="15" w:type="dxa"/>
              <w:left w:w="0" w:type="dxa"/>
              <w:bottom w:w="0" w:type="dxa"/>
              <w:right w:w="15" w:type="dxa"/>
            </w:tcMar>
            <w:vAlign w:val="bottom"/>
            <w:hideMark/>
          </w:tcPr>
          <w:p w14:paraId="342D572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0" w:type="auto"/>
            <w:gridSpan w:val="2"/>
            <w:vMerge/>
            <w:vAlign w:val="center"/>
            <w:hideMark/>
          </w:tcPr>
          <w:p w14:paraId="4A742FAE" w14:textId="77777777" w:rsidR="00251D72" w:rsidRDefault="00251D72">
            <w:pPr>
              <w:rPr>
                <w:rFonts w:ascii="Calibri" w:hAnsi="Calibri" w:cs="Calibri"/>
                <w:b/>
                <w:bCs/>
                <w:color w:val="000000"/>
                <w:sz w:val="15"/>
                <w:szCs w:val="15"/>
              </w:rPr>
            </w:pPr>
          </w:p>
        </w:tc>
        <w:tc>
          <w:tcPr>
            <w:tcW w:w="11" w:type="pct"/>
            <w:shd w:val="clear" w:color="auto" w:fill="FFFFFF"/>
            <w:noWrap/>
            <w:tcMar>
              <w:top w:w="15" w:type="dxa"/>
              <w:left w:w="0" w:type="dxa"/>
              <w:bottom w:w="0" w:type="dxa"/>
              <w:right w:w="15" w:type="dxa"/>
            </w:tcMar>
            <w:vAlign w:val="bottom"/>
            <w:hideMark/>
          </w:tcPr>
          <w:p w14:paraId="665603DF" w14:textId="77777777" w:rsidR="00251D72" w:rsidRDefault="00251D72">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r>
      <w:tr w:rsidR="00251D72" w14:paraId="2E430B8F" w14:textId="77777777">
        <w:trPr>
          <w:divId w:val="662052593"/>
          <w:jc w:val="center"/>
        </w:trPr>
        <w:tc>
          <w:tcPr>
            <w:tcW w:w="1980" w:type="pct"/>
            <w:tcBorders>
              <w:top w:val="single" w:sz="6" w:space="0" w:color="000000"/>
            </w:tcBorders>
            <w:shd w:val="clear" w:color="auto" w:fill="CFF0FC"/>
            <w:tcMar>
              <w:top w:w="15" w:type="dxa"/>
              <w:left w:w="0" w:type="dxa"/>
              <w:bottom w:w="0" w:type="dxa"/>
              <w:right w:w="15" w:type="dxa"/>
            </w:tcMar>
            <w:hideMark/>
          </w:tcPr>
          <w:p w14:paraId="701E4881" w14:textId="77777777" w:rsidR="00251D72" w:rsidRDefault="00251D72">
            <w:pPr>
              <w:pStyle w:val="a3"/>
              <w:spacing w:before="0" w:beforeAutospacing="0" w:after="0" w:afterAutospacing="0"/>
              <w:ind w:left="144" w:hanging="144"/>
              <w:rPr>
                <w:rFonts w:ascii="Calibri" w:hAnsi="Calibri" w:cs="Calibri"/>
                <w:b/>
                <w:bCs/>
                <w:color w:val="000000"/>
                <w:sz w:val="18"/>
                <w:szCs w:val="18"/>
              </w:rPr>
            </w:pPr>
            <w:r>
              <w:rPr>
                <w:rFonts w:ascii="Calibri" w:hAnsi="Calibri" w:cs="Calibri"/>
                <w:b/>
                <w:bCs/>
                <w:color w:val="000000"/>
                <w:sz w:val="18"/>
                <w:szCs w:val="18"/>
              </w:rPr>
              <w:t>Fiscal 2017 Oracle Restructuring Plan</w:t>
            </w:r>
            <w:r>
              <w:rPr>
                <w:rFonts w:ascii="Calibri" w:hAnsi="Calibri" w:cs="Calibri"/>
                <w:b/>
                <w:bCs/>
                <w:color w:val="000000"/>
                <w:sz w:val="15"/>
                <w:szCs w:val="15"/>
                <w:vertAlign w:val="superscript"/>
              </w:rPr>
              <w:t>(1)</w:t>
            </w:r>
          </w:p>
        </w:tc>
        <w:tc>
          <w:tcPr>
            <w:tcW w:w="73" w:type="pct"/>
            <w:shd w:val="clear" w:color="auto" w:fill="CFF0FC"/>
            <w:tcMar>
              <w:top w:w="15" w:type="dxa"/>
              <w:left w:w="0" w:type="dxa"/>
              <w:bottom w:w="0" w:type="dxa"/>
              <w:right w:w="15" w:type="dxa"/>
            </w:tcMar>
            <w:vAlign w:val="bottom"/>
            <w:hideMark/>
          </w:tcPr>
          <w:p w14:paraId="54D05E32"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49" w:type="pct"/>
            <w:tcBorders>
              <w:top w:val="single" w:sz="6" w:space="0" w:color="000000"/>
            </w:tcBorders>
            <w:shd w:val="clear" w:color="auto" w:fill="CFF0FC"/>
            <w:noWrap/>
            <w:tcMar>
              <w:top w:w="15" w:type="dxa"/>
              <w:left w:w="0" w:type="dxa"/>
              <w:bottom w:w="0" w:type="dxa"/>
              <w:right w:w="15" w:type="dxa"/>
            </w:tcMar>
            <w:vAlign w:val="bottom"/>
            <w:hideMark/>
          </w:tcPr>
          <w:p w14:paraId="58BA7C3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3" w:type="pct"/>
            <w:tcBorders>
              <w:top w:val="single" w:sz="6" w:space="0" w:color="000000"/>
            </w:tcBorders>
            <w:shd w:val="clear" w:color="auto" w:fill="CFF0FC"/>
            <w:noWrap/>
            <w:tcMar>
              <w:top w:w="15" w:type="dxa"/>
              <w:left w:w="0" w:type="dxa"/>
              <w:bottom w:w="0" w:type="dxa"/>
              <w:right w:w="15" w:type="dxa"/>
            </w:tcMar>
            <w:vAlign w:val="bottom"/>
            <w:hideMark/>
          </w:tcPr>
          <w:p w14:paraId="053BC12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06D4B4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5BEDF4C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2D363A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top w:val="single" w:sz="6" w:space="0" w:color="000000"/>
            </w:tcBorders>
            <w:shd w:val="clear" w:color="auto" w:fill="CFF0FC"/>
            <w:noWrap/>
            <w:tcMar>
              <w:top w:w="15" w:type="dxa"/>
              <w:left w:w="0" w:type="dxa"/>
              <w:bottom w:w="0" w:type="dxa"/>
              <w:right w:w="15" w:type="dxa"/>
            </w:tcMar>
            <w:vAlign w:val="bottom"/>
            <w:hideMark/>
          </w:tcPr>
          <w:p w14:paraId="12A3122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4FD22A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4E269C5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484FE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top w:val="single" w:sz="6" w:space="0" w:color="000000"/>
            </w:tcBorders>
            <w:shd w:val="clear" w:color="auto" w:fill="CFF0FC"/>
            <w:noWrap/>
            <w:tcMar>
              <w:top w:w="15" w:type="dxa"/>
              <w:left w:w="0" w:type="dxa"/>
              <w:bottom w:w="0" w:type="dxa"/>
              <w:right w:w="15" w:type="dxa"/>
            </w:tcMar>
            <w:vAlign w:val="bottom"/>
            <w:hideMark/>
          </w:tcPr>
          <w:p w14:paraId="032E47C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18394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4FD56CE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BEF6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top w:val="single" w:sz="6" w:space="0" w:color="000000"/>
            </w:tcBorders>
            <w:shd w:val="clear" w:color="auto" w:fill="CFF0FC"/>
            <w:noWrap/>
            <w:tcMar>
              <w:top w:w="15" w:type="dxa"/>
              <w:left w:w="0" w:type="dxa"/>
              <w:bottom w:w="0" w:type="dxa"/>
              <w:right w:w="15" w:type="dxa"/>
            </w:tcMar>
            <w:vAlign w:val="bottom"/>
            <w:hideMark/>
          </w:tcPr>
          <w:p w14:paraId="3E11512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96423D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51BF7F3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803CD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top w:val="single" w:sz="6" w:space="0" w:color="000000"/>
            </w:tcBorders>
            <w:shd w:val="clear" w:color="auto" w:fill="CFF0FC"/>
            <w:noWrap/>
            <w:tcMar>
              <w:top w:w="15" w:type="dxa"/>
              <w:left w:w="0" w:type="dxa"/>
              <w:bottom w:w="0" w:type="dxa"/>
              <w:right w:w="15" w:type="dxa"/>
            </w:tcMar>
            <w:vAlign w:val="bottom"/>
            <w:hideMark/>
          </w:tcPr>
          <w:p w14:paraId="64AAF87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E0AF0C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54C4E72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E5891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4" w:type="pct"/>
            <w:tcBorders>
              <w:top w:val="single" w:sz="6" w:space="0" w:color="000000"/>
            </w:tcBorders>
            <w:shd w:val="clear" w:color="auto" w:fill="CFF0FC"/>
            <w:noWrap/>
            <w:tcMar>
              <w:top w:w="15" w:type="dxa"/>
              <w:left w:w="0" w:type="dxa"/>
              <w:bottom w:w="0" w:type="dxa"/>
              <w:right w:w="15" w:type="dxa"/>
            </w:tcMar>
            <w:vAlign w:val="bottom"/>
            <w:hideMark/>
          </w:tcPr>
          <w:p w14:paraId="20C9AFE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11" w:type="pct"/>
            <w:shd w:val="clear" w:color="auto" w:fill="CFF0FC"/>
            <w:noWrap/>
            <w:tcMar>
              <w:top w:w="15" w:type="dxa"/>
              <w:left w:w="0" w:type="dxa"/>
              <w:bottom w:w="0" w:type="dxa"/>
              <w:right w:w="15" w:type="dxa"/>
            </w:tcMar>
            <w:vAlign w:val="bottom"/>
            <w:hideMark/>
          </w:tcPr>
          <w:p w14:paraId="746DAAEC"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6E5B49F4" w14:textId="77777777">
        <w:trPr>
          <w:divId w:val="662052593"/>
          <w:jc w:val="center"/>
        </w:trPr>
        <w:tc>
          <w:tcPr>
            <w:tcW w:w="1980" w:type="pct"/>
            <w:shd w:val="clear" w:color="auto" w:fill="FFFFFF"/>
            <w:tcMar>
              <w:top w:w="15" w:type="dxa"/>
              <w:left w:w="0" w:type="dxa"/>
              <w:bottom w:w="0" w:type="dxa"/>
              <w:right w:w="15" w:type="dxa"/>
            </w:tcMar>
            <w:hideMark/>
          </w:tcPr>
          <w:p w14:paraId="5D1F2F1C"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Cloud and license</w:t>
            </w:r>
          </w:p>
        </w:tc>
        <w:tc>
          <w:tcPr>
            <w:tcW w:w="73" w:type="pct"/>
            <w:shd w:val="clear" w:color="auto" w:fill="FFFFFF"/>
            <w:tcMar>
              <w:top w:w="15" w:type="dxa"/>
              <w:left w:w="0" w:type="dxa"/>
              <w:bottom w:w="0" w:type="dxa"/>
              <w:right w:w="15" w:type="dxa"/>
            </w:tcMar>
            <w:vAlign w:val="bottom"/>
            <w:hideMark/>
          </w:tcPr>
          <w:p w14:paraId="105F2DE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shd w:val="clear" w:color="auto" w:fill="FFFFFF"/>
            <w:noWrap/>
            <w:tcMar>
              <w:top w:w="15" w:type="dxa"/>
              <w:left w:w="0" w:type="dxa"/>
              <w:bottom w:w="0" w:type="dxa"/>
              <w:right w:w="15" w:type="dxa"/>
            </w:tcMar>
            <w:vAlign w:val="bottom"/>
            <w:hideMark/>
          </w:tcPr>
          <w:p w14:paraId="2E718E0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3" w:type="pct"/>
            <w:shd w:val="clear" w:color="auto" w:fill="FFFFFF"/>
            <w:noWrap/>
            <w:tcMar>
              <w:top w:w="15" w:type="dxa"/>
              <w:left w:w="0" w:type="dxa"/>
              <w:bottom w:w="0" w:type="dxa"/>
              <w:right w:w="15" w:type="dxa"/>
            </w:tcMar>
            <w:vAlign w:val="bottom"/>
            <w:hideMark/>
          </w:tcPr>
          <w:p w14:paraId="55626D7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C0E870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145E3F9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B9E1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shd w:val="clear" w:color="auto" w:fill="FFFFFF"/>
            <w:noWrap/>
            <w:tcMar>
              <w:top w:w="15" w:type="dxa"/>
              <w:left w:w="0" w:type="dxa"/>
              <w:bottom w:w="0" w:type="dxa"/>
              <w:right w:w="15" w:type="dxa"/>
            </w:tcMar>
            <w:vAlign w:val="bottom"/>
            <w:hideMark/>
          </w:tcPr>
          <w:p w14:paraId="3BFFDE4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184</w:t>
            </w:r>
          </w:p>
        </w:tc>
        <w:tc>
          <w:tcPr>
            <w:tcW w:w="50" w:type="pct"/>
            <w:shd w:val="clear" w:color="auto" w:fill="FFFFFF"/>
            <w:noWrap/>
            <w:tcMar>
              <w:top w:w="15" w:type="dxa"/>
              <w:left w:w="0" w:type="dxa"/>
              <w:bottom w:w="0" w:type="dxa"/>
              <w:right w:w="15" w:type="dxa"/>
            </w:tcMar>
            <w:vAlign w:val="bottom"/>
            <w:hideMark/>
          </w:tcPr>
          <w:p w14:paraId="61FF11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11496F1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93733B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shd w:val="clear" w:color="auto" w:fill="FFFFFF"/>
            <w:noWrap/>
            <w:tcMar>
              <w:top w:w="15" w:type="dxa"/>
              <w:left w:w="0" w:type="dxa"/>
              <w:bottom w:w="0" w:type="dxa"/>
              <w:right w:w="15" w:type="dxa"/>
            </w:tcMar>
            <w:vAlign w:val="bottom"/>
            <w:hideMark/>
          </w:tcPr>
          <w:p w14:paraId="65C90C4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FFFFFF"/>
            <w:noWrap/>
            <w:tcMar>
              <w:top w:w="15" w:type="dxa"/>
              <w:left w:w="0" w:type="dxa"/>
              <w:bottom w:w="0" w:type="dxa"/>
              <w:right w:w="15" w:type="dxa"/>
            </w:tcMar>
            <w:vAlign w:val="bottom"/>
            <w:hideMark/>
          </w:tcPr>
          <w:p w14:paraId="6CE94DE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4D5F24C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613FD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shd w:val="clear" w:color="auto" w:fill="FFFFFF"/>
            <w:noWrap/>
            <w:tcMar>
              <w:top w:w="15" w:type="dxa"/>
              <w:left w:w="0" w:type="dxa"/>
              <w:bottom w:w="0" w:type="dxa"/>
              <w:right w:w="15" w:type="dxa"/>
            </w:tcMar>
            <w:vAlign w:val="bottom"/>
            <w:hideMark/>
          </w:tcPr>
          <w:p w14:paraId="57F2063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(100</w:t>
            </w:r>
          </w:p>
        </w:tc>
        <w:tc>
          <w:tcPr>
            <w:tcW w:w="50" w:type="pct"/>
            <w:shd w:val="clear" w:color="auto" w:fill="FFFFFF"/>
            <w:noWrap/>
            <w:tcMar>
              <w:top w:w="15" w:type="dxa"/>
              <w:left w:w="0" w:type="dxa"/>
              <w:bottom w:w="0" w:type="dxa"/>
              <w:right w:w="15" w:type="dxa"/>
            </w:tcMar>
            <w:vAlign w:val="bottom"/>
            <w:hideMark/>
          </w:tcPr>
          <w:p w14:paraId="7AE4AA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316AA72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9C878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shd w:val="clear" w:color="auto" w:fill="FFFFFF"/>
            <w:noWrap/>
            <w:tcMar>
              <w:top w:w="15" w:type="dxa"/>
              <w:left w:w="0" w:type="dxa"/>
              <w:bottom w:w="0" w:type="dxa"/>
              <w:right w:w="15" w:type="dxa"/>
            </w:tcMar>
            <w:vAlign w:val="bottom"/>
            <w:hideMark/>
          </w:tcPr>
          <w:p w14:paraId="0707E42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left w:w="0" w:type="dxa"/>
              <w:bottom w:w="0" w:type="dxa"/>
              <w:right w:w="15" w:type="dxa"/>
            </w:tcMar>
            <w:vAlign w:val="bottom"/>
            <w:hideMark/>
          </w:tcPr>
          <w:p w14:paraId="54C8F9D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3D25C47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CEEB96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24" w:type="pct"/>
            <w:shd w:val="clear" w:color="auto" w:fill="FFFFFF"/>
            <w:noWrap/>
            <w:tcMar>
              <w:top w:w="15" w:type="dxa"/>
              <w:left w:w="0" w:type="dxa"/>
              <w:bottom w:w="0" w:type="dxa"/>
              <w:right w:w="15" w:type="dxa"/>
            </w:tcMar>
            <w:vAlign w:val="bottom"/>
            <w:hideMark/>
          </w:tcPr>
          <w:p w14:paraId="1D4BC31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85</w:t>
            </w:r>
          </w:p>
        </w:tc>
        <w:tc>
          <w:tcPr>
            <w:tcW w:w="11" w:type="pct"/>
            <w:shd w:val="clear" w:color="auto" w:fill="FFFFFF"/>
            <w:noWrap/>
            <w:tcMar>
              <w:top w:w="15" w:type="dxa"/>
              <w:left w:w="0" w:type="dxa"/>
              <w:bottom w:w="0" w:type="dxa"/>
              <w:right w:w="15" w:type="dxa"/>
            </w:tcMar>
            <w:vAlign w:val="bottom"/>
            <w:hideMark/>
          </w:tcPr>
          <w:p w14:paraId="7E8924F2"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0042003D" w14:textId="77777777">
        <w:trPr>
          <w:divId w:val="662052593"/>
          <w:jc w:val="center"/>
        </w:trPr>
        <w:tc>
          <w:tcPr>
            <w:tcW w:w="1980" w:type="pct"/>
            <w:shd w:val="clear" w:color="auto" w:fill="CFF0FC"/>
            <w:tcMar>
              <w:top w:w="15" w:type="dxa"/>
              <w:left w:w="0" w:type="dxa"/>
              <w:bottom w:w="0" w:type="dxa"/>
              <w:right w:w="15" w:type="dxa"/>
            </w:tcMar>
            <w:hideMark/>
          </w:tcPr>
          <w:p w14:paraId="3F31012A"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Hardware</w:t>
            </w:r>
          </w:p>
        </w:tc>
        <w:tc>
          <w:tcPr>
            <w:tcW w:w="73" w:type="pct"/>
            <w:shd w:val="clear" w:color="auto" w:fill="CFF0FC"/>
            <w:tcMar>
              <w:top w:w="15" w:type="dxa"/>
              <w:left w:w="0" w:type="dxa"/>
              <w:bottom w:w="0" w:type="dxa"/>
              <w:right w:w="15" w:type="dxa"/>
            </w:tcMar>
            <w:vAlign w:val="bottom"/>
            <w:hideMark/>
          </w:tcPr>
          <w:p w14:paraId="560674E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shd w:val="clear" w:color="auto" w:fill="CFF0FC"/>
            <w:noWrap/>
            <w:tcMar>
              <w:top w:w="15" w:type="dxa"/>
              <w:left w:w="0" w:type="dxa"/>
              <w:bottom w:w="0" w:type="dxa"/>
              <w:right w:w="15" w:type="dxa"/>
            </w:tcMar>
            <w:vAlign w:val="bottom"/>
            <w:hideMark/>
          </w:tcPr>
          <w:p w14:paraId="50BFE1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3" w:type="pct"/>
            <w:shd w:val="clear" w:color="auto" w:fill="CFF0FC"/>
            <w:noWrap/>
            <w:tcMar>
              <w:top w:w="15" w:type="dxa"/>
              <w:left w:w="0" w:type="dxa"/>
              <w:bottom w:w="0" w:type="dxa"/>
              <w:right w:w="15" w:type="dxa"/>
            </w:tcMar>
            <w:vAlign w:val="bottom"/>
            <w:hideMark/>
          </w:tcPr>
          <w:p w14:paraId="6C3B5AB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C152A6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1308832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89CC29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CFF0FC"/>
            <w:noWrap/>
            <w:tcMar>
              <w:top w:w="15" w:type="dxa"/>
              <w:left w:w="0" w:type="dxa"/>
              <w:bottom w:w="0" w:type="dxa"/>
              <w:right w:w="15" w:type="dxa"/>
            </w:tcMar>
            <w:vAlign w:val="bottom"/>
            <w:hideMark/>
          </w:tcPr>
          <w:p w14:paraId="40E2F18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91</w:t>
            </w:r>
          </w:p>
        </w:tc>
        <w:tc>
          <w:tcPr>
            <w:tcW w:w="50" w:type="pct"/>
            <w:shd w:val="clear" w:color="auto" w:fill="CFF0FC"/>
            <w:noWrap/>
            <w:tcMar>
              <w:top w:w="15" w:type="dxa"/>
              <w:left w:w="0" w:type="dxa"/>
              <w:bottom w:w="0" w:type="dxa"/>
              <w:right w:w="15" w:type="dxa"/>
            </w:tcMar>
            <w:vAlign w:val="bottom"/>
            <w:hideMark/>
          </w:tcPr>
          <w:p w14:paraId="5D57ADF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07BAB1B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0411F3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CFF0FC"/>
            <w:noWrap/>
            <w:tcMar>
              <w:top w:w="15" w:type="dxa"/>
              <w:left w:w="0" w:type="dxa"/>
              <w:bottom w:w="0" w:type="dxa"/>
              <w:right w:w="15" w:type="dxa"/>
            </w:tcMar>
            <w:vAlign w:val="bottom"/>
            <w:hideMark/>
          </w:tcPr>
          <w:p w14:paraId="7D57310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left w:w="0" w:type="dxa"/>
              <w:bottom w:w="0" w:type="dxa"/>
              <w:right w:w="15" w:type="dxa"/>
            </w:tcMar>
            <w:vAlign w:val="bottom"/>
            <w:hideMark/>
          </w:tcPr>
          <w:p w14:paraId="1500042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3CAB16C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A95409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CFF0FC"/>
            <w:noWrap/>
            <w:tcMar>
              <w:top w:w="15" w:type="dxa"/>
              <w:left w:w="0" w:type="dxa"/>
              <w:bottom w:w="0" w:type="dxa"/>
              <w:right w:w="15" w:type="dxa"/>
            </w:tcMar>
            <w:vAlign w:val="bottom"/>
            <w:hideMark/>
          </w:tcPr>
          <w:p w14:paraId="1ADA823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(57</w:t>
            </w:r>
          </w:p>
        </w:tc>
        <w:tc>
          <w:tcPr>
            <w:tcW w:w="50" w:type="pct"/>
            <w:shd w:val="clear" w:color="auto" w:fill="CFF0FC"/>
            <w:noWrap/>
            <w:tcMar>
              <w:top w:w="15" w:type="dxa"/>
              <w:left w:w="0" w:type="dxa"/>
              <w:bottom w:w="0" w:type="dxa"/>
              <w:right w:w="15" w:type="dxa"/>
            </w:tcMar>
            <w:vAlign w:val="bottom"/>
            <w:hideMark/>
          </w:tcPr>
          <w:p w14:paraId="4BC36B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2304B09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5F6838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CFF0FC"/>
            <w:noWrap/>
            <w:tcMar>
              <w:top w:w="15" w:type="dxa"/>
              <w:left w:w="0" w:type="dxa"/>
              <w:bottom w:w="0" w:type="dxa"/>
              <w:right w:w="15" w:type="dxa"/>
            </w:tcMar>
            <w:vAlign w:val="bottom"/>
            <w:hideMark/>
          </w:tcPr>
          <w:p w14:paraId="5D212F4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D20ABE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4970DF8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A3CAAA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4" w:type="pct"/>
            <w:shd w:val="clear" w:color="auto" w:fill="CFF0FC"/>
            <w:noWrap/>
            <w:tcMar>
              <w:top w:w="15" w:type="dxa"/>
              <w:left w:w="0" w:type="dxa"/>
              <w:bottom w:w="0" w:type="dxa"/>
              <w:right w:w="15" w:type="dxa"/>
            </w:tcMar>
            <w:vAlign w:val="bottom"/>
            <w:hideMark/>
          </w:tcPr>
          <w:p w14:paraId="546C2D6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w:t>
            </w:r>
          </w:p>
        </w:tc>
        <w:tc>
          <w:tcPr>
            <w:tcW w:w="11" w:type="pct"/>
            <w:shd w:val="clear" w:color="auto" w:fill="CFF0FC"/>
            <w:noWrap/>
            <w:tcMar>
              <w:top w:w="15" w:type="dxa"/>
              <w:left w:w="0" w:type="dxa"/>
              <w:bottom w:w="0" w:type="dxa"/>
              <w:right w:w="15" w:type="dxa"/>
            </w:tcMar>
            <w:vAlign w:val="bottom"/>
            <w:hideMark/>
          </w:tcPr>
          <w:p w14:paraId="55177721"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584C3597" w14:textId="77777777">
        <w:trPr>
          <w:divId w:val="662052593"/>
          <w:jc w:val="center"/>
        </w:trPr>
        <w:tc>
          <w:tcPr>
            <w:tcW w:w="1980" w:type="pct"/>
            <w:shd w:val="clear" w:color="auto" w:fill="FFFFFF"/>
            <w:tcMar>
              <w:top w:w="15" w:type="dxa"/>
              <w:left w:w="0" w:type="dxa"/>
              <w:bottom w:w="0" w:type="dxa"/>
              <w:right w:w="15" w:type="dxa"/>
            </w:tcMar>
            <w:hideMark/>
          </w:tcPr>
          <w:p w14:paraId="7F0FD011"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Services</w:t>
            </w:r>
          </w:p>
        </w:tc>
        <w:tc>
          <w:tcPr>
            <w:tcW w:w="73" w:type="pct"/>
            <w:shd w:val="clear" w:color="auto" w:fill="FFFFFF"/>
            <w:tcMar>
              <w:top w:w="15" w:type="dxa"/>
              <w:left w:w="0" w:type="dxa"/>
              <w:bottom w:w="0" w:type="dxa"/>
              <w:right w:w="15" w:type="dxa"/>
            </w:tcMar>
            <w:vAlign w:val="bottom"/>
            <w:hideMark/>
          </w:tcPr>
          <w:p w14:paraId="1CAE06F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shd w:val="clear" w:color="auto" w:fill="FFFFFF"/>
            <w:noWrap/>
            <w:tcMar>
              <w:top w:w="15" w:type="dxa"/>
              <w:left w:w="0" w:type="dxa"/>
              <w:bottom w:w="0" w:type="dxa"/>
              <w:right w:w="15" w:type="dxa"/>
            </w:tcMar>
            <w:vAlign w:val="bottom"/>
            <w:hideMark/>
          </w:tcPr>
          <w:p w14:paraId="5B4D7A5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3" w:type="pct"/>
            <w:shd w:val="clear" w:color="auto" w:fill="FFFFFF"/>
            <w:noWrap/>
            <w:tcMar>
              <w:top w:w="15" w:type="dxa"/>
              <w:left w:w="0" w:type="dxa"/>
              <w:bottom w:w="0" w:type="dxa"/>
              <w:right w:w="15" w:type="dxa"/>
            </w:tcMar>
            <w:vAlign w:val="bottom"/>
            <w:hideMark/>
          </w:tcPr>
          <w:p w14:paraId="465BEC5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F86CC6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015C5C7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F5515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FFFFFF"/>
            <w:noWrap/>
            <w:tcMar>
              <w:top w:w="15" w:type="dxa"/>
              <w:left w:w="0" w:type="dxa"/>
              <w:bottom w:w="0" w:type="dxa"/>
              <w:right w:w="15" w:type="dxa"/>
            </w:tcMar>
            <w:vAlign w:val="bottom"/>
            <w:hideMark/>
          </w:tcPr>
          <w:p w14:paraId="0E31627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59</w:t>
            </w:r>
          </w:p>
        </w:tc>
        <w:tc>
          <w:tcPr>
            <w:tcW w:w="50" w:type="pct"/>
            <w:shd w:val="clear" w:color="auto" w:fill="FFFFFF"/>
            <w:noWrap/>
            <w:tcMar>
              <w:top w:w="15" w:type="dxa"/>
              <w:left w:w="0" w:type="dxa"/>
              <w:bottom w:w="0" w:type="dxa"/>
              <w:right w:w="15" w:type="dxa"/>
            </w:tcMar>
            <w:vAlign w:val="bottom"/>
            <w:hideMark/>
          </w:tcPr>
          <w:p w14:paraId="179C29A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5CF5E59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076E0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FFFFFF"/>
            <w:noWrap/>
            <w:tcMar>
              <w:top w:w="15" w:type="dxa"/>
              <w:left w:w="0" w:type="dxa"/>
              <w:bottom w:w="0" w:type="dxa"/>
              <w:right w:w="15" w:type="dxa"/>
            </w:tcMar>
            <w:vAlign w:val="bottom"/>
            <w:hideMark/>
          </w:tcPr>
          <w:p w14:paraId="4B88A8A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54BA89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1331194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DA359E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FFFFFF"/>
            <w:noWrap/>
            <w:tcMar>
              <w:top w:w="15" w:type="dxa"/>
              <w:left w:w="0" w:type="dxa"/>
              <w:bottom w:w="0" w:type="dxa"/>
              <w:right w:w="15" w:type="dxa"/>
            </w:tcMar>
            <w:vAlign w:val="bottom"/>
            <w:hideMark/>
          </w:tcPr>
          <w:p w14:paraId="5EBD246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FFFFFF"/>
            <w:noWrap/>
            <w:tcMar>
              <w:top w:w="15" w:type="dxa"/>
              <w:left w:w="0" w:type="dxa"/>
              <w:bottom w:w="0" w:type="dxa"/>
              <w:right w:w="15" w:type="dxa"/>
            </w:tcMar>
            <w:vAlign w:val="bottom"/>
            <w:hideMark/>
          </w:tcPr>
          <w:p w14:paraId="192B28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27CA7F4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E8158A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shd w:val="clear" w:color="auto" w:fill="FFFFFF"/>
            <w:noWrap/>
            <w:tcMar>
              <w:top w:w="15" w:type="dxa"/>
              <w:left w:w="0" w:type="dxa"/>
              <w:bottom w:w="0" w:type="dxa"/>
              <w:right w:w="15" w:type="dxa"/>
            </w:tcMar>
            <w:vAlign w:val="bottom"/>
            <w:hideMark/>
          </w:tcPr>
          <w:p w14:paraId="6331D4C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09BDC5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5040DBE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4127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4" w:type="pct"/>
            <w:shd w:val="clear" w:color="auto" w:fill="FFFFFF"/>
            <w:noWrap/>
            <w:tcMar>
              <w:top w:w="15" w:type="dxa"/>
              <w:left w:w="0" w:type="dxa"/>
              <w:bottom w:w="0" w:type="dxa"/>
              <w:right w:w="15" w:type="dxa"/>
            </w:tcMar>
            <w:vAlign w:val="bottom"/>
            <w:hideMark/>
          </w:tcPr>
          <w:p w14:paraId="558F79E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w:t>
            </w:r>
          </w:p>
        </w:tc>
        <w:tc>
          <w:tcPr>
            <w:tcW w:w="11" w:type="pct"/>
            <w:shd w:val="clear" w:color="auto" w:fill="FFFFFF"/>
            <w:noWrap/>
            <w:tcMar>
              <w:top w:w="15" w:type="dxa"/>
              <w:left w:w="0" w:type="dxa"/>
              <w:bottom w:w="0" w:type="dxa"/>
              <w:right w:w="15" w:type="dxa"/>
            </w:tcMar>
            <w:vAlign w:val="bottom"/>
            <w:hideMark/>
          </w:tcPr>
          <w:p w14:paraId="7C4403A1"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0F24B108" w14:textId="77777777">
        <w:trPr>
          <w:divId w:val="662052593"/>
          <w:jc w:val="center"/>
        </w:trPr>
        <w:tc>
          <w:tcPr>
            <w:tcW w:w="1980" w:type="pct"/>
            <w:shd w:val="clear" w:color="auto" w:fill="CFF0FC"/>
            <w:tcMar>
              <w:top w:w="15" w:type="dxa"/>
              <w:left w:w="0" w:type="dxa"/>
              <w:bottom w:w="0" w:type="dxa"/>
              <w:right w:w="15" w:type="dxa"/>
            </w:tcMar>
            <w:hideMark/>
          </w:tcPr>
          <w:p w14:paraId="7EB0D6AA" w14:textId="77777777" w:rsidR="00251D72" w:rsidRDefault="00251D72">
            <w:pPr>
              <w:pStyle w:val="a3"/>
              <w:spacing w:before="0" w:beforeAutospacing="0" w:after="0" w:afterAutospacing="0"/>
              <w:ind w:left="144" w:hanging="144"/>
              <w:rPr>
                <w:rFonts w:ascii="Calibri" w:hAnsi="Calibri" w:cs="Calibri"/>
                <w:color w:val="000000"/>
                <w:sz w:val="18"/>
                <w:szCs w:val="18"/>
              </w:rPr>
            </w:pPr>
            <w:r>
              <w:rPr>
                <w:rFonts w:ascii="Calibri" w:hAnsi="Calibri" w:cs="Calibri"/>
                <w:color w:val="000000"/>
                <w:sz w:val="18"/>
                <w:szCs w:val="18"/>
              </w:rPr>
              <w:t>Other</w:t>
            </w:r>
            <w:r>
              <w:rPr>
                <w:rFonts w:ascii="Calibri" w:hAnsi="Calibri" w:cs="Calibri"/>
                <w:color w:val="000000"/>
                <w:sz w:val="15"/>
                <w:szCs w:val="15"/>
                <w:vertAlign w:val="superscript"/>
              </w:rPr>
              <w:t>(6)</w:t>
            </w:r>
          </w:p>
        </w:tc>
        <w:tc>
          <w:tcPr>
            <w:tcW w:w="73" w:type="pct"/>
            <w:shd w:val="clear" w:color="auto" w:fill="CFF0FC"/>
            <w:tcMar>
              <w:top w:w="15" w:type="dxa"/>
              <w:left w:w="0" w:type="dxa"/>
              <w:bottom w:w="0" w:type="dxa"/>
              <w:right w:w="15" w:type="dxa"/>
            </w:tcMar>
            <w:vAlign w:val="bottom"/>
            <w:hideMark/>
          </w:tcPr>
          <w:p w14:paraId="61283E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tcBorders>
              <w:bottom w:val="single" w:sz="6" w:space="0" w:color="000000"/>
            </w:tcBorders>
            <w:shd w:val="clear" w:color="auto" w:fill="CFF0FC"/>
            <w:noWrap/>
            <w:tcMar>
              <w:top w:w="15" w:type="dxa"/>
              <w:left w:w="0" w:type="dxa"/>
              <w:bottom w:w="0" w:type="dxa"/>
              <w:right w:w="15" w:type="dxa"/>
            </w:tcMar>
            <w:vAlign w:val="bottom"/>
            <w:hideMark/>
          </w:tcPr>
          <w:p w14:paraId="5FFD3E6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3" w:type="pct"/>
            <w:tcBorders>
              <w:bottom w:val="single" w:sz="6" w:space="0" w:color="000000"/>
            </w:tcBorders>
            <w:shd w:val="clear" w:color="auto" w:fill="CFF0FC"/>
            <w:noWrap/>
            <w:tcMar>
              <w:top w:w="15" w:type="dxa"/>
              <w:left w:w="0" w:type="dxa"/>
              <w:bottom w:w="0" w:type="dxa"/>
              <w:right w:w="15" w:type="dxa"/>
            </w:tcMar>
            <w:vAlign w:val="bottom"/>
            <w:hideMark/>
          </w:tcPr>
          <w:p w14:paraId="11507ED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81DD9A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0C33278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17FE2F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bottom w:val="single" w:sz="6" w:space="0" w:color="000000"/>
            </w:tcBorders>
            <w:shd w:val="clear" w:color="auto" w:fill="CFF0FC"/>
            <w:noWrap/>
            <w:tcMar>
              <w:top w:w="15" w:type="dxa"/>
              <w:left w:w="0" w:type="dxa"/>
              <w:bottom w:w="0" w:type="dxa"/>
              <w:right w:w="15" w:type="dxa"/>
            </w:tcMar>
            <w:vAlign w:val="bottom"/>
            <w:hideMark/>
          </w:tcPr>
          <w:p w14:paraId="4233332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166</w:t>
            </w:r>
          </w:p>
        </w:tc>
        <w:tc>
          <w:tcPr>
            <w:tcW w:w="50" w:type="pct"/>
            <w:shd w:val="clear" w:color="auto" w:fill="CFF0FC"/>
            <w:noWrap/>
            <w:tcMar>
              <w:top w:w="15" w:type="dxa"/>
              <w:left w:w="0" w:type="dxa"/>
              <w:bottom w:w="0" w:type="dxa"/>
              <w:right w:w="15" w:type="dxa"/>
            </w:tcMar>
            <w:vAlign w:val="bottom"/>
            <w:hideMark/>
          </w:tcPr>
          <w:p w14:paraId="413DA6E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5388F9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5E932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bottom w:val="single" w:sz="6" w:space="0" w:color="000000"/>
            </w:tcBorders>
            <w:shd w:val="clear" w:color="auto" w:fill="CFF0FC"/>
            <w:noWrap/>
            <w:tcMar>
              <w:top w:w="15" w:type="dxa"/>
              <w:left w:w="0" w:type="dxa"/>
              <w:bottom w:w="0" w:type="dxa"/>
              <w:right w:w="15" w:type="dxa"/>
            </w:tcMar>
            <w:vAlign w:val="bottom"/>
            <w:hideMark/>
          </w:tcPr>
          <w:p w14:paraId="2E48FD5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left w:w="0" w:type="dxa"/>
              <w:bottom w:w="0" w:type="dxa"/>
              <w:right w:w="15" w:type="dxa"/>
            </w:tcMar>
            <w:vAlign w:val="bottom"/>
            <w:hideMark/>
          </w:tcPr>
          <w:p w14:paraId="412B05A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2A84FA3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A7EDC7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bottom w:val="single" w:sz="6" w:space="0" w:color="000000"/>
            </w:tcBorders>
            <w:shd w:val="clear" w:color="auto" w:fill="CFF0FC"/>
            <w:noWrap/>
            <w:tcMar>
              <w:top w:w="15" w:type="dxa"/>
              <w:left w:w="0" w:type="dxa"/>
              <w:bottom w:w="0" w:type="dxa"/>
              <w:right w:w="15" w:type="dxa"/>
            </w:tcMar>
            <w:vAlign w:val="bottom"/>
            <w:hideMark/>
          </w:tcPr>
          <w:p w14:paraId="7FDC1FE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(118</w:t>
            </w:r>
          </w:p>
        </w:tc>
        <w:tc>
          <w:tcPr>
            <w:tcW w:w="50" w:type="pct"/>
            <w:shd w:val="clear" w:color="auto" w:fill="CFF0FC"/>
            <w:noWrap/>
            <w:tcMar>
              <w:top w:w="15" w:type="dxa"/>
              <w:left w:w="0" w:type="dxa"/>
              <w:bottom w:w="0" w:type="dxa"/>
              <w:right w:w="15" w:type="dxa"/>
            </w:tcMar>
            <w:vAlign w:val="bottom"/>
            <w:hideMark/>
          </w:tcPr>
          <w:p w14:paraId="3AC027D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78C493E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86B05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64" w:type="pct"/>
            <w:tcBorders>
              <w:bottom w:val="single" w:sz="6" w:space="0" w:color="000000"/>
            </w:tcBorders>
            <w:shd w:val="clear" w:color="auto" w:fill="CFF0FC"/>
            <w:noWrap/>
            <w:tcMar>
              <w:top w:w="15" w:type="dxa"/>
              <w:left w:w="0" w:type="dxa"/>
              <w:bottom w:w="0" w:type="dxa"/>
              <w:right w:w="15" w:type="dxa"/>
            </w:tcMar>
            <w:vAlign w:val="bottom"/>
            <w:hideMark/>
          </w:tcPr>
          <w:p w14:paraId="2CB8E7B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C9D72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4F43519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49E1C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24" w:type="pct"/>
            <w:tcBorders>
              <w:bottom w:val="single" w:sz="6" w:space="0" w:color="000000"/>
            </w:tcBorders>
            <w:shd w:val="clear" w:color="auto" w:fill="CFF0FC"/>
            <w:noWrap/>
            <w:tcMar>
              <w:top w:w="15" w:type="dxa"/>
              <w:left w:w="0" w:type="dxa"/>
              <w:bottom w:w="0" w:type="dxa"/>
              <w:right w:w="15" w:type="dxa"/>
            </w:tcMar>
            <w:vAlign w:val="bottom"/>
            <w:hideMark/>
          </w:tcPr>
          <w:p w14:paraId="20B8EE2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w:t>
            </w:r>
          </w:p>
        </w:tc>
        <w:tc>
          <w:tcPr>
            <w:tcW w:w="11" w:type="pct"/>
            <w:shd w:val="clear" w:color="auto" w:fill="CFF0FC"/>
            <w:noWrap/>
            <w:tcMar>
              <w:top w:w="15" w:type="dxa"/>
              <w:left w:w="0" w:type="dxa"/>
              <w:bottom w:w="0" w:type="dxa"/>
              <w:right w:w="15" w:type="dxa"/>
            </w:tcMar>
            <w:vAlign w:val="bottom"/>
            <w:hideMark/>
          </w:tcPr>
          <w:p w14:paraId="71957E8C"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3008C959" w14:textId="77777777">
        <w:trPr>
          <w:divId w:val="662052593"/>
          <w:jc w:val="center"/>
        </w:trPr>
        <w:tc>
          <w:tcPr>
            <w:tcW w:w="1980" w:type="pct"/>
            <w:shd w:val="clear" w:color="auto" w:fill="FFFFFF"/>
            <w:tcMar>
              <w:top w:w="15" w:type="dxa"/>
              <w:left w:w="0" w:type="dxa"/>
              <w:bottom w:w="0" w:type="dxa"/>
              <w:right w:w="15" w:type="dxa"/>
            </w:tcMar>
            <w:hideMark/>
          </w:tcPr>
          <w:p w14:paraId="0DA8303D" w14:textId="77777777" w:rsidR="00251D72" w:rsidRDefault="00251D72">
            <w:pPr>
              <w:pStyle w:val="a3"/>
              <w:spacing w:before="0" w:beforeAutospacing="0" w:after="0" w:afterAutospacing="0"/>
              <w:ind w:left="547" w:hanging="144"/>
              <w:rPr>
                <w:rFonts w:ascii="Calibri" w:hAnsi="Calibri" w:cs="Calibri"/>
                <w:color w:val="000000"/>
                <w:sz w:val="18"/>
                <w:szCs w:val="18"/>
              </w:rPr>
            </w:pPr>
            <w:r>
              <w:rPr>
                <w:rFonts w:ascii="Calibri" w:hAnsi="Calibri" w:cs="Calibri"/>
                <w:color w:val="000000"/>
                <w:sz w:val="18"/>
                <w:szCs w:val="18"/>
              </w:rPr>
              <w:t>Total Fiscal 2017 Oracle Restructuring Plan</w:t>
            </w:r>
          </w:p>
        </w:tc>
        <w:tc>
          <w:tcPr>
            <w:tcW w:w="73" w:type="pct"/>
            <w:shd w:val="clear" w:color="auto" w:fill="FFFFFF"/>
            <w:tcMar>
              <w:top w:w="15" w:type="dxa"/>
              <w:left w:w="0" w:type="dxa"/>
              <w:bottom w:w="0" w:type="dxa"/>
              <w:right w:w="15" w:type="dxa"/>
            </w:tcMar>
            <w:vAlign w:val="bottom"/>
            <w:hideMark/>
          </w:tcPr>
          <w:p w14:paraId="084F4DB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64DF6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DBA3F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A2F5A3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75A484A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382265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0543B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500</w:t>
            </w:r>
          </w:p>
        </w:tc>
        <w:tc>
          <w:tcPr>
            <w:tcW w:w="50" w:type="pct"/>
            <w:shd w:val="clear" w:color="auto" w:fill="FFFFFF"/>
            <w:noWrap/>
            <w:tcMar>
              <w:top w:w="15" w:type="dxa"/>
              <w:left w:w="0" w:type="dxa"/>
              <w:bottom w:w="0" w:type="dxa"/>
              <w:right w:w="15" w:type="dxa"/>
            </w:tcMar>
            <w:vAlign w:val="bottom"/>
            <w:hideMark/>
          </w:tcPr>
          <w:p w14:paraId="2C04F1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54AE79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47BD9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E5C3A5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FFFFFF"/>
            <w:noWrap/>
            <w:tcMar>
              <w:top w:w="15" w:type="dxa"/>
              <w:left w:w="0" w:type="dxa"/>
              <w:bottom w:w="0" w:type="dxa"/>
              <w:right w:w="15" w:type="dxa"/>
            </w:tcMar>
            <w:vAlign w:val="bottom"/>
            <w:hideMark/>
          </w:tcPr>
          <w:p w14:paraId="1336F4E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3E5EC8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5188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3E0E56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(309</w:t>
            </w:r>
          </w:p>
        </w:tc>
        <w:tc>
          <w:tcPr>
            <w:tcW w:w="50" w:type="pct"/>
            <w:shd w:val="clear" w:color="auto" w:fill="FFFFFF"/>
            <w:noWrap/>
            <w:tcMar>
              <w:top w:w="15" w:type="dxa"/>
              <w:left w:w="0" w:type="dxa"/>
              <w:bottom w:w="0" w:type="dxa"/>
              <w:right w:w="15" w:type="dxa"/>
            </w:tcMar>
            <w:vAlign w:val="bottom"/>
            <w:hideMark/>
          </w:tcPr>
          <w:p w14:paraId="55CDAB2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4E2D13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465F4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0C2C34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FFFFFF"/>
            <w:noWrap/>
            <w:tcMar>
              <w:top w:w="15" w:type="dxa"/>
              <w:left w:w="0" w:type="dxa"/>
              <w:bottom w:w="0" w:type="dxa"/>
              <w:right w:w="15" w:type="dxa"/>
            </w:tcMar>
            <w:vAlign w:val="bottom"/>
            <w:hideMark/>
          </w:tcPr>
          <w:p w14:paraId="5ACB088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3A13460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71BD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2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81A99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185</w:t>
            </w:r>
          </w:p>
        </w:tc>
        <w:tc>
          <w:tcPr>
            <w:tcW w:w="11" w:type="pct"/>
            <w:shd w:val="clear" w:color="auto" w:fill="FFFFFF"/>
            <w:noWrap/>
            <w:tcMar>
              <w:top w:w="15" w:type="dxa"/>
              <w:left w:w="0" w:type="dxa"/>
              <w:bottom w:w="0" w:type="dxa"/>
              <w:right w:w="15" w:type="dxa"/>
            </w:tcMar>
            <w:vAlign w:val="bottom"/>
            <w:hideMark/>
          </w:tcPr>
          <w:p w14:paraId="675481EA"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4379292B" w14:textId="77777777">
        <w:trPr>
          <w:divId w:val="662052593"/>
          <w:jc w:val="center"/>
        </w:trPr>
        <w:tc>
          <w:tcPr>
            <w:tcW w:w="1980" w:type="pct"/>
            <w:shd w:val="clear" w:color="auto" w:fill="CFF0FC"/>
            <w:tcMar>
              <w:top w:w="15" w:type="dxa"/>
              <w:left w:w="0" w:type="dxa"/>
              <w:bottom w:w="0" w:type="dxa"/>
              <w:right w:w="15" w:type="dxa"/>
            </w:tcMar>
            <w:hideMark/>
          </w:tcPr>
          <w:p w14:paraId="5C211EEA" w14:textId="77777777" w:rsidR="00251D72" w:rsidRDefault="00251D72">
            <w:pPr>
              <w:pStyle w:val="a3"/>
              <w:spacing w:before="0" w:beforeAutospacing="0" w:after="0" w:afterAutospacing="0"/>
              <w:ind w:left="547" w:hanging="144"/>
              <w:rPr>
                <w:rFonts w:ascii="Calibri" w:hAnsi="Calibri" w:cs="Calibri"/>
                <w:color w:val="000000"/>
                <w:sz w:val="18"/>
                <w:szCs w:val="18"/>
              </w:rPr>
            </w:pPr>
            <w:r>
              <w:rPr>
                <w:rFonts w:ascii="Calibri" w:hAnsi="Calibri" w:cs="Calibri"/>
                <w:color w:val="000000"/>
                <w:sz w:val="18"/>
                <w:szCs w:val="18"/>
              </w:rPr>
              <w:t>Total other restructuring plans</w:t>
            </w:r>
            <w:r>
              <w:rPr>
                <w:rFonts w:ascii="Calibri" w:hAnsi="Calibri" w:cs="Calibri"/>
                <w:color w:val="000000"/>
                <w:sz w:val="15"/>
                <w:szCs w:val="15"/>
                <w:vertAlign w:val="superscript"/>
              </w:rPr>
              <w:t>(7)</w:t>
            </w:r>
          </w:p>
        </w:tc>
        <w:tc>
          <w:tcPr>
            <w:tcW w:w="73" w:type="pct"/>
            <w:shd w:val="clear" w:color="auto" w:fill="CFF0FC"/>
            <w:tcMar>
              <w:top w:w="15" w:type="dxa"/>
              <w:left w:w="0" w:type="dxa"/>
              <w:bottom w:w="0" w:type="dxa"/>
              <w:right w:w="15" w:type="dxa"/>
            </w:tcMar>
            <w:vAlign w:val="bottom"/>
            <w:hideMark/>
          </w:tcPr>
          <w:p w14:paraId="7DABF11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84BEEE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418993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283</w:t>
            </w:r>
          </w:p>
        </w:tc>
        <w:tc>
          <w:tcPr>
            <w:tcW w:w="50" w:type="pct"/>
            <w:shd w:val="clear" w:color="auto" w:fill="CFF0FC"/>
            <w:noWrap/>
            <w:tcMar>
              <w:top w:w="15" w:type="dxa"/>
              <w:left w:w="0" w:type="dxa"/>
              <w:bottom w:w="0" w:type="dxa"/>
              <w:right w:w="15" w:type="dxa"/>
            </w:tcMar>
            <w:vAlign w:val="bottom"/>
            <w:hideMark/>
          </w:tcPr>
          <w:p w14:paraId="5EBB8F0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5C6ADF8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B0E0BA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4E27FD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left w:w="0" w:type="dxa"/>
              <w:bottom w:w="0" w:type="dxa"/>
              <w:right w:w="15" w:type="dxa"/>
            </w:tcMar>
            <w:vAlign w:val="bottom"/>
            <w:hideMark/>
          </w:tcPr>
          <w:p w14:paraId="704FBB2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3DCB31F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7489B2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7744F5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w:t>
            </w:r>
          </w:p>
        </w:tc>
        <w:tc>
          <w:tcPr>
            <w:tcW w:w="50" w:type="pct"/>
            <w:shd w:val="clear" w:color="auto" w:fill="CFF0FC"/>
            <w:noWrap/>
            <w:tcMar>
              <w:top w:w="15" w:type="dxa"/>
              <w:left w:w="0" w:type="dxa"/>
              <w:bottom w:w="0" w:type="dxa"/>
              <w:right w:w="15" w:type="dxa"/>
            </w:tcMar>
            <w:vAlign w:val="bottom"/>
            <w:hideMark/>
          </w:tcPr>
          <w:p w14:paraId="44150E0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76C816C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51DDFB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61DA97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(169</w:t>
            </w:r>
          </w:p>
        </w:tc>
        <w:tc>
          <w:tcPr>
            <w:tcW w:w="50" w:type="pct"/>
            <w:shd w:val="clear" w:color="auto" w:fill="CFF0FC"/>
            <w:noWrap/>
            <w:tcMar>
              <w:top w:w="15" w:type="dxa"/>
              <w:left w:w="0" w:type="dxa"/>
              <w:bottom w:w="0" w:type="dxa"/>
              <w:right w:w="15" w:type="dxa"/>
            </w:tcMar>
            <w:vAlign w:val="bottom"/>
            <w:hideMark/>
          </w:tcPr>
          <w:p w14:paraId="0AFBC0B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771C9E3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FEF9D1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66A833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CFF0FC"/>
            <w:noWrap/>
            <w:tcMar>
              <w:top w:w="15" w:type="dxa"/>
              <w:left w:w="0" w:type="dxa"/>
              <w:bottom w:w="0" w:type="dxa"/>
              <w:right w:w="15" w:type="dxa"/>
            </w:tcMar>
            <w:vAlign w:val="bottom"/>
            <w:hideMark/>
          </w:tcPr>
          <w:p w14:paraId="7F38216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276754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20E522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2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A7266F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79</w:t>
            </w:r>
          </w:p>
        </w:tc>
        <w:tc>
          <w:tcPr>
            <w:tcW w:w="11" w:type="pct"/>
            <w:shd w:val="clear" w:color="auto" w:fill="CFF0FC"/>
            <w:noWrap/>
            <w:tcMar>
              <w:top w:w="15" w:type="dxa"/>
              <w:left w:w="0" w:type="dxa"/>
              <w:bottom w:w="0" w:type="dxa"/>
              <w:right w:w="15" w:type="dxa"/>
            </w:tcMar>
            <w:vAlign w:val="bottom"/>
            <w:hideMark/>
          </w:tcPr>
          <w:p w14:paraId="51E46EBD"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6FEAB1FA" w14:textId="77777777">
        <w:trPr>
          <w:divId w:val="662052593"/>
          <w:jc w:val="center"/>
        </w:trPr>
        <w:tc>
          <w:tcPr>
            <w:tcW w:w="1980" w:type="pct"/>
            <w:shd w:val="clear" w:color="auto" w:fill="FFFFFF"/>
            <w:tcMar>
              <w:top w:w="15" w:type="dxa"/>
              <w:left w:w="0" w:type="dxa"/>
              <w:bottom w:w="0" w:type="dxa"/>
              <w:right w:w="15" w:type="dxa"/>
            </w:tcMar>
            <w:hideMark/>
          </w:tcPr>
          <w:p w14:paraId="1A2D2EAA" w14:textId="77777777" w:rsidR="00251D72" w:rsidRDefault="00251D72">
            <w:pPr>
              <w:pStyle w:val="a3"/>
              <w:spacing w:before="0" w:beforeAutospacing="0" w:after="0" w:afterAutospacing="0"/>
              <w:ind w:left="835" w:hanging="144"/>
              <w:rPr>
                <w:rFonts w:ascii="Calibri" w:hAnsi="Calibri" w:cs="Calibri"/>
                <w:color w:val="000000"/>
                <w:sz w:val="18"/>
                <w:szCs w:val="18"/>
              </w:rPr>
            </w:pPr>
            <w:r>
              <w:rPr>
                <w:rFonts w:ascii="Calibri" w:hAnsi="Calibri" w:cs="Calibri"/>
                <w:color w:val="000000"/>
                <w:sz w:val="18"/>
                <w:szCs w:val="18"/>
              </w:rPr>
              <w:t>Total restructuring plans</w:t>
            </w:r>
          </w:p>
        </w:tc>
        <w:tc>
          <w:tcPr>
            <w:tcW w:w="73" w:type="pct"/>
            <w:shd w:val="clear" w:color="auto" w:fill="FFFFFF"/>
            <w:tcMar>
              <w:top w:w="15" w:type="dxa"/>
              <w:left w:w="0" w:type="dxa"/>
              <w:bottom w:w="0" w:type="dxa"/>
              <w:right w:w="15" w:type="dxa"/>
            </w:tcMar>
            <w:vAlign w:val="bottom"/>
            <w:hideMark/>
          </w:tcPr>
          <w:p w14:paraId="5263F3A4" w14:textId="77777777" w:rsidR="00251D72" w:rsidRDefault="00251D72">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4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F86CA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105D90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283</w:t>
            </w:r>
          </w:p>
        </w:tc>
        <w:tc>
          <w:tcPr>
            <w:tcW w:w="50" w:type="pct"/>
            <w:shd w:val="clear" w:color="auto" w:fill="FFFFFF"/>
            <w:noWrap/>
            <w:tcMar>
              <w:top w:w="15" w:type="dxa"/>
              <w:left w:w="0" w:type="dxa"/>
              <w:bottom w:w="0" w:type="dxa"/>
              <w:right w:w="15" w:type="dxa"/>
            </w:tcMar>
            <w:vAlign w:val="bottom"/>
            <w:hideMark/>
          </w:tcPr>
          <w:p w14:paraId="6864282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6566347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CF8A01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9215AE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508</w:t>
            </w:r>
          </w:p>
        </w:tc>
        <w:tc>
          <w:tcPr>
            <w:tcW w:w="50" w:type="pct"/>
            <w:shd w:val="clear" w:color="auto" w:fill="FFFFFF"/>
            <w:noWrap/>
            <w:tcMar>
              <w:top w:w="15" w:type="dxa"/>
              <w:left w:w="0" w:type="dxa"/>
              <w:bottom w:w="0" w:type="dxa"/>
              <w:right w:w="15" w:type="dxa"/>
            </w:tcMar>
            <w:vAlign w:val="bottom"/>
            <w:hideMark/>
          </w:tcPr>
          <w:p w14:paraId="5FAA43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21EBE2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16BD5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0DA96C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w:t>
            </w:r>
          </w:p>
        </w:tc>
        <w:tc>
          <w:tcPr>
            <w:tcW w:w="50" w:type="pct"/>
            <w:shd w:val="clear" w:color="auto" w:fill="FFFFFF"/>
            <w:noWrap/>
            <w:tcMar>
              <w:top w:w="15" w:type="dxa"/>
              <w:left w:w="0" w:type="dxa"/>
              <w:bottom w:w="0" w:type="dxa"/>
              <w:right w:w="15" w:type="dxa"/>
            </w:tcMar>
            <w:vAlign w:val="bottom"/>
            <w:hideMark/>
          </w:tcPr>
          <w:p w14:paraId="6CD7AF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2974C5D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FD6011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FF506E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(478</w:t>
            </w:r>
          </w:p>
        </w:tc>
        <w:tc>
          <w:tcPr>
            <w:tcW w:w="50" w:type="pct"/>
            <w:shd w:val="clear" w:color="auto" w:fill="FFFFFF"/>
            <w:noWrap/>
            <w:tcMar>
              <w:top w:w="15" w:type="dxa"/>
              <w:left w:w="0" w:type="dxa"/>
              <w:bottom w:w="0" w:type="dxa"/>
              <w:right w:w="15" w:type="dxa"/>
            </w:tcMar>
            <w:vAlign w:val="bottom"/>
            <w:hideMark/>
          </w:tcPr>
          <w:p w14:paraId="0617B33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5642841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0D25B0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6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0FAA18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left w:w="0" w:type="dxa"/>
              <w:bottom w:w="0" w:type="dxa"/>
              <w:right w:w="15" w:type="dxa"/>
            </w:tcMar>
            <w:vAlign w:val="bottom"/>
            <w:hideMark/>
          </w:tcPr>
          <w:p w14:paraId="1A13F2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0A5DB52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7FC039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2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A23ABC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264</w:t>
            </w:r>
          </w:p>
        </w:tc>
        <w:tc>
          <w:tcPr>
            <w:tcW w:w="11" w:type="pct"/>
            <w:shd w:val="clear" w:color="auto" w:fill="FFFFFF"/>
            <w:noWrap/>
            <w:tcMar>
              <w:top w:w="15" w:type="dxa"/>
              <w:left w:w="0" w:type="dxa"/>
              <w:bottom w:w="0" w:type="dxa"/>
              <w:right w:w="15" w:type="dxa"/>
            </w:tcMar>
            <w:vAlign w:val="bottom"/>
            <w:hideMark/>
          </w:tcPr>
          <w:p w14:paraId="3582A46D"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9BAAF7F" w14:textId="77777777" w:rsidR="00251D72" w:rsidRDefault="00251D72">
      <w:pPr>
        <w:pStyle w:val="a3"/>
        <w:pBdr>
          <w:bottom w:val="single" w:sz="6" w:space="1" w:color="auto"/>
        </w:pBdr>
        <w:spacing w:before="0" w:beforeAutospacing="0" w:after="0" w:afterAutospacing="0"/>
        <w:ind w:right="10953"/>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7F82520C" w14:textId="77777777">
        <w:tc>
          <w:tcPr>
            <w:tcW w:w="192" w:type="pct"/>
            <w:noWrap/>
            <w:hideMark/>
          </w:tcPr>
          <w:p w14:paraId="29EB4F5D"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43506D6A"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Restructuring costs recorded for individual line items primarily related to employee severance costs.</w:t>
            </w:r>
          </w:p>
        </w:tc>
      </w:tr>
    </w:tbl>
    <w:p w14:paraId="45928EB2"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129A9AE8" w14:textId="77777777">
        <w:tc>
          <w:tcPr>
            <w:tcW w:w="192" w:type="pct"/>
            <w:noWrap/>
            <w:hideMark/>
          </w:tcPr>
          <w:p w14:paraId="227911B7"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19A96529"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The balances at May 31, 2019 and 2018 included $239 million and $257 million, respectively, recorded in other current liabilities and $23 million and $25 million, respectively, recorded in other non-current liabilities.</w:t>
            </w:r>
          </w:p>
        </w:tc>
      </w:tr>
    </w:tbl>
    <w:p w14:paraId="503574EC"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50288A9A" w14:textId="77777777">
        <w:tc>
          <w:tcPr>
            <w:tcW w:w="192" w:type="pct"/>
            <w:noWrap/>
            <w:hideMark/>
          </w:tcPr>
          <w:p w14:paraId="2DD355E1"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(3)</w:t>
            </w:r>
          </w:p>
        </w:tc>
        <w:tc>
          <w:tcPr>
            <w:tcW w:w="0" w:type="auto"/>
            <w:hideMark/>
          </w:tcPr>
          <w:p w14:paraId="1F9271E8"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Costs recorded for the respective restructuring plans during the periods presented.</w:t>
            </w:r>
          </w:p>
        </w:tc>
      </w:tr>
    </w:tbl>
    <w:p w14:paraId="3E5A0E10"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0D145DDE" w14:textId="77777777">
        <w:tc>
          <w:tcPr>
            <w:tcW w:w="192" w:type="pct"/>
            <w:noWrap/>
            <w:hideMark/>
          </w:tcPr>
          <w:p w14:paraId="1FDA46AB"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(4)</w:t>
            </w:r>
          </w:p>
        </w:tc>
        <w:tc>
          <w:tcPr>
            <w:tcW w:w="0" w:type="auto"/>
            <w:hideMark/>
          </w:tcPr>
          <w:p w14:paraId="13D5D335"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All plan adjustments were changes in estimates whereby increases and decreases in costs were generally recorded to operating expenses in the period of adjustments.</w:t>
            </w:r>
          </w:p>
        </w:tc>
      </w:tr>
    </w:tbl>
    <w:p w14:paraId="6161B74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1949F6D1" w14:textId="77777777">
        <w:tc>
          <w:tcPr>
            <w:tcW w:w="192" w:type="pct"/>
            <w:noWrap/>
            <w:hideMark/>
          </w:tcPr>
          <w:p w14:paraId="7CC22B3C"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(5)</w:t>
            </w:r>
          </w:p>
        </w:tc>
        <w:tc>
          <w:tcPr>
            <w:tcW w:w="0" w:type="auto"/>
            <w:hideMark/>
          </w:tcPr>
          <w:p w14:paraId="40019F53"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 xml:space="preserve">Represents foreign currency translation and certain other adjustments. </w:t>
            </w:r>
          </w:p>
        </w:tc>
      </w:tr>
    </w:tbl>
    <w:p w14:paraId="458E643A"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55CA16D8" w14:textId="77777777">
        <w:tc>
          <w:tcPr>
            <w:tcW w:w="192" w:type="pct"/>
            <w:noWrap/>
            <w:hideMark/>
          </w:tcPr>
          <w:p w14:paraId="02A7D6AC"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(6)</w:t>
            </w:r>
          </w:p>
        </w:tc>
        <w:tc>
          <w:tcPr>
            <w:tcW w:w="0" w:type="auto"/>
            <w:hideMark/>
          </w:tcPr>
          <w:p w14:paraId="7BE3308A"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Represents employee related severance costs for functions that are not included within our operating segments and certain facilities related restructuring costs.</w:t>
            </w:r>
          </w:p>
        </w:tc>
      </w:tr>
    </w:tbl>
    <w:p w14:paraId="44DB3EDA"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5FFBBA42" w14:textId="77777777">
        <w:tc>
          <w:tcPr>
            <w:tcW w:w="192" w:type="pct"/>
            <w:noWrap/>
            <w:hideMark/>
          </w:tcPr>
          <w:p w14:paraId="2A06F7A1"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(7)</w:t>
            </w:r>
          </w:p>
        </w:tc>
        <w:tc>
          <w:tcPr>
            <w:tcW w:w="0" w:type="auto"/>
            <w:hideMark/>
          </w:tcPr>
          <w:p w14:paraId="6856AB6F"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Other restructuring plans presented in the tables above included condensed information for certain Oracle-based plans and other plans associated with certain of our acquisitions whereby we continued to make cash outlays to settle obligations under these plans during the periods presented but for which the periodic impact to our consolidated statements of operations was not significant.</w:t>
            </w:r>
          </w:p>
        </w:tc>
      </w:tr>
    </w:tbl>
    <w:p w14:paraId="57255642" w14:textId="77777777" w:rsidR="00251D72" w:rsidRDefault="00251D72">
      <w:pPr>
        <w:pStyle w:val="a3"/>
        <w:spacing w:before="120" w:beforeAutospacing="0" w:after="0" w:afterAutospacing="0"/>
        <w:ind w:left="357" w:hanging="471"/>
        <w:jc w:val="both"/>
        <w:rPr>
          <w:sz w:val="15"/>
          <w:szCs w:val="15"/>
        </w:rPr>
      </w:pPr>
      <w:r>
        <w:rPr>
          <w:sz w:val="15"/>
          <w:szCs w:val="15"/>
        </w:rPr>
        <w:t> </w:t>
      </w:r>
    </w:p>
    <w:p w14:paraId="4E6B0B7A"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94</w:t>
      </w:r>
    </w:p>
    <w:p w14:paraId="7BA41791" w14:textId="77777777" w:rsidR="00251D72" w:rsidRDefault="00251D72">
      <w:pPr>
        <w:rPr>
          <w:rFonts w:ascii="Times New Roman" w:eastAsia="Times New Roman" w:hAnsi="Times New Roman" w:cs="Times New Roman"/>
          <w:sz w:val="24"/>
          <w:szCs w:val="24"/>
        </w:rPr>
      </w:pPr>
      <w:r>
        <w:rPr>
          <w:rFonts w:eastAsia="Times New Roman"/>
        </w:rPr>
        <w:pict w14:anchorId="4C1CCEF1">
          <v:rect id="_x0000_i1120" style="width:415.3pt;height:1.5pt" o:hralign="center" o:hrstd="t" o:hr="t" fillcolor="#a0a0a0" stroked="f"/>
        </w:pict>
      </w:r>
    </w:p>
    <w:p w14:paraId="6129041E"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D8FE935"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4F28F31"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386C04DF"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2303B016"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5F8703FF" w14:textId="77777777" w:rsidR="00251D72" w:rsidRDefault="00251D7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251D72" w14:paraId="267B8081" w14:textId="77777777">
        <w:tc>
          <w:tcPr>
            <w:tcW w:w="262" w:type="pct"/>
            <w:noWrap/>
            <w:hideMark/>
          </w:tcPr>
          <w:p w14:paraId="59B13CD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9.</w:t>
            </w:r>
          </w:p>
        </w:tc>
        <w:tc>
          <w:tcPr>
            <w:tcW w:w="0" w:type="auto"/>
            <w:hideMark/>
          </w:tcPr>
          <w:p w14:paraId="7F778021" w14:textId="77777777" w:rsidR="00251D72" w:rsidRDefault="00251D72">
            <w:pPr>
              <w:pStyle w:val="a3"/>
              <w:spacing w:before="240" w:beforeAutospacing="0" w:after="0" w:afterAutospacing="0"/>
              <w:jc w:val="both"/>
              <w:rPr>
                <w:rFonts w:ascii="Calibri" w:hAnsi="Calibri" w:cs="Calibri"/>
                <w:b/>
                <w:bCs/>
                <w:sz w:val="20"/>
                <w:szCs w:val="20"/>
              </w:rPr>
            </w:pPr>
            <w:bookmarkStart w:id="137" w:name="_AEIOULastRenderedPageBreakAEIOU97"/>
            <w:bookmarkEnd w:id="137"/>
            <w:r>
              <w:rPr>
                <w:rFonts w:ascii="Calibri" w:hAnsi="Calibri" w:cs="Calibri"/>
                <w:b/>
                <w:bCs/>
                <w:sz w:val="20"/>
                <w:szCs w:val="20"/>
              </w:rPr>
              <w:t>DEFERRED REVENUES</w:t>
            </w:r>
          </w:p>
        </w:tc>
      </w:tr>
    </w:tbl>
    <w:p w14:paraId="6AFD9AE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Deferred revenues consisted of the following:</w:t>
      </w:r>
    </w:p>
    <w:p w14:paraId="1E2D2335" w14:textId="77777777" w:rsidR="00251D72" w:rsidRDefault="00251D72">
      <w:pPr>
        <w:pStyle w:val="a3"/>
        <w:spacing w:before="12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563"/>
        <w:gridCol w:w="121"/>
        <w:gridCol w:w="117"/>
        <w:gridCol w:w="1058"/>
        <w:gridCol w:w="73"/>
        <w:gridCol w:w="122"/>
        <w:gridCol w:w="117"/>
        <w:gridCol w:w="1061"/>
        <w:gridCol w:w="74"/>
      </w:tblGrid>
      <w:tr w:rsidR="00251D72" w14:paraId="0FEADDCA" w14:textId="77777777">
        <w:trPr>
          <w:divId w:val="1112937077"/>
          <w:jc w:val="center"/>
        </w:trPr>
        <w:tc>
          <w:tcPr>
            <w:tcW w:w="3354" w:type="pct"/>
            <w:shd w:val="clear" w:color="auto" w:fill="FFFFFF"/>
            <w:tcMar>
              <w:top w:w="15" w:type="dxa"/>
              <w:left w:w="0" w:type="dxa"/>
              <w:bottom w:w="0" w:type="dxa"/>
              <w:right w:w="15" w:type="dxa"/>
            </w:tcMar>
            <w:vAlign w:val="bottom"/>
            <w:hideMark/>
          </w:tcPr>
          <w:p w14:paraId="44AC6937" w14:textId="77777777" w:rsidR="00251D72" w:rsidRDefault="00251D72">
            <w:pPr>
              <w:pStyle w:val="a3"/>
              <w:spacing w:before="0" w:beforeAutospacing="0" w:after="0" w:afterAutospacing="0"/>
              <w:rPr>
                <w:sz w:val="15"/>
                <w:szCs w:val="15"/>
              </w:rPr>
            </w:pPr>
            <w:r>
              <w:rPr>
                <w:sz w:val="15"/>
                <w:szCs w:val="15"/>
              </w:rPr>
              <w:t> </w:t>
            </w:r>
          </w:p>
        </w:tc>
        <w:tc>
          <w:tcPr>
            <w:tcW w:w="79" w:type="pct"/>
            <w:shd w:val="clear" w:color="auto" w:fill="FFFFFF"/>
            <w:tcMar>
              <w:top w:w="15" w:type="dxa"/>
              <w:left w:w="0" w:type="dxa"/>
              <w:bottom w:w="0" w:type="dxa"/>
              <w:right w:w="15" w:type="dxa"/>
            </w:tcMar>
            <w:vAlign w:val="bottom"/>
            <w:hideMark/>
          </w:tcPr>
          <w:p w14:paraId="254D4F5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14:paraId="21E9160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left w:w="0" w:type="dxa"/>
              <w:bottom w:w="0" w:type="dxa"/>
              <w:right w:w="15" w:type="dxa"/>
            </w:tcMar>
            <w:vAlign w:val="bottom"/>
            <w:hideMark/>
          </w:tcPr>
          <w:p w14:paraId="05FE82C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B264911" w14:textId="77777777">
        <w:trPr>
          <w:divId w:val="1112937077"/>
          <w:jc w:val="center"/>
        </w:trPr>
        <w:tc>
          <w:tcPr>
            <w:tcW w:w="3354" w:type="pct"/>
            <w:tcBorders>
              <w:bottom w:val="single" w:sz="6" w:space="0" w:color="000000"/>
            </w:tcBorders>
            <w:shd w:val="clear" w:color="auto" w:fill="FFFFFF"/>
            <w:tcMar>
              <w:top w:w="15" w:type="dxa"/>
              <w:left w:w="0" w:type="dxa"/>
              <w:bottom w:w="0" w:type="dxa"/>
              <w:right w:w="15" w:type="dxa"/>
            </w:tcMar>
            <w:vAlign w:val="bottom"/>
            <w:hideMark/>
          </w:tcPr>
          <w:p w14:paraId="404B404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left w:w="0" w:type="dxa"/>
              <w:bottom w:w="0" w:type="dxa"/>
              <w:right w:w="15" w:type="dxa"/>
            </w:tcMar>
            <w:vAlign w:val="bottom"/>
            <w:hideMark/>
          </w:tcPr>
          <w:p w14:paraId="21EE095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E7FEE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62AD0A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2392EC8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8A00A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747737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7AD12EAE" w14:textId="77777777">
        <w:trPr>
          <w:divId w:val="1112937077"/>
          <w:jc w:val="center"/>
        </w:trPr>
        <w:tc>
          <w:tcPr>
            <w:tcW w:w="3354" w:type="pct"/>
            <w:tcBorders>
              <w:top w:val="single" w:sz="6" w:space="0" w:color="000000"/>
            </w:tcBorders>
            <w:shd w:val="clear" w:color="auto" w:fill="CFF0FC"/>
            <w:tcMar>
              <w:top w:w="15" w:type="dxa"/>
              <w:left w:w="0" w:type="dxa"/>
              <w:bottom w:w="0" w:type="dxa"/>
              <w:right w:w="15" w:type="dxa"/>
            </w:tcMar>
            <w:hideMark/>
          </w:tcPr>
          <w:p w14:paraId="66CDF60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79" w:type="pct"/>
            <w:shd w:val="clear" w:color="auto" w:fill="CFF0FC"/>
            <w:tcMar>
              <w:top w:w="15" w:type="dxa"/>
              <w:left w:w="0" w:type="dxa"/>
              <w:bottom w:w="0" w:type="dxa"/>
              <w:right w:w="15" w:type="dxa"/>
            </w:tcMar>
            <w:vAlign w:val="bottom"/>
            <w:hideMark/>
          </w:tcPr>
          <w:p w14:paraId="0664571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26ED4F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00EC007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7,340</w:t>
            </w:r>
          </w:p>
        </w:tc>
        <w:tc>
          <w:tcPr>
            <w:tcW w:w="50" w:type="pct"/>
            <w:shd w:val="clear" w:color="auto" w:fill="CFF0FC"/>
            <w:noWrap/>
            <w:tcMar>
              <w:top w:w="15" w:type="dxa"/>
              <w:left w:w="0" w:type="dxa"/>
              <w:bottom w:w="0" w:type="dxa"/>
              <w:right w:w="15" w:type="dxa"/>
            </w:tcMar>
            <w:vAlign w:val="bottom"/>
            <w:hideMark/>
          </w:tcPr>
          <w:p w14:paraId="78DB743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1605E2F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AE09DF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1618886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7,265</w:t>
            </w:r>
          </w:p>
        </w:tc>
        <w:tc>
          <w:tcPr>
            <w:tcW w:w="50" w:type="pct"/>
            <w:shd w:val="clear" w:color="auto" w:fill="CFF0FC"/>
            <w:noWrap/>
            <w:tcMar>
              <w:top w:w="15" w:type="dxa"/>
              <w:left w:w="0" w:type="dxa"/>
              <w:bottom w:w="0" w:type="dxa"/>
              <w:right w:w="15" w:type="dxa"/>
            </w:tcMar>
            <w:vAlign w:val="bottom"/>
            <w:hideMark/>
          </w:tcPr>
          <w:p w14:paraId="4635036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1A1D0AE" w14:textId="77777777">
        <w:trPr>
          <w:divId w:val="1112937077"/>
          <w:jc w:val="center"/>
        </w:trPr>
        <w:tc>
          <w:tcPr>
            <w:tcW w:w="3354" w:type="pct"/>
            <w:shd w:val="clear" w:color="auto" w:fill="FFFFFF"/>
            <w:tcMar>
              <w:top w:w="15" w:type="dxa"/>
              <w:left w:w="0" w:type="dxa"/>
              <w:bottom w:w="0" w:type="dxa"/>
              <w:right w:w="15" w:type="dxa"/>
            </w:tcMar>
            <w:hideMark/>
          </w:tcPr>
          <w:p w14:paraId="45F8D15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Hardware</w:t>
            </w:r>
          </w:p>
        </w:tc>
        <w:tc>
          <w:tcPr>
            <w:tcW w:w="79" w:type="pct"/>
            <w:shd w:val="clear" w:color="auto" w:fill="FFFFFF"/>
            <w:tcMar>
              <w:top w:w="15" w:type="dxa"/>
              <w:left w:w="0" w:type="dxa"/>
              <w:bottom w:w="0" w:type="dxa"/>
              <w:right w:w="15" w:type="dxa"/>
            </w:tcMar>
            <w:vAlign w:val="bottom"/>
            <w:hideMark/>
          </w:tcPr>
          <w:p w14:paraId="75846B8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1EAB6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7A19A0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635</w:t>
            </w:r>
          </w:p>
        </w:tc>
        <w:tc>
          <w:tcPr>
            <w:tcW w:w="50" w:type="pct"/>
            <w:shd w:val="clear" w:color="auto" w:fill="FFFFFF"/>
            <w:noWrap/>
            <w:tcMar>
              <w:top w:w="15" w:type="dxa"/>
              <w:left w:w="0" w:type="dxa"/>
              <w:bottom w:w="0" w:type="dxa"/>
              <w:right w:w="15" w:type="dxa"/>
            </w:tcMar>
            <w:vAlign w:val="bottom"/>
            <w:hideMark/>
          </w:tcPr>
          <w:p w14:paraId="6D9FE1A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299FAF7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1B10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F64D30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645</w:t>
            </w:r>
          </w:p>
        </w:tc>
        <w:tc>
          <w:tcPr>
            <w:tcW w:w="50" w:type="pct"/>
            <w:shd w:val="clear" w:color="auto" w:fill="FFFFFF"/>
            <w:noWrap/>
            <w:tcMar>
              <w:top w:w="15" w:type="dxa"/>
              <w:left w:w="0" w:type="dxa"/>
              <w:bottom w:w="0" w:type="dxa"/>
              <w:right w:w="15" w:type="dxa"/>
            </w:tcMar>
            <w:vAlign w:val="bottom"/>
            <w:hideMark/>
          </w:tcPr>
          <w:p w14:paraId="7A015EE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FA2FBEC" w14:textId="77777777">
        <w:trPr>
          <w:divId w:val="1112937077"/>
          <w:jc w:val="center"/>
        </w:trPr>
        <w:tc>
          <w:tcPr>
            <w:tcW w:w="3354" w:type="pct"/>
            <w:shd w:val="clear" w:color="auto" w:fill="CFF0FC"/>
            <w:tcMar>
              <w:top w:w="15" w:type="dxa"/>
              <w:left w:w="0" w:type="dxa"/>
              <w:bottom w:w="0" w:type="dxa"/>
              <w:right w:w="15" w:type="dxa"/>
            </w:tcMar>
            <w:hideMark/>
          </w:tcPr>
          <w:p w14:paraId="57CF6F4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Services</w:t>
            </w:r>
          </w:p>
        </w:tc>
        <w:tc>
          <w:tcPr>
            <w:tcW w:w="79" w:type="pct"/>
            <w:shd w:val="clear" w:color="auto" w:fill="CFF0FC"/>
            <w:tcMar>
              <w:top w:w="15" w:type="dxa"/>
              <w:left w:w="0" w:type="dxa"/>
              <w:bottom w:w="0" w:type="dxa"/>
              <w:right w:w="15" w:type="dxa"/>
            </w:tcMar>
            <w:vAlign w:val="bottom"/>
            <w:hideMark/>
          </w:tcPr>
          <w:p w14:paraId="4BEC45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27393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5CA2F8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360</w:t>
            </w:r>
          </w:p>
        </w:tc>
        <w:tc>
          <w:tcPr>
            <w:tcW w:w="50" w:type="pct"/>
            <w:shd w:val="clear" w:color="auto" w:fill="CFF0FC"/>
            <w:noWrap/>
            <w:tcMar>
              <w:top w:w="15" w:type="dxa"/>
              <w:left w:w="0" w:type="dxa"/>
              <w:bottom w:w="0" w:type="dxa"/>
              <w:right w:w="15" w:type="dxa"/>
            </w:tcMar>
            <w:vAlign w:val="bottom"/>
            <w:hideMark/>
          </w:tcPr>
          <w:p w14:paraId="688ED56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4A9E2F5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8A91F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C0E928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404</w:t>
            </w:r>
          </w:p>
        </w:tc>
        <w:tc>
          <w:tcPr>
            <w:tcW w:w="50" w:type="pct"/>
            <w:shd w:val="clear" w:color="auto" w:fill="CFF0FC"/>
            <w:noWrap/>
            <w:tcMar>
              <w:top w:w="15" w:type="dxa"/>
              <w:left w:w="0" w:type="dxa"/>
              <w:bottom w:w="0" w:type="dxa"/>
              <w:right w:w="15" w:type="dxa"/>
            </w:tcMar>
            <w:vAlign w:val="bottom"/>
            <w:hideMark/>
          </w:tcPr>
          <w:p w14:paraId="4617870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63EBEFD" w14:textId="77777777">
        <w:trPr>
          <w:divId w:val="1112937077"/>
          <w:jc w:val="center"/>
        </w:trPr>
        <w:tc>
          <w:tcPr>
            <w:tcW w:w="3354" w:type="pct"/>
            <w:shd w:val="clear" w:color="auto" w:fill="FFFFFF"/>
            <w:tcMar>
              <w:top w:w="15" w:type="dxa"/>
              <w:left w:w="0" w:type="dxa"/>
              <w:bottom w:w="0" w:type="dxa"/>
              <w:right w:w="15" w:type="dxa"/>
            </w:tcMar>
            <w:hideMark/>
          </w:tcPr>
          <w:p w14:paraId="7AA735F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79" w:type="pct"/>
            <w:shd w:val="clear" w:color="auto" w:fill="FFFFFF"/>
            <w:tcMar>
              <w:top w:w="15" w:type="dxa"/>
              <w:left w:w="0" w:type="dxa"/>
              <w:bottom w:w="0" w:type="dxa"/>
              <w:right w:w="15" w:type="dxa"/>
            </w:tcMar>
            <w:vAlign w:val="bottom"/>
            <w:hideMark/>
          </w:tcPr>
          <w:p w14:paraId="7BCD5B0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0292A5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1649A0D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w:t>
            </w:r>
          </w:p>
        </w:tc>
        <w:tc>
          <w:tcPr>
            <w:tcW w:w="50" w:type="pct"/>
            <w:shd w:val="clear" w:color="auto" w:fill="FFFFFF"/>
            <w:noWrap/>
            <w:tcMar>
              <w:top w:w="15" w:type="dxa"/>
              <w:left w:w="0" w:type="dxa"/>
              <w:bottom w:w="0" w:type="dxa"/>
              <w:right w:w="15" w:type="dxa"/>
            </w:tcMar>
            <w:vAlign w:val="bottom"/>
            <w:hideMark/>
          </w:tcPr>
          <w:p w14:paraId="21AB7C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4AE6FAE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A347FE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6B1CABA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FFFFFF"/>
            <w:noWrap/>
            <w:tcMar>
              <w:top w:w="15" w:type="dxa"/>
              <w:left w:w="0" w:type="dxa"/>
              <w:bottom w:w="0" w:type="dxa"/>
              <w:right w:w="15" w:type="dxa"/>
            </w:tcMar>
            <w:vAlign w:val="bottom"/>
            <w:hideMark/>
          </w:tcPr>
          <w:p w14:paraId="45F1BF2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BF64592" w14:textId="77777777">
        <w:trPr>
          <w:divId w:val="1112937077"/>
          <w:jc w:val="center"/>
        </w:trPr>
        <w:tc>
          <w:tcPr>
            <w:tcW w:w="3354" w:type="pct"/>
            <w:shd w:val="clear" w:color="auto" w:fill="CFF0FC"/>
            <w:tcMar>
              <w:top w:w="15" w:type="dxa"/>
              <w:left w:w="0" w:type="dxa"/>
              <w:bottom w:w="0" w:type="dxa"/>
              <w:right w:w="15" w:type="dxa"/>
            </w:tcMar>
            <w:hideMark/>
          </w:tcPr>
          <w:p w14:paraId="1031D3DE"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79" w:type="pct"/>
            <w:shd w:val="clear" w:color="auto" w:fill="CFF0FC"/>
            <w:tcMar>
              <w:top w:w="15" w:type="dxa"/>
              <w:left w:w="0" w:type="dxa"/>
              <w:bottom w:w="0" w:type="dxa"/>
              <w:right w:w="15" w:type="dxa"/>
            </w:tcMar>
            <w:vAlign w:val="bottom"/>
            <w:hideMark/>
          </w:tcPr>
          <w:p w14:paraId="6299AAF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408B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134277B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8,374</w:t>
            </w:r>
          </w:p>
        </w:tc>
        <w:tc>
          <w:tcPr>
            <w:tcW w:w="50" w:type="pct"/>
            <w:shd w:val="clear" w:color="auto" w:fill="CFF0FC"/>
            <w:noWrap/>
            <w:tcMar>
              <w:top w:w="15" w:type="dxa"/>
              <w:left w:w="0" w:type="dxa"/>
              <w:bottom w:w="0" w:type="dxa"/>
              <w:right w:w="15" w:type="dxa"/>
            </w:tcMar>
            <w:vAlign w:val="bottom"/>
            <w:hideMark/>
          </w:tcPr>
          <w:p w14:paraId="77F7D74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7A0A041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D4D10E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408F0AB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8,341</w:t>
            </w:r>
          </w:p>
        </w:tc>
        <w:tc>
          <w:tcPr>
            <w:tcW w:w="50" w:type="pct"/>
            <w:shd w:val="clear" w:color="auto" w:fill="CFF0FC"/>
            <w:noWrap/>
            <w:tcMar>
              <w:top w:w="15" w:type="dxa"/>
              <w:left w:w="0" w:type="dxa"/>
              <w:bottom w:w="0" w:type="dxa"/>
              <w:right w:w="15" w:type="dxa"/>
            </w:tcMar>
            <w:vAlign w:val="bottom"/>
            <w:hideMark/>
          </w:tcPr>
          <w:p w14:paraId="4A9B1EB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B29938A" w14:textId="77777777">
        <w:trPr>
          <w:divId w:val="1112937077"/>
          <w:jc w:val="center"/>
        </w:trPr>
        <w:tc>
          <w:tcPr>
            <w:tcW w:w="3354" w:type="pct"/>
            <w:shd w:val="clear" w:color="auto" w:fill="FFFFFF"/>
            <w:tcMar>
              <w:top w:w="15" w:type="dxa"/>
              <w:left w:w="0" w:type="dxa"/>
              <w:bottom w:w="0" w:type="dxa"/>
              <w:right w:w="15" w:type="dxa"/>
            </w:tcMar>
            <w:hideMark/>
          </w:tcPr>
          <w:p w14:paraId="71D7CBE0"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79" w:type="pct"/>
            <w:shd w:val="clear" w:color="auto" w:fill="FFFFFF"/>
            <w:tcMar>
              <w:top w:w="15" w:type="dxa"/>
              <w:left w:w="0" w:type="dxa"/>
              <w:bottom w:w="0" w:type="dxa"/>
              <w:right w:w="15" w:type="dxa"/>
            </w:tcMar>
            <w:vAlign w:val="bottom"/>
            <w:hideMark/>
          </w:tcPr>
          <w:p w14:paraId="7EB5486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BA7BDB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3D24BED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669</w:t>
            </w:r>
          </w:p>
        </w:tc>
        <w:tc>
          <w:tcPr>
            <w:tcW w:w="50" w:type="pct"/>
            <w:shd w:val="clear" w:color="auto" w:fill="FFFFFF"/>
            <w:noWrap/>
            <w:tcMar>
              <w:top w:w="15" w:type="dxa"/>
              <w:left w:w="0" w:type="dxa"/>
              <w:bottom w:w="0" w:type="dxa"/>
              <w:right w:w="15" w:type="dxa"/>
            </w:tcMar>
            <w:vAlign w:val="bottom"/>
            <w:hideMark/>
          </w:tcPr>
          <w:p w14:paraId="45B8FC0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64A9FA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7FFC0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597BB30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625</w:t>
            </w:r>
          </w:p>
        </w:tc>
        <w:tc>
          <w:tcPr>
            <w:tcW w:w="50" w:type="pct"/>
            <w:shd w:val="clear" w:color="auto" w:fill="FFFFFF"/>
            <w:noWrap/>
            <w:tcMar>
              <w:top w:w="15" w:type="dxa"/>
              <w:left w:w="0" w:type="dxa"/>
              <w:bottom w:w="0" w:type="dxa"/>
              <w:right w:w="15" w:type="dxa"/>
            </w:tcMar>
            <w:vAlign w:val="bottom"/>
            <w:hideMark/>
          </w:tcPr>
          <w:p w14:paraId="799098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788BF0C" w14:textId="77777777">
        <w:trPr>
          <w:divId w:val="1112937077"/>
          <w:jc w:val="center"/>
        </w:trPr>
        <w:tc>
          <w:tcPr>
            <w:tcW w:w="3354" w:type="pct"/>
            <w:shd w:val="clear" w:color="auto" w:fill="CFF0FC"/>
            <w:tcMar>
              <w:top w:w="15" w:type="dxa"/>
              <w:left w:w="0" w:type="dxa"/>
              <w:bottom w:w="0" w:type="dxa"/>
              <w:right w:w="15" w:type="dxa"/>
            </w:tcMar>
            <w:hideMark/>
          </w:tcPr>
          <w:p w14:paraId="450DF5B7" w14:textId="77777777" w:rsidR="00251D72" w:rsidRDefault="00251D72">
            <w:pPr>
              <w:pStyle w:val="a3"/>
              <w:spacing w:before="0" w:beforeAutospacing="0" w:after="0" w:afterAutospacing="0"/>
              <w:ind w:left="684"/>
              <w:rPr>
                <w:rFonts w:ascii="Calibri" w:hAnsi="Calibri" w:cs="Calibri"/>
                <w:color w:val="000000"/>
                <w:sz w:val="20"/>
                <w:szCs w:val="20"/>
              </w:rPr>
            </w:pPr>
            <w:r>
              <w:rPr>
                <w:rFonts w:ascii="Calibri" w:hAnsi="Calibri" w:cs="Calibri"/>
                <w:color w:val="000000"/>
                <w:sz w:val="20"/>
                <w:szCs w:val="20"/>
              </w:rPr>
              <w:t>Total deferred revenues</w:t>
            </w:r>
          </w:p>
        </w:tc>
        <w:tc>
          <w:tcPr>
            <w:tcW w:w="79" w:type="pct"/>
            <w:shd w:val="clear" w:color="auto" w:fill="CFF0FC"/>
            <w:tcMar>
              <w:top w:w="15" w:type="dxa"/>
              <w:left w:w="0" w:type="dxa"/>
              <w:bottom w:w="0" w:type="dxa"/>
              <w:right w:w="15" w:type="dxa"/>
            </w:tcMar>
            <w:vAlign w:val="bottom"/>
            <w:hideMark/>
          </w:tcPr>
          <w:p w14:paraId="43984C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BB3D8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34A0B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9,043</w:t>
            </w:r>
          </w:p>
        </w:tc>
        <w:tc>
          <w:tcPr>
            <w:tcW w:w="50" w:type="pct"/>
            <w:shd w:val="clear" w:color="auto" w:fill="CFF0FC"/>
            <w:noWrap/>
            <w:tcMar>
              <w:top w:w="15" w:type="dxa"/>
              <w:left w:w="0" w:type="dxa"/>
              <w:bottom w:w="0" w:type="dxa"/>
              <w:right w:w="15" w:type="dxa"/>
            </w:tcMar>
            <w:vAlign w:val="bottom"/>
            <w:hideMark/>
          </w:tcPr>
          <w:p w14:paraId="24064E3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20F2931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023C7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D669E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8,966</w:t>
            </w:r>
          </w:p>
        </w:tc>
        <w:tc>
          <w:tcPr>
            <w:tcW w:w="50" w:type="pct"/>
            <w:shd w:val="clear" w:color="auto" w:fill="CFF0FC"/>
            <w:noWrap/>
            <w:tcMar>
              <w:top w:w="15" w:type="dxa"/>
              <w:left w:w="0" w:type="dxa"/>
              <w:bottom w:w="0" w:type="dxa"/>
              <w:right w:w="15" w:type="dxa"/>
            </w:tcMar>
            <w:vAlign w:val="bottom"/>
            <w:hideMark/>
          </w:tcPr>
          <w:p w14:paraId="69A9F0D3"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415F485" w14:textId="77777777" w:rsidR="00251D72" w:rsidRDefault="00251D72">
      <w:pPr>
        <w:pStyle w:val="a3"/>
        <w:spacing w:before="0" w:beforeAutospacing="0" w:after="0" w:afterAutospacing="0"/>
        <w:rPr>
          <w:sz w:val="12"/>
          <w:szCs w:val="12"/>
        </w:rPr>
      </w:pPr>
      <w:r>
        <w:rPr>
          <w:sz w:val="12"/>
          <w:szCs w:val="12"/>
        </w:rPr>
        <w:t> </w:t>
      </w:r>
    </w:p>
    <w:p w14:paraId="29525EE5"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 xml:space="preserve">Deferred cloud services and license support revenues and deferred hardware revenues substantially represent customer payments made in advance for cloud or support contracts that are typically billed in advance with corresponding revenues generally being recognized ratably over the contractual periods. Deferred services revenues include prepayments for our services business and revenues for these services are generally recognized as the services are performed. Deferred cloud license and on-premise license revenues typically resulted from customer payments that related to undelivered products and services or specified enhancements. </w:t>
      </w:r>
    </w:p>
    <w:p w14:paraId="580F4318" w14:textId="77777777" w:rsidR="00251D72" w:rsidRDefault="00251D72">
      <w:pPr>
        <w:pStyle w:val="a3"/>
        <w:spacing w:before="120" w:beforeAutospacing="0" w:after="0" w:afterAutospacing="0"/>
        <w:jc w:val="both"/>
        <w:rPr>
          <w:rFonts w:ascii="Calibri" w:hAnsi="Calibri" w:cs="Calibri"/>
          <w:color w:val="000000"/>
          <w:sz w:val="20"/>
          <w:szCs w:val="20"/>
        </w:rPr>
      </w:pPr>
      <w:r>
        <w:rPr>
          <w:rFonts w:ascii="Calibri" w:hAnsi="Calibri" w:cs="Calibri"/>
          <w:color w:val="000000"/>
          <w:sz w:val="20"/>
          <w:szCs w:val="20"/>
        </w:rPr>
        <w:t>In connection with our acquisitions, we have estimated the fair values of the cloud services and license support performance obligations assumed from our acquired companies. We generally have estimated the fair values of these obligations assumed using a cost build-up approach. The cost build-up approach determines fair value by estimating the costs related to fulfilling the obligations plus a normal profit margin. The sum of the costs and operating profit approximates, in theory, the amount that we would be required to pay a third party to assume these acquired obligations. These aforementioned fair value adjustments recorded for obligations assumed from our acquisitions reduced the cloud services and license support deferred revenues balances that we recorded as liabilities from these acquisitions and also reduced the resulting revenues that we recognized or will recognize over the terms of the acquired obligations during the post-combination periods.</w:t>
      </w:r>
    </w:p>
    <w:tbl>
      <w:tblPr>
        <w:tblW w:w="5000" w:type="pct"/>
        <w:tblCellMar>
          <w:left w:w="0" w:type="dxa"/>
          <w:right w:w="0" w:type="dxa"/>
        </w:tblCellMar>
        <w:tblLook w:val="04A0" w:firstRow="1" w:lastRow="0" w:firstColumn="1" w:lastColumn="0" w:noHBand="0" w:noVBand="1"/>
      </w:tblPr>
      <w:tblGrid>
        <w:gridCol w:w="435"/>
        <w:gridCol w:w="7871"/>
      </w:tblGrid>
      <w:tr w:rsidR="00251D72" w14:paraId="49EDCB0B" w14:textId="77777777">
        <w:tc>
          <w:tcPr>
            <w:tcW w:w="262" w:type="pct"/>
            <w:noWrap/>
            <w:hideMark/>
          </w:tcPr>
          <w:p w14:paraId="5C8DC9A2"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10.</w:t>
            </w:r>
          </w:p>
        </w:tc>
        <w:tc>
          <w:tcPr>
            <w:tcW w:w="0" w:type="auto"/>
            <w:hideMark/>
          </w:tcPr>
          <w:p w14:paraId="467D247E"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DERIVATIVE FINANCIAL INSTRUMENTS </w:t>
            </w:r>
          </w:p>
        </w:tc>
      </w:tr>
    </w:tbl>
    <w:p w14:paraId="42933399"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Fair Value Hedges</w:t>
      </w:r>
      <w:r>
        <w:rPr>
          <w:rFonts w:ascii="Calibri" w:hAnsi="Calibri" w:cs="Calibri"/>
          <w:sz w:val="20"/>
          <w:szCs w:val="20"/>
        </w:rPr>
        <w:t>—</w:t>
      </w:r>
      <w:r>
        <w:rPr>
          <w:rFonts w:ascii="Calibri" w:hAnsi="Calibri" w:cs="Calibri"/>
          <w:b/>
          <w:bCs/>
          <w:sz w:val="20"/>
          <w:szCs w:val="20"/>
        </w:rPr>
        <w:t>Interest Rate Swap Agreements and Cross-Currency Interest Rate Swap Agreements</w:t>
      </w:r>
    </w:p>
    <w:p w14:paraId="242F3CD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May 2018, we entered into certain cross-currency interest rate swap agreements to manage the foreign currency exchange rate risk associated with our July 2025 Notes by effectively converting the fixed-rate, Euro denominated 2025 Notes, including the annual interest payments and the payment of principal at maturity, to variable-rate, U.S. Dollar denominated debt based on LIBOR. In July 2014, we entered into certain interest rate swap agreements that have the economic effect of modifying the fixed-interest obligations associated with our October 2019 Notes and our July 2021 Notes so that the interest payable on these senior notes effectively became variable based on LIBOR. The critical terms of the swap agreements match the critical terms of the July 2025 Notes, October 2019 Notes, and July 2021 Notes that the swap agreements pertain to, including the notional amounts and maturity dates.</w:t>
      </w:r>
    </w:p>
    <w:p w14:paraId="433CD54C" w14:textId="77777777" w:rsidR="00251D72" w:rsidRDefault="00251D72">
      <w:pPr>
        <w:pStyle w:val="a3"/>
        <w:spacing w:before="120" w:beforeAutospacing="0" w:after="0" w:afterAutospacing="0"/>
        <w:jc w:val="both"/>
        <w:rPr>
          <w:rFonts w:ascii="Calibri" w:hAnsi="Calibri" w:cs="Calibri"/>
          <w:sz w:val="20"/>
          <w:szCs w:val="20"/>
        </w:rPr>
      </w:pPr>
      <w:bookmarkStart w:id="138" w:name="_AEIOULastRenderedPageBreakAEIOU98"/>
      <w:bookmarkEnd w:id="138"/>
      <w:r>
        <w:rPr>
          <w:rFonts w:ascii="Calibri" w:hAnsi="Calibri" w:cs="Calibri"/>
          <w:sz w:val="20"/>
          <w:szCs w:val="20"/>
        </w:rPr>
        <w:t xml:space="preserve">We have designated the aforementioned swap agreements as qualifying hedging instruments and are accounting for them as fair value hedges pursuant to ASC 815. The changes in fair values of these swap agreements are recognized as interest expense in our consolidated statements of operations with the corresponding amounts included in other current/non-current assets or other current/non-current liabilities in our consolidated balance sheets. The amount of net gain (loss) attributable to the risk being hedged is recognized as interest expense in our consolidated statements of operations with the corresponding amount included in notes payable, current or notes payable, non-current. As a result of our adoption of ASU 2017-12, we have elected to exclude the portion of the </w:t>
      </w:r>
    </w:p>
    <w:p w14:paraId="0FCFA75E"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95</w:t>
      </w:r>
    </w:p>
    <w:p w14:paraId="2C548410" w14:textId="77777777" w:rsidR="00251D72" w:rsidRDefault="00251D72">
      <w:pPr>
        <w:rPr>
          <w:rFonts w:ascii="Times New Roman" w:eastAsia="Times New Roman" w:hAnsi="Times New Roman" w:cs="Times New Roman"/>
          <w:sz w:val="24"/>
          <w:szCs w:val="24"/>
        </w:rPr>
      </w:pPr>
      <w:r>
        <w:rPr>
          <w:rFonts w:eastAsia="Times New Roman"/>
        </w:rPr>
        <w:pict w14:anchorId="083BCFB7">
          <v:rect id="_x0000_i1121" style="width:415.3pt;height:1.5pt" o:hralign="center" o:hrstd="t" o:hr="t" fillcolor="#a0a0a0" stroked="f"/>
        </w:pict>
      </w:r>
    </w:p>
    <w:p w14:paraId="415B152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5E4773F9"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6390C7E"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05A13357"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143B43EF"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40A9EB8F" w14:textId="77777777" w:rsidR="00251D72" w:rsidRDefault="00251D72">
      <w:pPr>
        <w:pStyle w:val="a3"/>
        <w:spacing w:before="0" w:beforeAutospacing="0" w:after="0" w:afterAutospacing="0"/>
        <w:rPr>
          <w:sz w:val="20"/>
          <w:szCs w:val="20"/>
        </w:rPr>
      </w:pPr>
      <w:r>
        <w:rPr>
          <w:sz w:val="20"/>
          <w:szCs w:val="20"/>
        </w:rPr>
        <w:t> </w:t>
      </w:r>
    </w:p>
    <w:p w14:paraId="51BEAE9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change in fair value of cross-currency interest rate swap agreements attributable to the related cross-currency basis spread in our assessment of hedge effectiveness. The change in fair value of these cross-currency interest rate swap agreements attributable to the cross-currency basis spread is included in AOCL. The periodic interest settlements for the swap agreements for the July 2025 Notes, October 2019 Notes, and July 2021 Notes are recorded as interest expense and are included as a part of cash flows from operating activities.</w:t>
      </w:r>
    </w:p>
    <w:p w14:paraId="1B3C579B"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Cash Flow Hedges</w:t>
      </w:r>
      <w:r>
        <w:rPr>
          <w:rFonts w:ascii="Calibri" w:hAnsi="Calibri" w:cs="Calibri"/>
          <w:sz w:val="20"/>
          <w:szCs w:val="20"/>
        </w:rPr>
        <w:t>—</w:t>
      </w:r>
      <w:r>
        <w:rPr>
          <w:rFonts w:ascii="Calibri" w:hAnsi="Calibri" w:cs="Calibri"/>
          <w:b/>
          <w:bCs/>
          <w:sz w:val="20"/>
          <w:szCs w:val="20"/>
        </w:rPr>
        <w:t>Cross-Currency Swap Agreements</w:t>
      </w:r>
    </w:p>
    <w:p w14:paraId="74F9A81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connection with the issuance of the January 2021 Notes, we entered into certain cross-currency swap agreements to manage the related foreign currency exchange risk by effectively converting the fixed-rate, Euro-denominated January 2021 Notes, including the annual interest payments and the payment of principal at maturity, to fixed-rate, U.S. Dollar-denominated debt. The economic effect of the swap agreements was to eliminate the uncertainty of the cash flows in U.S. Dollars associated with the January 2021 Notes by fixing the principal amount of the January 2021 Notes at $1.6 billion with a fixed annual interest rate of 3.53%. We have designated these cross-currency swap agreements as qualifying hedging instruments and are accounting for these as cash flow hedges pursuant to ASC 815. The critical terms of the cross-currency swap agreements correspond to the January 2021 Notes including the annual interest payments being hedged, and the cross-currency swap agreements mature at the same time as the January 2021 Notes.</w:t>
      </w:r>
    </w:p>
    <w:p w14:paraId="28B2E2A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used the hypothetical derivative method to assess the effectiveness of our cross-currency swap agreements. The fair values of these cross-currency swap agreements are recognized as other non-current assets or other non-current liabilities in our consolidated balance sheets. We reflect the gains or losses on the effective portion of these cross-currency swap agreements in AOCL in our consolidated balance sheets and an amount is reclassified out of AOCL into non-operating income, net in the same period that the carrying values of the Euro-denominated January 2021 Notes are remeasured and the interest expense is recognized. The cash flows related to the cross-currency swap agreements that pertain to the periodic interest settlements are classified as operating activities and the cash flows that pertain to the principal balance are classified as financing activities.</w:t>
      </w:r>
    </w:p>
    <w:p w14:paraId="71AD3DFC"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Foreign Currency Forward Contracts Not Designated as Hedges </w:t>
      </w:r>
    </w:p>
    <w:p w14:paraId="1E2FE44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transact business in various foreign currencies and have established a program that primarily utilizes foreign currency forward contracts to offset the risks associated with the effects of certain foreign currency exposures. Under this program, our strategy is to enter into foreign currency forward contracts so that increases or decreases in our foreign currency exposures are offset by gains or losses on the foreign currency forward contracts in order to mitigate the risks and volatility associated with our foreign currency transactions. We may suspend this program from time to time. Our foreign currency exposures typically arise from intercompany sublicense fees, intercompany loans and other intercompany transactions that are generally expected to be cash settled in the near term. Our foreign currency forward contracts are generally short-term in duration. Our ultimate realized gain or loss with respect to currency fluctuations will generally depend on the size and type of cross-currency exposures that we enter into, the currency exchange rates associated with these exposures and changes in those rates, the net realized and unrealized gains or losses on foreign currency forward contracts to offset these exposures and other factors. </w:t>
      </w:r>
    </w:p>
    <w:p w14:paraId="2E55823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do not designate these forward contracts as hedging instruments pursuant to ASC 815. Accordingly, we recorded the fair values of these contracts as of the end of each reporting period to our consolidated balance sheets with changes in fair values recorded to our consolidated statements of operations. The balance sheet classification for the fair values of these forward contracts is other current assets for forward contracts in an unrealized gain position and other current liabilities for forward contracts in an unrealized loss position. The statement of operations classification for changes in fair values of these forward contracts is non-operating income, net for both realized and unrealized gains and losses. </w:t>
      </w:r>
    </w:p>
    <w:p w14:paraId="217031B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96</w:t>
      </w:r>
    </w:p>
    <w:p w14:paraId="68304837" w14:textId="77777777" w:rsidR="00251D72" w:rsidRDefault="00251D72">
      <w:pPr>
        <w:rPr>
          <w:rFonts w:ascii="Times New Roman" w:eastAsia="Times New Roman" w:hAnsi="Times New Roman" w:cs="Times New Roman"/>
          <w:sz w:val="24"/>
          <w:szCs w:val="24"/>
        </w:rPr>
      </w:pPr>
      <w:r>
        <w:rPr>
          <w:rFonts w:eastAsia="Times New Roman"/>
        </w:rPr>
        <w:pict w14:anchorId="799C62FD">
          <v:rect id="_x0000_i1122" style="width:415.3pt;height:1.5pt" o:hralign="center" o:hrstd="t" o:hr="t" fillcolor="#a0a0a0" stroked="f"/>
        </w:pict>
      </w:r>
    </w:p>
    <w:p w14:paraId="1F4F6729"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4354911"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4B40DB5B"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122C0528"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3DCE93DE"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390B784D" w14:textId="77777777" w:rsidR="00251D72" w:rsidRDefault="00251D72">
      <w:pPr>
        <w:pStyle w:val="a3"/>
        <w:spacing w:before="0" w:beforeAutospacing="0" w:after="0" w:afterAutospacing="0"/>
        <w:rPr>
          <w:sz w:val="20"/>
          <w:szCs w:val="20"/>
        </w:rPr>
      </w:pPr>
      <w:r>
        <w:rPr>
          <w:sz w:val="20"/>
          <w:szCs w:val="20"/>
        </w:rPr>
        <w:t> </w:t>
      </w:r>
    </w:p>
    <w:p w14:paraId="0812F4D9" w14:textId="77777777" w:rsidR="00251D72" w:rsidRDefault="00251D72">
      <w:pPr>
        <w:pStyle w:val="a3"/>
        <w:spacing w:before="120" w:beforeAutospacing="0" w:after="0" w:afterAutospacing="0"/>
        <w:jc w:val="both"/>
        <w:rPr>
          <w:rFonts w:ascii="Calibri" w:hAnsi="Calibri" w:cs="Calibri"/>
          <w:sz w:val="20"/>
          <w:szCs w:val="20"/>
        </w:rPr>
      </w:pPr>
      <w:bookmarkStart w:id="139" w:name="_AEIOULastRenderedPageBreakAEIOU99"/>
      <w:bookmarkEnd w:id="139"/>
      <w:r>
        <w:rPr>
          <w:rFonts w:ascii="Calibri" w:hAnsi="Calibri" w:cs="Calibri"/>
          <w:sz w:val="20"/>
          <w:szCs w:val="20"/>
        </w:rPr>
        <w:t>As of May 31, 2019 and 2018, the notional amounts of the forward contracts we held to purchase U.S. Dollars in exchange for other major international currencies were $3.8 billion and $3.4 billion, respectively, and the notional amounts of forward contracts we held to sell U.S. Dollars in exchange for other major international currencies were $3.3 billion and $1.4 billion, respectively. The fair values of our outstanding foreign currency forward contracts were nominal at May 31, 2019 and 2018. The cash flows related to these foreign currency contracts are classified as operating activities. Net gains or losses related to these forward contracts are included in non-operating income, net.</w:t>
      </w:r>
    </w:p>
    <w:p w14:paraId="5A47D84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effects of derivative instruments designated as hedges on certain of our consolidated financial statements were as follows as of or for each of the respective periods presented below (amounts presented exclude any income tax effects):</w:t>
      </w:r>
    </w:p>
    <w:p w14:paraId="11405B5C"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Fair Values of Derivative Instruments Designated as Hedges in Consolidated Balance Sheets</w:t>
      </w:r>
    </w:p>
    <w:p w14:paraId="6CFD83CE"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030"/>
        <w:gridCol w:w="148"/>
        <w:gridCol w:w="1572"/>
        <w:gridCol w:w="148"/>
        <w:gridCol w:w="97"/>
        <w:gridCol w:w="952"/>
        <w:gridCol w:w="80"/>
        <w:gridCol w:w="148"/>
        <w:gridCol w:w="97"/>
        <w:gridCol w:w="953"/>
        <w:gridCol w:w="81"/>
      </w:tblGrid>
      <w:tr w:rsidR="00251D72" w14:paraId="3EB0D3DF" w14:textId="77777777">
        <w:trPr>
          <w:divId w:val="1662732786"/>
          <w:jc w:val="center"/>
        </w:trPr>
        <w:tc>
          <w:tcPr>
            <w:tcW w:w="2427" w:type="pct"/>
            <w:shd w:val="clear" w:color="auto" w:fill="FFFFFF"/>
            <w:tcMar>
              <w:top w:w="15" w:type="dxa"/>
              <w:left w:w="0" w:type="dxa"/>
              <w:bottom w:w="0" w:type="dxa"/>
              <w:right w:w="15" w:type="dxa"/>
            </w:tcMar>
            <w:vAlign w:val="bottom"/>
            <w:hideMark/>
          </w:tcPr>
          <w:p w14:paraId="54B65631" w14:textId="77777777" w:rsidR="00251D72" w:rsidRDefault="00251D72">
            <w:pPr>
              <w:pStyle w:val="a3"/>
              <w:spacing w:before="0" w:beforeAutospacing="0" w:after="0" w:afterAutospacing="0"/>
              <w:rPr>
                <w:sz w:val="20"/>
                <w:szCs w:val="20"/>
              </w:rPr>
            </w:pPr>
            <w:r>
              <w:rPr>
                <w:sz w:val="20"/>
                <w:szCs w:val="20"/>
              </w:rPr>
              <w:t> </w:t>
            </w:r>
          </w:p>
        </w:tc>
        <w:tc>
          <w:tcPr>
            <w:tcW w:w="91" w:type="pct"/>
            <w:shd w:val="clear" w:color="auto" w:fill="FFFFFF"/>
            <w:tcMar>
              <w:top w:w="15" w:type="dxa"/>
              <w:left w:w="0" w:type="dxa"/>
              <w:bottom w:w="0" w:type="dxa"/>
              <w:right w:w="15" w:type="dxa"/>
            </w:tcMar>
            <w:vAlign w:val="bottom"/>
            <w:hideMark/>
          </w:tcPr>
          <w:p w14:paraId="7215866A" w14:textId="77777777" w:rsidR="00251D72" w:rsidRDefault="00251D72">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948" w:type="pct"/>
            <w:shd w:val="clear" w:color="auto" w:fill="FFFFFF"/>
            <w:tcMar>
              <w:top w:w="15" w:type="dxa"/>
              <w:left w:w="0" w:type="dxa"/>
              <w:bottom w:w="0" w:type="dxa"/>
              <w:right w:w="15" w:type="dxa"/>
            </w:tcMar>
            <w:vAlign w:val="bottom"/>
            <w:hideMark/>
          </w:tcPr>
          <w:p w14:paraId="3ED290EF" w14:textId="77777777" w:rsidR="00251D72" w:rsidRDefault="00251D72">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 </w:t>
            </w:r>
          </w:p>
        </w:tc>
        <w:tc>
          <w:tcPr>
            <w:tcW w:w="91" w:type="pct"/>
            <w:shd w:val="clear" w:color="auto" w:fill="FFFFFF"/>
            <w:tcMar>
              <w:top w:w="15" w:type="dxa"/>
              <w:left w:w="0" w:type="dxa"/>
              <w:bottom w:w="0" w:type="dxa"/>
              <w:right w:w="15" w:type="dxa"/>
            </w:tcMar>
            <w:vAlign w:val="bottom"/>
            <w:hideMark/>
          </w:tcPr>
          <w:p w14:paraId="2F0F078D" w14:textId="77777777" w:rsidR="00251D72" w:rsidRDefault="00251D72">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1391" w:type="pct"/>
            <w:gridSpan w:val="6"/>
            <w:tcBorders>
              <w:bottom w:val="single" w:sz="6" w:space="0" w:color="000000"/>
            </w:tcBorders>
            <w:shd w:val="clear" w:color="auto" w:fill="FFFFFF"/>
            <w:tcMar>
              <w:top w:w="15" w:type="dxa"/>
              <w:left w:w="0" w:type="dxa"/>
              <w:bottom w:w="0" w:type="dxa"/>
              <w:right w:w="15" w:type="dxa"/>
            </w:tcMar>
            <w:vAlign w:val="bottom"/>
            <w:hideMark/>
          </w:tcPr>
          <w:p w14:paraId="6EA1872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Fair Value as of May 31,</w:t>
            </w:r>
          </w:p>
        </w:tc>
        <w:tc>
          <w:tcPr>
            <w:tcW w:w="50" w:type="pct"/>
            <w:shd w:val="clear" w:color="auto" w:fill="FFFFFF"/>
            <w:noWrap/>
            <w:tcMar>
              <w:top w:w="15" w:type="dxa"/>
              <w:left w:w="0" w:type="dxa"/>
              <w:bottom w:w="0" w:type="dxa"/>
              <w:right w:w="15" w:type="dxa"/>
            </w:tcMar>
            <w:vAlign w:val="bottom"/>
            <w:hideMark/>
          </w:tcPr>
          <w:p w14:paraId="45CC038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86E504D" w14:textId="77777777">
        <w:trPr>
          <w:divId w:val="1662732786"/>
          <w:jc w:val="center"/>
        </w:trPr>
        <w:tc>
          <w:tcPr>
            <w:tcW w:w="2427" w:type="pct"/>
            <w:tcBorders>
              <w:bottom w:val="single" w:sz="6" w:space="0" w:color="000000"/>
            </w:tcBorders>
            <w:shd w:val="clear" w:color="auto" w:fill="FFFFFF"/>
            <w:tcMar>
              <w:top w:w="15" w:type="dxa"/>
              <w:left w:w="0" w:type="dxa"/>
              <w:bottom w:w="0" w:type="dxa"/>
              <w:right w:w="15" w:type="dxa"/>
            </w:tcMar>
            <w:vAlign w:val="bottom"/>
            <w:hideMark/>
          </w:tcPr>
          <w:p w14:paraId="20BCECD4" w14:textId="77777777" w:rsidR="00251D72" w:rsidRDefault="00251D72">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(in millions)</w:t>
            </w:r>
          </w:p>
        </w:tc>
        <w:tc>
          <w:tcPr>
            <w:tcW w:w="91" w:type="pct"/>
            <w:shd w:val="clear" w:color="auto" w:fill="FFFFFF"/>
            <w:tcMar>
              <w:top w:w="15" w:type="dxa"/>
              <w:left w:w="0" w:type="dxa"/>
              <w:bottom w:w="0" w:type="dxa"/>
              <w:right w:w="15" w:type="dxa"/>
            </w:tcMar>
            <w:vAlign w:val="bottom"/>
            <w:hideMark/>
          </w:tcPr>
          <w:p w14:paraId="0AD63A31" w14:textId="77777777" w:rsidR="00251D72" w:rsidRDefault="00251D72">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948" w:type="pct"/>
            <w:tcBorders>
              <w:bottom w:val="single" w:sz="6" w:space="0" w:color="000000"/>
            </w:tcBorders>
            <w:shd w:val="clear" w:color="auto" w:fill="FFFFFF"/>
            <w:tcMar>
              <w:top w:w="15" w:type="dxa"/>
              <w:left w:w="0" w:type="dxa"/>
              <w:bottom w:w="0" w:type="dxa"/>
              <w:right w:w="15" w:type="dxa"/>
            </w:tcMar>
            <w:vAlign w:val="bottom"/>
            <w:hideMark/>
          </w:tcPr>
          <w:p w14:paraId="57830D9E" w14:textId="77777777" w:rsidR="00251D72" w:rsidRDefault="00251D72">
            <w:pPr>
              <w:pStyle w:val="a3"/>
              <w:spacing w:before="0" w:beforeAutospacing="0" w:after="0" w:afterAutospacing="0"/>
              <w:jc w:val="center"/>
              <w:rPr>
                <w:rFonts w:ascii="Calibri" w:hAnsi="Calibri" w:cs="Calibri"/>
                <w:b/>
                <w:bCs/>
                <w:color w:val="000000"/>
                <w:sz w:val="14"/>
                <w:szCs w:val="14"/>
              </w:rPr>
            </w:pPr>
            <w:r>
              <w:rPr>
                <w:rFonts w:ascii="Calibri" w:hAnsi="Calibri" w:cs="Calibri"/>
                <w:b/>
                <w:bCs/>
                <w:color w:val="000000"/>
                <w:sz w:val="14"/>
                <w:szCs w:val="14"/>
              </w:rPr>
              <w:t>Balance Sheet Location</w:t>
            </w:r>
          </w:p>
        </w:tc>
        <w:tc>
          <w:tcPr>
            <w:tcW w:w="91" w:type="pct"/>
            <w:shd w:val="clear" w:color="auto" w:fill="FFFFFF"/>
            <w:tcMar>
              <w:top w:w="15" w:type="dxa"/>
              <w:left w:w="0" w:type="dxa"/>
              <w:bottom w:w="0" w:type="dxa"/>
              <w:right w:w="15" w:type="dxa"/>
            </w:tcMar>
            <w:vAlign w:val="bottom"/>
            <w:hideMark/>
          </w:tcPr>
          <w:p w14:paraId="59AE397E" w14:textId="77777777" w:rsidR="00251D72" w:rsidRDefault="00251D72">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62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BE0817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ED3CB9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1" w:type="pct"/>
            <w:tcBorders>
              <w:top w:val="single" w:sz="6" w:space="0" w:color="000000"/>
            </w:tcBorders>
            <w:shd w:val="clear" w:color="auto" w:fill="FFFFFF"/>
            <w:tcMar>
              <w:top w:w="15" w:type="dxa"/>
              <w:left w:w="0" w:type="dxa"/>
              <w:bottom w:w="0" w:type="dxa"/>
              <w:right w:w="15" w:type="dxa"/>
            </w:tcMar>
            <w:vAlign w:val="bottom"/>
            <w:hideMark/>
          </w:tcPr>
          <w:p w14:paraId="5E36F28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D03944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D5CB3E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925C7BF" w14:textId="77777777">
        <w:trPr>
          <w:divId w:val="1662732786"/>
          <w:jc w:val="center"/>
        </w:trPr>
        <w:tc>
          <w:tcPr>
            <w:tcW w:w="2427" w:type="pct"/>
            <w:tcBorders>
              <w:top w:val="single" w:sz="6" w:space="0" w:color="000000"/>
            </w:tcBorders>
            <w:shd w:val="clear" w:color="auto" w:fill="CFF0FC"/>
            <w:tcMar>
              <w:top w:w="15" w:type="dxa"/>
              <w:left w:w="0" w:type="dxa"/>
              <w:bottom w:w="0" w:type="dxa"/>
              <w:right w:w="15" w:type="dxa"/>
            </w:tcMar>
            <w:vAlign w:val="bottom"/>
            <w:hideMark/>
          </w:tcPr>
          <w:p w14:paraId="7B0B7A5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Derivative assets:</w:t>
            </w:r>
          </w:p>
        </w:tc>
        <w:tc>
          <w:tcPr>
            <w:tcW w:w="91" w:type="pct"/>
            <w:shd w:val="clear" w:color="auto" w:fill="CFF0FC"/>
            <w:tcMar>
              <w:top w:w="15" w:type="dxa"/>
              <w:left w:w="0" w:type="dxa"/>
              <w:bottom w:w="0" w:type="dxa"/>
              <w:right w:w="15" w:type="dxa"/>
            </w:tcMar>
            <w:vAlign w:val="bottom"/>
            <w:hideMark/>
          </w:tcPr>
          <w:p w14:paraId="0260D8F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48" w:type="pct"/>
            <w:tcBorders>
              <w:top w:val="single" w:sz="6" w:space="0" w:color="000000"/>
            </w:tcBorders>
            <w:shd w:val="clear" w:color="auto" w:fill="CFF0FC"/>
            <w:tcMar>
              <w:top w:w="15" w:type="dxa"/>
              <w:left w:w="0" w:type="dxa"/>
              <w:bottom w:w="0" w:type="dxa"/>
              <w:right w:w="15" w:type="dxa"/>
            </w:tcMar>
            <w:hideMark/>
          </w:tcPr>
          <w:p w14:paraId="587107B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left w:w="0" w:type="dxa"/>
              <w:bottom w:w="0" w:type="dxa"/>
              <w:right w:w="15" w:type="dxa"/>
            </w:tcMar>
            <w:vAlign w:val="bottom"/>
            <w:hideMark/>
          </w:tcPr>
          <w:p w14:paraId="0343202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363D8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top w:val="single" w:sz="6" w:space="0" w:color="000000"/>
            </w:tcBorders>
            <w:shd w:val="clear" w:color="auto" w:fill="CFF0FC"/>
            <w:noWrap/>
            <w:tcMar>
              <w:top w:w="15" w:type="dxa"/>
              <w:left w:w="0" w:type="dxa"/>
              <w:bottom w:w="0" w:type="dxa"/>
              <w:right w:w="15" w:type="dxa"/>
            </w:tcMar>
            <w:vAlign w:val="bottom"/>
            <w:hideMark/>
          </w:tcPr>
          <w:p w14:paraId="58E271E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2398FC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left w:w="0" w:type="dxa"/>
              <w:bottom w:w="0" w:type="dxa"/>
              <w:right w:w="15" w:type="dxa"/>
            </w:tcMar>
            <w:vAlign w:val="bottom"/>
            <w:hideMark/>
          </w:tcPr>
          <w:p w14:paraId="754E8B3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40358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top w:val="single" w:sz="6" w:space="0" w:color="000000"/>
            </w:tcBorders>
            <w:shd w:val="clear" w:color="auto" w:fill="CFF0FC"/>
            <w:noWrap/>
            <w:tcMar>
              <w:top w:w="15" w:type="dxa"/>
              <w:left w:w="0" w:type="dxa"/>
              <w:bottom w:w="0" w:type="dxa"/>
              <w:right w:w="15" w:type="dxa"/>
            </w:tcMar>
            <w:vAlign w:val="bottom"/>
            <w:hideMark/>
          </w:tcPr>
          <w:p w14:paraId="77520D0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1CB8E7B"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138D6A9F" w14:textId="77777777">
        <w:trPr>
          <w:divId w:val="1662732786"/>
          <w:jc w:val="center"/>
        </w:trPr>
        <w:tc>
          <w:tcPr>
            <w:tcW w:w="2427" w:type="pct"/>
            <w:shd w:val="clear" w:color="auto" w:fill="FFFFFF"/>
            <w:tcMar>
              <w:top w:w="15" w:type="dxa"/>
              <w:left w:w="0" w:type="dxa"/>
              <w:bottom w:w="0" w:type="dxa"/>
              <w:right w:w="15" w:type="dxa"/>
            </w:tcMar>
            <w:vAlign w:val="bottom"/>
            <w:hideMark/>
          </w:tcPr>
          <w:p w14:paraId="596CB3AA" w14:textId="77777777" w:rsidR="00251D72" w:rsidRDefault="00251D72">
            <w:pPr>
              <w:pStyle w:val="a3"/>
              <w:spacing w:before="0" w:beforeAutospacing="0" w:after="0" w:afterAutospacing="0"/>
              <w:ind w:left="372" w:hanging="98"/>
              <w:rPr>
                <w:rFonts w:ascii="Calibri" w:hAnsi="Calibri" w:cs="Calibri"/>
                <w:color w:val="000000"/>
                <w:sz w:val="16"/>
                <w:szCs w:val="16"/>
              </w:rPr>
            </w:pPr>
            <w:r>
              <w:rPr>
                <w:rFonts w:ascii="Calibri" w:hAnsi="Calibri" w:cs="Calibri"/>
                <w:color w:val="000000"/>
                <w:sz w:val="16"/>
                <w:szCs w:val="16"/>
              </w:rPr>
              <w:t>Interest rate swap agreements designated as fair value hedges</w:t>
            </w:r>
          </w:p>
        </w:tc>
        <w:tc>
          <w:tcPr>
            <w:tcW w:w="91" w:type="pct"/>
            <w:shd w:val="clear" w:color="auto" w:fill="FFFFFF"/>
            <w:tcMar>
              <w:top w:w="15" w:type="dxa"/>
              <w:left w:w="0" w:type="dxa"/>
              <w:bottom w:w="0" w:type="dxa"/>
              <w:right w:w="15" w:type="dxa"/>
            </w:tcMar>
            <w:vAlign w:val="bottom"/>
            <w:hideMark/>
          </w:tcPr>
          <w:p w14:paraId="3A35735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48" w:type="pct"/>
            <w:shd w:val="clear" w:color="auto" w:fill="FFFFFF"/>
            <w:tcMar>
              <w:top w:w="15" w:type="dxa"/>
              <w:left w:w="0" w:type="dxa"/>
              <w:bottom w:w="0" w:type="dxa"/>
              <w:right w:w="15" w:type="dxa"/>
            </w:tcMar>
            <w:vAlign w:val="bottom"/>
            <w:hideMark/>
          </w:tcPr>
          <w:p w14:paraId="2F960694" w14:textId="77777777" w:rsidR="00251D72" w:rsidRDefault="00251D72">
            <w:pPr>
              <w:pStyle w:val="a3"/>
              <w:spacing w:before="0" w:beforeAutospacing="0" w:after="0" w:afterAutospacing="0"/>
              <w:ind w:left="101" w:hanging="101"/>
              <w:rPr>
                <w:rFonts w:ascii="Calibri" w:hAnsi="Calibri" w:cs="Calibri"/>
                <w:color w:val="000000"/>
                <w:sz w:val="16"/>
                <w:szCs w:val="16"/>
              </w:rPr>
            </w:pPr>
            <w:r>
              <w:rPr>
                <w:rFonts w:ascii="Calibri" w:hAnsi="Calibri" w:cs="Calibri"/>
                <w:color w:val="000000"/>
                <w:sz w:val="16"/>
                <w:szCs w:val="16"/>
              </w:rPr>
              <w:t>Other non-current assets</w:t>
            </w:r>
          </w:p>
        </w:tc>
        <w:tc>
          <w:tcPr>
            <w:tcW w:w="91" w:type="pct"/>
            <w:shd w:val="clear" w:color="auto" w:fill="FFFFFF"/>
            <w:tcMar>
              <w:top w:w="15" w:type="dxa"/>
              <w:left w:w="0" w:type="dxa"/>
              <w:bottom w:w="0" w:type="dxa"/>
              <w:right w:w="15" w:type="dxa"/>
            </w:tcMar>
            <w:vAlign w:val="bottom"/>
            <w:hideMark/>
          </w:tcPr>
          <w:p w14:paraId="298723E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079EB8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575" w:type="pct"/>
            <w:shd w:val="clear" w:color="auto" w:fill="FFFFFF"/>
            <w:noWrap/>
            <w:tcMar>
              <w:top w:w="15" w:type="dxa"/>
              <w:left w:w="0" w:type="dxa"/>
              <w:bottom w:w="0" w:type="dxa"/>
              <w:right w:w="15" w:type="dxa"/>
            </w:tcMar>
            <w:vAlign w:val="bottom"/>
            <w:hideMark/>
          </w:tcPr>
          <w:p w14:paraId="204C746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w:t>
            </w:r>
          </w:p>
        </w:tc>
        <w:tc>
          <w:tcPr>
            <w:tcW w:w="50" w:type="pct"/>
            <w:shd w:val="clear" w:color="auto" w:fill="FFFFFF"/>
            <w:noWrap/>
            <w:tcMar>
              <w:top w:w="15" w:type="dxa"/>
              <w:left w:w="0" w:type="dxa"/>
              <w:bottom w:w="0" w:type="dxa"/>
              <w:right w:w="15" w:type="dxa"/>
            </w:tcMar>
            <w:vAlign w:val="bottom"/>
            <w:hideMark/>
          </w:tcPr>
          <w:p w14:paraId="30196FC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left w:w="0" w:type="dxa"/>
              <w:bottom w:w="0" w:type="dxa"/>
              <w:right w:w="15" w:type="dxa"/>
            </w:tcMar>
            <w:vAlign w:val="bottom"/>
            <w:hideMark/>
          </w:tcPr>
          <w:p w14:paraId="5AE1E42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6FABB9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575" w:type="pct"/>
            <w:shd w:val="clear" w:color="auto" w:fill="FFFFFF"/>
            <w:noWrap/>
            <w:tcMar>
              <w:top w:w="15" w:type="dxa"/>
              <w:left w:w="0" w:type="dxa"/>
              <w:bottom w:w="0" w:type="dxa"/>
              <w:right w:w="15" w:type="dxa"/>
            </w:tcMar>
            <w:vAlign w:val="bottom"/>
            <w:hideMark/>
          </w:tcPr>
          <w:p w14:paraId="7BFB0FE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24</w:t>
            </w:r>
          </w:p>
        </w:tc>
        <w:tc>
          <w:tcPr>
            <w:tcW w:w="50" w:type="pct"/>
            <w:shd w:val="clear" w:color="auto" w:fill="FFFFFF"/>
            <w:noWrap/>
            <w:tcMar>
              <w:top w:w="15" w:type="dxa"/>
              <w:left w:w="0" w:type="dxa"/>
              <w:bottom w:w="0" w:type="dxa"/>
              <w:right w:w="15" w:type="dxa"/>
            </w:tcMar>
            <w:vAlign w:val="bottom"/>
            <w:hideMark/>
          </w:tcPr>
          <w:p w14:paraId="699EFE44"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14CB268F" w14:textId="77777777">
        <w:trPr>
          <w:divId w:val="1662732786"/>
          <w:jc w:val="center"/>
        </w:trPr>
        <w:tc>
          <w:tcPr>
            <w:tcW w:w="2427" w:type="pct"/>
            <w:shd w:val="clear" w:color="auto" w:fill="CFF0FC"/>
            <w:tcMar>
              <w:top w:w="15" w:type="dxa"/>
              <w:left w:w="0" w:type="dxa"/>
              <w:bottom w:w="0" w:type="dxa"/>
              <w:right w:w="15" w:type="dxa"/>
            </w:tcMar>
            <w:vAlign w:val="bottom"/>
            <w:hideMark/>
          </w:tcPr>
          <w:p w14:paraId="3340092A" w14:textId="77777777" w:rsidR="00251D72" w:rsidRDefault="00251D72">
            <w:pPr>
              <w:pStyle w:val="a3"/>
              <w:spacing w:before="0" w:beforeAutospacing="0" w:after="0" w:afterAutospacing="0"/>
              <w:ind w:left="372" w:hanging="98"/>
              <w:rPr>
                <w:rFonts w:ascii="Calibri" w:hAnsi="Calibri" w:cs="Calibri"/>
                <w:color w:val="000000"/>
                <w:sz w:val="16"/>
                <w:szCs w:val="16"/>
              </w:rPr>
            </w:pPr>
            <w:r>
              <w:rPr>
                <w:rFonts w:ascii="Calibri" w:hAnsi="Calibri" w:cs="Calibri"/>
                <w:color w:val="000000"/>
                <w:sz w:val="16"/>
                <w:szCs w:val="16"/>
              </w:rPr>
              <w:t>Cross-currency interest rate swap agreements designated as fair value hedges</w:t>
            </w:r>
          </w:p>
        </w:tc>
        <w:tc>
          <w:tcPr>
            <w:tcW w:w="91" w:type="pct"/>
            <w:shd w:val="clear" w:color="auto" w:fill="CFF0FC"/>
            <w:tcMar>
              <w:top w:w="15" w:type="dxa"/>
              <w:left w:w="0" w:type="dxa"/>
              <w:bottom w:w="0" w:type="dxa"/>
              <w:right w:w="15" w:type="dxa"/>
            </w:tcMar>
            <w:vAlign w:val="bottom"/>
            <w:hideMark/>
          </w:tcPr>
          <w:p w14:paraId="3AAC5AF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48" w:type="pct"/>
            <w:shd w:val="clear" w:color="auto" w:fill="CFF0FC"/>
            <w:tcMar>
              <w:top w:w="15" w:type="dxa"/>
              <w:left w:w="0" w:type="dxa"/>
              <w:bottom w:w="0" w:type="dxa"/>
              <w:right w:w="15" w:type="dxa"/>
            </w:tcMar>
            <w:vAlign w:val="bottom"/>
            <w:hideMark/>
          </w:tcPr>
          <w:p w14:paraId="012A6CE2" w14:textId="77777777" w:rsidR="00251D72" w:rsidRDefault="00251D72">
            <w:pPr>
              <w:pStyle w:val="a3"/>
              <w:spacing w:before="0" w:beforeAutospacing="0" w:after="0" w:afterAutospacing="0"/>
              <w:ind w:left="101" w:hanging="101"/>
              <w:rPr>
                <w:rFonts w:ascii="Calibri" w:hAnsi="Calibri" w:cs="Calibri"/>
                <w:color w:val="000000"/>
                <w:sz w:val="16"/>
                <w:szCs w:val="16"/>
              </w:rPr>
            </w:pPr>
            <w:r>
              <w:rPr>
                <w:rFonts w:ascii="Calibri" w:hAnsi="Calibri" w:cs="Calibri"/>
                <w:color w:val="000000"/>
                <w:sz w:val="16"/>
                <w:szCs w:val="16"/>
              </w:rPr>
              <w:t>Other non-current assets</w:t>
            </w:r>
          </w:p>
        </w:tc>
        <w:tc>
          <w:tcPr>
            <w:tcW w:w="91" w:type="pct"/>
            <w:shd w:val="clear" w:color="auto" w:fill="CFF0FC"/>
            <w:tcMar>
              <w:top w:w="15" w:type="dxa"/>
              <w:left w:w="0" w:type="dxa"/>
              <w:bottom w:w="0" w:type="dxa"/>
              <w:right w:w="15" w:type="dxa"/>
            </w:tcMar>
            <w:vAlign w:val="bottom"/>
            <w:hideMark/>
          </w:tcPr>
          <w:p w14:paraId="539FC19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2D28D2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bottom w:val="single" w:sz="6" w:space="0" w:color="000000"/>
            </w:tcBorders>
            <w:shd w:val="clear" w:color="auto" w:fill="CFF0FC"/>
            <w:noWrap/>
            <w:tcMar>
              <w:top w:w="15" w:type="dxa"/>
              <w:left w:w="0" w:type="dxa"/>
              <w:bottom w:w="0" w:type="dxa"/>
              <w:right w:w="15" w:type="dxa"/>
            </w:tcMar>
            <w:vAlign w:val="bottom"/>
            <w:hideMark/>
          </w:tcPr>
          <w:p w14:paraId="527D170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3E98B4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left w:w="0" w:type="dxa"/>
              <w:bottom w:w="0" w:type="dxa"/>
              <w:right w:w="15" w:type="dxa"/>
            </w:tcMar>
            <w:vAlign w:val="bottom"/>
            <w:hideMark/>
          </w:tcPr>
          <w:p w14:paraId="51905EC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A90150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bottom w:val="single" w:sz="6" w:space="0" w:color="000000"/>
            </w:tcBorders>
            <w:shd w:val="clear" w:color="auto" w:fill="CFF0FC"/>
            <w:noWrap/>
            <w:tcMar>
              <w:top w:w="15" w:type="dxa"/>
              <w:left w:w="0" w:type="dxa"/>
              <w:bottom w:w="0" w:type="dxa"/>
              <w:right w:w="15" w:type="dxa"/>
            </w:tcMar>
            <w:vAlign w:val="bottom"/>
            <w:hideMark/>
          </w:tcPr>
          <w:p w14:paraId="7482FA7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w:t>
            </w:r>
          </w:p>
        </w:tc>
        <w:tc>
          <w:tcPr>
            <w:tcW w:w="50" w:type="pct"/>
            <w:shd w:val="clear" w:color="auto" w:fill="CFF0FC"/>
            <w:noWrap/>
            <w:tcMar>
              <w:top w:w="15" w:type="dxa"/>
              <w:left w:w="0" w:type="dxa"/>
              <w:bottom w:w="0" w:type="dxa"/>
              <w:right w:w="15" w:type="dxa"/>
            </w:tcMar>
            <w:vAlign w:val="bottom"/>
            <w:hideMark/>
          </w:tcPr>
          <w:p w14:paraId="5FCE9F89"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755CC43A" w14:textId="77777777">
        <w:trPr>
          <w:divId w:val="1662732786"/>
          <w:jc w:val="center"/>
        </w:trPr>
        <w:tc>
          <w:tcPr>
            <w:tcW w:w="2427" w:type="pct"/>
            <w:shd w:val="clear" w:color="auto" w:fill="FFFFFF"/>
            <w:tcMar>
              <w:top w:w="15" w:type="dxa"/>
              <w:left w:w="0" w:type="dxa"/>
              <w:bottom w:w="0" w:type="dxa"/>
              <w:right w:w="15" w:type="dxa"/>
            </w:tcMar>
            <w:vAlign w:val="bottom"/>
            <w:hideMark/>
          </w:tcPr>
          <w:p w14:paraId="509302FB" w14:textId="77777777" w:rsidR="00251D72" w:rsidRDefault="00251D72">
            <w:pPr>
              <w:pStyle w:val="a3"/>
              <w:spacing w:before="0" w:beforeAutospacing="0" w:after="0" w:afterAutospacing="0"/>
              <w:ind w:left="547"/>
              <w:rPr>
                <w:rFonts w:ascii="Calibri" w:hAnsi="Calibri" w:cs="Calibri"/>
                <w:color w:val="000000"/>
                <w:sz w:val="16"/>
                <w:szCs w:val="16"/>
              </w:rPr>
            </w:pPr>
            <w:r>
              <w:rPr>
                <w:rFonts w:ascii="Calibri" w:hAnsi="Calibri" w:cs="Calibri"/>
                <w:color w:val="000000"/>
                <w:sz w:val="16"/>
                <w:szCs w:val="16"/>
              </w:rPr>
              <w:t>Total derivative assets</w:t>
            </w:r>
          </w:p>
        </w:tc>
        <w:tc>
          <w:tcPr>
            <w:tcW w:w="91" w:type="pct"/>
            <w:shd w:val="clear" w:color="auto" w:fill="FFFFFF"/>
            <w:tcMar>
              <w:top w:w="15" w:type="dxa"/>
              <w:left w:w="0" w:type="dxa"/>
              <w:bottom w:w="0" w:type="dxa"/>
              <w:right w:w="15" w:type="dxa"/>
            </w:tcMar>
            <w:vAlign w:val="bottom"/>
            <w:hideMark/>
          </w:tcPr>
          <w:p w14:paraId="32E6388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48" w:type="pct"/>
            <w:shd w:val="clear" w:color="auto" w:fill="FFFFFF"/>
            <w:tcMar>
              <w:top w:w="15" w:type="dxa"/>
              <w:left w:w="0" w:type="dxa"/>
              <w:bottom w:w="0" w:type="dxa"/>
              <w:right w:w="15" w:type="dxa"/>
            </w:tcMar>
            <w:vAlign w:val="bottom"/>
            <w:hideMark/>
          </w:tcPr>
          <w:p w14:paraId="4512F7EB" w14:textId="77777777" w:rsidR="00251D72" w:rsidRDefault="00251D72">
            <w:pPr>
              <w:pStyle w:val="a3"/>
              <w:spacing w:before="0" w:beforeAutospacing="0" w:after="0" w:afterAutospacing="0"/>
              <w:ind w:left="101" w:hanging="101"/>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left w:w="0" w:type="dxa"/>
              <w:bottom w:w="0" w:type="dxa"/>
              <w:right w:w="15" w:type="dxa"/>
            </w:tcMar>
            <w:vAlign w:val="bottom"/>
            <w:hideMark/>
          </w:tcPr>
          <w:p w14:paraId="03BDD5A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BA34F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5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8FDF8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w:t>
            </w:r>
          </w:p>
        </w:tc>
        <w:tc>
          <w:tcPr>
            <w:tcW w:w="50" w:type="pct"/>
            <w:shd w:val="clear" w:color="auto" w:fill="FFFFFF"/>
            <w:noWrap/>
            <w:tcMar>
              <w:top w:w="15" w:type="dxa"/>
              <w:left w:w="0" w:type="dxa"/>
              <w:bottom w:w="0" w:type="dxa"/>
              <w:right w:w="15" w:type="dxa"/>
            </w:tcMar>
            <w:vAlign w:val="bottom"/>
            <w:hideMark/>
          </w:tcPr>
          <w:p w14:paraId="287DE23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left w:w="0" w:type="dxa"/>
              <w:bottom w:w="0" w:type="dxa"/>
              <w:right w:w="15" w:type="dxa"/>
            </w:tcMar>
            <w:vAlign w:val="bottom"/>
            <w:hideMark/>
          </w:tcPr>
          <w:p w14:paraId="005BC14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B12993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5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8C6CF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FFFFFF"/>
            <w:noWrap/>
            <w:tcMar>
              <w:top w:w="15" w:type="dxa"/>
              <w:left w:w="0" w:type="dxa"/>
              <w:bottom w:w="0" w:type="dxa"/>
              <w:right w:w="15" w:type="dxa"/>
            </w:tcMar>
            <w:vAlign w:val="bottom"/>
            <w:hideMark/>
          </w:tcPr>
          <w:p w14:paraId="6D3DC288"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75501E3D" w14:textId="77777777">
        <w:trPr>
          <w:divId w:val="1662732786"/>
          <w:jc w:val="center"/>
        </w:trPr>
        <w:tc>
          <w:tcPr>
            <w:tcW w:w="2427" w:type="pct"/>
            <w:shd w:val="clear" w:color="auto" w:fill="CFF0FC"/>
            <w:tcMar>
              <w:top w:w="15" w:type="dxa"/>
              <w:left w:w="0" w:type="dxa"/>
              <w:bottom w:w="0" w:type="dxa"/>
              <w:right w:w="15" w:type="dxa"/>
            </w:tcMar>
            <w:vAlign w:val="bottom"/>
            <w:hideMark/>
          </w:tcPr>
          <w:p w14:paraId="02E0E9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Derivative liabilities:</w:t>
            </w:r>
          </w:p>
        </w:tc>
        <w:tc>
          <w:tcPr>
            <w:tcW w:w="91" w:type="pct"/>
            <w:shd w:val="clear" w:color="auto" w:fill="CFF0FC"/>
            <w:tcMar>
              <w:top w:w="15" w:type="dxa"/>
              <w:left w:w="0" w:type="dxa"/>
              <w:bottom w:w="0" w:type="dxa"/>
              <w:right w:w="15" w:type="dxa"/>
            </w:tcMar>
            <w:vAlign w:val="bottom"/>
            <w:hideMark/>
          </w:tcPr>
          <w:p w14:paraId="0974F86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48" w:type="pct"/>
            <w:shd w:val="clear" w:color="auto" w:fill="CFF0FC"/>
            <w:tcMar>
              <w:top w:w="15" w:type="dxa"/>
              <w:left w:w="0" w:type="dxa"/>
              <w:bottom w:w="0" w:type="dxa"/>
              <w:right w:w="15" w:type="dxa"/>
            </w:tcMar>
            <w:vAlign w:val="bottom"/>
            <w:hideMark/>
          </w:tcPr>
          <w:p w14:paraId="676AF025" w14:textId="77777777" w:rsidR="00251D72" w:rsidRDefault="00251D72">
            <w:pPr>
              <w:pStyle w:val="a3"/>
              <w:spacing w:before="0" w:beforeAutospacing="0" w:after="0" w:afterAutospacing="0"/>
              <w:ind w:left="101" w:hanging="101"/>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left w:w="0" w:type="dxa"/>
              <w:bottom w:w="0" w:type="dxa"/>
              <w:right w:w="15" w:type="dxa"/>
            </w:tcMar>
            <w:vAlign w:val="bottom"/>
            <w:hideMark/>
          </w:tcPr>
          <w:p w14:paraId="0C8BB30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65F8D7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top w:val="double" w:sz="6" w:space="0" w:color="000000"/>
            </w:tcBorders>
            <w:shd w:val="clear" w:color="auto" w:fill="CFF0FC"/>
            <w:noWrap/>
            <w:tcMar>
              <w:top w:w="15" w:type="dxa"/>
              <w:left w:w="0" w:type="dxa"/>
              <w:bottom w:w="0" w:type="dxa"/>
              <w:right w:w="15" w:type="dxa"/>
            </w:tcMar>
            <w:vAlign w:val="bottom"/>
            <w:hideMark/>
          </w:tcPr>
          <w:p w14:paraId="7AC33FC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F73D4C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left w:w="0" w:type="dxa"/>
              <w:bottom w:w="0" w:type="dxa"/>
              <w:right w:w="15" w:type="dxa"/>
            </w:tcMar>
            <w:vAlign w:val="bottom"/>
            <w:hideMark/>
          </w:tcPr>
          <w:p w14:paraId="09B66B0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635914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top w:val="double" w:sz="6" w:space="0" w:color="000000"/>
            </w:tcBorders>
            <w:shd w:val="clear" w:color="auto" w:fill="CFF0FC"/>
            <w:noWrap/>
            <w:tcMar>
              <w:top w:w="15" w:type="dxa"/>
              <w:left w:w="0" w:type="dxa"/>
              <w:bottom w:w="0" w:type="dxa"/>
              <w:right w:w="15" w:type="dxa"/>
            </w:tcMar>
            <w:vAlign w:val="bottom"/>
            <w:hideMark/>
          </w:tcPr>
          <w:p w14:paraId="4012926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3866151"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143ED126" w14:textId="77777777">
        <w:trPr>
          <w:divId w:val="1662732786"/>
          <w:jc w:val="center"/>
        </w:trPr>
        <w:tc>
          <w:tcPr>
            <w:tcW w:w="2427" w:type="pct"/>
            <w:shd w:val="clear" w:color="auto" w:fill="FFFFFF"/>
            <w:tcMar>
              <w:top w:w="15" w:type="dxa"/>
              <w:left w:w="0" w:type="dxa"/>
              <w:bottom w:w="0" w:type="dxa"/>
              <w:right w:w="15" w:type="dxa"/>
            </w:tcMar>
            <w:vAlign w:val="bottom"/>
            <w:hideMark/>
          </w:tcPr>
          <w:p w14:paraId="1DA504BF" w14:textId="77777777" w:rsidR="00251D72" w:rsidRDefault="00251D72">
            <w:pPr>
              <w:pStyle w:val="a3"/>
              <w:spacing w:before="0" w:beforeAutospacing="0" w:after="0" w:afterAutospacing="0"/>
              <w:ind w:left="372" w:hanging="98"/>
              <w:rPr>
                <w:rFonts w:ascii="Calibri" w:hAnsi="Calibri" w:cs="Calibri"/>
                <w:color w:val="000000"/>
                <w:sz w:val="16"/>
                <w:szCs w:val="16"/>
              </w:rPr>
            </w:pPr>
            <w:r>
              <w:rPr>
                <w:rFonts w:ascii="Calibri" w:hAnsi="Calibri" w:cs="Calibri"/>
                <w:color w:val="000000"/>
                <w:sz w:val="16"/>
                <w:szCs w:val="16"/>
              </w:rPr>
              <w:t>Interest rate swap agreements designated as fair value hedges</w:t>
            </w:r>
          </w:p>
        </w:tc>
        <w:tc>
          <w:tcPr>
            <w:tcW w:w="91" w:type="pct"/>
            <w:shd w:val="clear" w:color="auto" w:fill="FFFFFF"/>
            <w:tcMar>
              <w:top w:w="15" w:type="dxa"/>
              <w:left w:w="0" w:type="dxa"/>
              <w:bottom w:w="0" w:type="dxa"/>
              <w:right w:w="15" w:type="dxa"/>
            </w:tcMar>
            <w:vAlign w:val="bottom"/>
            <w:hideMark/>
          </w:tcPr>
          <w:p w14:paraId="5EB3CD2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48" w:type="pct"/>
            <w:shd w:val="clear" w:color="auto" w:fill="FFFFFF"/>
            <w:tcMar>
              <w:top w:w="15" w:type="dxa"/>
              <w:left w:w="0" w:type="dxa"/>
              <w:bottom w:w="0" w:type="dxa"/>
              <w:right w:w="15" w:type="dxa"/>
            </w:tcMar>
            <w:vAlign w:val="bottom"/>
            <w:hideMark/>
          </w:tcPr>
          <w:p w14:paraId="32D25318" w14:textId="77777777" w:rsidR="00251D72" w:rsidRDefault="00251D72">
            <w:pPr>
              <w:pStyle w:val="a3"/>
              <w:spacing w:before="0" w:beforeAutospacing="0" w:after="0" w:afterAutospacing="0"/>
              <w:ind w:left="101" w:hanging="101"/>
              <w:rPr>
                <w:rFonts w:ascii="Calibri" w:hAnsi="Calibri" w:cs="Calibri"/>
                <w:color w:val="000000"/>
                <w:sz w:val="16"/>
                <w:szCs w:val="16"/>
              </w:rPr>
            </w:pPr>
            <w:r>
              <w:rPr>
                <w:rFonts w:ascii="Calibri" w:hAnsi="Calibri" w:cs="Calibri"/>
                <w:color w:val="000000"/>
                <w:sz w:val="16"/>
                <w:szCs w:val="16"/>
              </w:rPr>
              <w:t>Other current liabilities</w:t>
            </w:r>
          </w:p>
        </w:tc>
        <w:tc>
          <w:tcPr>
            <w:tcW w:w="91" w:type="pct"/>
            <w:shd w:val="clear" w:color="auto" w:fill="FFFFFF"/>
            <w:tcMar>
              <w:top w:w="15" w:type="dxa"/>
              <w:left w:w="0" w:type="dxa"/>
              <w:bottom w:w="0" w:type="dxa"/>
              <w:right w:w="15" w:type="dxa"/>
            </w:tcMar>
            <w:vAlign w:val="bottom"/>
            <w:hideMark/>
          </w:tcPr>
          <w:p w14:paraId="49CA983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C3E16F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575" w:type="pct"/>
            <w:shd w:val="clear" w:color="auto" w:fill="FFFFFF"/>
            <w:noWrap/>
            <w:tcMar>
              <w:top w:w="15" w:type="dxa"/>
              <w:left w:w="0" w:type="dxa"/>
              <w:bottom w:w="0" w:type="dxa"/>
              <w:right w:w="15" w:type="dxa"/>
            </w:tcMar>
            <w:vAlign w:val="bottom"/>
            <w:hideMark/>
          </w:tcPr>
          <w:p w14:paraId="75033F1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w:t>
            </w:r>
          </w:p>
        </w:tc>
        <w:tc>
          <w:tcPr>
            <w:tcW w:w="50" w:type="pct"/>
            <w:shd w:val="clear" w:color="auto" w:fill="FFFFFF"/>
            <w:noWrap/>
            <w:tcMar>
              <w:top w:w="15" w:type="dxa"/>
              <w:left w:w="0" w:type="dxa"/>
              <w:bottom w:w="0" w:type="dxa"/>
              <w:right w:w="15" w:type="dxa"/>
            </w:tcMar>
            <w:vAlign w:val="bottom"/>
            <w:hideMark/>
          </w:tcPr>
          <w:p w14:paraId="18994FD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left w:w="0" w:type="dxa"/>
              <w:bottom w:w="0" w:type="dxa"/>
              <w:right w:w="15" w:type="dxa"/>
            </w:tcMar>
            <w:vAlign w:val="bottom"/>
            <w:hideMark/>
          </w:tcPr>
          <w:p w14:paraId="4C97F0B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BFBB7D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575" w:type="pct"/>
            <w:shd w:val="clear" w:color="auto" w:fill="FFFFFF"/>
            <w:noWrap/>
            <w:tcMar>
              <w:top w:w="15" w:type="dxa"/>
              <w:left w:w="0" w:type="dxa"/>
              <w:bottom w:w="0" w:type="dxa"/>
              <w:right w:w="15" w:type="dxa"/>
            </w:tcMar>
            <w:vAlign w:val="bottom"/>
            <w:hideMark/>
          </w:tcPr>
          <w:p w14:paraId="02C86E8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7</w:t>
            </w:r>
          </w:p>
        </w:tc>
        <w:tc>
          <w:tcPr>
            <w:tcW w:w="50" w:type="pct"/>
            <w:shd w:val="clear" w:color="auto" w:fill="FFFFFF"/>
            <w:noWrap/>
            <w:tcMar>
              <w:top w:w="15" w:type="dxa"/>
              <w:left w:w="0" w:type="dxa"/>
              <w:bottom w:w="0" w:type="dxa"/>
              <w:right w:w="15" w:type="dxa"/>
            </w:tcMar>
            <w:vAlign w:val="bottom"/>
            <w:hideMark/>
          </w:tcPr>
          <w:p w14:paraId="5E44E62A"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5C11578D" w14:textId="77777777">
        <w:trPr>
          <w:divId w:val="1662732786"/>
          <w:jc w:val="center"/>
        </w:trPr>
        <w:tc>
          <w:tcPr>
            <w:tcW w:w="2427" w:type="pct"/>
            <w:shd w:val="clear" w:color="auto" w:fill="CFF0FC"/>
            <w:tcMar>
              <w:top w:w="15" w:type="dxa"/>
              <w:left w:w="0" w:type="dxa"/>
              <w:bottom w:w="0" w:type="dxa"/>
              <w:right w:w="15" w:type="dxa"/>
            </w:tcMar>
            <w:vAlign w:val="bottom"/>
            <w:hideMark/>
          </w:tcPr>
          <w:p w14:paraId="48EA5AE6" w14:textId="77777777" w:rsidR="00251D72" w:rsidRDefault="00251D72">
            <w:pPr>
              <w:pStyle w:val="a3"/>
              <w:spacing w:before="0" w:beforeAutospacing="0" w:after="0" w:afterAutospacing="0"/>
              <w:ind w:left="372" w:hanging="98"/>
              <w:rPr>
                <w:rFonts w:ascii="Calibri" w:hAnsi="Calibri" w:cs="Calibri"/>
                <w:color w:val="000000"/>
                <w:sz w:val="16"/>
                <w:szCs w:val="16"/>
              </w:rPr>
            </w:pPr>
            <w:r>
              <w:rPr>
                <w:rFonts w:ascii="Calibri" w:hAnsi="Calibri" w:cs="Calibri"/>
                <w:color w:val="000000"/>
                <w:sz w:val="16"/>
                <w:szCs w:val="16"/>
              </w:rPr>
              <w:t>Interest rate swap agreements designated as fair value hedges</w:t>
            </w:r>
          </w:p>
        </w:tc>
        <w:tc>
          <w:tcPr>
            <w:tcW w:w="91" w:type="pct"/>
            <w:shd w:val="clear" w:color="auto" w:fill="CFF0FC"/>
            <w:tcMar>
              <w:top w:w="15" w:type="dxa"/>
              <w:left w:w="0" w:type="dxa"/>
              <w:bottom w:w="0" w:type="dxa"/>
              <w:right w:w="15" w:type="dxa"/>
            </w:tcMar>
            <w:vAlign w:val="bottom"/>
            <w:hideMark/>
          </w:tcPr>
          <w:p w14:paraId="61ADF6F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48" w:type="pct"/>
            <w:shd w:val="clear" w:color="auto" w:fill="CFF0FC"/>
            <w:tcMar>
              <w:top w:w="15" w:type="dxa"/>
              <w:left w:w="0" w:type="dxa"/>
              <w:bottom w:w="0" w:type="dxa"/>
              <w:right w:w="15" w:type="dxa"/>
            </w:tcMar>
            <w:vAlign w:val="bottom"/>
            <w:hideMark/>
          </w:tcPr>
          <w:p w14:paraId="69E7E0D4" w14:textId="77777777" w:rsidR="00251D72" w:rsidRDefault="00251D72">
            <w:pPr>
              <w:pStyle w:val="a3"/>
              <w:spacing w:before="0" w:beforeAutospacing="0" w:after="0" w:afterAutospacing="0"/>
              <w:ind w:left="101" w:hanging="101"/>
              <w:rPr>
                <w:rFonts w:ascii="Calibri" w:hAnsi="Calibri" w:cs="Calibri"/>
                <w:color w:val="000000"/>
                <w:sz w:val="16"/>
                <w:szCs w:val="16"/>
              </w:rPr>
            </w:pPr>
            <w:r>
              <w:rPr>
                <w:rFonts w:ascii="Calibri" w:hAnsi="Calibri" w:cs="Calibri"/>
                <w:color w:val="000000"/>
                <w:sz w:val="16"/>
                <w:szCs w:val="16"/>
              </w:rPr>
              <w:t>Other non-current liabilities</w:t>
            </w:r>
          </w:p>
        </w:tc>
        <w:tc>
          <w:tcPr>
            <w:tcW w:w="91" w:type="pct"/>
            <w:shd w:val="clear" w:color="auto" w:fill="CFF0FC"/>
            <w:tcMar>
              <w:top w:w="15" w:type="dxa"/>
              <w:left w:w="0" w:type="dxa"/>
              <w:bottom w:w="0" w:type="dxa"/>
              <w:right w:w="15" w:type="dxa"/>
            </w:tcMar>
            <w:vAlign w:val="bottom"/>
            <w:hideMark/>
          </w:tcPr>
          <w:p w14:paraId="7FA91E5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5FD32E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shd w:val="clear" w:color="auto" w:fill="CFF0FC"/>
            <w:noWrap/>
            <w:tcMar>
              <w:top w:w="15" w:type="dxa"/>
              <w:left w:w="0" w:type="dxa"/>
              <w:bottom w:w="0" w:type="dxa"/>
              <w:right w:w="15" w:type="dxa"/>
            </w:tcMar>
            <w:vAlign w:val="bottom"/>
            <w:hideMark/>
          </w:tcPr>
          <w:p w14:paraId="2D97100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74FA2C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left w:w="0" w:type="dxa"/>
              <w:bottom w:w="0" w:type="dxa"/>
              <w:right w:w="15" w:type="dxa"/>
            </w:tcMar>
            <w:vAlign w:val="bottom"/>
            <w:hideMark/>
          </w:tcPr>
          <w:p w14:paraId="6524A74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A311ED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shd w:val="clear" w:color="auto" w:fill="CFF0FC"/>
            <w:noWrap/>
            <w:tcMar>
              <w:top w:w="15" w:type="dxa"/>
              <w:left w:w="0" w:type="dxa"/>
              <w:bottom w:w="0" w:type="dxa"/>
              <w:right w:w="15" w:type="dxa"/>
            </w:tcMar>
            <w:vAlign w:val="bottom"/>
            <w:hideMark/>
          </w:tcPr>
          <w:p w14:paraId="5979CB3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48</w:t>
            </w:r>
          </w:p>
        </w:tc>
        <w:tc>
          <w:tcPr>
            <w:tcW w:w="50" w:type="pct"/>
            <w:shd w:val="clear" w:color="auto" w:fill="CFF0FC"/>
            <w:noWrap/>
            <w:tcMar>
              <w:top w:w="15" w:type="dxa"/>
              <w:left w:w="0" w:type="dxa"/>
              <w:bottom w:w="0" w:type="dxa"/>
              <w:right w:w="15" w:type="dxa"/>
            </w:tcMar>
            <w:vAlign w:val="bottom"/>
            <w:hideMark/>
          </w:tcPr>
          <w:p w14:paraId="3076E3E3"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6D578CF3" w14:textId="77777777">
        <w:trPr>
          <w:divId w:val="1662732786"/>
          <w:jc w:val="center"/>
        </w:trPr>
        <w:tc>
          <w:tcPr>
            <w:tcW w:w="2427" w:type="pct"/>
            <w:shd w:val="clear" w:color="auto" w:fill="FFFFFF"/>
            <w:tcMar>
              <w:top w:w="15" w:type="dxa"/>
              <w:left w:w="0" w:type="dxa"/>
              <w:bottom w:w="0" w:type="dxa"/>
              <w:right w:w="15" w:type="dxa"/>
            </w:tcMar>
            <w:vAlign w:val="bottom"/>
            <w:hideMark/>
          </w:tcPr>
          <w:p w14:paraId="20589F21" w14:textId="77777777" w:rsidR="00251D72" w:rsidRDefault="00251D72">
            <w:pPr>
              <w:pStyle w:val="a3"/>
              <w:spacing w:before="0" w:beforeAutospacing="0" w:after="0" w:afterAutospacing="0"/>
              <w:ind w:left="372" w:hanging="98"/>
              <w:rPr>
                <w:rFonts w:ascii="Calibri" w:hAnsi="Calibri" w:cs="Calibri"/>
                <w:color w:val="000000"/>
                <w:sz w:val="16"/>
                <w:szCs w:val="16"/>
              </w:rPr>
            </w:pPr>
            <w:r>
              <w:rPr>
                <w:rFonts w:ascii="Calibri" w:hAnsi="Calibri" w:cs="Calibri"/>
                <w:color w:val="000000"/>
                <w:sz w:val="16"/>
                <w:szCs w:val="16"/>
              </w:rPr>
              <w:t>Cross-currency interest rate swap agreements designated as fair value hedges</w:t>
            </w:r>
          </w:p>
        </w:tc>
        <w:tc>
          <w:tcPr>
            <w:tcW w:w="91" w:type="pct"/>
            <w:shd w:val="clear" w:color="auto" w:fill="FFFFFF"/>
            <w:tcMar>
              <w:top w:w="15" w:type="dxa"/>
              <w:left w:w="0" w:type="dxa"/>
              <w:bottom w:w="0" w:type="dxa"/>
              <w:right w:w="15" w:type="dxa"/>
            </w:tcMar>
            <w:vAlign w:val="bottom"/>
            <w:hideMark/>
          </w:tcPr>
          <w:p w14:paraId="02DD85D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48" w:type="pct"/>
            <w:shd w:val="clear" w:color="auto" w:fill="FFFFFF"/>
            <w:tcMar>
              <w:top w:w="15" w:type="dxa"/>
              <w:left w:w="0" w:type="dxa"/>
              <w:bottom w:w="0" w:type="dxa"/>
              <w:right w:w="15" w:type="dxa"/>
            </w:tcMar>
            <w:vAlign w:val="bottom"/>
            <w:hideMark/>
          </w:tcPr>
          <w:p w14:paraId="07643C36" w14:textId="77777777" w:rsidR="00251D72" w:rsidRDefault="00251D72">
            <w:pPr>
              <w:pStyle w:val="a3"/>
              <w:spacing w:before="0" w:beforeAutospacing="0" w:after="0" w:afterAutospacing="0"/>
              <w:ind w:left="101" w:hanging="101"/>
              <w:rPr>
                <w:rFonts w:ascii="Calibri" w:hAnsi="Calibri" w:cs="Calibri"/>
                <w:color w:val="000000"/>
                <w:sz w:val="16"/>
                <w:szCs w:val="16"/>
              </w:rPr>
            </w:pPr>
            <w:r>
              <w:rPr>
                <w:rFonts w:ascii="Calibri" w:hAnsi="Calibri" w:cs="Calibri"/>
                <w:color w:val="000000"/>
                <w:sz w:val="16"/>
                <w:szCs w:val="16"/>
              </w:rPr>
              <w:t>Other non-current liabilities</w:t>
            </w:r>
          </w:p>
        </w:tc>
        <w:tc>
          <w:tcPr>
            <w:tcW w:w="91" w:type="pct"/>
            <w:shd w:val="clear" w:color="auto" w:fill="FFFFFF"/>
            <w:tcMar>
              <w:top w:w="15" w:type="dxa"/>
              <w:left w:w="0" w:type="dxa"/>
              <w:bottom w:w="0" w:type="dxa"/>
              <w:right w:w="15" w:type="dxa"/>
            </w:tcMar>
            <w:vAlign w:val="bottom"/>
            <w:hideMark/>
          </w:tcPr>
          <w:p w14:paraId="2B66927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90D246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shd w:val="clear" w:color="auto" w:fill="FFFFFF"/>
            <w:noWrap/>
            <w:tcMar>
              <w:top w:w="15" w:type="dxa"/>
              <w:left w:w="0" w:type="dxa"/>
              <w:bottom w:w="0" w:type="dxa"/>
              <w:right w:w="15" w:type="dxa"/>
            </w:tcMar>
            <w:vAlign w:val="bottom"/>
            <w:hideMark/>
          </w:tcPr>
          <w:p w14:paraId="283A5DD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w:t>
            </w:r>
          </w:p>
        </w:tc>
        <w:tc>
          <w:tcPr>
            <w:tcW w:w="50" w:type="pct"/>
            <w:shd w:val="clear" w:color="auto" w:fill="FFFFFF"/>
            <w:noWrap/>
            <w:tcMar>
              <w:top w:w="15" w:type="dxa"/>
              <w:left w:w="0" w:type="dxa"/>
              <w:bottom w:w="0" w:type="dxa"/>
              <w:right w:w="15" w:type="dxa"/>
            </w:tcMar>
            <w:vAlign w:val="bottom"/>
            <w:hideMark/>
          </w:tcPr>
          <w:p w14:paraId="622E0DA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left w:w="0" w:type="dxa"/>
              <w:bottom w:w="0" w:type="dxa"/>
              <w:right w:w="15" w:type="dxa"/>
            </w:tcMar>
            <w:vAlign w:val="bottom"/>
            <w:hideMark/>
          </w:tcPr>
          <w:p w14:paraId="1BCF99E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64EF77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shd w:val="clear" w:color="auto" w:fill="FFFFFF"/>
            <w:noWrap/>
            <w:tcMar>
              <w:top w:w="15" w:type="dxa"/>
              <w:left w:w="0" w:type="dxa"/>
              <w:bottom w:w="0" w:type="dxa"/>
              <w:right w:w="15" w:type="dxa"/>
            </w:tcMar>
            <w:vAlign w:val="bottom"/>
            <w:hideMark/>
          </w:tcPr>
          <w:p w14:paraId="1E77BEC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2DEEDD9"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5A7B16B5" w14:textId="77777777">
        <w:trPr>
          <w:divId w:val="1662732786"/>
          <w:jc w:val="center"/>
        </w:trPr>
        <w:tc>
          <w:tcPr>
            <w:tcW w:w="2427" w:type="pct"/>
            <w:shd w:val="clear" w:color="auto" w:fill="CFF0FC"/>
            <w:tcMar>
              <w:top w:w="15" w:type="dxa"/>
              <w:left w:w="0" w:type="dxa"/>
              <w:bottom w:w="0" w:type="dxa"/>
              <w:right w:w="15" w:type="dxa"/>
            </w:tcMar>
            <w:vAlign w:val="bottom"/>
            <w:hideMark/>
          </w:tcPr>
          <w:p w14:paraId="52C72E80" w14:textId="77777777" w:rsidR="00251D72" w:rsidRDefault="00251D72">
            <w:pPr>
              <w:pStyle w:val="a3"/>
              <w:spacing w:before="0" w:beforeAutospacing="0" w:after="0" w:afterAutospacing="0"/>
              <w:ind w:left="372" w:hanging="98"/>
              <w:rPr>
                <w:rFonts w:ascii="Calibri" w:hAnsi="Calibri" w:cs="Calibri"/>
                <w:color w:val="000000"/>
                <w:sz w:val="16"/>
                <w:szCs w:val="16"/>
              </w:rPr>
            </w:pPr>
            <w:r>
              <w:rPr>
                <w:rFonts w:ascii="Calibri" w:hAnsi="Calibri" w:cs="Calibri"/>
                <w:color w:val="000000"/>
                <w:sz w:val="16"/>
                <w:szCs w:val="16"/>
              </w:rPr>
              <w:t>Cross-currency swap agreements designated as cash flow hedges</w:t>
            </w:r>
          </w:p>
        </w:tc>
        <w:tc>
          <w:tcPr>
            <w:tcW w:w="91" w:type="pct"/>
            <w:shd w:val="clear" w:color="auto" w:fill="CFF0FC"/>
            <w:tcMar>
              <w:top w:w="15" w:type="dxa"/>
              <w:left w:w="0" w:type="dxa"/>
              <w:bottom w:w="0" w:type="dxa"/>
              <w:right w:w="15" w:type="dxa"/>
            </w:tcMar>
            <w:vAlign w:val="bottom"/>
            <w:hideMark/>
          </w:tcPr>
          <w:p w14:paraId="3E4FD7D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48" w:type="pct"/>
            <w:shd w:val="clear" w:color="auto" w:fill="CFF0FC"/>
            <w:tcMar>
              <w:top w:w="15" w:type="dxa"/>
              <w:left w:w="0" w:type="dxa"/>
              <w:bottom w:w="0" w:type="dxa"/>
              <w:right w:w="15" w:type="dxa"/>
            </w:tcMar>
            <w:vAlign w:val="bottom"/>
            <w:hideMark/>
          </w:tcPr>
          <w:p w14:paraId="1817354F" w14:textId="77777777" w:rsidR="00251D72" w:rsidRDefault="00251D72">
            <w:pPr>
              <w:pStyle w:val="a3"/>
              <w:spacing w:before="0" w:beforeAutospacing="0" w:after="0" w:afterAutospacing="0"/>
              <w:ind w:left="101" w:hanging="101"/>
              <w:rPr>
                <w:rFonts w:ascii="Calibri" w:hAnsi="Calibri" w:cs="Calibri"/>
                <w:color w:val="000000"/>
                <w:sz w:val="16"/>
                <w:szCs w:val="16"/>
              </w:rPr>
            </w:pPr>
            <w:r>
              <w:rPr>
                <w:rFonts w:ascii="Calibri" w:hAnsi="Calibri" w:cs="Calibri"/>
                <w:color w:val="000000"/>
                <w:sz w:val="16"/>
                <w:szCs w:val="16"/>
              </w:rPr>
              <w:t>Other non-current liabilities</w:t>
            </w:r>
          </w:p>
        </w:tc>
        <w:tc>
          <w:tcPr>
            <w:tcW w:w="91" w:type="pct"/>
            <w:shd w:val="clear" w:color="auto" w:fill="CFF0FC"/>
            <w:tcMar>
              <w:top w:w="15" w:type="dxa"/>
              <w:left w:w="0" w:type="dxa"/>
              <w:bottom w:w="0" w:type="dxa"/>
              <w:right w:w="15" w:type="dxa"/>
            </w:tcMar>
            <w:vAlign w:val="bottom"/>
            <w:hideMark/>
          </w:tcPr>
          <w:p w14:paraId="4D64DD0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17F703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bottom w:val="single" w:sz="6" w:space="0" w:color="000000"/>
            </w:tcBorders>
            <w:shd w:val="clear" w:color="auto" w:fill="CFF0FC"/>
            <w:noWrap/>
            <w:tcMar>
              <w:top w:w="15" w:type="dxa"/>
              <w:left w:w="0" w:type="dxa"/>
              <w:bottom w:w="0" w:type="dxa"/>
              <w:right w:w="15" w:type="dxa"/>
            </w:tcMar>
            <w:vAlign w:val="bottom"/>
            <w:hideMark/>
          </w:tcPr>
          <w:p w14:paraId="0101BE3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208</w:t>
            </w:r>
          </w:p>
        </w:tc>
        <w:tc>
          <w:tcPr>
            <w:tcW w:w="50" w:type="pct"/>
            <w:shd w:val="clear" w:color="auto" w:fill="CFF0FC"/>
            <w:noWrap/>
            <w:tcMar>
              <w:top w:w="15" w:type="dxa"/>
              <w:left w:w="0" w:type="dxa"/>
              <w:bottom w:w="0" w:type="dxa"/>
              <w:right w:w="15" w:type="dxa"/>
            </w:tcMar>
            <w:vAlign w:val="bottom"/>
            <w:hideMark/>
          </w:tcPr>
          <w:p w14:paraId="3AE9EBB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left w:w="0" w:type="dxa"/>
              <w:bottom w:w="0" w:type="dxa"/>
              <w:right w:w="15" w:type="dxa"/>
            </w:tcMar>
            <w:vAlign w:val="bottom"/>
            <w:hideMark/>
          </w:tcPr>
          <w:p w14:paraId="3B05834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D8958D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bottom w:val="single" w:sz="6" w:space="0" w:color="000000"/>
            </w:tcBorders>
            <w:shd w:val="clear" w:color="auto" w:fill="CFF0FC"/>
            <w:noWrap/>
            <w:tcMar>
              <w:top w:w="15" w:type="dxa"/>
              <w:left w:w="0" w:type="dxa"/>
              <w:bottom w:w="0" w:type="dxa"/>
              <w:right w:w="15" w:type="dxa"/>
            </w:tcMar>
            <w:vAlign w:val="bottom"/>
            <w:hideMark/>
          </w:tcPr>
          <w:p w14:paraId="7922E09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103</w:t>
            </w:r>
          </w:p>
        </w:tc>
        <w:tc>
          <w:tcPr>
            <w:tcW w:w="50" w:type="pct"/>
            <w:shd w:val="clear" w:color="auto" w:fill="CFF0FC"/>
            <w:noWrap/>
            <w:tcMar>
              <w:top w:w="15" w:type="dxa"/>
              <w:left w:w="0" w:type="dxa"/>
              <w:bottom w:w="0" w:type="dxa"/>
              <w:right w:w="15" w:type="dxa"/>
            </w:tcMar>
            <w:vAlign w:val="bottom"/>
            <w:hideMark/>
          </w:tcPr>
          <w:p w14:paraId="4A0FC811"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r>
      <w:tr w:rsidR="00251D72" w14:paraId="1000A116" w14:textId="77777777">
        <w:trPr>
          <w:divId w:val="1662732786"/>
          <w:jc w:val="center"/>
        </w:trPr>
        <w:tc>
          <w:tcPr>
            <w:tcW w:w="2427" w:type="pct"/>
            <w:shd w:val="clear" w:color="auto" w:fill="FFFFFF"/>
            <w:tcMar>
              <w:top w:w="15" w:type="dxa"/>
              <w:left w:w="0" w:type="dxa"/>
              <w:bottom w:w="0" w:type="dxa"/>
              <w:right w:w="15" w:type="dxa"/>
            </w:tcMar>
            <w:vAlign w:val="bottom"/>
            <w:hideMark/>
          </w:tcPr>
          <w:p w14:paraId="3F22F220" w14:textId="77777777" w:rsidR="00251D72" w:rsidRDefault="00251D72">
            <w:pPr>
              <w:pStyle w:val="a3"/>
              <w:spacing w:before="0" w:beforeAutospacing="0" w:after="0" w:afterAutospacing="0"/>
              <w:ind w:left="547"/>
              <w:rPr>
                <w:rFonts w:ascii="Calibri" w:hAnsi="Calibri" w:cs="Calibri"/>
                <w:color w:val="000000"/>
                <w:sz w:val="16"/>
                <w:szCs w:val="16"/>
              </w:rPr>
            </w:pPr>
            <w:r>
              <w:rPr>
                <w:rFonts w:ascii="Calibri" w:hAnsi="Calibri" w:cs="Calibri"/>
                <w:color w:val="000000"/>
                <w:sz w:val="16"/>
                <w:szCs w:val="16"/>
              </w:rPr>
              <w:t>Total derivative liabilities</w:t>
            </w:r>
          </w:p>
        </w:tc>
        <w:tc>
          <w:tcPr>
            <w:tcW w:w="91" w:type="pct"/>
            <w:shd w:val="clear" w:color="auto" w:fill="FFFFFF"/>
            <w:tcMar>
              <w:top w:w="15" w:type="dxa"/>
              <w:left w:w="0" w:type="dxa"/>
              <w:bottom w:w="0" w:type="dxa"/>
              <w:right w:w="15" w:type="dxa"/>
            </w:tcMar>
            <w:vAlign w:val="bottom"/>
            <w:hideMark/>
          </w:tcPr>
          <w:p w14:paraId="3AAF7D5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48" w:type="pct"/>
            <w:shd w:val="clear" w:color="auto" w:fill="FFFFFF"/>
            <w:tcMar>
              <w:top w:w="15" w:type="dxa"/>
              <w:left w:w="0" w:type="dxa"/>
              <w:bottom w:w="0" w:type="dxa"/>
              <w:right w:w="15" w:type="dxa"/>
            </w:tcMar>
            <w:vAlign w:val="bottom"/>
            <w:hideMark/>
          </w:tcPr>
          <w:p w14:paraId="7967F93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left w:w="0" w:type="dxa"/>
              <w:bottom w:w="0" w:type="dxa"/>
              <w:right w:w="15" w:type="dxa"/>
            </w:tcMar>
            <w:vAlign w:val="bottom"/>
            <w:hideMark/>
          </w:tcPr>
          <w:p w14:paraId="24CFF2C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8A12FE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5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AB8986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230</w:t>
            </w:r>
          </w:p>
        </w:tc>
        <w:tc>
          <w:tcPr>
            <w:tcW w:w="50" w:type="pct"/>
            <w:shd w:val="clear" w:color="auto" w:fill="FFFFFF"/>
            <w:noWrap/>
            <w:tcMar>
              <w:top w:w="15" w:type="dxa"/>
              <w:left w:w="0" w:type="dxa"/>
              <w:bottom w:w="0" w:type="dxa"/>
              <w:right w:w="15" w:type="dxa"/>
            </w:tcMar>
            <w:vAlign w:val="bottom"/>
            <w:hideMark/>
          </w:tcPr>
          <w:p w14:paraId="56BC54B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left w:w="0" w:type="dxa"/>
              <w:bottom w:w="0" w:type="dxa"/>
              <w:right w:w="15" w:type="dxa"/>
            </w:tcMar>
            <w:vAlign w:val="bottom"/>
            <w:hideMark/>
          </w:tcPr>
          <w:p w14:paraId="120A65B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3EC0B2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5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1746E1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158</w:t>
            </w:r>
          </w:p>
        </w:tc>
        <w:tc>
          <w:tcPr>
            <w:tcW w:w="50" w:type="pct"/>
            <w:shd w:val="clear" w:color="auto" w:fill="FFFFFF"/>
            <w:noWrap/>
            <w:tcMar>
              <w:top w:w="15" w:type="dxa"/>
              <w:left w:w="0" w:type="dxa"/>
              <w:bottom w:w="0" w:type="dxa"/>
              <w:right w:w="15" w:type="dxa"/>
            </w:tcMar>
            <w:vAlign w:val="bottom"/>
            <w:hideMark/>
          </w:tcPr>
          <w:p w14:paraId="6AB07EE2"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3308709" w14:textId="77777777" w:rsidR="00251D72" w:rsidRDefault="00251D72">
      <w:pPr>
        <w:pStyle w:val="a3"/>
        <w:spacing w:before="0" w:beforeAutospacing="0" w:after="0" w:afterAutospacing="0"/>
        <w:jc w:val="both"/>
        <w:rPr>
          <w:sz w:val="12"/>
          <w:szCs w:val="12"/>
        </w:rPr>
      </w:pPr>
      <w:r>
        <w:rPr>
          <w:sz w:val="12"/>
          <w:szCs w:val="12"/>
        </w:rPr>
        <w:t> </w:t>
      </w:r>
    </w:p>
    <w:p w14:paraId="77B92707" w14:textId="77777777" w:rsidR="00251D72" w:rsidRDefault="00251D72">
      <w:pPr>
        <w:pStyle w:val="a3"/>
        <w:spacing w:before="120" w:beforeAutospacing="0" w:after="0" w:afterAutospacing="0"/>
        <w:jc w:val="both"/>
        <w:rPr>
          <w:rFonts w:ascii="Calibri" w:hAnsi="Calibri" w:cs="Calibri"/>
          <w:b/>
          <w:bCs/>
          <w:color w:val="000000"/>
          <w:sz w:val="20"/>
          <w:szCs w:val="20"/>
        </w:rPr>
      </w:pPr>
      <w:r>
        <w:rPr>
          <w:rFonts w:ascii="Calibri" w:hAnsi="Calibri" w:cs="Calibri"/>
          <w:b/>
          <w:bCs/>
          <w:color w:val="000000"/>
          <w:sz w:val="20"/>
          <w:szCs w:val="20"/>
        </w:rPr>
        <w:t>Effects of Fair Value Hedging Relationships on Hedged Items in Consolidated Balance Sheets</w:t>
      </w:r>
    </w:p>
    <w:p w14:paraId="151B31AE" w14:textId="77777777" w:rsidR="00251D72" w:rsidRDefault="00251D72">
      <w:pPr>
        <w:pStyle w:val="a3"/>
        <w:spacing w:before="0" w:beforeAutospacing="0" w:after="0" w:afterAutospacing="0"/>
        <w:jc w:val="both"/>
        <w:rPr>
          <w:b/>
          <w:bCs/>
          <w:sz w:val="12"/>
          <w:szCs w:val="12"/>
        </w:rPr>
      </w:pPr>
      <w:r>
        <w:rPr>
          <w:b/>
          <w:bCs/>
          <w:sz w:val="12"/>
          <w:szCs w:val="12"/>
        </w:rPr>
        <w:t> </w:t>
      </w:r>
    </w:p>
    <w:tbl>
      <w:tblPr>
        <w:tblW w:w="5000" w:type="pct"/>
        <w:jc w:val="center"/>
        <w:tblCellMar>
          <w:left w:w="0" w:type="dxa"/>
          <w:right w:w="0" w:type="dxa"/>
        </w:tblCellMar>
        <w:tblLook w:val="04A0" w:firstRow="1" w:lastRow="0" w:firstColumn="1" w:lastColumn="0" w:noHBand="0" w:noVBand="1"/>
      </w:tblPr>
      <w:tblGrid>
        <w:gridCol w:w="5719"/>
        <w:gridCol w:w="134"/>
        <w:gridCol w:w="107"/>
        <w:gridCol w:w="975"/>
        <w:gridCol w:w="76"/>
        <w:gridCol w:w="134"/>
        <w:gridCol w:w="107"/>
        <w:gridCol w:w="977"/>
        <w:gridCol w:w="77"/>
      </w:tblGrid>
      <w:tr w:rsidR="00251D72" w14:paraId="587BA6ED" w14:textId="77777777">
        <w:trPr>
          <w:divId w:val="1101340513"/>
          <w:jc w:val="center"/>
        </w:trPr>
        <w:tc>
          <w:tcPr>
            <w:tcW w:w="3446" w:type="pct"/>
            <w:shd w:val="clear" w:color="auto" w:fill="FFFFFF"/>
            <w:tcMar>
              <w:top w:w="15" w:type="dxa"/>
              <w:left w:w="0" w:type="dxa"/>
              <w:bottom w:w="0" w:type="dxa"/>
              <w:right w:w="15" w:type="dxa"/>
            </w:tcMar>
            <w:vAlign w:val="bottom"/>
            <w:hideMark/>
          </w:tcPr>
          <w:p w14:paraId="4F4DAD9C" w14:textId="77777777" w:rsidR="00251D72" w:rsidRDefault="00251D72">
            <w:pPr>
              <w:pStyle w:val="a3"/>
              <w:spacing w:before="0" w:beforeAutospacing="0" w:after="0" w:afterAutospacing="0"/>
              <w:rPr>
                <w:sz w:val="20"/>
                <w:szCs w:val="20"/>
              </w:rPr>
            </w:pPr>
            <w:r>
              <w:rPr>
                <w:sz w:val="20"/>
                <w:szCs w:val="20"/>
              </w:rPr>
              <w:t> </w:t>
            </w:r>
          </w:p>
        </w:tc>
        <w:tc>
          <w:tcPr>
            <w:tcW w:w="85" w:type="pct"/>
            <w:shd w:val="clear" w:color="auto" w:fill="FFFFFF"/>
            <w:tcMar>
              <w:top w:w="15" w:type="dxa"/>
              <w:left w:w="0" w:type="dxa"/>
              <w:bottom w:w="0" w:type="dxa"/>
              <w:right w:w="15" w:type="dxa"/>
            </w:tcMar>
            <w:vAlign w:val="bottom"/>
            <w:hideMark/>
          </w:tcPr>
          <w:p w14:paraId="720A2BDC" w14:textId="77777777" w:rsidR="00251D72" w:rsidRDefault="00251D7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418" w:type="pct"/>
            <w:gridSpan w:val="6"/>
            <w:tcBorders>
              <w:bottom w:val="single" w:sz="6" w:space="0" w:color="000000"/>
            </w:tcBorders>
            <w:shd w:val="clear" w:color="auto" w:fill="FFFFFF"/>
            <w:tcMar>
              <w:top w:w="15" w:type="dxa"/>
              <w:left w:w="0" w:type="dxa"/>
              <w:bottom w:w="0" w:type="dxa"/>
              <w:right w:w="15" w:type="dxa"/>
            </w:tcMar>
            <w:vAlign w:val="bottom"/>
            <w:hideMark/>
          </w:tcPr>
          <w:p w14:paraId="0B41903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left w:w="0" w:type="dxa"/>
              <w:bottom w:w="0" w:type="dxa"/>
              <w:right w:w="15" w:type="dxa"/>
            </w:tcMar>
            <w:vAlign w:val="bottom"/>
            <w:hideMark/>
          </w:tcPr>
          <w:p w14:paraId="6D47044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7B84D0B7" w14:textId="77777777">
        <w:trPr>
          <w:divId w:val="1101340513"/>
          <w:jc w:val="center"/>
        </w:trPr>
        <w:tc>
          <w:tcPr>
            <w:tcW w:w="3446" w:type="pct"/>
            <w:tcBorders>
              <w:bottom w:val="single" w:sz="6" w:space="0" w:color="000000"/>
            </w:tcBorders>
            <w:shd w:val="clear" w:color="auto" w:fill="FFFFFF"/>
            <w:tcMar>
              <w:top w:w="15" w:type="dxa"/>
              <w:left w:w="0" w:type="dxa"/>
              <w:bottom w:w="0" w:type="dxa"/>
              <w:right w:w="15" w:type="dxa"/>
            </w:tcMar>
            <w:vAlign w:val="bottom"/>
            <w:hideMark/>
          </w:tcPr>
          <w:p w14:paraId="1ABFC69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left w:w="0" w:type="dxa"/>
              <w:bottom w:w="0" w:type="dxa"/>
              <w:right w:w="15" w:type="dxa"/>
            </w:tcMar>
            <w:vAlign w:val="bottom"/>
            <w:hideMark/>
          </w:tcPr>
          <w:p w14:paraId="4A3339D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4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3DFD6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72E9F7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14:paraId="42A8BCF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4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676CE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0C909A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EB5AEE4" w14:textId="77777777">
        <w:trPr>
          <w:divId w:val="1101340513"/>
          <w:jc w:val="center"/>
        </w:trPr>
        <w:tc>
          <w:tcPr>
            <w:tcW w:w="3446" w:type="pct"/>
            <w:tcBorders>
              <w:top w:val="single" w:sz="6" w:space="0" w:color="000000"/>
            </w:tcBorders>
            <w:shd w:val="clear" w:color="auto" w:fill="CFF0FC"/>
            <w:tcMar>
              <w:top w:w="15" w:type="dxa"/>
              <w:left w:w="0" w:type="dxa"/>
              <w:bottom w:w="0" w:type="dxa"/>
              <w:right w:w="15" w:type="dxa"/>
            </w:tcMar>
            <w:vAlign w:val="bottom"/>
            <w:hideMark/>
          </w:tcPr>
          <w:p w14:paraId="3147F6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Notes payable and other borrowings, current:</w:t>
            </w:r>
          </w:p>
        </w:tc>
        <w:tc>
          <w:tcPr>
            <w:tcW w:w="85" w:type="pct"/>
            <w:shd w:val="clear" w:color="auto" w:fill="CFF0FC"/>
            <w:tcMar>
              <w:top w:w="15" w:type="dxa"/>
              <w:left w:w="0" w:type="dxa"/>
              <w:bottom w:w="0" w:type="dxa"/>
              <w:right w:w="15" w:type="dxa"/>
            </w:tcMar>
            <w:vAlign w:val="bottom"/>
            <w:hideMark/>
          </w:tcPr>
          <w:p w14:paraId="30C42230"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F60465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tcBorders>
              <w:top w:val="single" w:sz="6" w:space="0" w:color="000000"/>
            </w:tcBorders>
            <w:shd w:val="clear" w:color="auto" w:fill="CFF0FC"/>
            <w:noWrap/>
            <w:tcMar>
              <w:top w:w="15" w:type="dxa"/>
              <w:left w:w="0" w:type="dxa"/>
              <w:bottom w:w="0" w:type="dxa"/>
              <w:right w:w="15" w:type="dxa"/>
            </w:tcMar>
            <w:vAlign w:val="bottom"/>
            <w:hideMark/>
          </w:tcPr>
          <w:p w14:paraId="5B76FBE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EA9A7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4D992A1D"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7F185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tcBorders>
              <w:top w:val="single" w:sz="6" w:space="0" w:color="000000"/>
            </w:tcBorders>
            <w:shd w:val="clear" w:color="auto" w:fill="CFF0FC"/>
            <w:noWrap/>
            <w:tcMar>
              <w:top w:w="15" w:type="dxa"/>
              <w:left w:w="0" w:type="dxa"/>
              <w:bottom w:w="0" w:type="dxa"/>
              <w:right w:w="15" w:type="dxa"/>
            </w:tcMar>
            <w:vAlign w:val="bottom"/>
            <w:hideMark/>
          </w:tcPr>
          <w:p w14:paraId="578E3B9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69073C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98BF048" w14:textId="77777777">
        <w:trPr>
          <w:divId w:val="1101340513"/>
          <w:jc w:val="center"/>
        </w:trPr>
        <w:tc>
          <w:tcPr>
            <w:tcW w:w="3446" w:type="pct"/>
            <w:shd w:val="clear" w:color="auto" w:fill="FFFFFF"/>
            <w:tcMar>
              <w:top w:w="15" w:type="dxa"/>
              <w:left w:w="0" w:type="dxa"/>
              <w:bottom w:w="0" w:type="dxa"/>
              <w:right w:w="15" w:type="dxa"/>
            </w:tcMar>
            <w:vAlign w:val="bottom"/>
            <w:hideMark/>
          </w:tcPr>
          <w:p w14:paraId="4B0363BA" w14:textId="77777777" w:rsidR="00251D72" w:rsidRDefault="00251D72">
            <w:pPr>
              <w:pStyle w:val="a3"/>
              <w:spacing w:before="0" w:beforeAutospacing="0" w:after="0" w:afterAutospacing="0"/>
              <w:ind w:left="418" w:hanging="144"/>
              <w:rPr>
                <w:rFonts w:ascii="Calibri" w:hAnsi="Calibri" w:cs="Calibri"/>
                <w:color w:val="000000"/>
                <w:sz w:val="18"/>
                <w:szCs w:val="18"/>
              </w:rPr>
            </w:pPr>
            <w:r>
              <w:rPr>
                <w:rFonts w:ascii="Calibri" w:hAnsi="Calibri" w:cs="Calibri"/>
                <w:color w:val="000000"/>
                <w:sz w:val="18"/>
                <w:szCs w:val="18"/>
              </w:rPr>
              <w:t>Carrying amount of hedged item</w:t>
            </w:r>
          </w:p>
        </w:tc>
        <w:tc>
          <w:tcPr>
            <w:tcW w:w="85" w:type="pct"/>
            <w:shd w:val="clear" w:color="auto" w:fill="FFFFFF"/>
            <w:tcMar>
              <w:top w:w="15" w:type="dxa"/>
              <w:left w:w="0" w:type="dxa"/>
              <w:bottom w:w="0" w:type="dxa"/>
              <w:right w:w="15" w:type="dxa"/>
            </w:tcMar>
            <w:vAlign w:val="bottom"/>
            <w:hideMark/>
          </w:tcPr>
          <w:p w14:paraId="5C15BCFF"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900681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1" w:type="pct"/>
            <w:shd w:val="clear" w:color="auto" w:fill="FFFFFF"/>
            <w:noWrap/>
            <w:tcMar>
              <w:top w:w="15" w:type="dxa"/>
              <w:left w:w="0" w:type="dxa"/>
              <w:bottom w:w="0" w:type="dxa"/>
              <w:right w:w="15" w:type="dxa"/>
            </w:tcMar>
            <w:vAlign w:val="bottom"/>
            <w:hideMark/>
          </w:tcPr>
          <w:p w14:paraId="2FA611F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1,994</w:t>
            </w:r>
          </w:p>
        </w:tc>
        <w:tc>
          <w:tcPr>
            <w:tcW w:w="50" w:type="pct"/>
            <w:shd w:val="clear" w:color="auto" w:fill="FFFFFF"/>
            <w:noWrap/>
            <w:tcMar>
              <w:top w:w="15" w:type="dxa"/>
              <w:left w:w="0" w:type="dxa"/>
              <w:bottom w:w="0" w:type="dxa"/>
              <w:right w:w="15" w:type="dxa"/>
            </w:tcMar>
            <w:vAlign w:val="bottom"/>
            <w:hideMark/>
          </w:tcPr>
          <w:p w14:paraId="110B57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7B30E969"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E774A7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1" w:type="pct"/>
            <w:shd w:val="clear" w:color="auto" w:fill="FFFFFF"/>
            <w:noWrap/>
            <w:tcMar>
              <w:top w:w="15" w:type="dxa"/>
              <w:left w:w="0" w:type="dxa"/>
              <w:bottom w:w="0" w:type="dxa"/>
              <w:right w:w="15" w:type="dxa"/>
            </w:tcMar>
            <w:vAlign w:val="bottom"/>
            <w:hideMark/>
          </w:tcPr>
          <w:p w14:paraId="6171AC9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1,492</w:t>
            </w:r>
          </w:p>
        </w:tc>
        <w:tc>
          <w:tcPr>
            <w:tcW w:w="50" w:type="pct"/>
            <w:shd w:val="clear" w:color="auto" w:fill="FFFFFF"/>
            <w:noWrap/>
            <w:tcMar>
              <w:top w:w="15" w:type="dxa"/>
              <w:left w:w="0" w:type="dxa"/>
              <w:bottom w:w="0" w:type="dxa"/>
              <w:right w:w="15" w:type="dxa"/>
            </w:tcMar>
            <w:vAlign w:val="bottom"/>
            <w:hideMark/>
          </w:tcPr>
          <w:p w14:paraId="60F747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C76A3E2" w14:textId="77777777">
        <w:trPr>
          <w:divId w:val="1101340513"/>
          <w:jc w:val="center"/>
        </w:trPr>
        <w:tc>
          <w:tcPr>
            <w:tcW w:w="3446" w:type="pct"/>
            <w:shd w:val="clear" w:color="auto" w:fill="CFF0FC"/>
            <w:tcMar>
              <w:top w:w="15" w:type="dxa"/>
              <w:left w:w="0" w:type="dxa"/>
              <w:bottom w:w="0" w:type="dxa"/>
              <w:right w:w="15" w:type="dxa"/>
            </w:tcMar>
            <w:vAlign w:val="bottom"/>
            <w:hideMark/>
          </w:tcPr>
          <w:p w14:paraId="588DA038" w14:textId="77777777" w:rsidR="00251D72" w:rsidRDefault="00251D72">
            <w:pPr>
              <w:pStyle w:val="a3"/>
              <w:spacing w:before="0" w:beforeAutospacing="0" w:after="0" w:afterAutospacing="0"/>
              <w:ind w:left="418" w:hanging="144"/>
              <w:rPr>
                <w:rFonts w:ascii="Calibri" w:hAnsi="Calibri" w:cs="Calibri"/>
                <w:color w:val="000000"/>
                <w:sz w:val="18"/>
                <w:szCs w:val="18"/>
              </w:rPr>
            </w:pPr>
            <w:r>
              <w:rPr>
                <w:rFonts w:ascii="Calibri" w:hAnsi="Calibri" w:cs="Calibri"/>
                <w:color w:val="000000"/>
                <w:sz w:val="18"/>
                <w:szCs w:val="18"/>
              </w:rPr>
              <w:t>Cumulative hedging adjustments included in the carrying amount</w:t>
            </w:r>
          </w:p>
        </w:tc>
        <w:tc>
          <w:tcPr>
            <w:tcW w:w="85" w:type="pct"/>
            <w:shd w:val="clear" w:color="auto" w:fill="CFF0FC"/>
            <w:tcMar>
              <w:top w:w="15" w:type="dxa"/>
              <w:left w:w="0" w:type="dxa"/>
              <w:bottom w:w="0" w:type="dxa"/>
              <w:right w:w="15" w:type="dxa"/>
            </w:tcMar>
            <w:vAlign w:val="bottom"/>
            <w:hideMark/>
          </w:tcPr>
          <w:p w14:paraId="4C4868AC"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0E470A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CFF0FC"/>
            <w:noWrap/>
            <w:tcMar>
              <w:top w:w="15" w:type="dxa"/>
              <w:left w:w="0" w:type="dxa"/>
              <w:bottom w:w="0" w:type="dxa"/>
              <w:right w:w="15" w:type="dxa"/>
            </w:tcMar>
            <w:vAlign w:val="bottom"/>
            <w:hideMark/>
          </w:tcPr>
          <w:p w14:paraId="26C21B7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noWrap/>
            <w:tcMar>
              <w:top w:w="15" w:type="dxa"/>
              <w:left w:w="0" w:type="dxa"/>
              <w:bottom w:w="0" w:type="dxa"/>
              <w:right w:w="15" w:type="dxa"/>
            </w:tcMar>
            <w:vAlign w:val="bottom"/>
            <w:hideMark/>
          </w:tcPr>
          <w:p w14:paraId="7FA4A6E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5" w:type="pct"/>
            <w:shd w:val="clear" w:color="auto" w:fill="CFF0FC"/>
            <w:tcMar>
              <w:top w:w="15" w:type="dxa"/>
              <w:left w:w="0" w:type="dxa"/>
              <w:bottom w:w="0" w:type="dxa"/>
              <w:right w:w="15" w:type="dxa"/>
            </w:tcMar>
            <w:vAlign w:val="bottom"/>
            <w:hideMark/>
          </w:tcPr>
          <w:p w14:paraId="6AA3E3BA"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C64417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CFF0FC"/>
            <w:noWrap/>
            <w:tcMar>
              <w:top w:w="15" w:type="dxa"/>
              <w:left w:w="0" w:type="dxa"/>
              <w:bottom w:w="0" w:type="dxa"/>
              <w:right w:w="15" w:type="dxa"/>
            </w:tcMar>
            <w:vAlign w:val="bottom"/>
            <w:hideMark/>
          </w:tcPr>
          <w:p w14:paraId="1D31605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left w:w="0" w:type="dxa"/>
              <w:bottom w:w="0" w:type="dxa"/>
              <w:right w:w="15" w:type="dxa"/>
            </w:tcMar>
            <w:vAlign w:val="bottom"/>
            <w:hideMark/>
          </w:tcPr>
          <w:p w14:paraId="0A4963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1D20B017" w14:textId="77777777">
        <w:trPr>
          <w:divId w:val="1101340513"/>
          <w:jc w:val="center"/>
        </w:trPr>
        <w:tc>
          <w:tcPr>
            <w:tcW w:w="3446" w:type="pct"/>
            <w:shd w:val="clear" w:color="auto" w:fill="FFFFFF"/>
            <w:tcMar>
              <w:top w:w="15" w:type="dxa"/>
              <w:left w:w="0" w:type="dxa"/>
              <w:bottom w:w="0" w:type="dxa"/>
              <w:right w:w="15" w:type="dxa"/>
            </w:tcMar>
            <w:vAlign w:val="bottom"/>
            <w:hideMark/>
          </w:tcPr>
          <w:p w14:paraId="2E79E3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Notes payable and other borrowings, non-current:</w:t>
            </w:r>
          </w:p>
        </w:tc>
        <w:tc>
          <w:tcPr>
            <w:tcW w:w="85" w:type="pct"/>
            <w:shd w:val="clear" w:color="auto" w:fill="FFFFFF"/>
            <w:tcMar>
              <w:top w:w="15" w:type="dxa"/>
              <w:left w:w="0" w:type="dxa"/>
              <w:bottom w:w="0" w:type="dxa"/>
              <w:right w:w="15" w:type="dxa"/>
            </w:tcMar>
            <w:vAlign w:val="bottom"/>
            <w:hideMark/>
          </w:tcPr>
          <w:p w14:paraId="151B78E2"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9F935B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FFFFFF"/>
            <w:noWrap/>
            <w:tcMar>
              <w:top w:w="15" w:type="dxa"/>
              <w:left w:w="0" w:type="dxa"/>
              <w:bottom w:w="0" w:type="dxa"/>
              <w:right w:w="15" w:type="dxa"/>
            </w:tcMar>
            <w:vAlign w:val="bottom"/>
            <w:hideMark/>
          </w:tcPr>
          <w:p w14:paraId="488E8F7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23785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0BCD6C58"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2C2164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FFFFFF"/>
            <w:noWrap/>
            <w:tcMar>
              <w:top w:w="15" w:type="dxa"/>
              <w:left w:w="0" w:type="dxa"/>
              <w:bottom w:w="0" w:type="dxa"/>
              <w:right w:w="15" w:type="dxa"/>
            </w:tcMar>
            <w:vAlign w:val="bottom"/>
            <w:hideMark/>
          </w:tcPr>
          <w:p w14:paraId="4ADE79D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3F5F0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D98B835" w14:textId="77777777">
        <w:trPr>
          <w:divId w:val="1101340513"/>
          <w:jc w:val="center"/>
        </w:trPr>
        <w:tc>
          <w:tcPr>
            <w:tcW w:w="3446" w:type="pct"/>
            <w:shd w:val="clear" w:color="auto" w:fill="CFF0FC"/>
            <w:tcMar>
              <w:top w:w="15" w:type="dxa"/>
              <w:left w:w="0" w:type="dxa"/>
              <w:bottom w:w="0" w:type="dxa"/>
              <w:right w:w="15" w:type="dxa"/>
            </w:tcMar>
            <w:vAlign w:val="bottom"/>
            <w:hideMark/>
          </w:tcPr>
          <w:p w14:paraId="0A1035C1" w14:textId="77777777" w:rsidR="00251D72" w:rsidRDefault="00251D72">
            <w:pPr>
              <w:pStyle w:val="a3"/>
              <w:spacing w:before="0" w:beforeAutospacing="0" w:after="0" w:afterAutospacing="0"/>
              <w:ind w:left="418" w:hanging="144"/>
              <w:rPr>
                <w:rFonts w:ascii="Calibri" w:hAnsi="Calibri" w:cs="Calibri"/>
                <w:color w:val="000000"/>
                <w:sz w:val="18"/>
                <w:szCs w:val="18"/>
              </w:rPr>
            </w:pPr>
            <w:r>
              <w:rPr>
                <w:rFonts w:ascii="Calibri" w:hAnsi="Calibri" w:cs="Calibri"/>
                <w:color w:val="000000"/>
                <w:sz w:val="18"/>
                <w:szCs w:val="18"/>
              </w:rPr>
              <w:t>Carrying amounts of hedged items</w:t>
            </w:r>
          </w:p>
        </w:tc>
        <w:tc>
          <w:tcPr>
            <w:tcW w:w="85" w:type="pct"/>
            <w:shd w:val="clear" w:color="auto" w:fill="CFF0FC"/>
            <w:tcMar>
              <w:top w:w="15" w:type="dxa"/>
              <w:left w:w="0" w:type="dxa"/>
              <w:bottom w:w="0" w:type="dxa"/>
              <w:right w:w="15" w:type="dxa"/>
            </w:tcMar>
            <w:vAlign w:val="bottom"/>
            <w:hideMark/>
          </w:tcPr>
          <w:p w14:paraId="2AEAE6F6"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0AB278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CFF0FC"/>
            <w:noWrap/>
            <w:tcMar>
              <w:top w:w="15" w:type="dxa"/>
              <w:left w:w="0" w:type="dxa"/>
              <w:bottom w:w="0" w:type="dxa"/>
              <w:right w:w="15" w:type="dxa"/>
            </w:tcMar>
            <w:vAlign w:val="bottom"/>
            <w:hideMark/>
          </w:tcPr>
          <w:p w14:paraId="1118872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3,652</w:t>
            </w:r>
          </w:p>
        </w:tc>
        <w:tc>
          <w:tcPr>
            <w:tcW w:w="50" w:type="pct"/>
            <w:shd w:val="clear" w:color="auto" w:fill="CFF0FC"/>
            <w:noWrap/>
            <w:tcMar>
              <w:top w:w="15" w:type="dxa"/>
              <w:left w:w="0" w:type="dxa"/>
              <w:bottom w:w="0" w:type="dxa"/>
              <w:right w:w="15" w:type="dxa"/>
            </w:tcMar>
            <w:vAlign w:val="bottom"/>
            <w:hideMark/>
          </w:tcPr>
          <w:p w14:paraId="750537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6439ED57" w14:textId="77777777" w:rsidR="00251D72" w:rsidRDefault="00251D72">
            <w:pPr>
              <w:pStyle w:val="a3"/>
              <w:spacing w:before="0" w:beforeAutospacing="0" w:after="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1D52FB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CFF0FC"/>
            <w:noWrap/>
            <w:tcMar>
              <w:top w:w="15" w:type="dxa"/>
              <w:left w:w="0" w:type="dxa"/>
              <w:bottom w:w="0" w:type="dxa"/>
              <w:right w:w="15" w:type="dxa"/>
            </w:tcMar>
            <w:vAlign w:val="bottom"/>
            <w:hideMark/>
          </w:tcPr>
          <w:p w14:paraId="1394742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5,584</w:t>
            </w:r>
          </w:p>
        </w:tc>
        <w:tc>
          <w:tcPr>
            <w:tcW w:w="50" w:type="pct"/>
            <w:shd w:val="clear" w:color="auto" w:fill="CFF0FC"/>
            <w:noWrap/>
            <w:tcMar>
              <w:top w:w="15" w:type="dxa"/>
              <w:left w:w="0" w:type="dxa"/>
              <w:bottom w:w="0" w:type="dxa"/>
              <w:right w:w="15" w:type="dxa"/>
            </w:tcMar>
            <w:vAlign w:val="bottom"/>
            <w:hideMark/>
          </w:tcPr>
          <w:p w14:paraId="41379D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53C944C" w14:textId="77777777">
        <w:trPr>
          <w:divId w:val="1101340513"/>
          <w:jc w:val="center"/>
        </w:trPr>
        <w:tc>
          <w:tcPr>
            <w:tcW w:w="3446" w:type="pct"/>
            <w:shd w:val="clear" w:color="auto" w:fill="FFFFFF"/>
            <w:tcMar>
              <w:top w:w="15" w:type="dxa"/>
              <w:left w:w="0" w:type="dxa"/>
              <w:bottom w:w="0" w:type="dxa"/>
              <w:right w:w="15" w:type="dxa"/>
            </w:tcMar>
            <w:vAlign w:val="bottom"/>
            <w:hideMark/>
          </w:tcPr>
          <w:p w14:paraId="36DF8AD1" w14:textId="77777777" w:rsidR="00251D72" w:rsidRDefault="00251D72">
            <w:pPr>
              <w:pStyle w:val="a3"/>
              <w:spacing w:before="0" w:beforeAutospacing="0" w:after="0" w:afterAutospacing="0"/>
              <w:ind w:left="418" w:hanging="144"/>
              <w:rPr>
                <w:rFonts w:ascii="Calibri" w:hAnsi="Calibri" w:cs="Calibri"/>
                <w:color w:val="000000"/>
                <w:sz w:val="18"/>
                <w:szCs w:val="18"/>
              </w:rPr>
            </w:pPr>
            <w:r>
              <w:rPr>
                <w:rFonts w:ascii="Calibri" w:hAnsi="Calibri" w:cs="Calibri"/>
                <w:color w:val="000000"/>
                <w:sz w:val="18"/>
                <w:szCs w:val="18"/>
              </w:rPr>
              <w:t>Cumulative hedging adjustments included in the carrying amount</w:t>
            </w:r>
          </w:p>
        </w:tc>
        <w:tc>
          <w:tcPr>
            <w:tcW w:w="85" w:type="pct"/>
            <w:shd w:val="clear" w:color="auto" w:fill="FFFFFF"/>
            <w:tcMar>
              <w:top w:w="15" w:type="dxa"/>
              <w:left w:w="0" w:type="dxa"/>
              <w:bottom w:w="0" w:type="dxa"/>
              <w:right w:w="15" w:type="dxa"/>
            </w:tcMar>
            <w:vAlign w:val="bottom"/>
            <w:hideMark/>
          </w:tcPr>
          <w:p w14:paraId="38DD4B4B" w14:textId="77777777" w:rsidR="00251D72" w:rsidRDefault="00251D72">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1C9E4E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FFFFFF"/>
            <w:noWrap/>
            <w:tcMar>
              <w:top w:w="15" w:type="dxa"/>
              <w:left w:w="0" w:type="dxa"/>
              <w:bottom w:w="0" w:type="dxa"/>
              <w:right w:w="15" w:type="dxa"/>
            </w:tcMar>
            <w:vAlign w:val="bottom"/>
            <w:hideMark/>
          </w:tcPr>
          <w:p w14:paraId="0028A96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FFFFFF"/>
            <w:noWrap/>
            <w:tcMar>
              <w:top w:w="15" w:type="dxa"/>
              <w:left w:w="0" w:type="dxa"/>
              <w:bottom w:w="0" w:type="dxa"/>
              <w:right w:w="15" w:type="dxa"/>
            </w:tcMar>
            <w:vAlign w:val="bottom"/>
            <w:hideMark/>
          </w:tcPr>
          <w:p w14:paraId="32F689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370EE48A" w14:textId="77777777" w:rsidR="00251D72" w:rsidRDefault="00251D72">
            <w:pPr>
              <w:pStyle w:val="a3"/>
              <w:spacing w:before="0" w:beforeAutospacing="0" w:after="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16251E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FFFFFF"/>
            <w:noWrap/>
            <w:tcMar>
              <w:top w:w="15" w:type="dxa"/>
              <w:left w:w="0" w:type="dxa"/>
              <w:bottom w:w="0" w:type="dxa"/>
              <w:right w:w="15" w:type="dxa"/>
            </w:tcMar>
            <w:vAlign w:val="bottom"/>
            <w:hideMark/>
          </w:tcPr>
          <w:p w14:paraId="43EE027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FFFFFF"/>
            <w:noWrap/>
            <w:tcMar>
              <w:top w:w="15" w:type="dxa"/>
              <w:left w:w="0" w:type="dxa"/>
              <w:bottom w:w="0" w:type="dxa"/>
              <w:right w:w="15" w:type="dxa"/>
            </w:tcMar>
            <w:vAlign w:val="bottom"/>
            <w:hideMark/>
          </w:tcPr>
          <w:p w14:paraId="1CE12B0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bl>
    <w:p w14:paraId="0011D88B" w14:textId="77777777" w:rsidR="00251D72" w:rsidRDefault="00251D72">
      <w:pPr>
        <w:pStyle w:val="a3"/>
      </w:pPr>
      <w:r>
        <w:t> </w:t>
      </w:r>
    </w:p>
    <w:p w14:paraId="47ACF110"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97</w:t>
      </w:r>
    </w:p>
    <w:p w14:paraId="50A8BEDE" w14:textId="77777777" w:rsidR="00251D72" w:rsidRDefault="00251D72">
      <w:pPr>
        <w:rPr>
          <w:rFonts w:ascii="Times New Roman" w:eastAsia="Times New Roman" w:hAnsi="Times New Roman" w:cs="Times New Roman"/>
          <w:sz w:val="24"/>
          <w:szCs w:val="24"/>
        </w:rPr>
      </w:pPr>
      <w:r>
        <w:rPr>
          <w:rFonts w:eastAsia="Times New Roman"/>
        </w:rPr>
        <w:pict w14:anchorId="7F8E76FF">
          <v:rect id="_x0000_i1123" style="width:415.3pt;height:1.5pt" o:hralign="center" o:hrstd="t" o:hr="t" fillcolor="#a0a0a0" stroked="f"/>
        </w:pict>
      </w:r>
    </w:p>
    <w:p w14:paraId="74AF19C5"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C7C9392"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23655BA"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0983ACFF"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1B905FBF"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0CB5E334" w14:textId="77777777" w:rsidR="00251D72" w:rsidRDefault="00251D72">
      <w:pPr>
        <w:pStyle w:val="a3"/>
        <w:spacing w:before="0" w:beforeAutospacing="0" w:after="0" w:afterAutospacing="0"/>
        <w:rPr>
          <w:sz w:val="20"/>
          <w:szCs w:val="20"/>
        </w:rPr>
      </w:pPr>
      <w:r>
        <w:rPr>
          <w:sz w:val="20"/>
          <w:szCs w:val="20"/>
        </w:rPr>
        <w:t> </w:t>
      </w:r>
    </w:p>
    <w:p w14:paraId="38D9F9F0" w14:textId="77777777" w:rsidR="00251D72" w:rsidRDefault="00251D72">
      <w:pPr>
        <w:pStyle w:val="a3"/>
        <w:spacing w:before="0" w:beforeAutospacing="0" w:after="0" w:afterAutospacing="0"/>
        <w:jc w:val="both"/>
        <w:rPr>
          <w:rFonts w:ascii="Calibri" w:hAnsi="Calibri" w:cs="Calibri"/>
          <w:b/>
          <w:bCs/>
          <w:color w:val="000000"/>
          <w:sz w:val="20"/>
          <w:szCs w:val="20"/>
        </w:rPr>
      </w:pPr>
      <w:bookmarkStart w:id="140" w:name="_AEIOULastRenderedPageBreakAEIOU100"/>
      <w:bookmarkEnd w:id="140"/>
      <w:r>
        <w:rPr>
          <w:rFonts w:ascii="Calibri" w:hAnsi="Calibri" w:cs="Calibri"/>
          <w:b/>
          <w:bCs/>
          <w:color w:val="000000"/>
          <w:sz w:val="20"/>
          <w:szCs w:val="20"/>
        </w:rPr>
        <w:t>Effects of Derivative Instruments Designated as Hedges on Income</w:t>
      </w:r>
    </w:p>
    <w:p w14:paraId="1D5640EF" w14:textId="77777777" w:rsidR="00251D72" w:rsidRDefault="00251D72">
      <w:pPr>
        <w:pStyle w:val="a3"/>
      </w:pPr>
      <w:r>
        <w:t> </w:t>
      </w:r>
    </w:p>
    <w:tbl>
      <w:tblPr>
        <w:tblW w:w="5000" w:type="pct"/>
        <w:jc w:val="center"/>
        <w:tblCellMar>
          <w:left w:w="0" w:type="dxa"/>
          <w:right w:w="0" w:type="dxa"/>
        </w:tblCellMar>
        <w:tblLook w:val="04A0" w:firstRow="1" w:lastRow="0" w:firstColumn="1" w:lastColumn="0" w:noHBand="0" w:noVBand="1"/>
      </w:tblPr>
      <w:tblGrid>
        <w:gridCol w:w="3090"/>
        <w:gridCol w:w="52"/>
        <w:gridCol w:w="98"/>
        <w:gridCol w:w="671"/>
        <w:gridCol w:w="73"/>
        <w:gridCol w:w="52"/>
        <w:gridCol w:w="98"/>
        <w:gridCol w:w="589"/>
        <w:gridCol w:w="74"/>
        <w:gridCol w:w="52"/>
        <w:gridCol w:w="98"/>
        <w:gridCol w:w="672"/>
        <w:gridCol w:w="74"/>
        <w:gridCol w:w="52"/>
        <w:gridCol w:w="98"/>
        <w:gridCol w:w="675"/>
        <w:gridCol w:w="74"/>
        <w:gridCol w:w="52"/>
        <w:gridCol w:w="98"/>
        <w:gridCol w:w="672"/>
        <w:gridCol w:w="74"/>
        <w:gridCol w:w="52"/>
        <w:gridCol w:w="98"/>
        <w:gridCol w:w="594"/>
        <w:gridCol w:w="74"/>
      </w:tblGrid>
      <w:tr w:rsidR="00251D72" w14:paraId="064027ED" w14:textId="77777777">
        <w:trPr>
          <w:divId w:val="485321682"/>
          <w:jc w:val="center"/>
        </w:trPr>
        <w:tc>
          <w:tcPr>
            <w:tcW w:w="1865" w:type="pct"/>
            <w:shd w:val="clear" w:color="auto" w:fill="FFFFFF"/>
            <w:tcMar>
              <w:top w:w="15" w:type="dxa"/>
              <w:left w:w="0" w:type="dxa"/>
              <w:bottom w:w="0" w:type="dxa"/>
              <w:right w:w="15" w:type="dxa"/>
            </w:tcMar>
            <w:vAlign w:val="bottom"/>
            <w:hideMark/>
          </w:tcPr>
          <w:p w14:paraId="1105D503" w14:textId="77777777" w:rsidR="00251D72" w:rsidRDefault="00251D72">
            <w:pPr>
              <w:pStyle w:val="a3"/>
              <w:spacing w:before="0" w:beforeAutospacing="0" w:after="0" w:afterAutospacing="0"/>
              <w:rPr>
                <w:sz w:val="20"/>
                <w:szCs w:val="20"/>
              </w:rPr>
            </w:pPr>
            <w:r>
              <w:rPr>
                <w:sz w:val="20"/>
                <w:szCs w:val="20"/>
              </w:rPr>
              <w:t> </w:t>
            </w:r>
          </w:p>
        </w:tc>
        <w:tc>
          <w:tcPr>
            <w:tcW w:w="28" w:type="pct"/>
            <w:shd w:val="clear" w:color="auto" w:fill="FFFFFF"/>
            <w:tcMar>
              <w:top w:w="15" w:type="dxa"/>
              <w:left w:w="0" w:type="dxa"/>
              <w:bottom w:w="0" w:type="dxa"/>
              <w:right w:w="15" w:type="dxa"/>
            </w:tcMar>
            <w:vAlign w:val="bottom"/>
            <w:hideMark/>
          </w:tcPr>
          <w:p w14:paraId="27C992CE"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055" w:type="pct"/>
            <w:gridSpan w:val="22"/>
            <w:tcBorders>
              <w:bottom w:val="single" w:sz="6" w:space="0" w:color="000000"/>
            </w:tcBorders>
            <w:shd w:val="clear" w:color="auto" w:fill="FFFFFF"/>
            <w:tcMar>
              <w:top w:w="15" w:type="dxa"/>
              <w:left w:w="0" w:type="dxa"/>
              <w:bottom w:w="0" w:type="dxa"/>
              <w:right w:w="15" w:type="dxa"/>
            </w:tcMar>
            <w:vAlign w:val="bottom"/>
            <w:hideMark/>
          </w:tcPr>
          <w:p w14:paraId="7B11C3F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7397165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8E009B1" w14:textId="77777777">
        <w:trPr>
          <w:divId w:val="485321682"/>
          <w:jc w:val="center"/>
        </w:trPr>
        <w:tc>
          <w:tcPr>
            <w:tcW w:w="1865" w:type="pct"/>
            <w:shd w:val="clear" w:color="auto" w:fill="FFFFFF"/>
            <w:tcMar>
              <w:top w:w="15" w:type="dxa"/>
              <w:left w:w="0" w:type="dxa"/>
              <w:bottom w:w="0" w:type="dxa"/>
              <w:right w:w="15" w:type="dxa"/>
            </w:tcMar>
            <w:vAlign w:val="bottom"/>
            <w:hideMark/>
          </w:tcPr>
          <w:p w14:paraId="6648645F"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8" w:type="pct"/>
            <w:shd w:val="clear" w:color="auto" w:fill="FFFFFF"/>
            <w:tcMar>
              <w:top w:w="15" w:type="dxa"/>
              <w:left w:w="0" w:type="dxa"/>
              <w:bottom w:w="0" w:type="dxa"/>
              <w:right w:w="15" w:type="dxa"/>
            </w:tcMar>
            <w:vAlign w:val="bottom"/>
            <w:hideMark/>
          </w:tcPr>
          <w:p w14:paraId="023F6FF9"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94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B766A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4EA855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tcBorders>
              <w:top w:val="single" w:sz="6" w:space="0" w:color="000000"/>
            </w:tcBorders>
            <w:shd w:val="clear" w:color="auto" w:fill="FFFFFF"/>
            <w:tcMar>
              <w:top w:w="15" w:type="dxa"/>
              <w:left w:w="0" w:type="dxa"/>
              <w:bottom w:w="0" w:type="dxa"/>
              <w:right w:w="15" w:type="dxa"/>
            </w:tcMar>
            <w:vAlign w:val="bottom"/>
            <w:hideMark/>
          </w:tcPr>
          <w:p w14:paraId="440A3592"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1000"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B5E92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BBE18B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tcBorders>
              <w:top w:val="single" w:sz="6" w:space="0" w:color="000000"/>
            </w:tcBorders>
            <w:shd w:val="clear" w:color="auto" w:fill="FFFFFF"/>
            <w:tcMar>
              <w:top w:w="15" w:type="dxa"/>
              <w:left w:w="0" w:type="dxa"/>
              <w:bottom w:w="0" w:type="dxa"/>
              <w:right w:w="15" w:type="dxa"/>
            </w:tcMar>
            <w:vAlign w:val="bottom"/>
            <w:hideMark/>
          </w:tcPr>
          <w:p w14:paraId="66C804DE"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94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6F9C4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2ECC262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92468BA" w14:textId="77777777">
        <w:trPr>
          <w:divId w:val="485321682"/>
          <w:jc w:val="center"/>
        </w:trPr>
        <w:tc>
          <w:tcPr>
            <w:tcW w:w="1865" w:type="pct"/>
            <w:tcBorders>
              <w:bottom w:val="single" w:sz="6" w:space="0" w:color="000000"/>
            </w:tcBorders>
            <w:shd w:val="clear" w:color="auto" w:fill="FFFFFF"/>
            <w:tcMar>
              <w:top w:w="15" w:type="dxa"/>
              <w:left w:w="0" w:type="dxa"/>
              <w:bottom w:w="0" w:type="dxa"/>
              <w:right w:w="15" w:type="dxa"/>
            </w:tcMar>
            <w:vAlign w:val="bottom"/>
            <w:hideMark/>
          </w:tcPr>
          <w:p w14:paraId="75E0CA9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28" w:type="pct"/>
            <w:shd w:val="clear" w:color="auto" w:fill="FFFFFF"/>
            <w:tcMar>
              <w:top w:w="15" w:type="dxa"/>
              <w:left w:w="0" w:type="dxa"/>
              <w:bottom w:w="0" w:type="dxa"/>
              <w:right w:w="15" w:type="dxa"/>
            </w:tcMar>
            <w:vAlign w:val="bottom"/>
            <w:hideMark/>
          </w:tcPr>
          <w:p w14:paraId="4BC96716"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6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849BA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Non-operating</w:t>
            </w:r>
          </w:p>
          <w:p w14:paraId="6252FA6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left w:w="0" w:type="dxa"/>
              <w:bottom w:w="0" w:type="dxa"/>
              <w:right w:w="15" w:type="dxa"/>
            </w:tcMar>
            <w:vAlign w:val="bottom"/>
            <w:hideMark/>
          </w:tcPr>
          <w:p w14:paraId="245E155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tcBorders>
              <w:top w:val="single" w:sz="6" w:space="0" w:color="000000"/>
            </w:tcBorders>
            <w:shd w:val="clear" w:color="auto" w:fill="FFFFFF"/>
            <w:tcMar>
              <w:top w:w="15" w:type="dxa"/>
              <w:left w:w="0" w:type="dxa"/>
              <w:bottom w:w="0" w:type="dxa"/>
              <w:right w:w="15" w:type="dxa"/>
            </w:tcMar>
            <w:vAlign w:val="bottom"/>
            <w:hideMark/>
          </w:tcPr>
          <w:p w14:paraId="486694F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6D64B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59BE18B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left w:w="0" w:type="dxa"/>
              <w:bottom w:w="0" w:type="dxa"/>
              <w:right w:w="15" w:type="dxa"/>
            </w:tcMar>
            <w:vAlign w:val="bottom"/>
            <w:hideMark/>
          </w:tcPr>
          <w:p w14:paraId="6CC7534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shd w:val="clear" w:color="auto" w:fill="FFFFFF"/>
            <w:tcMar>
              <w:top w:w="15" w:type="dxa"/>
              <w:left w:w="0" w:type="dxa"/>
              <w:bottom w:w="0" w:type="dxa"/>
              <w:right w:w="15" w:type="dxa"/>
            </w:tcMar>
            <w:vAlign w:val="bottom"/>
            <w:hideMark/>
          </w:tcPr>
          <w:p w14:paraId="35D30ECE"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6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EBD54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Non-operating</w:t>
            </w:r>
          </w:p>
          <w:p w14:paraId="7E61892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left w:w="0" w:type="dxa"/>
              <w:bottom w:w="0" w:type="dxa"/>
              <w:right w:w="15" w:type="dxa"/>
            </w:tcMar>
            <w:vAlign w:val="bottom"/>
            <w:hideMark/>
          </w:tcPr>
          <w:p w14:paraId="7ED6F23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tcBorders>
              <w:top w:val="single" w:sz="6" w:space="0" w:color="000000"/>
            </w:tcBorders>
            <w:shd w:val="clear" w:color="auto" w:fill="FFFFFF"/>
            <w:tcMar>
              <w:top w:w="15" w:type="dxa"/>
              <w:left w:w="0" w:type="dxa"/>
              <w:bottom w:w="0" w:type="dxa"/>
              <w:right w:w="15" w:type="dxa"/>
            </w:tcMar>
            <w:vAlign w:val="bottom"/>
            <w:hideMark/>
          </w:tcPr>
          <w:p w14:paraId="1717BEA4"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6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F9612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6E10411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left w:w="0" w:type="dxa"/>
              <w:bottom w:w="0" w:type="dxa"/>
              <w:right w:w="15" w:type="dxa"/>
            </w:tcMar>
            <w:vAlign w:val="bottom"/>
            <w:hideMark/>
          </w:tcPr>
          <w:p w14:paraId="009E3D9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shd w:val="clear" w:color="auto" w:fill="FFFFFF"/>
            <w:tcMar>
              <w:top w:w="15" w:type="dxa"/>
              <w:left w:w="0" w:type="dxa"/>
              <w:bottom w:w="0" w:type="dxa"/>
              <w:right w:w="15" w:type="dxa"/>
            </w:tcMar>
            <w:vAlign w:val="bottom"/>
            <w:hideMark/>
          </w:tcPr>
          <w:p w14:paraId="51ACA34A"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6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7012FE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Non-operating</w:t>
            </w:r>
          </w:p>
          <w:p w14:paraId="3397133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left w:w="0" w:type="dxa"/>
              <w:bottom w:w="0" w:type="dxa"/>
              <w:right w:w="15" w:type="dxa"/>
            </w:tcMar>
            <w:vAlign w:val="bottom"/>
            <w:hideMark/>
          </w:tcPr>
          <w:p w14:paraId="45CA346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8" w:type="pct"/>
            <w:tcBorders>
              <w:top w:val="single" w:sz="6" w:space="0" w:color="000000"/>
            </w:tcBorders>
            <w:shd w:val="clear" w:color="auto" w:fill="FFFFFF"/>
            <w:tcMar>
              <w:top w:w="15" w:type="dxa"/>
              <w:left w:w="0" w:type="dxa"/>
              <w:bottom w:w="0" w:type="dxa"/>
              <w:right w:w="15" w:type="dxa"/>
            </w:tcMar>
            <w:vAlign w:val="bottom"/>
            <w:hideMark/>
          </w:tcPr>
          <w:p w14:paraId="7949F995" w14:textId="77777777" w:rsidR="00251D72" w:rsidRDefault="00251D72">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F8CDF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5502CB9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left w:w="0" w:type="dxa"/>
              <w:bottom w:w="0" w:type="dxa"/>
              <w:right w:w="15" w:type="dxa"/>
            </w:tcMar>
            <w:vAlign w:val="bottom"/>
            <w:hideMark/>
          </w:tcPr>
          <w:p w14:paraId="6749E6B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0AA26C7" w14:textId="77777777">
        <w:trPr>
          <w:divId w:val="485321682"/>
          <w:jc w:val="center"/>
        </w:trPr>
        <w:tc>
          <w:tcPr>
            <w:tcW w:w="1865" w:type="pct"/>
            <w:tcBorders>
              <w:top w:val="single" w:sz="6" w:space="0" w:color="000000"/>
            </w:tcBorders>
            <w:shd w:val="clear" w:color="auto" w:fill="CFF0FC"/>
            <w:tcMar>
              <w:top w:w="15" w:type="dxa"/>
              <w:left w:w="0" w:type="dxa"/>
              <w:bottom w:w="0" w:type="dxa"/>
              <w:right w:w="15" w:type="dxa"/>
            </w:tcMar>
            <w:vAlign w:val="bottom"/>
            <w:hideMark/>
          </w:tcPr>
          <w:p w14:paraId="24D2592D" w14:textId="77777777" w:rsidR="00251D72" w:rsidRDefault="00251D72">
            <w:pPr>
              <w:pStyle w:val="a3"/>
              <w:spacing w:before="0" w:beforeAutospacing="0" w:after="0" w:afterAutospacing="0"/>
              <w:ind w:left="144" w:hanging="144"/>
              <w:rPr>
                <w:rFonts w:ascii="Calibri" w:hAnsi="Calibri" w:cs="Calibri"/>
                <w:color w:val="000000"/>
                <w:sz w:val="16"/>
                <w:szCs w:val="16"/>
              </w:rPr>
            </w:pPr>
            <w:r>
              <w:rPr>
                <w:rFonts w:ascii="Calibri" w:hAnsi="Calibri" w:cs="Calibri"/>
                <w:color w:val="000000"/>
                <w:sz w:val="16"/>
                <w:szCs w:val="16"/>
              </w:rPr>
              <w:t>Consolidated statements of income line amounts in which the hedge effects were recorded</w:t>
            </w:r>
          </w:p>
        </w:tc>
        <w:tc>
          <w:tcPr>
            <w:tcW w:w="28" w:type="pct"/>
            <w:shd w:val="clear" w:color="auto" w:fill="CFF0FC"/>
            <w:tcMar>
              <w:top w:w="15" w:type="dxa"/>
              <w:left w:w="0" w:type="dxa"/>
              <w:bottom w:w="0" w:type="dxa"/>
              <w:right w:w="15" w:type="dxa"/>
            </w:tcMar>
            <w:vAlign w:val="bottom"/>
            <w:hideMark/>
          </w:tcPr>
          <w:p w14:paraId="34B3D04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498E0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DA8DC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815</w:t>
            </w:r>
          </w:p>
        </w:tc>
        <w:tc>
          <w:tcPr>
            <w:tcW w:w="50" w:type="pct"/>
            <w:shd w:val="clear" w:color="auto" w:fill="CFF0FC"/>
            <w:noWrap/>
            <w:tcMar>
              <w:top w:w="15" w:type="dxa"/>
              <w:left w:w="0" w:type="dxa"/>
              <w:bottom w:w="0" w:type="dxa"/>
              <w:right w:w="15" w:type="dxa"/>
            </w:tcMar>
            <w:vAlign w:val="bottom"/>
            <w:hideMark/>
          </w:tcPr>
          <w:p w14:paraId="347D6F5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4B25665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4D3527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0EC68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(2,082</w:t>
            </w:r>
          </w:p>
        </w:tc>
        <w:tc>
          <w:tcPr>
            <w:tcW w:w="50" w:type="pct"/>
            <w:shd w:val="clear" w:color="auto" w:fill="CFF0FC"/>
            <w:noWrap/>
            <w:tcMar>
              <w:top w:w="15" w:type="dxa"/>
              <w:left w:w="0" w:type="dxa"/>
              <w:bottom w:w="0" w:type="dxa"/>
              <w:right w:w="15" w:type="dxa"/>
            </w:tcMar>
            <w:vAlign w:val="bottom"/>
            <w:hideMark/>
          </w:tcPr>
          <w:p w14:paraId="53E28D6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8" w:type="pct"/>
            <w:shd w:val="clear" w:color="auto" w:fill="CFF0FC"/>
            <w:tcMar>
              <w:top w:w="15" w:type="dxa"/>
              <w:left w:w="0" w:type="dxa"/>
              <w:bottom w:w="0" w:type="dxa"/>
              <w:right w:w="15" w:type="dxa"/>
            </w:tcMar>
            <w:vAlign w:val="bottom"/>
            <w:hideMark/>
          </w:tcPr>
          <w:p w14:paraId="3557348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8815C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8B79C1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1,185</w:t>
            </w:r>
          </w:p>
        </w:tc>
        <w:tc>
          <w:tcPr>
            <w:tcW w:w="50" w:type="pct"/>
            <w:shd w:val="clear" w:color="auto" w:fill="CFF0FC"/>
            <w:noWrap/>
            <w:tcMar>
              <w:top w:w="15" w:type="dxa"/>
              <w:left w:w="0" w:type="dxa"/>
              <w:bottom w:w="0" w:type="dxa"/>
              <w:right w:w="15" w:type="dxa"/>
            </w:tcMar>
            <w:vAlign w:val="bottom"/>
            <w:hideMark/>
          </w:tcPr>
          <w:p w14:paraId="56EB749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21E5CAE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A6FE2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700085"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(2,025</w:t>
            </w:r>
          </w:p>
        </w:tc>
        <w:tc>
          <w:tcPr>
            <w:tcW w:w="50" w:type="pct"/>
            <w:shd w:val="clear" w:color="auto" w:fill="CFF0FC"/>
            <w:noWrap/>
            <w:tcMar>
              <w:top w:w="15" w:type="dxa"/>
              <w:left w:w="0" w:type="dxa"/>
              <w:bottom w:w="0" w:type="dxa"/>
              <w:right w:w="15" w:type="dxa"/>
            </w:tcMar>
            <w:vAlign w:val="bottom"/>
            <w:hideMark/>
          </w:tcPr>
          <w:p w14:paraId="5FD0C18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8" w:type="pct"/>
            <w:shd w:val="clear" w:color="auto" w:fill="CFF0FC"/>
            <w:tcMar>
              <w:top w:w="15" w:type="dxa"/>
              <w:left w:w="0" w:type="dxa"/>
              <w:bottom w:w="0" w:type="dxa"/>
              <w:right w:w="15" w:type="dxa"/>
            </w:tcMar>
            <w:vAlign w:val="bottom"/>
            <w:hideMark/>
          </w:tcPr>
          <w:p w14:paraId="669E839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2AD5E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85CD28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565</w:t>
            </w:r>
          </w:p>
        </w:tc>
        <w:tc>
          <w:tcPr>
            <w:tcW w:w="50" w:type="pct"/>
            <w:shd w:val="clear" w:color="auto" w:fill="CFF0FC"/>
            <w:noWrap/>
            <w:tcMar>
              <w:top w:w="15" w:type="dxa"/>
              <w:left w:w="0" w:type="dxa"/>
              <w:bottom w:w="0" w:type="dxa"/>
              <w:right w:w="15" w:type="dxa"/>
            </w:tcMar>
            <w:vAlign w:val="bottom"/>
            <w:hideMark/>
          </w:tcPr>
          <w:p w14:paraId="6C05C6E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34ABA24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7D06B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773F3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(1,798</w:t>
            </w:r>
          </w:p>
        </w:tc>
        <w:tc>
          <w:tcPr>
            <w:tcW w:w="50" w:type="pct"/>
            <w:shd w:val="clear" w:color="auto" w:fill="CFF0FC"/>
            <w:noWrap/>
            <w:tcMar>
              <w:top w:w="15" w:type="dxa"/>
              <w:left w:w="0" w:type="dxa"/>
              <w:bottom w:w="0" w:type="dxa"/>
              <w:right w:w="15" w:type="dxa"/>
            </w:tcMar>
            <w:vAlign w:val="bottom"/>
            <w:hideMark/>
          </w:tcPr>
          <w:p w14:paraId="43C03B2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2B7C712F" w14:textId="77777777">
        <w:trPr>
          <w:divId w:val="485321682"/>
          <w:jc w:val="center"/>
        </w:trPr>
        <w:tc>
          <w:tcPr>
            <w:tcW w:w="1865" w:type="pct"/>
            <w:shd w:val="clear" w:color="auto" w:fill="FFFFFF"/>
            <w:tcMar>
              <w:top w:w="15" w:type="dxa"/>
              <w:left w:w="0" w:type="dxa"/>
              <w:bottom w:w="0" w:type="dxa"/>
              <w:right w:w="15" w:type="dxa"/>
            </w:tcMar>
            <w:vAlign w:val="bottom"/>
            <w:hideMark/>
          </w:tcPr>
          <w:p w14:paraId="5A9E717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Gain (loss) on hedges recognized in income:</w:t>
            </w:r>
          </w:p>
        </w:tc>
        <w:tc>
          <w:tcPr>
            <w:tcW w:w="28" w:type="pct"/>
            <w:shd w:val="clear" w:color="auto" w:fill="FFFFFF"/>
            <w:tcMar>
              <w:top w:w="15" w:type="dxa"/>
              <w:left w:w="0" w:type="dxa"/>
              <w:bottom w:w="0" w:type="dxa"/>
              <w:right w:w="15" w:type="dxa"/>
            </w:tcMar>
            <w:vAlign w:val="bottom"/>
            <w:hideMark/>
          </w:tcPr>
          <w:p w14:paraId="0B72CB0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DE3904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tcBorders>
              <w:top w:val="double" w:sz="6" w:space="0" w:color="000000"/>
            </w:tcBorders>
            <w:shd w:val="clear" w:color="auto" w:fill="FFFFFF"/>
            <w:noWrap/>
            <w:tcMar>
              <w:top w:w="15" w:type="dxa"/>
              <w:left w:w="0" w:type="dxa"/>
              <w:bottom w:w="0" w:type="dxa"/>
              <w:right w:w="15" w:type="dxa"/>
            </w:tcMar>
            <w:vAlign w:val="bottom"/>
            <w:hideMark/>
          </w:tcPr>
          <w:p w14:paraId="2E21D6B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3381BA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7A89AD5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ECB83A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tcBorders>
              <w:top w:val="double" w:sz="6" w:space="0" w:color="000000"/>
            </w:tcBorders>
            <w:shd w:val="clear" w:color="auto" w:fill="FFFFFF"/>
            <w:noWrap/>
            <w:tcMar>
              <w:top w:w="15" w:type="dxa"/>
              <w:left w:w="0" w:type="dxa"/>
              <w:bottom w:w="0" w:type="dxa"/>
              <w:right w:w="15" w:type="dxa"/>
            </w:tcMar>
            <w:vAlign w:val="bottom"/>
            <w:hideMark/>
          </w:tcPr>
          <w:p w14:paraId="3086553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C7F032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1FA7EA0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7C9A44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tcBorders>
              <w:top w:val="double" w:sz="6" w:space="0" w:color="000000"/>
            </w:tcBorders>
            <w:shd w:val="clear" w:color="auto" w:fill="FFFFFF"/>
            <w:noWrap/>
            <w:tcMar>
              <w:top w:w="15" w:type="dxa"/>
              <w:left w:w="0" w:type="dxa"/>
              <w:bottom w:w="0" w:type="dxa"/>
              <w:right w:w="15" w:type="dxa"/>
            </w:tcMar>
            <w:vAlign w:val="bottom"/>
            <w:hideMark/>
          </w:tcPr>
          <w:p w14:paraId="5DAFDED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F045D3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25788D3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CCDBA4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tcBorders>
              <w:top w:val="double" w:sz="6" w:space="0" w:color="000000"/>
            </w:tcBorders>
            <w:shd w:val="clear" w:color="auto" w:fill="FFFFFF"/>
            <w:noWrap/>
            <w:tcMar>
              <w:top w:w="15" w:type="dxa"/>
              <w:left w:w="0" w:type="dxa"/>
              <w:bottom w:w="0" w:type="dxa"/>
              <w:right w:w="15" w:type="dxa"/>
            </w:tcMar>
            <w:vAlign w:val="bottom"/>
            <w:hideMark/>
          </w:tcPr>
          <w:p w14:paraId="1B707DC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5960D6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288D785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64EA3D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tcBorders>
              <w:top w:val="double" w:sz="6" w:space="0" w:color="000000"/>
            </w:tcBorders>
            <w:shd w:val="clear" w:color="auto" w:fill="FFFFFF"/>
            <w:noWrap/>
            <w:tcMar>
              <w:top w:w="15" w:type="dxa"/>
              <w:left w:w="0" w:type="dxa"/>
              <w:bottom w:w="0" w:type="dxa"/>
              <w:right w:w="15" w:type="dxa"/>
            </w:tcMar>
            <w:vAlign w:val="bottom"/>
            <w:hideMark/>
          </w:tcPr>
          <w:p w14:paraId="21EFF06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CE5967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5EC9921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5F768A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tcBorders>
              <w:top w:val="double" w:sz="6" w:space="0" w:color="000000"/>
            </w:tcBorders>
            <w:shd w:val="clear" w:color="auto" w:fill="FFFFFF"/>
            <w:noWrap/>
            <w:tcMar>
              <w:top w:w="15" w:type="dxa"/>
              <w:left w:w="0" w:type="dxa"/>
              <w:bottom w:w="0" w:type="dxa"/>
              <w:right w:w="15" w:type="dxa"/>
            </w:tcMar>
            <w:vAlign w:val="bottom"/>
            <w:hideMark/>
          </w:tcPr>
          <w:p w14:paraId="2F76D41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CB449B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354ADC58" w14:textId="77777777">
        <w:trPr>
          <w:divId w:val="485321682"/>
          <w:jc w:val="center"/>
        </w:trPr>
        <w:tc>
          <w:tcPr>
            <w:tcW w:w="1865" w:type="pct"/>
            <w:shd w:val="clear" w:color="auto" w:fill="CFF0FC"/>
            <w:tcMar>
              <w:top w:w="15" w:type="dxa"/>
              <w:left w:w="0" w:type="dxa"/>
              <w:bottom w:w="0" w:type="dxa"/>
              <w:right w:w="15" w:type="dxa"/>
            </w:tcMar>
            <w:vAlign w:val="bottom"/>
            <w:hideMark/>
          </w:tcPr>
          <w:p w14:paraId="600ED60A" w14:textId="77777777" w:rsidR="00251D72" w:rsidRDefault="00251D72">
            <w:pPr>
              <w:pStyle w:val="a3"/>
              <w:spacing w:before="0" w:beforeAutospacing="0" w:after="0" w:afterAutospacing="0"/>
              <w:ind w:left="288" w:hanging="144"/>
              <w:rPr>
                <w:rFonts w:ascii="Calibri" w:hAnsi="Calibri" w:cs="Calibri"/>
                <w:color w:val="000000"/>
                <w:sz w:val="16"/>
                <w:szCs w:val="16"/>
              </w:rPr>
            </w:pPr>
            <w:r>
              <w:rPr>
                <w:rFonts w:ascii="Calibri" w:hAnsi="Calibri" w:cs="Calibri"/>
                <w:color w:val="000000"/>
                <w:sz w:val="16"/>
                <w:szCs w:val="16"/>
              </w:rPr>
              <w:t>Interest rate swaps designated as fair value hedges:</w:t>
            </w:r>
          </w:p>
        </w:tc>
        <w:tc>
          <w:tcPr>
            <w:tcW w:w="28" w:type="pct"/>
            <w:shd w:val="clear" w:color="auto" w:fill="CFF0FC"/>
            <w:tcMar>
              <w:top w:w="15" w:type="dxa"/>
              <w:left w:w="0" w:type="dxa"/>
              <w:bottom w:w="0" w:type="dxa"/>
              <w:right w:w="15" w:type="dxa"/>
            </w:tcMar>
            <w:vAlign w:val="bottom"/>
            <w:hideMark/>
          </w:tcPr>
          <w:p w14:paraId="34361FC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B6E604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747039B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063FF7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674C898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E446E8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left w:w="0" w:type="dxa"/>
              <w:bottom w:w="0" w:type="dxa"/>
              <w:right w:w="15" w:type="dxa"/>
            </w:tcMar>
            <w:vAlign w:val="bottom"/>
            <w:hideMark/>
          </w:tcPr>
          <w:p w14:paraId="22505E1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036BC1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4ED9FA5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B64F85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0B977CE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D9F108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6A49820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10F0E5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59A6868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484089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3849718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49418A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7081F69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4DDBC8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0996270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064739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left w:w="0" w:type="dxa"/>
              <w:bottom w:w="0" w:type="dxa"/>
              <w:right w:w="15" w:type="dxa"/>
            </w:tcMar>
            <w:vAlign w:val="bottom"/>
            <w:hideMark/>
          </w:tcPr>
          <w:p w14:paraId="08B424B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1F1D37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6B5EBC3E" w14:textId="77777777">
        <w:trPr>
          <w:divId w:val="485321682"/>
          <w:jc w:val="center"/>
        </w:trPr>
        <w:tc>
          <w:tcPr>
            <w:tcW w:w="1865" w:type="pct"/>
            <w:shd w:val="clear" w:color="auto" w:fill="FFFFFF"/>
            <w:tcMar>
              <w:top w:w="15" w:type="dxa"/>
              <w:left w:w="0" w:type="dxa"/>
              <w:bottom w:w="0" w:type="dxa"/>
              <w:right w:w="15" w:type="dxa"/>
            </w:tcMar>
            <w:vAlign w:val="bottom"/>
            <w:hideMark/>
          </w:tcPr>
          <w:p w14:paraId="13F3DA77" w14:textId="77777777" w:rsidR="00251D72" w:rsidRDefault="00251D72">
            <w:pPr>
              <w:pStyle w:val="a3"/>
              <w:spacing w:before="0" w:beforeAutospacing="0" w:after="0" w:afterAutospacing="0"/>
              <w:ind w:left="418" w:hanging="144"/>
              <w:rPr>
                <w:rFonts w:ascii="Calibri" w:hAnsi="Calibri" w:cs="Calibri"/>
                <w:color w:val="000000"/>
                <w:sz w:val="16"/>
                <w:szCs w:val="16"/>
              </w:rPr>
            </w:pPr>
            <w:r>
              <w:rPr>
                <w:rFonts w:ascii="Calibri" w:hAnsi="Calibri" w:cs="Calibri"/>
                <w:color w:val="000000"/>
                <w:sz w:val="16"/>
                <w:szCs w:val="16"/>
              </w:rPr>
              <w:t>Derivative instruments</w:t>
            </w:r>
          </w:p>
        </w:tc>
        <w:tc>
          <w:tcPr>
            <w:tcW w:w="28" w:type="pct"/>
            <w:shd w:val="clear" w:color="auto" w:fill="FFFFFF"/>
            <w:tcMar>
              <w:top w:w="15" w:type="dxa"/>
              <w:left w:w="0" w:type="dxa"/>
              <w:bottom w:w="0" w:type="dxa"/>
              <w:right w:w="15" w:type="dxa"/>
            </w:tcMar>
            <w:vAlign w:val="bottom"/>
            <w:hideMark/>
          </w:tcPr>
          <w:p w14:paraId="0D10BE1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658DD9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shd w:val="clear" w:color="auto" w:fill="FFFFFF"/>
            <w:noWrap/>
            <w:tcMar>
              <w:top w:w="15" w:type="dxa"/>
              <w:left w:w="0" w:type="dxa"/>
              <w:bottom w:w="0" w:type="dxa"/>
              <w:right w:w="15" w:type="dxa"/>
            </w:tcMar>
            <w:vAlign w:val="bottom"/>
            <w:hideMark/>
          </w:tcPr>
          <w:p w14:paraId="2A3A631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CF7624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59816B1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4F57D5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59" w:type="pct"/>
            <w:shd w:val="clear" w:color="auto" w:fill="FFFFFF"/>
            <w:noWrap/>
            <w:tcMar>
              <w:top w:w="15" w:type="dxa"/>
              <w:left w:w="0" w:type="dxa"/>
              <w:bottom w:w="0" w:type="dxa"/>
              <w:right w:w="15" w:type="dxa"/>
            </w:tcMar>
            <w:vAlign w:val="bottom"/>
            <w:hideMark/>
          </w:tcPr>
          <w:p w14:paraId="68D71AD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31</w:t>
            </w:r>
          </w:p>
        </w:tc>
        <w:tc>
          <w:tcPr>
            <w:tcW w:w="50" w:type="pct"/>
            <w:shd w:val="clear" w:color="auto" w:fill="FFFFFF"/>
            <w:noWrap/>
            <w:tcMar>
              <w:top w:w="15" w:type="dxa"/>
              <w:left w:w="0" w:type="dxa"/>
              <w:bottom w:w="0" w:type="dxa"/>
              <w:right w:w="15" w:type="dxa"/>
            </w:tcMar>
            <w:vAlign w:val="bottom"/>
            <w:hideMark/>
          </w:tcPr>
          <w:p w14:paraId="1F2EBEC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5F5A4D2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64EE87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shd w:val="clear" w:color="auto" w:fill="FFFFFF"/>
            <w:noWrap/>
            <w:tcMar>
              <w:top w:w="15" w:type="dxa"/>
              <w:left w:w="0" w:type="dxa"/>
              <w:bottom w:w="0" w:type="dxa"/>
              <w:right w:w="15" w:type="dxa"/>
            </w:tcMar>
            <w:vAlign w:val="bottom"/>
            <w:hideMark/>
          </w:tcPr>
          <w:p w14:paraId="3C38535A"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7E279C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266708E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9CD93E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shd w:val="clear" w:color="auto" w:fill="FFFFFF"/>
            <w:noWrap/>
            <w:tcMar>
              <w:top w:w="15" w:type="dxa"/>
              <w:left w:w="0" w:type="dxa"/>
              <w:bottom w:w="0" w:type="dxa"/>
              <w:right w:w="15" w:type="dxa"/>
            </w:tcMar>
            <w:vAlign w:val="bottom"/>
            <w:hideMark/>
          </w:tcPr>
          <w:p w14:paraId="3EB00D2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(66</w:t>
            </w:r>
          </w:p>
        </w:tc>
        <w:tc>
          <w:tcPr>
            <w:tcW w:w="50" w:type="pct"/>
            <w:shd w:val="clear" w:color="auto" w:fill="FFFFFF"/>
            <w:noWrap/>
            <w:tcMar>
              <w:top w:w="15" w:type="dxa"/>
              <w:left w:w="0" w:type="dxa"/>
              <w:bottom w:w="0" w:type="dxa"/>
              <w:right w:w="15" w:type="dxa"/>
            </w:tcMar>
            <w:vAlign w:val="bottom"/>
            <w:hideMark/>
          </w:tcPr>
          <w:p w14:paraId="02F4DA1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8" w:type="pct"/>
            <w:shd w:val="clear" w:color="auto" w:fill="FFFFFF"/>
            <w:tcMar>
              <w:top w:w="15" w:type="dxa"/>
              <w:left w:w="0" w:type="dxa"/>
              <w:bottom w:w="0" w:type="dxa"/>
              <w:right w:w="15" w:type="dxa"/>
            </w:tcMar>
            <w:vAlign w:val="bottom"/>
            <w:hideMark/>
          </w:tcPr>
          <w:p w14:paraId="065FB78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11012E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shd w:val="clear" w:color="auto" w:fill="FFFFFF"/>
            <w:noWrap/>
            <w:tcMar>
              <w:top w:w="15" w:type="dxa"/>
              <w:left w:w="0" w:type="dxa"/>
              <w:bottom w:w="0" w:type="dxa"/>
              <w:right w:w="15" w:type="dxa"/>
            </w:tcMar>
            <w:vAlign w:val="bottom"/>
            <w:hideMark/>
          </w:tcPr>
          <w:p w14:paraId="00B2117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A558A0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4E9C93F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E5EDA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59" w:type="pct"/>
            <w:shd w:val="clear" w:color="auto" w:fill="FFFFFF"/>
            <w:noWrap/>
            <w:tcMar>
              <w:top w:w="15" w:type="dxa"/>
              <w:left w:w="0" w:type="dxa"/>
              <w:bottom w:w="0" w:type="dxa"/>
              <w:right w:w="15" w:type="dxa"/>
            </w:tcMar>
            <w:vAlign w:val="bottom"/>
            <w:hideMark/>
          </w:tcPr>
          <w:p w14:paraId="7ADC22D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(82</w:t>
            </w:r>
          </w:p>
        </w:tc>
        <w:tc>
          <w:tcPr>
            <w:tcW w:w="50" w:type="pct"/>
            <w:shd w:val="clear" w:color="auto" w:fill="FFFFFF"/>
            <w:noWrap/>
            <w:tcMar>
              <w:top w:w="15" w:type="dxa"/>
              <w:left w:w="0" w:type="dxa"/>
              <w:bottom w:w="0" w:type="dxa"/>
              <w:right w:w="15" w:type="dxa"/>
            </w:tcMar>
            <w:vAlign w:val="bottom"/>
            <w:hideMark/>
          </w:tcPr>
          <w:p w14:paraId="6A30C0B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r>
      <w:tr w:rsidR="00251D72" w14:paraId="34AC2812" w14:textId="77777777">
        <w:trPr>
          <w:divId w:val="485321682"/>
          <w:jc w:val="center"/>
        </w:trPr>
        <w:tc>
          <w:tcPr>
            <w:tcW w:w="1865" w:type="pct"/>
            <w:shd w:val="clear" w:color="auto" w:fill="CFF0FC"/>
            <w:tcMar>
              <w:top w:w="15" w:type="dxa"/>
              <w:left w:w="0" w:type="dxa"/>
              <w:bottom w:w="0" w:type="dxa"/>
              <w:right w:w="15" w:type="dxa"/>
            </w:tcMar>
            <w:vAlign w:val="bottom"/>
            <w:hideMark/>
          </w:tcPr>
          <w:p w14:paraId="2C688F76" w14:textId="77777777" w:rsidR="00251D72" w:rsidRDefault="00251D72">
            <w:pPr>
              <w:pStyle w:val="a3"/>
              <w:spacing w:before="0" w:beforeAutospacing="0" w:after="0" w:afterAutospacing="0"/>
              <w:ind w:left="418" w:hanging="144"/>
              <w:rPr>
                <w:rFonts w:ascii="Calibri" w:hAnsi="Calibri" w:cs="Calibri"/>
                <w:color w:val="000000"/>
                <w:sz w:val="16"/>
                <w:szCs w:val="16"/>
              </w:rPr>
            </w:pPr>
            <w:r>
              <w:rPr>
                <w:rFonts w:ascii="Calibri" w:hAnsi="Calibri" w:cs="Calibri"/>
                <w:color w:val="000000"/>
                <w:sz w:val="16"/>
                <w:szCs w:val="16"/>
              </w:rPr>
              <w:t>Hedged items</w:t>
            </w:r>
          </w:p>
        </w:tc>
        <w:tc>
          <w:tcPr>
            <w:tcW w:w="28" w:type="pct"/>
            <w:shd w:val="clear" w:color="auto" w:fill="CFF0FC"/>
            <w:tcMar>
              <w:top w:w="15" w:type="dxa"/>
              <w:left w:w="0" w:type="dxa"/>
              <w:bottom w:w="0" w:type="dxa"/>
              <w:right w:w="15" w:type="dxa"/>
            </w:tcMar>
            <w:vAlign w:val="bottom"/>
            <w:hideMark/>
          </w:tcPr>
          <w:p w14:paraId="42545BF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957D74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79E9ED5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E43382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13CE6C0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112973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left w:w="0" w:type="dxa"/>
              <w:bottom w:w="0" w:type="dxa"/>
              <w:right w:w="15" w:type="dxa"/>
            </w:tcMar>
            <w:vAlign w:val="bottom"/>
            <w:hideMark/>
          </w:tcPr>
          <w:p w14:paraId="7140EB6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(31</w:t>
            </w:r>
          </w:p>
        </w:tc>
        <w:tc>
          <w:tcPr>
            <w:tcW w:w="50" w:type="pct"/>
            <w:shd w:val="clear" w:color="auto" w:fill="CFF0FC"/>
            <w:noWrap/>
            <w:tcMar>
              <w:top w:w="15" w:type="dxa"/>
              <w:left w:w="0" w:type="dxa"/>
              <w:bottom w:w="0" w:type="dxa"/>
              <w:right w:w="15" w:type="dxa"/>
            </w:tcMar>
            <w:vAlign w:val="bottom"/>
            <w:hideMark/>
          </w:tcPr>
          <w:p w14:paraId="6294C6E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8" w:type="pct"/>
            <w:shd w:val="clear" w:color="auto" w:fill="CFF0FC"/>
            <w:tcMar>
              <w:top w:w="15" w:type="dxa"/>
              <w:left w:w="0" w:type="dxa"/>
              <w:bottom w:w="0" w:type="dxa"/>
              <w:right w:w="15" w:type="dxa"/>
            </w:tcMar>
            <w:vAlign w:val="bottom"/>
            <w:hideMark/>
          </w:tcPr>
          <w:p w14:paraId="00A08EE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A97D43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1DB6269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FF2580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3F2935A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AFCA6E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399AE3B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66</w:t>
            </w:r>
          </w:p>
        </w:tc>
        <w:tc>
          <w:tcPr>
            <w:tcW w:w="50" w:type="pct"/>
            <w:shd w:val="clear" w:color="auto" w:fill="CFF0FC"/>
            <w:noWrap/>
            <w:tcMar>
              <w:top w:w="15" w:type="dxa"/>
              <w:left w:w="0" w:type="dxa"/>
              <w:bottom w:w="0" w:type="dxa"/>
              <w:right w:w="15" w:type="dxa"/>
            </w:tcMar>
            <w:vAlign w:val="bottom"/>
            <w:hideMark/>
          </w:tcPr>
          <w:p w14:paraId="061E1B5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4C0B1C1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14074A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00C7A7D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67E00E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2AF4663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D0162D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left w:w="0" w:type="dxa"/>
              <w:bottom w:w="0" w:type="dxa"/>
              <w:right w:w="15" w:type="dxa"/>
            </w:tcMar>
            <w:vAlign w:val="bottom"/>
            <w:hideMark/>
          </w:tcPr>
          <w:p w14:paraId="3938AD8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82</w:t>
            </w:r>
          </w:p>
        </w:tc>
        <w:tc>
          <w:tcPr>
            <w:tcW w:w="50" w:type="pct"/>
            <w:shd w:val="clear" w:color="auto" w:fill="CFF0FC"/>
            <w:noWrap/>
            <w:tcMar>
              <w:top w:w="15" w:type="dxa"/>
              <w:left w:w="0" w:type="dxa"/>
              <w:bottom w:w="0" w:type="dxa"/>
              <w:right w:w="15" w:type="dxa"/>
            </w:tcMar>
            <w:vAlign w:val="bottom"/>
            <w:hideMark/>
          </w:tcPr>
          <w:p w14:paraId="4E65DBC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5A17BD59" w14:textId="77777777">
        <w:trPr>
          <w:divId w:val="485321682"/>
          <w:jc w:val="center"/>
        </w:trPr>
        <w:tc>
          <w:tcPr>
            <w:tcW w:w="1865" w:type="pct"/>
            <w:shd w:val="clear" w:color="auto" w:fill="FFFFFF"/>
            <w:tcMar>
              <w:top w:w="15" w:type="dxa"/>
              <w:left w:w="0" w:type="dxa"/>
              <w:bottom w:w="0" w:type="dxa"/>
              <w:right w:w="15" w:type="dxa"/>
            </w:tcMar>
            <w:vAlign w:val="bottom"/>
            <w:hideMark/>
          </w:tcPr>
          <w:p w14:paraId="4B8A13C7" w14:textId="77777777" w:rsidR="00251D72" w:rsidRDefault="00251D72">
            <w:pPr>
              <w:pStyle w:val="a3"/>
              <w:spacing w:before="0" w:beforeAutospacing="0" w:after="0" w:afterAutospacing="0"/>
              <w:ind w:left="288" w:hanging="144"/>
              <w:rPr>
                <w:rFonts w:ascii="Calibri" w:hAnsi="Calibri" w:cs="Calibri"/>
                <w:color w:val="000000"/>
                <w:sz w:val="16"/>
                <w:szCs w:val="16"/>
              </w:rPr>
            </w:pPr>
            <w:r>
              <w:rPr>
                <w:rFonts w:ascii="Calibri" w:hAnsi="Calibri" w:cs="Calibri"/>
                <w:color w:val="000000"/>
                <w:sz w:val="16"/>
                <w:szCs w:val="16"/>
              </w:rPr>
              <w:t>Cross-currency interest rate swaps designated as fair value hedges:</w:t>
            </w:r>
          </w:p>
        </w:tc>
        <w:tc>
          <w:tcPr>
            <w:tcW w:w="28" w:type="pct"/>
            <w:shd w:val="clear" w:color="auto" w:fill="FFFFFF"/>
            <w:tcMar>
              <w:top w:w="15" w:type="dxa"/>
              <w:left w:w="0" w:type="dxa"/>
              <w:bottom w:w="0" w:type="dxa"/>
              <w:right w:w="15" w:type="dxa"/>
            </w:tcMar>
            <w:vAlign w:val="bottom"/>
            <w:hideMark/>
          </w:tcPr>
          <w:p w14:paraId="0B259FF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D75DAE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FFFFFF"/>
            <w:noWrap/>
            <w:tcMar>
              <w:top w:w="15" w:type="dxa"/>
              <w:left w:w="0" w:type="dxa"/>
              <w:bottom w:w="0" w:type="dxa"/>
              <w:right w:w="15" w:type="dxa"/>
            </w:tcMar>
            <w:vAlign w:val="bottom"/>
            <w:hideMark/>
          </w:tcPr>
          <w:p w14:paraId="6D5BE7D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9DB3DE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6AE3F7A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69FB46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FFFFFF"/>
            <w:noWrap/>
            <w:tcMar>
              <w:top w:w="15" w:type="dxa"/>
              <w:left w:w="0" w:type="dxa"/>
              <w:bottom w:w="0" w:type="dxa"/>
              <w:right w:w="15" w:type="dxa"/>
            </w:tcMar>
            <w:vAlign w:val="bottom"/>
            <w:hideMark/>
          </w:tcPr>
          <w:p w14:paraId="77D9AAD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47AD90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27E40DD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2F41BD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FFFFFF"/>
            <w:noWrap/>
            <w:tcMar>
              <w:top w:w="15" w:type="dxa"/>
              <w:left w:w="0" w:type="dxa"/>
              <w:bottom w:w="0" w:type="dxa"/>
              <w:right w:w="15" w:type="dxa"/>
            </w:tcMar>
            <w:vAlign w:val="bottom"/>
            <w:hideMark/>
          </w:tcPr>
          <w:p w14:paraId="19DDEBE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1B048F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12EB5D0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A5DC6B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FFFFFF"/>
            <w:noWrap/>
            <w:tcMar>
              <w:top w:w="15" w:type="dxa"/>
              <w:left w:w="0" w:type="dxa"/>
              <w:bottom w:w="0" w:type="dxa"/>
              <w:right w:w="15" w:type="dxa"/>
            </w:tcMar>
            <w:vAlign w:val="bottom"/>
            <w:hideMark/>
          </w:tcPr>
          <w:p w14:paraId="2A9D322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B99A33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00172C6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4103B5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FFFFFF"/>
            <w:noWrap/>
            <w:tcMar>
              <w:top w:w="15" w:type="dxa"/>
              <w:left w:w="0" w:type="dxa"/>
              <w:bottom w:w="0" w:type="dxa"/>
              <w:right w:w="15" w:type="dxa"/>
            </w:tcMar>
            <w:vAlign w:val="bottom"/>
            <w:hideMark/>
          </w:tcPr>
          <w:p w14:paraId="4DC09DF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178164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26FBE03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7D45A0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FFFFFF"/>
            <w:noWrap/>
            <w:tcMar>
              <w:top w:w="15" w:type="dxa"/>
              <w:left w:w="0" w:type="dxa"/>
              <w:bottom w:w="0" w:type="dxa"/>
              <w:right w:w="15" w:type="dxa"/>
            </w:tcMar>
            <w:vAlign w:val="bottom"/>
            <w:hideMark/>
          </w:tcPr>
          <w:p w14:paraId="188F323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8860FC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2E27BE7F" w14:textId="77777777">
        <w:trPr>
          <w:divId w:val="485321682"/>
          <w:jc w:val="center"/>
        </w:trPr>
        <w:tc>
          <w:tcPr>
            <w:tcW w:w="1865" w:type="pct"/>
            <w:shd w:val="clear" w:color="auto" w:fill="CFF0FC"/>
            <w:tcMar>
              <w:top w:w="15" w:type="dxa"/>
              <w:left w:w="0" w:type="dxa"/>
              <w:bottom w:w="0" w:type="dxa"/>
              <w:right w:w="15" w:type="dxa"/>
            </w:tcMar>
            <w:vAlign w:val="bottom"/>
            <w:hideMark/>
          </w:tcPr>
          <w:p w14:paraId="5BC7F5CB" w14:textId="77777777" w:rsidR="00251D72" w:rsidRDefault="00251D72">
            <w:pPr>
              <w:pStyle w:val="a3"/>
              <w:spacing w:before="0" w:beforeAutospacing="0" w:after="0" w:afterAutospacing="0"/>
              <w:ind w:left="418" w:hanging="144"/>
              <w:rPr>
                <w:rFonts w:ascii="Calibri" w:hAnsi="Calibri" w:cs="Calibri"/>
                <w:color w:val="000000"/>
                <w:sz w:val="16"/>
                <w:szCs w:val="16"/>
              </w:rPr>
            </w:pPr>
            <w:r>
              <w:rPr>
                <w:rFonts w:ascii="Calibri" w:hAnsi="Calibri" w:cs="Calibri"/>
                <w:color w:val="000000"/>
                <w:sz w:val="16"/>
                <w:szCs w:val="16"/>
              </w:rPr>
              <w:t>Derivative instruments</w:t>
            </w:r>
          </w:p>
        </w:tc>
        <w:tc>
          <w:tcPr>
            <w:tcW w:w="28" w:type="pct"/>
            <w:shd w:val="clear" w:color="auto" w:fill="CFF0FC"/>
            <w:tcMar>
              <w:top w:w="15" w:type="dxa"/>
              <w:left w:w="0" w:type="dxa"/>
              <w:bottom w:w="0" w:type="dxa"/>
              <w:right w:w="15" w:type="dxa"/>
            </w:tcMar>
            <w:vAlign w:val="bottom"/>
            <w:hideMark/>
          </w:tcPr>
          <w:p w14:paraId="212D4D4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1F98EA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3DE286E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(38</w:t>
            </w:r>
          </w:p>
        </w:tc>
        <w:tc>
          <w:tcPr>
            <w:tcW w:w="50" w:type="pct"/>
            <w:shd w:val="clear" w:color="auto" w:fill="CFF0FC"/>
            <w:noWrap/>
            <w:tcMar>
              <w:top w:w="15" w:type="dxa"/>
              <w:left w:w="0" w:type="dxa"/>
              <w:bottom w:w="0" w:type="dxa"/>
              <w:right w:w="15" w:type="dxa"/>
            </w:tcMar>
            <w:vAlign w:val="bottom"/>
            <w:hideMark/>
          </w:tcPr>
          <w:p w14:paraId="365EAE9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8" w:type="pct"/>
            <w:shd w:val="clear" w:color="auto" w:fill="CFF0FC"/>
            <w:tcMar>
              <w:top w:w="15" w:type="dxa"/>
              <w:left w:w="0" w:type="dxa"/>
              <w:bottom w:w="0" w:type="dxa"/>
              <w:right w:w="15" w:type="dxa"/>
            </w:tcMar>
            <w:vAlign w:val="bottom"/>
            <w:hideMark/>
          </w:tcPr>
          <w:p w14:paraId="695C28F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F9DB88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left w:w="0" w:type="dxa"/>
              <w:bottom w:w="0" w:type="dxa"/>
              <w:right w:w="15" w:type="dxa"/>
            </w:tcMar>
            <w:vAlign w:val="bottom"/>
            <w:hideMark/>
          </w:tcPr>
          <w:p w14:paraId="30BD9AA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27</w:t>
            </w:r>
          </w:p>
        </w:tc>
        <w:tc>
          <w:tcPr>
            <w:tcW w:w="50" w:type="pct"/>
            <w:shd w:val="clear" w:color="auto" w:fill="CFF0FC"/>
            <w:noWrap/>
            <w:tcMar>
              <w:top w:w="15" w:type="dxa"/>
              <w:left w:w="0" w:type="dxa"/>
              <w:bottom w:w="0" w:type="dxa"/>
              <w:right w:w="15" w:type="dxa"/>
            </w:tcMar>
            <w:vAlign w:val="bottom"/>
            <w:hideMark/>
          </w:tcPr>
          <w:p w14:paraId="74E25FD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2B849CC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97EF23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361F91E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42D4E4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0920708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C88CA9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66D213B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44B718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7D4E3EC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DCB14C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32E846C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3F0BE4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15C160A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6A6720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left w:w="0" w:type="dxa"/>
              <w:bottom w:w="0" w:type="dxa"/>
              <w:right w:w="15" w:type="dxa"/>
            </w:tcMar>
            <w:vAlign w:val="bottom"/>
            <w:hideMark/>
          </w:tcPr>
          <w:p w14:paraId="2A70BA8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1B093E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4AB09F83" w14:textId="77777777">
        <w:trPr>
          <w:divId w:val="485321682"/>
          <w:jc w:val="center"/>
        </w:trPr>
        <w:tc>
          <w:tcPr>
            <w:tcW w:w="1865" w:type="pct"/>
            <w:shd w:val="clear" w:color="auto" w:fill="FFFFFF"/>
            <w:tcMar>
              <w:top w:w="15" w:type="dxa"/>
              <w:left w:w="0" w:type="dxa"/>
              <w:bottom w:w="0" w:type="dxa"/>
              <w:right w:w="15" w:type="dxa"/>
            </w:tcMar>
            <w:vAlign w:val="bottom"/>
            <w:hideMark/>
          </w:tcPr>
          <w:p w14:paraId="45C3C7FB" w14:textId="77777777" w:rsidR="00251D72" w:rsidRDefault="00251D72">
            <w:pPr>
              <w:pStyle w:val="a3"/>
              <w:spacing w:before="0" w:beforeAutospacing="0" w:after="0" w:afterAutospacing="0"/>
              <w:ind w:left="418" w:hanging="144"/>
              <w:rPr>
                <w:rFonts w:ascii="Calibri" w:hAnsi="Calibri" w:cs="Calibri"/>
                <w:color w:val="000000"/>
                <w:sz w:val="16"/>
                <w:szCs w:val="16"/>
              </w:rPr>
            </w:pPr>
            <w:r>
              <w:rPr>
                <w:rFonts w:ascii="Calibri" w:hAnsi="Calibri" w:cs="Calibri"/>
                <w:color w:val="000000"/>
                <w:sz w:val="16"/>
                <w:szCs w:val="16"/>
              </w:rPr>
              <w:t>Hedged items</w:t>
            </w:r>
          </w:p>
        </w:tc>
        <w:tc>
          <w:tcPr>
            <w:tcW w:w="28" w:type="pct"/>
            <w:shd w:val="clear" w:color="auto" w:fill="FFFFFF"/>
            <w:tcMar>
              <w:top w:w="15" w:type="dxa"/>
              <w:left w:w="0" w:type="dxa"/>
              <w:bottom w:w="0" w:type="dxa"/>
              <w:right w:w="15" w:type="dxa"/>
            </w:tcMar>
            <w:vAlign w:val="bottom"/>
            <w:hideMark/>
          </w:tcPr>
          <w:p w14:paraId="02DBCAB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4FCA2D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FFFFFF"/>
            <w:noWrap/>
            <w:tcMar>
              <w:top w:w="15" w:type="dxa"/>
              <w:left w:w="0" w:type="dxa"/>
              <w:bottom w:w="0" w:type="dxa"/>
              <w:right w:w="15" w:type="dxa"/>
            </w:tcMar>
            <w:vAlign w:val="bottom"/>
            <w:hideMark/>
          </w:tcPr>
          <w:p w14:paraId="2B004CE8"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38</w:t>
            </w:r>
          </w:p>
        </w:tc>
        <w:tc>
          <w:tcPr>
            <w:tcW w:w="50" w:type="pct"/>
            <w:shd w:val="clear" w:color="auto" w:fill="FFFFFF"/>
            <w:noWrap/>
            <w:tcMar>
              <w:top w:w="15" w:type="dxa"/>
              <w:left w:w="0" w:type="dxa"/>
              <w:bottom w:w="0" w:type="dxa"/>
              <w:right w:w="15" w:type="dxa"/>
            </w:tcMar>
            <w:vAlign w:val="bottom"/>
            <w:hideMark/>
          </w:tcPr>
          <w:p w14:paraId="4593243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38E22EB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8264A24"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FFFFFF"/>
            <w:noWrap/>
            <w:tcMar>
              <w:top w:w="15" w:type="dxa"/>
              <w:left w:w="0" w:type="dxa"/>
              <w:bottom w:w="0" w:type="dxa"/>
              <w:right w:w="15" w:type="dxa"/>
            </w:tcMar>
            <w:vAlign w:val="bottom"/>
            <w:hideMark/>
          </w:tcPr>
          <w:p w14:paraId="4FF71AF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(27</w:t>
            </w:r>
          </w:p>
        </w:tc>
        <w:tc>
          <w:tcPr>
            <w:tcW w:w="50" w:type="pct"/>
            <w:shd w:val="clear" w:color="auto" w:fill="FFFFFF"/>
            <w:noWrap/>
            <w:tcMar>
              <w:top w:w="15" w:type="dxa"/>
              <w:left w:w="0" w:type="dxa"/>
              <w:bottom w:w="0" w:type="dxa"/>
              <w:right w:w="15" w:type="dxa"/>
            </w:tcMar>
            <w:vAlign w:val="bottom"/>
            <w:hideMark/>
          </w:tcPr>
          <w:p w14:paraId="55D3934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8" w:type="pct"/>
            <w:shd w:val="clear" w:color="auto" w:fill="FFFFFF"/>
            <w:tcMar>
              <w:top w:w="15" w:type="dxa"/>
              <w:left w:w="0" w:type="dxa"/>
              <w:bottom w:w="0" w:type="dxa"/>
              <w:right w:w="15" w:type="dxa"/>
            </w:tcMar>
            <w:vAlign w:val="bottom"/>
            <w:hideMark/>
          </w:tcPr>
          <w:p w14:paraId="30C5370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8DCB82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FFFFFF"/>
            <w:noWrap/>
            <w:tcMar>
              <w:top w:w="15" w:type="dxa"/>
              <w:left w:w="0" w:type="dxa"/>
              <w:bottom w:w="0" w:type="dxa"/>
              <w:right w:w="15" w:type="dxa"/>
            </w:tcMar>
            <w:vAlign w:val="bottom"/>
            <w:hideMark/>
          </w:tcPr>
          <w:p w14:paraId="6692456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47D5CF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2863E2F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B0808C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FFFFFF"/>
            <w:noWrap/>
            <w:tcMar>
              <w:top w:w="15" w:type="dxa"/>
              <w:left w:w="0" w:type="dxa"/>
              <w:bottom w:w="0" w:type="dxa"/>
              <w:right w:w="15" w:type="dxa"/>
            </w:tcMar>
            <w:vAlign w:val="bottom"/>
            <w:hideMark/>
          </w:tcPr>
          <w:p w14:paraId="1E44D63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1D9D5D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2CEE64B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09B7E4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FFFFFF"/>
            <w:noWrap/>
            <w:tcMar>
              <w:top w:w="15" w:type="dxa"/>
              <w:left w:w="0" w:type="dxa"/>
              <w:bottom w:w="0" w:type="dxa"/>
              <w:right w:w="15" w:type="dxa"/>
            </w:tcMar>
            <w:vAlign w:val="bottom"/>
            <w:hideMark/>
          </w:tcPr>
          <w:p w14:paraId="7847440C"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10A88A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6C29581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9255A0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FFFFFF"/>
            <w:noWrap/>
            <w:tcMar>
              <w:top w:w="15" w:type="dxa"/>
              <w:left w:w="0" w:type="dxa"/>
              <w:bottom w:w="0" w:type="dxa"/>
              <w:right w:w="15" w:type="dxa"/>
            </w:tcMar>
            <w:vAlign w:val="bottom"/>
            <w:hideMark/>
          </w:tcPr>
          <w:p w14:paraId="78FA7E59"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CCE200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6A2A1988" w14:textId="77777777">
        <w:trPr>
          <w:divId w:val="485321682"/>
          <w:jc w:val="center"/>
        </w:trPr>
        <w:tc>
          <w:tcPr>
            <w:tcW w:w="1865" w:type="pct"/>
            <w:shd w:val="clear" w:color="auto" w:fill="CFF0FC"/>
            <w:tcMar>
              <w:top w:w="15" w:type="dxa"/>
              <w:left w:w="0" w:type="dxa"/>
              <w:bottom w:w="0" w:type="dxa"/>
              <w:right w:w="15" w:type="dxa"/>
            </w:tcMar>
            <w:vAlign w:val="bottom"/>
            <w:hideMark/>
          </w:tcPr>
          <w:p w14:paraId="74E44A0A" w14:textId="77777777" w:rsidR="00251D72" w:rsidRDefault="00251D72">
            <w:pPr>
              <w:pStyle w:val="a3"/>
              <w:spacing w:before="0" w:beforeAutospacing="0" w:after="0" w:afterAutospacing="0"/>
              <w:ind w:left="288" w:hanging="144"/>
              <w:rPr>
                <w:rFonts w:ascii="Calibri" w:hAnsi="Calibri" w:cs="Calibri"/>
                <w:color w:val="000000"/>
                <w:sz w:val="16"/>
                <w:szCs w:val="16"/>
              </w:rPr>
            </w:pPr>
            <w:r>
              <w:rPr>
                <w:rFonts w:ascii="Calibri" w:hAnsi="Calibri" w:cs="Calibri"/>
                <w:color w:val="000000"/>
                <w:sz w:val="16"/>
                <w:szCs w:val="16"/>
              </w:rPr>
              <w:t>Cross-currency swap agreements designated as cash flow hedges:</w:t>
            </w:r>
          </w:p>
        </w:tc>
        <w:tc>
          <w:tcPr>
            <w:tcW w:w="28" w:type="pct"/>
            <w:shd w:val="clear" w:color="auto" w:fill="CFF0FC"/>
            <w:tcMar>
              <w:top w:w="15" w:type="dxa"/>
              <w:left w:w="0" w:type="dxa"/>
              <w:bottom w:w="0" w:type="dxa"/>
              <w:right w:w="15" w:type="dxa"/>
            </w:tcMar>
            <w:vAlign w:val="bottom"/>
            <w:hideMark/>
          </w:tcPr>
          <w:p w14:paraId="74F95F9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DD4E45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0B49D32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A35387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56C3C56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F7A008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left w:w="0" w:type="dxa"/>
              <w:bottom w:w="0" w:type="dxa"/>
              <w:right w:w="15" w:type="dxa"/>
            </w:tcMar>
            <w:vAlign w:val="bottom"/>
            <w:hideMark/>
          </w:tcPr>
          <w:p w14:paraId="76720BC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03AFD5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42155B2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856C6A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440ED1B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78F973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2AAA0FD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92EC80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72BBB5D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63BCD0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5F3549C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A5D298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shd w:val="clear" w:color="auto" w:fill="CFF0FC"/>
            <w:noWrap/>
            <w:tcMar>
              <w:top w:w="15" w:type="dxa"/>
              <w:left w:w="0" w:type="dxa"/>
              <w:bottom w:w="0" w:type="dxa"/>
              <w:right w:w="15" w:type="dxa"/>
            </w:tcMar>
            <w:vAlign w:val="bottom"/>
            <w:hideMark/>
          </w:tcPr>
          <w:p w14:paraId="030EAA5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4A86E1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2C955170"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7620CA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left w:w="0" w:type="dxa"/>
              <w:bottom w:w="0" w:type="dxa"/>
              <w:right w:w="15" w:type="dxa"/>
            </w:tcMar>
            <w:vAlign w:val="bottom"/>
            <w:hideMark/>
          </w:tcPr>
          <w:p w14:paraId="078D44A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18EB10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42CE2E81" w14:textId="77777777">
        <w:trPr>
          <w:divId w:val="485321682"/>
          <w:jc w:val="center"/>
        </w:trPr>
        <w:tc>
          <w:tcPr>
            <w:tcW w:w="1865" w:type="pct"/>
            <w:shd w:val="clear" w:color="auto" w:fill="FFFFFF"/>
            <w:tcMar>
              <w:top w:w="15" w:type="dxa"/>
              <w:left w:w="0" w:type="dxa"/>
              <w:bottom w:w="0" w:type="dxa"/>
              <w:right w:w="15" w:type="dxa"/>
            </w:tcMar>
            <w:vAlign w:val="bottom"/>
            <w:hideMark/>
          </w:tcPr>
          <w:p w14:paraId="6C2254E3" w14:textId="77777777" w:rsidR="00251D72" w:rsidRDefault="00251D72">
            <w:pPr>
              <w:pStyle w:val="a3"/>
              <w:spacing w:before="0" w:beforeAutospacing="0" w:after="0" w:afterAutospacing="0"/>
              <w:ind w:left="418" w:hanging="144"/>
              <w:rPr>
                <w:rFonts w:ascii="Calibri" w:hAnsi="Calibri" w:cs="Calibri"/>
                <w:color w:val="000000"/>
                <w:sz w:val="16"/>
                <w:szCs w:val="16"/>
              </w:rPr>
            </w:pPr>
            <w:r>
              <w:rPr>
                <w:rFonts w:ascii="Calibri" w:hAnsi="Calibri" w:cs="Calibri"/>
                <w:color w:val="000000"/>
                <w:sz w:val="16"/>
                <w:szCs w:val="16"/>
              </w:rPr>
              <w:t>Amount of gain (loss) reclassified from accumulated OCI or OCL</w:t>
            </w:r>
          </w:p>
        </w:tc>
        <w:tc>
          <w:tcPr>
            <w:tcW w:w="28" w:type="pct"/>
            <w:shd w:val="clear" w:color="auto" w:fill="FFFFFF"/>
            <w:tcMar>
              <w:top w:w="15" w:type="dxa"/>
              <w:left w:w="0" w:type="dxa"/>
              <w:bottom w:w="0" w:type="dxa"/>
              <w:right w:w="15" w:type="dxa"/>
            </w:tcMar>
            <w:vAlign w:val="bottom"/>
            <w:hideMark/>
          </w:tcPr>
          <w:p w14:paraId="7C1F8A8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112B68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14:paraId="25F2717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(53</w:t>
            </w:r>
          </w:p>
        </w:tc>
        <w:tc>
          <w:tcPr>
            <w:tcW w:w="50" w:type="pct"/>
            <w:shd w:val="clear" w:color="auto" w:fill="FFFFFF"/>
            <w:noWrap/>
            <w:tcMar>
              <w:top w:w="15" w:type="dxa"/>
              <w:left w:w="0" w:type="dxa"/>
              <w:bottom w:w="0" w:type="dxa"/>
              <w:right w:w="15" w:type="dxa"/>
            </w:tcMar>
            <w:vAlign w:val="bottom"/>
            <w:hideMark/>
          </w:tcPr>
          <w:p w14:paraId="60F833E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8" w:type="pct"/>
            <w:shd w:val="clear" w:color="auto" w:fill="FFFFFF"/>
            <w:tcMar>
              <w:top w:w="15" w:type="dxa"/>
              <w:left w:w="0" w:type="dxa"/>
              <w:bottom w:w="0" w:type="dxa"/>
              <w:right w:w="15" w:type="dxa"/>
            </w:tcMar>
            <w:vAlign w:val="bottom"/>
            <w:hideMark/>
          </w:tcPr>
          <w:p w14:paraId="2CEB216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36DE82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tcBorders>
              <w:bottom w:val="single" w:sz="6" w:space="0" w:color="000000"/>
            </w:tcBorders>
            <w:shd w:val="clear" w:color="auto" w:fill="FFFFFF"/>
            <w:noWrap/>
            <w:tcMar>
              <w:top w:w="15" w:type="dxa"/>
              <w:left w:w="0" w:type="dxa"/>
              <w:bottom w:w="0" w:type="dxa"/>
              <w:right w:w="15" w:type="dxa"/>
            </w:tcMar>
            <w:vAlign w:val="bottom"/>
            <w:hideMark/>
          </w:tcPr>
          <w:p w14:paraId="3A70EC2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9214E6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2DCA311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0C93CF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14:paraId="033540EE"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51</w:t>
            </w:r>
          </w:p>
        </w:tc>
        <w:tc>
          <w:tcPr>
            <w:tcW w:w="50" w:type="pct"/>
            <w:shd w:val="clear" w:color="auto" w:fill="FFFFFF"/>
            <w:noWrap/>
            <w:tcMar>
              <w:top w:w="15" w:type="dxa"/>
              <w:left w:w="0" w:type="dxa"/>
              <w:bottom w:w="0" w:type="dxa"/>
              <w:right w:w="15" w:type="dxa"/>
            </w:tcMar>
            <w:vAlign w:val="bottom"/>
            <w:hideMark/>
          </w:tcPr>
          <w:p w14:paraId="2D08927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3CE805A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C2D8C0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14:paraId="6A625A8F"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A39149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5AD89DC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28E35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10" w:type="pct"/>
            <w:tcBorders>
              <w:bottom w:val="single" w:sz="6" w:space="0" w:color="000000"/>
            </w:tcBorders>
            <w:shd w:val="clear" w:color="auto" w:fill="FFFFFF"/>
            <w:noWrap/>
            <w:tcMar>
              <w:top w:w="15" w:type="dxa"/>
              <w:left w:w="0" w:type="dxa"/>
              <w:bottom w:w="0" w:type="dxa"/>
              <w:right w:w="15" w:type="dxa"/>
            </w:tcMar>
            <w:vAlign w:val="bottom"/>
            <w:hideMark/>
          </w:tcPr>
          <w:p w14:paraId="12A61524"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w:t>
            </w:r>
          </w:p>
        </w:tc>
        <w:tc>
          <w:tcPr>
            <w:tcW w:w="50" w:type="pct"/>
            <w:shd w:val="clear" w:color="auto" w:fill="FFFFFF"/>
            <w:noWrap/>
            <w:tcMar>
              <w:top w:w="15" w:type="dxa"/>
              <w:left w:w="0" w:type="dxa"/>
              <w:bottom w:w="0" w:type="dxa"/>
              <w:right w:w="15" w:type="dxa"/>
            </w:tcMar>
            <w:vAlign w:val="bottom"/>
            <w:hideMark/>
          </w:tcPr>
          <w:p w14:paraId="0885B0B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FFFFFF"/>
            <w:tcMar>
              <w:top w:w="15" w:type="dxa"/>
              <w:left w:w="0" w:type="dxa"/>
              <w:bottom w:w="0" w:type="dxa"/>
              <w:right w:w="15" w:type="dxa"/>
            </w:tcMar>
            <w:vAlign w:val="bottom"/>
            <w:hideMark/>
          </w:tcPr>
          <w:p w14:paraId="0BD91D8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34E444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9" w:type="pct"/>
            <w:tcBorders>
              <w:bottom w:val="single" w:sz="6" w:space="0" w:color="000000"/>
            </w:tcBorders>
            <w:shd w:val="clear" w:color="auto" w:fill="FFFFFF"/>
            <w:noWrap/>
            <w:tcMar>
              <w:top w:w="15" w:type="dxa"/>
              <w:left w:w="0" w:type="dxa"/>
              <w:bottom w:w="0" w:type="dxa"/>
              <w:right w:w="15" w:type="dxa"/>
            </w:tcMar>
            <w:vAlign w:val="bottom"/>
            <w:hideMark/>
          </w:tcPr>
          <w:p w14:paraId="0C9DD37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DC5A81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251D72" w14:paraId="37EB3211" w14:textId="77777777">
        <w:trPr>
          <w:divId w:val="485321682"/>
          <w:jc w:val="center"/>
        </w:trPr>
        <w:tc>
          <w:tcPr>
            <w:tcW w:w="1865" w:type="pct"/>
            <w:shd w:val="clear" w:color="auto" w:fill="CFF0FC"/>
            <w:tcMar>
              <w:top w:w="15" w:type="dxa"/>
              <w:left w:w="0" w:type="dxa"/>
              <w:bottom w:w="0" w:type="dxa"/>
              <w:right w:w="15" w:type="dxa"/>
            </w:tcMar>
            <w:vAlign w:val="bottom"/>
            <w:hideMark/>
          </w:tcPr>
          <w:p w14:paraId="7ADAF4E2" w14:textId="77777777" w:rsidR="00251D72" w:rsidRDefault="00251D72">
            <w:pPr>
              <w:pStyle w:val="a3"/>
              <w:spacing w:before="0" w:beforeAutospacing="0" w:after="0" w:afterAutospacing="0"/>
              <w:ind w:left="547" w:hanging="144"/>
              <w:rPr>
                <w:rFonts w:ascii="Calibri" w:hAnsi="Calibri" w:cs="Calibri"/>
                <w:color w:val="000000"/>
                <w:sz w:val="16"/>
                <w:szCs w:val="16"/>
              </w:rPr>
            </w:pPr>
            <w:r>
              <w:rPr>
                <w:rFonts w:ascii="Calibri" w:hAnsi="Calibri" w:cs="Calibri"/>
                <w:color w:val="000000"/>
                <w:sz w:val="16"/>
                <w:szCs w:val="16"/>
              </w:rPr>
              <w:t>Total gain (loss) on hedges recognized in income</w:t>
            </w:r>
          </w:p>
        </w:tc>
        <w:tc>
          <w:tcPr>
            <w:tcW w:w="28" w:type="pct"/>
            <w:shd w:val="clear" w:color="auto" w:fill="CFF0FC"/>
            <w:tcMar>
              <w:top w:w="15" w:type="dxa"/>
              <w:left w:w="0" w:type="dxa"/>
              <w:bottom w:w="0" w:type="dxa"/>
              <w:right w:w="15" w:type="dxa"/>
            </w:tcMar>
            <w:vAlign w:val="bottom"/>
            <w:hideMark/>
          </w:tcPr>
          <w:p w14:paraId="3CF18321"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8405AB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E5BEA7"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(53</w:t>
            </w:r>
          </w:p>
        </w:tc>
        <w:tc>
          <w:tcPr>
            <w:tcW w:w="50" w:type="pct"/>
            <w:shd w:val="clear" w:color="auto" w:fill="CFF0FC"/>
            <w:noWrap/>
            <w:tcMar>
              <w:top w:w="15" w:type="dxa"/>
              <w:left w:w="0" w:type="dxa"/>
              <w:bottom w:w="0" w:type="dxa"/>
              <w:right w:w="15" w:type="dxa"/>
            </w:tcMar>
            <w:vAlign w:val="bottom"/>
            <w:hideMark/>
          </w:tcPr>
          <w:p w14:paraId="43CFFD23"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28" w:type="pct"/>
            <w:shd w:val="clear" w:color="auto" w:fill="CFF0FC"/>
            <w:tcMar>
              <w:top w:w="15" w:type="dxa"/>
              <w:left w:w="0" w:type="dxa"/>
              <w:bottom w:w="0" w:type="dxa"/>
              <w:right w:w="15" w:type="dxa"/>
            </w:tcMar>
            <w:vAlign w:val="bottom"/>
            <w:hideMark/>
          </w:tcPr>
          <w:p w14:paraId="1D2EF3E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504DC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C55343"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9182E7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6FBB989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DADC3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3FC6F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51</w:t>
            </w:r>
          </w:p>
        </w:tc>
        <w:tc>
          <w:tcPr>
            <w:tcW w:w="50" w:type="pct"/>
            <w:shd w:val="clear" w:color="auto" w:fill="CFF0FC"/>
            <w:noWrap/>
            <w:tcMar>
              <w:top w:w="15" w:type="dxa"/>
              <w:left w:w="0" w:type="dxa"/>
              <w:bottom w:w="0" w:type="dxa"/>
              <w:right w:w="15" w:type="dxa"/>
            </w:tcMar>
            <w:vAlign w:val="bottom"/>
            <w:hideMark/>
          </w:tcPr>
          <w:p w14:paraId="6EBF9032"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460BB20B"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BA2EC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6A17FE2"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CB3B0AD"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148DEA2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5D16E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41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44D7B0"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w:t>
            </w:r>
          </w:p>
        </w:tc>
        <w:tc>
          <w:tcPr>
            <w:tcW w:w="50" w:type="pct"/>
            <w:shd w:val="clear" w:color="auto" w:fill="CFF0FC"/>
            <w:noWrap/>
            <w:tcMar>
              <w:top w:w="15" w:type="dxa"/>
              <w:left w:w="0" w:type="dxa"/>
              <w:bottom w:w="0" w:type="dxa"/>
              <w:right w:w="15" w:type="dxa"/>
            </w:tcMar>
            <w:vAlign w:val="bottom"/>
            <w:hideMark/>
          </w:tcPr>
          <w:p w14:paraId="7D135C1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 w:type="pct"/>
            <w:shd w:val="clear" w:color="auto" w:fill="CFF0FC"/>
            <w:tcMar>
              <w:top w:w="15" w:type="dxa"/>
              <w:left w:w="0" w:type="dxa"/>
              <w:bottom w:w="0" w:type="dxa"/>
              <w:right w:w="15" w:type="dxa"/>
            </w:tcMar>
            <w:vAlign w:val="bottom"/>
            <w:hideMark/>
          </w:tcPr>
          <w:p w14:paraId="6AC1DB4A"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069168"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3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050F5B"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22B0853"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54EC8ED1" w14:textId="77777777" w:rsidR="00251D72" w:rsidRDefault="00251D72">
      <w:pPr>
        <w:pStyle w:val="a3"/>
      </w:pPr>
      <w:r>
        <w:t> </w:t>
      </w:r>
    </w:p>
    <w:p w14:paraId="122FBD33" w14:textId="77777777" w:rsidR="00251D72" w:rsidRDefault="00251D72">
      <w:pPr>
        <w:pStyle w:val="a3"/>
        <w:spacing w:before="0" w:beforeAutospacing="0" w:after="0" w:afterAutospacing="0"/>
        <w:jc w:val="both"/>
        <w:rPr>
          <w:rFonts w:ascii="Calibri" w:hAnsi="Calibri" w:cs="Calibri"/>
          <w:b/>
          <w:bCs/>
          <w:color w:val="000000"/>
          <w:sz w:val="20"/>
          <w:szCs w:val="20"/>
        </w:rPr>
      </w:pPr>
      <w:r>
        <w:rPr>
          <w:rFonts w:ascii="Calibri" w:hAnsi="Calibri" w:cs="Calibri"/>
          <w:b/>
          <w:bCs/>
          <w:color w:val="000000"/>
          <w:sz w:val="20"/>
          <w:szCs w:val="20"/>
        </w:rPr>
        <w:t>Gain (Loss) on Derivative Instruments Designated as Hedges included in Other Comprehensive Income (OCI) or Loss (OCL)</w:t>
      </w:r>
    </w:p>
    <w:p w14:paraId="4C79F5C3"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95"/>
        <w:gridCol w:w="86"/>
        <w:gridCol w:w="97"/>
        <w:gridCol w:w="1020"/>
        <w:gridCol w:w="79"/>
        <w:gridCol w:w="215"/>
        <w:gridCol w:w="98"/>
        <w:gridCol w:w="1021"/>
        <w:gridCol w:w="79"/>
        <w:gridCol w:w="215"/>
        <w:gridCol w:w="98"/>
        <w:gridCol w:w="1024"/>
        <w:gridCol w:w="79"/>
      </w:tblGrid>
      <w:tr w:rsidR="00251D72" w14:paraId="3514D4DB" w14:textId="77777777">
        <w:trPr>
          <w:divId w:val="1179807612"/>
          <w:jc w:val="center"/>
        </w:trPr>
        <w:tc>
          <w:tcPr>
            <w:tcW w:w="2527" w:type="pct"/>
            <w:shd w:val="clear" w:color="auto" w:fill="FFFFFF"/>
            <w:tcMar>
              <w:top w:w="15" w:type="dxa"/>
              <w:left w:w="0" w:type="dxa"/>
              <w:bottom w:w="0" w:type="dxa"/>
              <w:right w:w="15" w:type="dxa"/>
            </w:tcMar>
            <w:vAlign w:val="bottom"/>
            <w:hideMark/>
          </w:tcPr>
          <w:p w14:paraId="7DD6286E" w14:textId="77777777" w:rsidR="00251D72" w:rsidRDefault="00251D72">
            <w:pPr>
              <w:pStyle w:val="a3"/>
              <w:spacing w:before="0" w:beforeAutospacing="0" w:after="0" w:afterAutospacing="0"/>
              <w:jc w:val="center"/>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14:paraId="1BDA081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367" w:type="pct"/>
            <w:gridSpan w:val="10"/>
            <w:tcBorders>
              <w:bottom w:val="single" w:sz="6" w:space="0" w:color="000000"/>
            </w:tcBorders>
            <w:shd w:val="clear" w:color="auto" w:fill="FFFFFF"/>
            <w:tcMar>
              <w:top w:w="15" w:type="dxa"/>
              <w:left w:w="0" w:type="dxa"/>
              <w:bottom w:w="0" w:type="dxa"/>
              <w:right w:w="15" w:type="dxa"/>
            </w:tcMar>
            <w:vAlign w:val="bottom"/>
            <w:hideMark/>
          </w:tcPr>
          <w:p w14:paraId="16740A4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7CBB360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456EE7C" w14:textId="77777777">
        <w:trPr>
          <w:divId w:val="1179807612"/>
          <w:jc w:val="center"/>
        </w:trPr>
        <w:tc>
          <w:tcPr>
            <w:tcW w:w="2527" w:type="pct"/>
            <w:tcBorders>
              <w:bottom w:val="single" w:sz="6" w:space="0" w:color="000000"/>
            </w:tcBorders>
            <w:shd w:val="clear" w:color="auto" w:fill="FFFFFF"/>
            <w:tcMar>
              <w:top w:w="15" w:type="dxa"/>
              <w:left w:w="0" w:type="dxa"/>
              <w:bottom w:w="0" w:type="dxa"/>
              <w:right w:w="15" w:type="dxa"/>
            </w:tcMar>
            <w:vAlign w:val="bottom"/>
            <w:hideMark/>
          </w:tcPr>
          <w:p w14:paraId="7B36AA7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5" w:type="pct"/>
            <w:shd w:val="clear" w:color="auto" w:fill="FFFFFF"/>
            <w:tcMar>
              <w:top w:w="15" w:type="dxa"/>
              <w:left w:w="0" w:type="dxa"/>
              <w:bottom w:w="0" w:type="dxa"/>
              <w:right w:w="15" w:type="dxa"/>
            </w:tcMar>
            <w:vAlign w:val="bottom"/>
            <w:hideMark/>
          </w:tcPr>
          <w:p w14:paraId="7B35F64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35452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6ABAB4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32" w:type="pct"/>
            <w:tcBorders>
              <w:top w:val="single" w:sz="6" w:space="0" w:color="000000"/>
            </w:tcBorders>
            <w:shd w:val="clear" w:color="auto" w:fill="FFFFFF"/>
            <w:tcMar>
              <w:top w:w="15" w:type="dxa"/>
              <w:left w:w="0" w:type="dxa"/>
              <w:bottom w:w="0" w:type="dxa"/>
              <w:right w:w="15" w:type="dxa"/>
            </w:tcMar>
            <w:vAlign w:val="bottom"/>
            <w:hideMark/>
          </w:tcPr>
          <w:p w14:paraId="32D6E47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90868A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52A38EF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32" w:type="pct"/>
            <w:tcBorders>
              <w:top w:val="single" w:sz="6" w:space="0" w:color="000000"/>
            </w:tcBorders>
            <w:shd w:val="clear" w:color="auto" w:fill="FFFFFF"/>
            <w:tcMar>
              <w:top w:w="15" w:type="dxa"/>
              <w:left w:w="0" w:type="dxa"/>
              <w:bottom w:w="0" w:type="dxa"/>
              <w:right w:w="15" w:type="dxa"/>
            </w:tcMar>
            <w:vAlign w:val="bottom"/>
            <w:hideMark/>
          </w:tcPr>
          <w:p w14:paraId="67B0212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AF487F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421114C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CA1DDB4" w14:textId="77777777">
        <w:trPr>
          <w:divId w:val="1179807612"/>
          <w:jc w:val="center"/>
        </w:trPr>
        <w:tc>
          <w:tcPr>
            <w:tcW w:w="2527" w:type="pct"/>
            <w:tcBorders>
              <w:top w:val="single" w:sz="6" w:space="0" w:color="000000"/>
            </w:tcBorders>
            <w:shd w:val="clear" w:color="auto" w:fill="CFF0FC"/>
            <w:tcMar>
              <w:top w:w="15" w:type="dxa"/>
              <w:left w:w="0" w:type="dxa"/>
              <w:bottom w:w="0" w:type="dxa"/>
              <w:right w:w="15" w:type="dxa"/>
            </w:tcMar>
            <w:vAlign w:val="bottom"/>
            <w:hideMark/>
          </w:tcPr>
          <w:p w14:paraId="3607DCDF"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Cross-currency swap agreements designated as cash flow hedges</w:t>
            </w:r>
          </w:p>
        </w:tc>
        <w:tc>
          <w:tcPr>
            <w:tcW w:w="55" w:type="pct"/>
            <w:shd w:val="clear" w:color="auto" w:fill="CFF0FC"/>
            <w:tcMar>
              <w:top w:w="15" w:type="dxa"/>
              <w:left w:w="0" w:type="dxa"/>
              <w:bottom w:w="0" w:type="dxa"/>
              <w:right w:w="15" w:type="dxa"/>
            </w:tcMar>
            <w:vAlign w:val="bottom"/>
            <w:hideMark/>
          </w:tcPr>
          <w:p w14:paraId="66B117F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F197CE"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1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598656"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(105</w:t>
            </w:r>
          </w:p>
        </w:tc>
        <w:tc>
          <w:tcPr>
            <w:tcW w:w="50" w:type="pct"/>
            <w:shd w:val="clear" w:color="auto" w:fill="CFF0FC"/>
            <w:noWrap/>
            <w:tcMar>
              <w:top w:w="15" w:type="dxa"/>
              <w:left w:w="0" w:type="dxa"/>
              <w:bottom w:w="0" w:type="dxa"/>
              <w:right w:w="15" w:type="dxa"/>
            </w:tcMar>
            <w:vAlign w:val="bottom"/>
            <w:hideMark/>
          </w:tcPr>
          <w:p w14:paraId="7A837C8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132" w:type="pct"/>
            <w:shd w:val="clear" w:color="auto" w:fill="CFF0FC"/>
            <w:tcMar>
              <w:top w:w="15" w:type="dxa"/>
              <w:left w:w="0" w:type="dxa"/>
              <w:bottom w:w="0" w:type="dxa"/>
              <w:right w:w="15" w:type="dxa"/>
            </w:tcMar>
            <w:vAlign w:val="bottom"/>
            <w:hideMark/>
          </w:tcPr>
          <w:p w14:paraId="214D982C"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D381F6"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1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2D9A21"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88</w:t>
            </w:r>
          </w:p>
        </w:tc>
        <w:tc>
          <w:tcPr>
            <w:tcW w:w="50" w:type="pct"/>
            <w:shd w:val="clear" w:color="auto" w:fill="CFF0FC"/>
            <w:noWrap/>
            <w:tcMar>
              <w:top w:w="15" w:type="dxa"/>
              <w:left w:w="0" w:type="dxa"/>
              <w:bottom w:w="0" w:type="dxa"/>
              <w:right w:w="15" w:type="dxa"/>
            </w:tcMar>
            <w:vAlign w:val="bottom"/>
            <w:hideMark/>
          </w:tcPr>
          <w:p w14:paraId="617E9CB5"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32" w:type="pct"/>
            <w:shd w:val="clear" w:color="auto" w:fill="CFF0FC"/>
            <w:tcMar>
              <w:top w:w="15" w:type="dxa"/>
              <w:left w:w="0" w:type="dxa"/>
              <w:bottom w:w="0" w:type="dxa"/>
              <w:right w:w="15" w:type="dxa"/>
            </w:tcMar>
            <w:vAlign w:val="bottom"/>
            <w:hideMark/>
          </w:tcPr>
          <w:p w14:paraId="514EB8D9"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41648A7" w14:textId="77777777" w:rsidR="00251D72" w:rsidRDefault="00251D7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w:t>
            </w:r>
          </w:p>
        </w:tc>
        <w:tc>
          <w:tcPr>
            <w:tcW w:w="61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EE171D" w14:textId="77777777" w:rsidR="00251D72" w:rsidRDefault="00251D72">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27</w:t>
            </w:r>
          </w:p>
        </w:tc>
        <w:tc>
          <w:tcPr>
            <w:tcW w:w="50" w:type="pct"/>
            <w:shd w:val="clear" w:color="auto" w:fill="CFF0FC"/>
            <w:noWrap/>
            <w:tcMar>
              <w:top w:w="15" w:type="dxa"/>
              <w:left w:w="0" w:type="dxa"/>
              <w:bottom w:w="0" w:type="dxa"/>
              <w:right w:w="15" w:type="dxa"/>
            </w:tcMar>
            <w:vAlign w:val="bottom"/>
            <w:hideMark/>
          </w:tcPr>
          <w:p w14:paraId="49F9BBAE"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8C2ED8D" w14:textId="77777777" w:rsidR="00251D72" w:rsidRDefault="00251D72">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251D72" w14:paraId="61F4B26D" w14:textId="77777777">
        <w:tc>
          <w:tcPr>
            <w:tcW w:w="262" w:type="pct"/>
            <w:noWrap/>
            <w:hideMark/>
          </w:tcPr>
          <w:p w14:paraId="292005AD"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11.</w:t>
            </w:r>
          </w:p>
        </w:tc>
        <w:tc>
          <w:tcPr>
            <w:tcW w:w="0" w:type="auto"/>
            <w:hideMark/>
          </w:tcPr>
          <w:p w14:paraId="4C869451"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 xml:space="preserve">COMMITMENTS AND CERTAIN CONTINGENCIES </w:t>
            </w:r>
          </w:p>
        </w:tc>
      </w:tr>
    </w:tbl>
    <w:p w14:paraId="036DF8FC"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Lease Commitments</w:t>
      </w:r>
    </w:p>
    <w:p w14:paraId="2CF598EA"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operating leases primarily for facilities, land, data centers and vehicles. As of May 31, 2019, future minimum annual operating lease payments and future minimum payments to be received from non-cancelable subleases were as follows:</w:t>
      </w:r>
    </w:p>
    <w:p w14:paraId="64F819C7"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7055"/>
        <w:gridCol w:w="162"/>
        <w:gridCol w:w="117"/>
        <w:gridCol w:w="896"/>
        <w:gridCol w:w="76"/>
      </w:tblGrid>
      <w:tr w:rsidR="00251D72" w14:paraId="6C936446" w14:textId="77777777">
        <w:trPr>
          <w:divId w:val="1473211950"/>
          <w:jc w:val="center"/>
        </w:trPr>
        <w:tc>
          <w:tcPr>
            <w:tcW w:w="4252" w:type="pct"/>
            <w:tcBorders>
              <w:bottom w:val="single" w:sz="6" w:space="0" w:color="000000"/>
            </w:tcBorders>
            <w:shd w:val="clear" w:color="auto" w:fill="FFFFFF"/>
            <w:tcMar>
              <w:top w:w="15" w:type="dxa"/>
              <w:left w:w="0" w:type="dxa"/>
              <w:bottom w:w="0" w:type="dxa"/>
              <w:right w:w="15" w:type="dxa"/>
            </w:tcMar>
            <w:vAlign w:val="bottom"/>
            <w:hideMark/>
          </w:tcPr>
          <w:p w14:paraId="1D01E02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103" w:type="pct"/>
            <w:shd w:val="clear" w:color="auto" w:fill="FFFFFF"/>
            <w:tcMar>
              <w:top w:w="15" w:type="dxa"/>
              <w:left w:w="0" w:type="dxa"/>
              <w:bottom w:w="0" w:type="dxa"/>
              <w:right w:w="15" w:type="dxa"/>
            </w:tcMar>
            <w:vAlign w:val="bottom"/>
            <w:hideMark/>
          </w:tcPr>
          <w:p w14:paraId="6C01117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008894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44" w:type="pct"/>
            <w:shd w:val="clear" w:color="auto" w:fill="FFFFFF"/>
            <w:noWrap/>
            <w:tcMar>
              <w:top w:w="15" w:type="dxa"/>
              <w:left w:w="0" w:type="dxa"/>
              <w:bottom w:w="0" w:type="dxa"/>
              <w:right w:w="15" w:type="dxa"/>
            </w:tcMar>
            <w:vAlign w:val="bottom"/>
            <w:hideMark/>
          </w:tcPr>
          <w:p w14:paraId="6288454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D6D4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3A56534" w14:textId="77777777">
        <w:trPr>
          <w:divId w:val="1473211950"/>
          <w:jc w:val="center"/>
        </w:trPr>
        <w:tc>
          <w:tcPr>
            <w:tcW w:w="4252" w:type="pct"/>
            <w:tcBorders>
              <w:top w:val="single" w:sz="6" w:space="0" w:color="000000"/>
            </w:tcBorders>
            <w:shd w:val="clear" w:color="auto" w:fill="CFF0FC"/>
            <w:tcMar>
              <w:top w:w="15" w:type="dxa"/>
              <w:left w:w="0" w:type="dxa"/>
              <w:bottom w:w="0" w:type="dxa"/>
              <w:right w:w="15" w:type="dxa"/>
            </w:tcMar>
            <w:vAlign w:val="bottom"/>
            <w:hideMark/>
          </w:tcPr>
          <w:p w14:paraId="6D7ABD2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2020</w:t>
            </w:r>
          </w:p>
        </w:tc>
        <w:tc>
          <w:tcPr>
            <w:tcW w:w="103" w:type="pct"/>
            <w:shd w:val="clear" w:color="auto" w:fill="CFF0FC"/>
            <w:tcMar>
              <w:top w:w="15" w:type="dxa"/>
              <w:left w:w="0" w:type="dxa"/>
              <w:bottom w:w="0" w:type="dxa"/>
              <w:right w:w="15" w:type="dxa"/>
            </w:tcMar>
            <w:vAlign w:val="bottom"/>
            <w:hideMark/>
          </w:tcPr>
          <w:p w14:paraId="18B848F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D492B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left w:w="0" w:type="dxa"/>
              <w:bottom w:w="0" w:type="dxa"/>
              <w:right w:w="15" w:type="dxa"/>
            </w:tcMar>
            <w:vAlign w:val="bottom"/>
            <w:hideMark/>
          </w:tcPr>
          <w:p w14:paraId="260E101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658</w:t>
            </w:r>
          </w:p>
        </w:tc>
        <w:tc>
          <w:tcPr>
            <w:tcW w:w="50" w:type="pct"/>
            <w:shd w:val="clear" w:color="auto" w:fill="CFF0FC"/>
            <w:noWrap/>
            <w:tcMar>
              <w:top w:w="15" w:type="dxa"/>
              <w:left w:w="0" w:type="dxa"/>
              <w:bottom w:w="0" w:type="dxa"/>
              <w:right w:w="15" w:type="dxa"/>
            </w:tcMar>
            <w:vAlign w:val="bottom"/>
            <w:hideMark/>
          </w:tcPr>
          <w:p w14:paraId="048B00A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16DE67D" w14:textId="77777777">
        <w:trPr>
          <w:divId w:val="1473211950"/>
          <w:jc w:val="center"/>
        </w:trPr>
        <w:tc>
          <w:tcPr>
            <w:tcW w:w="4252" w:type="pct"/>
            <w:shd w:val="clear" w:color="auto" w:fill="FFFFFF"/>
            <w:tcMar>
              <w:top w:w="15" w:type="dxa"/>
              <w:left w:w="0" w:type="dxa"/>
              <w:bottom w:w="0" w:type="dxa"/>
              <w:right w:w="15" w:type="dxa"/>
            </w:tcMar>
            <w:vAlign w:val="bottom"/>
            <w:hideMark/>
          </w:tcPr>
          <w:p w14:paraId="5B2867D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2021</w:t>
            </w:r>
          </w:p>
        </w:tc>
        <w:tc>
          <w:tcPr>
            <w:tcW w:w="103" w:type="pct"/>
            <w:shd w:val="clear" w:color="auto" w:fill="FFFFFF"/>
            <w:tcMar>
              <w:top w:w="15" w:type="dxa"/>
              <w:left w:w="0" w:type="dxa"/>
              <w:bottom w:w="0" w:type="dxa"/>
              <w:right w:w="15" w:type="dxa"/>
            </w:tcMar>
            <w:vAlign w:val="bottom"/>
            <w:hideMark/>
          </w:tcPr>
          <w:p w14:paraId="3825594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E0053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left w:w="0" w:type="dxa"/>
              <w:bottom w:w="0" w:type="dxa"/>
              <w:right w:w="15" w:type="dxa"/>
            </w:tcMar>
            <w:vAlign w:val="bottom"/>
            <w:hideMark/>
          </w:tcPr>
          <w:p w14:paraId="2C35D15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538</w:t>
            </w:r>
          </w:p>
        </w:tc>
        <w:tc>
          <w:tcPr>
            <w:tcW w:w="50" w:type="pct"/>
            <w:shd w:val="clear" w:color="auto" w:fill="FFFFFF"/>
            <w:noWrap/>
            <w:tcMar>
              <w:top w:w="15" w:type="dxa"/>
              <w:left w:w="0" w:type="dxa"/>
              <w:bottom w:w="0" w:type="dxa"/>
              <w:right w:w="15" w:type="dxa"/>
            </w:tcMar>
            <w:vAlign w:val="bottom"/>
            <w:hideMark/>
          </w:tcPr>
          <w:p w14:paraId="27AC20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CC9C729" w14:textId="77777777">
        <w:trPr>
          <w:divId w:val="1473211950"/>
          <w:jc w:val="center"/>
        </w:trPr>
        <w:tc>
          <w:tcPr>
            <w:tcW w:w="4252" w:type="pct"/>
            <w:shd w:val="clear" w:color="auto" w:fill="CFF0FC"/>
            <w:tcMar>
              <w:top w:w="15" w:type="dxa"/>
              <w:left w:w="0" w:type="dxa"/>
              <w:bottom w:w="0" w:type="dxa"/>
              <w:right w:w="15" w:type="dxa"/>
            </w:tcMar>
            <w:vAlign w:val="bottom"/>
            <w:hideMark/>
          </w:tcPr>
          <w:p w14:paraId="402FFCE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2022</w:t>
            </w:r>
          </w:p>
        </w:tc>
        <w:tc>
          <w:tcPr>
            <w:tcW w:w="103" w:type="pct"/>
            <w:shd w:val="clear" w:color="auto" w:fill="CFF0FC"/>
            <w:tcMar>
              <w:top w:w="15" w:type="dxa"/>
              <w:left w:w="0" w:type="dxa"/>
              <w:bottom w:w="0" w:type="dxa"/>
              <w:right w:w="15" w:type="dxa"/>
            </w:tcMar>
            <w:vAlign w:val="bottom"/>
            <w:hideMark/>
          </w:tcPr>
          <w:p w14:paraId="0C0562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92B21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left w:w="0" w:type="dxa"/>
              <w:bottom w:w="0" w:type="dxa"/>
              <w:right w:w="15" w:type="dxa"/>
            </w:tcMar>
            <w:vAlign w:val="bottom"/>
            <w:hideMark/>
          </w:tcPr>
          <w:p w14:paraId="27C7840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425</w:t>
            </w:r>
          </w:p>
        </w:tc>
        <w:tc>
          <w:tcPr>
            <w:tcW w:w="50" w:type="pct"/>
            <w:shd w:val="clear" w:color="auto" w:fill="CFF0FC"/>
            <w:noWrap/>
            <w:tcMar>
              <w:top w:w="15" w:type="dxa"/>
              <w:left w:w="0" w:type="dxa"/>
              <w:bottom w:w="0" w:type="dxa"/>
              <w:right w:w="15" w:type="dxa"/>
            </w:tcMar>
            <w:vAlign w:val="bottom"/>
            <w:hideMark/>
          </w:tcPr>
          <w:p w14:paraId="2C21190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E370929" w14:textId="77777777">
        <w:trPr>
          <w:divId w:val="1473211950"/>
          <w:jc w:val="center"/>
        </w:trPr>
        <w:tc>
          <w:tcPr>
            <w:tcW w:w="4252" w:type="pct"/>
            <w:shd w:val="clear" w:color="auto" w:fill="FFFFFF"/>
            <w:tcMar>
              <w:top w:w="15" w:type="dxa"/>
              <w:left w:w="0" w:type="dxa"/>
              <w:bottom w:w="0" w:type="dxa"/>
              <w:right w:w="15" w:type="dxa"/>
            </w:tcMar>
            <w:vAlign w:val="bottom"/>
            <w:hideMark/>
          </w:tcPr>
          <w:p w14:paraId="33EA2A6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FFFFFF"/>
            <w:tcMar>
              <w:top w:w="15" w:type="dxa"/>
              <w:left w:w="0" w:type="dxa"/>
              <w:bottom w:w="0" w:type="dxa"/>
              <w:right w:w="15" w:type="dxa"/>
            </w:tcMar>
            <w:vAlign w:val="bottom"/>
            <w:hideMark/>
          </w:tcPr>
          <w:p w14:paraId="3969F90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183573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left w:w="0" w:type="dxa"/>
              <w:bottom w:w="0" w:type="dxa"/>
              <w:right w:w="15" w:type="dxa"/>
            </w:tcMar>
            <w:vAlign w:val="bottom"/>
            <w:hideMark/>
          </w:tcPr>
          <w:p w14:paraId="16B4978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262</w:t>
            </w:r>
          </w:p>
        </w:tc>
        <w:tc>
          <w:tcPr>
            <w:tcW w:w="50" w:type="pct"/>
            <w:shd w:val="clear" w:color="auto" w:fill="FFFFFF"/>
            <w:noWrap/>
            <w:tcMar>
              <w:top w:w="15" w:type="dxa"/>
              <w:left w:w="0" w:type="dxa"/>
              <w:bottom w:w="0" w:type="dxa"/>
              <w:right w:w="15" w:type="dxa"/>
            </w:tcMar>
            <w:vAlign w:val="bottom"/>
            <w:hideMark/>
          </w:tcPr>
          <w:p w14:paraId="29257C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A2568E7" w14:textId="77777777">
        <w:trPr>
          <w:divId w:val="1473211950"/>
          <w:jc w:val="center"/>
        </w:trPr>
        <w:tc>
          <w:tcPr>
            <w:tcW w:w="4252" w:type="pct"/>
            <w:shd w:val="clear" w:color="auto" w:fill="CFF0FC"/>
            <w:tcMar>
              <w:top w:w="15" w:type="dxa"/>
              <w:left w:w="0" w:type="dxa"/>
              <w:bottom w:w="0" w:type="dxa"/>
              <w:right w:w="15" w:type="dxa"/>
            </w:tcMar>
            <w:vAlign w:val="bottom"/>
            <w:hideMark/>
          </w:tcPr>
          <w:p w14:paraId="40673B0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CFF0FC"/>
            <w:tcMar>
              <w:top w:w="15" w:type="dxa"/>
              <w:left w:w="0" w:type="dxa"/>
              <w:bottom w:w="0" w:type="dxa"/>
              <w:right w:w="15" w:type="dxa"/>
            </w:tcMar>
            <w:vAlign w:val="bottom"/>
            <w:hideMark/>
          </w:tcPr>
          <w:p w14:paraId="5350E3F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468C2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left w:w="0" w:type="dxa"/>
              <w:bottom w:w="0" w:type="dxa"/>
              <w:right w:w="15" w:type="dxa"/>
            </w:tcMar>
            <w:vAlign w:val="bottom"/>
            <w:hideMark/>
          </w:tcPr>
          <w:p w14:paraId="6A7C16C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165</w:t>
            </w:r>
          </w:p>
        </w:tc>
        <w:tc>
          <w:tcPr>
            <w:tcW w:w="50" w:type="pct"/>
            <w:shd w:val="clear" w:color="auto" w:fill="CFF0FC"/>
            <w:noWrap/>
            <w:tcMar>
              <w:top w:w="15" w:type="dxa"/>
              <w:left w:w="0" w:type="dxa"/>
              <w:bottom w:w="0" w:type="dxa"/>
              <w:right w:w="15" w:type="dxa"/>
            </w:tcMar>
            <w:vAlign w:val="bottom"/>
            <w:hideMark/>
          </w:tcPr>
          <w:p w14:paraId="3581A86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ECB629C" w14:textId="77777777">
        <w:trPr>
          <w:divId w:val="1473211950"/>
          <w:jc w:val="center"/>
        </w:trPr>
        <w:tc>
          <w:tcPr>
            <w:tcW w:w="4252" w:type="pct"/>
            <w:shd w:val="clear" w:color="auto" w:fill="FFFFFF"/>
            <w:tcMar>
              <w:top w:w="15" w:type="dxa"/>
              <w:left w:w="0" w:type="dxa"/>
              <w:bottom w:w="0" w:type="dxa"/>
              <w:right w:w="15" w:type="dxa"/>
            </w:tcMar>
            <w:vAlign w:val="bottom"/>
            <w:hideMark/>
          </w:tcPr>
          <w:p w14:paraId="183653B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FFFFFF"/>
            <w:tcMar>
              <w:top w:w="15" w:type="dxa"/>
              <w:left w:w="0" w:type="dxa"/>
              <w:bottom w:w="0" w:type="dxa"/>
              <w:right w:w="15" w:type="dxa"/>
            </w:tcMar>
            <w:vAlign w:val="bottom"/>
            <w:hideMark/>
          </w:tcPr>
          <w:p w14:paraId="773564B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666DD1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FFFFFF"/>
            <w:noWrap/>
            <w:tcMar>
              <w:top w:w="15" w:type="dxa"/>
              <w:left w:w="0" w:type="dxa"/>
              <w:bottom w:w="0" w:type="dxa"/>
              <w:right w:w="15" w:type="dxa"/>
            </w:tcMar>
            <w:vAlign w:val="bottom"/>
            <w:hideMark/>
          </w:tcPr>
          <w:p w14:paraId="433D606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333</w:t>
            </w:r>
          </w:p>
        </w:tc>
        <w:tc>
          <w:tcPr>
            <w:tcW w:w="50" w:type="pct"/>
            <w:shd w:val="clear" w:color="auto" w:fill="FFFFFF"/>
            <w:noWrap/>
            <w:tcMar>
              <w:top w:w="15" w:type="dxa"/>
              <w:left w:w="0" w:type="dxa"/>
              <w:bottom w:w="0" w:type="dxa"/>
              <w:right w:w="15" w:type="dxa"/>
            </w:tcMar>
            <w:vAlign w:val="bottom"/>
            <w:hideMark/>
          </w:tcPr>
          <w:p w14:paraId="24A8121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98B3494" w14:textId="77777777">
        <w:trPr>
          <w:divId w:val="1473211950"/>
          <w:jc w:val="center"/>
        </w:trPr>
        <w:tc>
          <w:tcPr>
            <w:tcW w:w="4252" w:type="pct"/>
            <w:shd w:val="clear" w:color="auto" w:fill="CFF0FC"/>
            <w:tcMar>
              <w:top w:w="15" w:type="dxa"/>
              <w:left w:w="0" w:type="dxa"/>
              <w:bottom w:w="0" w:type="dxa"/>
              <w:right w:w="15" w:type="dxa"/>
            </w:tcMar>
            <w:vAlign w:val="bottom"/>
            <w:hideMark/>
          </w:tcPr>
          <w:p w14:paraId="3B92DB7B"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Future minimum operating lease payments</w:t>
            </w:r>
          </w:p>
        </w:tc>
        <w:tc>
          <w:tcPr>
            <w:tcW w:w="103" w:type="pct"/>
            <w:shd w:val="clear" w:color="auto" w:fill="CFF0FC"/>
            <w:tcMar>
              <w:top w:w="15" w:type="dxa"/>
              <w:left w:w="0" w:type="dxa"/>
              <w:bottom w:w="0" w:type="dxa"/>
              <w:right w:w="15" w:type="dxa"/>
            </w:tcMar>
            <w:vAlign w:val="bottom"/>
            <w:hideMark/>
          </w:tcPr>
          <w:p w14:paraId="0BFACB3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53969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top w:val="single" w:sz="6" w:space="0" w:color="000000"/>
            </w:tcBorders>
            <w:shd w:val="clear" w:color="auto" w:fill="CFF0FC"/>
            <w:noWrap/>
            <w:tcMar>
              <w:top w:w="15" w:type="dxa"/>
              <w:left w:w="0" w:type="dxa"/>
              <w:bottom w:w="0" w:type="dxa"/>
              <w:right w:w="15" w:type="dxa"/>
            </w:tcMar>
            <w:vAlign w:val="bottom"/>
            <w:hideMark/>
          </w:tcPr>
          <w:p w14:paraId="34C3DD0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2,381</w:t>
            </w:r>
          </w:p>
        </w:tc>
        <w:tc>
          <w:tcPr>
            <w:tcW w:w="50" w:type="pct"/>
            <w:shd w:val="clear" w:color="auto" w:fill="CFF0FC"/>
            <w:noWrap/>
            <w:tcMar>
              <w:top w:w="15" w:type="dxa"/>
              <w:left w:w="0" w:type="dxa"/>
              <w:bottom w:w="0" w:type="dxa"/>
              <w:right w:w="15" w:type="dxa"/>
            </w:tcMar>
            <w:vAlign w:val="bottom"/>
            <w:hideMark/>
          </w:tcPr>
          <w:p w14:paraId="5902BFF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5C4DDCB" w14:textId="77777777">
        <w:trPr>
          <w:divId w:val="1473211950"/>
          <w:jc w:val="center"/>
        </w:trPr>
        <w:tc>
          <w:tcPr>
            <w:tcW w:w="4252" w:type="pct"/>
            <w:shd w:val="clear" w:color="auto" w:fill="FFFFFF"/>
            <w:tcMar>
              <w:top w:w="15" w:type="dxa"/>
              <w:left w:w="0" w:type="dxa"/>
              <w:bottom w:w="0" w:type="dxa"/>
              <w:right w:w="15" w:type="dxa"/>
            </w:tcMar>
            <w:vAlign w:val="bottom"/>
            <w:hideMark/>
          </w:tcPr>
          <w:p w14:paraId="4C6D0767"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Less: minimum payments to be received from non-cancelable subleases</w:t>
            </w:r>
          </w:p>
        </w:tc>
        <w:tc>
          <w:tcPr>
            <w:tcW w:w="103" w:type="pct"/>
            <w:shd w:val="clear" w:color="auto" w:fill="FFFFFF"/>
            <w:tcMar>
              <w:top w:w="15" w:type="dxa"/>
              <w:left w:w="0" w:type="dxa"/>
              <w:bottom w:w="0" w:type="dxa"/>
              <w:right w:w="15" w:type="dxa"/>
            </w:tcMar>
            <w:vAlign w:val="bottom"/>
            <w:hideMark/>
          </w:tcPr>
          <w:p w14:paraId="0DC1DB0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0FB6E0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FFFFFF"/>
            <w:noWrap/>
            <w:tcMar>
              <w:top w:w="15" w:type="dxa"/>
              <w:left w:w="0" w:type="dxa"/>
              <w:bottom w:w="0" w:type="dxa"/>
              <w:right w:w="15" w:type="dxa"/>
            </w:tcMar>
            <w:vAlign w:val="bottom"/>
            <w:hideMark/>
          </w:tcPr>
          <w:p w14:paraId="28B828D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3C0423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7E279ABC" w14:textId="77777777">
        <w:trPr>
          <w:divId w:val="1473211950"/>
          <w:jc w:val="center"/>
        </w:trPr>
        <w:tc>
          <w:tcPr>
            <w:tcW w:w="4252" w:type="pct"/>
            <w:shd w:val="clear" w:color="auto" w:fill="CFF0FC"/>
            <w:tcMar>
              <w:top w:w="15" w:type="dxa"/>
              <w:left w:w="0" w:type="dxa"/>
              <w:bottom w:w="0" w:type="dxa"/>
              <w:right w:w="15" w:type="dxa"/>
            </w:tcMar>
            <w:vAlign w:val="bottom"/>
            <w:hideMark/>
          </w:tcPr>
          <w:p w14:paraId="6C7D73AF" w14:textId="77777777" w:rsidR="00251D72" w:rsidRDefault="00251D72">
            <w:pPr>
              <w:pStyle w:val="a3"/>
              <w:spacing w:before="0" w:beforeAutospacing="0" w:after="0" w:afterAutospacing="0"/>
              <w:ind w:left="547"/>
              <w:rPr>
                <w:rFonts w:ascii="Calibri" w:hAnsi="Calibri" w:cs="Calibri"/>
                <w:color w:val="000000"/>
                <w:sz w:val="20"/>
                <w:szCs w:val="20"/>
              </w:rPr>
            </w:pPr>
            <w:r>
              <w:rPr>
                <w:rFonts w:ascii="Calibri" w:hAnsi="Calibri" w:cs="Calibri"/>
                <w:color w:val="000000"/>
                <w:sz w:val="20"/>
                <w:szCs w:val="20"/>
              </w:rPr>
              <w:t>Total future minimum operating lease payments, net</w:t>
            </w:r>
          </w:p>
        </w:tc>
        <w:tc>
          <w:tcPr>
            <w:tcW w:w="103" w:type="pct"/>
            <w:shd w:val="clear" w:color="auto" w:fill="CFF0FC"/>
            <w:tcMar>
              <w:top w:w="15" w:type="dxa"/>
              <w:left w:w="0" w:type="dxa"/>
              <w:bottom w:w="0" w:type="dxa"/>
              <w:right w:w="15" w:type="dxa"/>
            </w:tcMar>
            <w:vAlign w:val="bottom"/>
            <w:hideMark/>
          </w:tcPr>
          <w:p w14:paraId="23CBF09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D9BFF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A69B9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2,348</w:t>
            </w:r>
          </w:p>
        </w:tc>
        <w:tc>
          <w:tcPr>
            <w:tcW w:w="50" w:type="pct"/>
            <w:shd w:val="clear" w:color="auto" w:fill="CFF0FC"/>
            <w:noWrap/>
            <w:tcMar>
              <w:top w:w="15" w:type="dxa"/>
              <w:left w:w="0" w:type="dxa"/>
              <w:bottom w:w="0" w:type="dxa"/>
              <w:right w:w="15" w:type="dxa"/>
            </w:tcMar>
            <w:vAlign w:val="bottom"/>
            <w:hideMark/>
          </w:tcPr>
          <w:p w14:paraId="07AC7595"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506814AF" w14:textId="77777777" w:rsidR="00251D72" w:rsidRDefault="00251D72">
      <w:pPr>
        <w:pStyle w:val="a3"/>
        <w:spacing w:before="0" w:beforeAutospacing="0" w:after="0" w:afterAutospacing="0"/>
        <w:rPr>
          <w:sz w:val="12"/>
          <w:szCs w:val="12"/>
        </w:rPr>
      </w:pPr>
      <w:r>
        <w:rPr>
          <w:sz w:val="12"/>
          <w:szCs w:val="12"/>
        </w:rPr>
        <w:t> </w:t>
      </w:r>
    </w:p>
    <w:p w14:paraId="43EE571D"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98</w:t>
      </w:r>
    </w:p>
    <w:p w14:paraId="2990CFB3" w14:textId="77777777" w:rsidR="00251D72" w:rsidRDefault="00251D72">
      <w:pPr>
        <w:rPr>
          <w:rFonts w:ascii="Times New Roman" w:eastAsia="Times New Roman" w:hAnsi="Times New Roman" w:cs="Times New Roman"/>
          <w:sz w:val="24"/>
          <w:szCs w:val="24"/>
        </w:rPr>
      </w:pPr>
      <w:r>
        <w:rPr>
          <w:rFonts w:eastAsia="Times New Roman"/>
        </w:rPr>
        <w:pict w14:anchorId="177814D8">
          <v:rect id="_x0000_i1124" style="width:415.3pt;height:1.5pt" o:hralign="center" o:hrstd="t" o:hr="t" fillcolor="#a0a0a0" stroked="f"/>
        </w:pict>
      </w:r>
    </w:p>
    <w:p w14:paraId="337CC98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554C7FDC"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2D1F4C2"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7BA7AE82"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6ADEB120"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7C3E1B39" w14:textId="77777777" w:rsidR="00251D72" w:rsidRDefault="00251D72">
      <w:pPr>
        <w:pStyle w:val="a3"/>
        <w:spacing w:before="0" w:beforeAutospacing="0" w:after="0" w:afterAutospacing="0"/>
        <w:rPr>
          <w:sz w:val="20"/>
          <w:szCs w:val="20"/>
        </w:rPr>
      </w:pPr>
      <w:r>
        <w:rPr>
          <w:sz w:val="20"/>
          <w:szCs w:val="20"/>
        </w:rPr>
        <w:t> </w:t>
      </w:r>
    </w:p>
    <w:p w14:paraId="75A74A9F" w14:textId="77777777" w:rsidR="00251D72" w:rsidRDefault="00251D72">
      <w:pPr>
        <w:pStyle w:val="a3"/>
        <w:spacing w:before="0" w:beforeAutospacing="0" w:after="0" w:afterAutospacing="0"/>
        <w:jc w:val="both"/>
        <w:rPr>
          <w:rFonts w:ascii="Calibri" w:hAnsi="Calibri" w:cs="Calibri"/>
          <w:sz w:val="20"/>
          <w:szCs w:val="20"/>
        </w:rPr>
      </w:pPr>
      <w:bookmarkStart w:id="141" w:name="_AEIOULastRenderedPageBreakAEIOU101"/>
      <w:bookmarkEnd w:id="141"/>
      <w:r>
        <w:rPr>
          <w:rFonts w:ascii="Calibri" w:hAnsi="Calibri" w:cs="Calibri"/>
          <w:sz w:val="20"/>
          <w:szCs w:val="20"/>
        </w:rPr>
        <w:t>Lease commitments included future minimum rent payments for facilities that we have vacated pursuant to our restructuring and merger integration activities, as discussed in Note 8. We have approximately $58 million in facility obligations, net of estimated sublease income and other costs, in accrued restructuring for these locations in our consolidated balance sheet at May 31, 2019.</w:t>
      </w:r>
    </w:p>
    <w:p w14:paraId="2DE6ABC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Rent expense was $665 million, $618 million and $501 million for fiscal 2019, 2018 and 2017, respectively, net of sublease income of approximately $16 million, $20 million and $24 million for fiscal 2019, 2018 and 2017, respectively. Certain lease agreements contain renewal options providing for extensions of the lease terms.</w:t>
      </w:r>
    </w:p>
    <w:p w14:paraId="0558A812"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Unconditional Obligations</w:t>
      </w:r>
    </w:p>
    <w:p w14:paraId="3534658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the ordinary course of business, we enter into certain unconditional purchase obligations with our suppliers, which are agreements that are enforceable and legally binding and specify terms, including: fixed or minimum quantities to be purchased; fixed, minimum or variable price provisions; and the approximate timing of the payment. We utilize several external manufacturers to manufacture sub-assemblies for our hardware products and to perform final assembly and testing of finished hardware products. We also obtain individual components for our hardware products from a variety of individual suppliers based on projected demand information. Such purchase commitments are based on our forecasted component and manufacturing requirements and typically provide for fulfillment within agreed upon lead-times and/or commercially standard lead-times for the particular part or product and have been included in the amounts below. Routine arrangements for other materials and goods that are not related to our external manufacturers and certain other suppliers and that are entered into in the ordinary course of business are not included in the amounts below, as they are generally entered into in order to secure pricing or other negotiated terms and are difficult to quantify in a meaningful way.</w:t>
      </w:r>
    </w:p>
    <w:p w14:paraId="36288FB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As of May 31, 2019, our unconditional purchase and certain other obligations were as follows (in millions):</w:t>
      </w:r>
    </w:p>
    <w:p w14:paraId="4D1F245E"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7064"/>
        <w:gridCol w:w="158"/>
        <w:gridCol w:w="117"/>
        <w:gridCol w:w="892"/>
        <w:gridCol w:w="75"/>
      </w:tblGrid>
      <w:tr w:rsidR="00251D72" w14:paraId="1B39E5DD" w14:textId="77777777">
        <w:trPr>
          <w:divId w:val="648942702"/>
          <w:jc w:val="center"/>
        </w:trPr>
        <w:tc>
          <w:tcPr>
            <w:tcW w:w="4257" w:type="pct"/>
            <w:shd w:val="clear" w:color="auto" w:fill="CFF0FC"/>
            <w:tcMar>
              <w:top w:w="15" w:type="dxa"/>
              <w:left w:w="0" w:type="dxa"/>
              <w:bottom w:w="0" w:type="dxa"/>
              <w:right w:w="15" w:type="dxa"/>
            </w:tcMar>
            <w:vAlign w:val="bottom"/>
            <w:hideMark/>
          </w:tcPr>
          <w:p w14:paraId="3EC31AC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2020</w:t>
            </w:r>
          </w:p>
        </w:tc>
        <w:tc>
          <w:tcPr>
            <w:tcW w:w="100" w:type="pct"/>
            <w:shd w:val="clear" w:color="auto" w:fill="CFF0FC"/>
            <w:tcMar>
              <w:top w:w="15" w:type="dxa"/>
              <w:left w:w="0" w:type="dxa"/>
              <w:bottom w:w="0" w:type="dxa"/>
              <w:right w:w="15" w:type="dxa"/>
            </w:tcMar>
            <w:vAlign w:val="bottom"/>
            <w:hideMark/>
          </w:tcPr>
          <w:p w14:paraId="5DE6AB4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45364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42" w:type="pct"/>
            <w:shd w:val="clear" w:color="auto" w:fill="CFF0FC"/>
            <w:noWrap/>
            <w:tcMar>
              <w:top w:w="15" w:type="dxa"/>
              <w:left w:w="0" w:type="dxa"/>
              <w:bottom w:w="0" w:type="dxa"/>
              <w:right w:w="15" w:type="dxa"/>
            </w:tcMar>
            <w:vAlign w:val="bottom"/>
            <w:hideMark/>
          </w:tcPr>
          <w:p w14:paraId="7B40352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661</w:t>
            </w:r>
          </w:p>
        </w:tc>
        <w:tc>
          <w:tcPr>
            <w:tcW w:w="50" w:type="pct"/>
            <w:shd w:val="clear" w:color="auto" w:fill="CFF0FC"/>
            <w:noWrap/>
            <w:tcMar>
              <w:top w:w="15" w:type="dxa"/>
              <w:left w:w="0" w:type="dxa"/>
              <w:bottom w:w="0" w:type="dxa"/>
              <w:right w:w="15" w:type="dxa"/>
            </w:tcMar>
            <w:vAlign w:val="bottom"/>
            <w:hideMark/>
          </w:tcPr>
          <w:p w14:paraId="69451B6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0D1AE86" w14:textId="77777777">
        <w:trPr>
          <w:divId w:val="648942702"/>
          <w:jc w:val="center"/>
        </w:trPr>
        <w:tc>
          <w:tcPr>
            <w:tcW w:w="4257" w:type="pct"/>
            <w:shd w:val="clear" w:color="auto" w:fill="FFFFFF"/>
            <w:tcMar>
              <w:top w:w="15" w:type="dxa"/>
              <w:left w:w="0" w:type="dxa"/>
              <w:bottom w:w="0" w:type="dxa"/>
              <w:right w:w="15" w:type="dxa"/>
            </w:tcMar>
            <w:vAlign w:val="bottom"/>
            <w:hideMark/>
          </w:tcPr>
          <w:p w14:paraId="17340AC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2021</w:t>
            </w:r>
          </w:p>
        </w:tc>
        <w:tc>
          <w:tcPr>
            <w:tcW w:w="100" w:type="pct"/>
            <w:shd w:val="clear" w:color="auto" w:fill="FFFFFF"/>
            <w:tcMar>
              <w:top w:w="15" w:type="dxa"/>
              <w:left w:w="0" w:type="dxa"/>
              <w:bottom w:w="0" w:type="dxa"/>
              <w:right w:w="15" w:type="dxa"/>
            </w:tcMar>
            <w:vAlign w:val="bottom"/>
            <w:hideMark/>
          </w:tcPr>
          <w:p w14:paraId="428E56A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9FF14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FFFFFF"/>
            <w:noWrap/>
            <w:tcMar>
              <w:top w:w="15" w:type="dxa"/>
              <w:left w:w="0" w:type="dxa"/>
              <w:bottom w:w="0" w:type="dxa"/>
              <w:right w:w="15" w:type="dxa"/>
            </w:tcMar>
            <w:vAlign w:val="bottom"/>
            <w:hideMark/>
          </w:tcPr>
          <w:p w14:paraId="37F8271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57</w:t>
            </w:r>
          </w:p>
        </w:tc>
        <w:tc>
          <w:tcPr>
            <w:tcW w:w="50" w:type="pct"/>
            <w:shd w:val="clear" w:color="auto" w:fill="FFFFFF"/>
            <w:noWrap/>
            <w:tcMar>
              <w:top w:w="15" w:type="dxa"/>
              <w:left w:w="0" w:type="dxa"/>
              <w:bottom w:w="0" w:type="dxa"/>
              <w:right w:w="15" w:type="dxa"/>
            </w:tcMar>
            <w:vAlign w:val="bottom"/>
            <w:hideMark/>
          </w:tcPr>
          <w:p w14:paraId="4601096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7858FC2" w14:textId="77777777">
        <w:trPr>
          <w:divId w:val="648942702"/>
          <w:jc w:val="center"/>
        </w:trPr>
        <w:tc>
          <w:tcPr>
            <w:tcW w:w="4257" w:type="pct"/>
            <w:shd w:val="clear" w:color="auto" w:fill="CFF0FC"/>
            <w:tcMar>
              <w:top w:w="15" w:type="dxa"/>
              <w:left w:w="0" w:type="dxa"/>
              <w:bottom w:w="0" w:type="dxa"/>
              <w:right w:w="15" w:type="dxa"/>
            </w:tcMar>
            <w:vAlign w:val="bottom"/>
            <w:hideMark/>
          </w:tcPr>
          <w:p w14:paraId="77210DD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2022</w:t>
            </w:r>
          </w:p>
        </w:tc>
        <w:tc>
          <w:tcPr>
            <w:tcW w:w="100" w:type="pct"/>
            <w:shd w:val="clear" w:color="auto" w:fill="CFF0FC"/>
            <w:tcMar>
              <w:top w:w="15" w:type="dxa"/>
              <w:left w:w="0" w:type="dxa"/>
              <w:bottom w:w="0" w:type="dxa"/>
              <w:right w:w="15" w:type="dxa"/>
            </w:tcMar>
            <w:vAlign w:val="bottom"/>
            <w:hideMark/>
          </w:tcPr>
          <w:p w14:paraId="4A1BDB2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B4158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CFF0FC"/>
            <w:noWrap/>
            <w:tcMar>
              <w:top w:w="15" w:type="dxa"/>
              <w:left w:w="0" w:type="dxa"/>
              <w:bottom w:w="0" w:type="dxa"/>
              <w:right w:w="15" w:type="dxa"/>
            </w:tcMar>
            <w:vAlign w:val="bottom"/>
            <w:hideMark/>
          </w:tcPr>
          <w:p w14:paraId="7CA9CCA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left w:w="0" w:type="dxa"/>
              <w:bottom w:w="0" w:type="dxa"/>
              <w:right w:w="15" w:type="dxa"/>
            </w:tcMar>
            <w:vAlign w:val="bottom"/>
            <w:hideMark/>
          </w:tcPr>
          <w:p w14:paraId="191C235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1DE3712" w14:textId="77777777">
        <w:trPr>
          <w:divId w:val="648942702"/>
          <w:jc w:val="center"/>
        </w:trPr>
        <w:tc>
          <w:tcPr>
            <w:tcW w:w="4257" w:type="pct"/>
            <w:shd w:val="clear" w:color="auto" w:fill="FFFFFF"/>
            <w:tcMar>
              <w:top w:w="15" w:type="dxa"/>
              <w:left w:w="0" w:type="dxa"/>
              <w:bottom w:w="0" w:type="dxa"/>
              <w:right w:w="15" w:type="dxa"/>
            </w:tcMar>
            <w:vAlign w:val="bottom"/>
            <w:hideMark/>
          </w:tcPr>
          <w:p w14:paraId="09E8F1A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2023</w:t>
            </w:r>
          </w:p>
        </w:tc>
        <w:tc>
          <w:tcPr>
            <w:tcW w:w="100" w:type="pct"/>
            <w:shd w:val="clear" w:color="auto" w:fill="FFFFFF"/>
            <w:tcMar>
              <w:top w:w="15" w:type="dxa"/>
              <w:left w:w="0" w:type="dxa"/>
              <w:bottom w:w="0" w:type="dxa"/>
              <w:right w:w="15" w:type="dxa"/>
            </w:tcMar>
            <w:vAlign w:val="bottom"/>
            <w:hideMark/>
          </w:tcPr>
          <w:p w14:paraId="488C386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5D07A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FFFFFF"/>
            <w:noWrap/>
            <w:tcMar>
              <w:top w:w="15" w:type="dxa"/>
              <w:left w:w="0" w:type="dxa"/>
              <w:bottom w:w="0" w:type="dxa"/>
              <w:right w:w="15" w:type="dxa"/>
            </w:tcMar>
            <w:vAlign w:val="bottom"/>
            <w:hideMark/>
          </w:tcPr>
          <w:p w14:paraId="79FCA1D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6BDA543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BCBCC96" w14:textId="77777777">
        <w:trPr>
          <w:divId w:val="648942702"/>
          <w:jc w:val="center"/>
        </w:trPr>
        <w:tc>
          <w:tcPr>
            <w:tcW w:w="4257" w:type="pct"/>
            <w:shd w:val="clear" w:color="auto" w:fill="CFF0FC"/>
            <w:tcMar>
              <w:top w:w="15" w:type="dxa"/>
              <w:left w:w="0" w:type="dxa"/>
              <w:bottom w:w="0" w:type="dxa"/>
              <w:right w:w="15" w:type="dxa"/>
            </w:tcMar>
            <w:vAlign w:val="bottom"/>
            <w:hideMark/>
          </w:tcPr>
          <w:p w14:paraId="34F38D1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2024</w:t>
            </w:r>
          </w:p>
        </w:tc>
        <w:tc>
          <w:tcPr>
            <w:tcW w:w="100" w:type="pct"/>
            <w:shd w:val="clear" w:color="auto" w:fill="CFF0FC"/>
            <w:tcMar>
              <w:top w:w="15" w:type="dxa"/>
              <w:left w:w="0" w:type="dxa"/>
              <w:bottom w:w="0" w:type="dxa"/>
              <w:right w:w="15" w:type="dxa"/>
            </w:tcMar>
            <w:vAlign w:val="bottom"/>
            <w:hideMark/>
          </w:tcPr>
          <w:p w14:paraId="7E77DC1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742E4B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2" w:type="pct"/>
            <w:shd w:val="clear" w:color="auto" w:fill="CFF0FC"/>
            <w:noWrap/>
            <w:tcMar>
              <w:top w:w="15" w:type="dxa"/>
              <w:left w:w="0" w:type="dxa"/>
              <w:bottom w:w="0" w:type="dxa"/>
              <w:right w:w="15" w:type="dxa"/>
            </w:tcMar>
            <w:vAlign w:val="bottom"/>
            <w:hideMark/>
          </w:tcPr>
          <w:p w14:paraId="3C4D77F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CFF0FC"/>
            <w:noWrap/>
            <w:tcMar>
              <w:top w:w="15" w:type="dxa"/>
              <w:left w:w="0" w:type="dxa"/>
              <w:bottom w:w="0" w:type="dxa"/>
              <w:right w:w="15" w:type="dxa"/>
            </w:tcMar>
            <w:vAlign w:val="bottom"/>
            <w:hideMark/>
          </w:tcPr>
          <w:p w14:paraId="0300ABC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5BBD7A3" w14:textId="77777777">
        <w:trPr>
          <w:divId w:val="648942702"/>
          <w:jc w:val="center"/>
        </w:trPr>
        <w:tc>
          <w:tcPr>
            <w:tcW w:w="4257" w:type="pct"/>
            <w:shd w:val="clear" w:color="auto" w:fill="FFFFFF"/>
            <w:tcMar>
              <w:top w:w="15" w:type="dxa"/>
              <w:left w:w="0" w:type="dxa"/>
              <w:bottom w:w="0" w:type="dxa"/>
              <w:right w:w="15" w:type="dxa"/>
            </w:tcMar>
            <w:vAlign w:val="bottom"/>
            <w:hideMark/>
          </w:tcPr>
          <w:p w14:paraId="64746CA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Thereafter</w:t>
            </w:r>
          </w:p>
        </w:tc>
        <w:tc>
          <w:tcPr>
            <w:tcW w:w="100" w:type="pct"/>
            <w:shd w:val="clear" w:color="auto" w:fill="FFFFFF"/>
            <w:tcMar>
              <w:top w:w="15" w:type="dxa"/>
              <w:left w:w="0" w:type="dxa"/>
              <w:bottom w:w="0" w:type="dxa"/>
              <w:right w:w="15" w:type="dxa"/>
            </w:tcMar>
            <w:vAlign w:val="bottom"/>
            <w:hideMark/>
          </w:tcPr>
          <w:p w14:paraId="61797BE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C92B44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2" w:type="pct"/>
            <w:tcBorders>
              <w:bottom w:val="single" w:sz="6" w:space="0" w:color="000000"/>
            </w:tcBorders>
            <w:shd w:val="clear" w:color="auto" w:fill="FFFFFF"/>
            <w:noWrap/>
            <w:tcMar>
              <w:top w:w="15" w:type="dxa"/>
              <w:left w:w="0" w:type="dxa"/>
              <w:bottom w:w="0" w:type="dxa"/>
              <w:right w:w="15" w:type="dxa"/>
            </w:tcMar>
            <w:vAlign w:val="bottom"/>
            <w:hideMark/>
          </w:tcPr>
          <w:p w14:paraId="731A77C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259</w:t>
            </w:r>
          </w:p>
        </w:tc>
        <w:tc>
          <w:tcPr>
            <w:tcW w:w="50" w:type="pct"/>
            <w:shd w:val="clear" w:color="auto" w:fill="FFFFFF"/>
            <w:noWrap/>
            <w:tcMar>
              <w:top w:w="15" w:type="dxa"/>
              <w:left w:w="0" w:type="dxa"/>
              <w:bottom w:w="0" w:type="dxa"/>
              <w:right w:w="15" w:type="dxa"/>
            </w:tcMar>
            <w:vAlign w:val="bottom"/>
            <w:hideMark/>
          </w:tcPr>
          <w:p w14:paraId="59712C4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38C753A" w14:textId="77777777">
        <w:trPr>
          <w:divId w:val="648942702"/>
          <w:jc w:val="center"/>
        </w:trPr>
        <w:tc>
          <w:tcPr>
            <w:tcW w:w="4257" w:type="pct"/>
            <w:shd w:val="clear" w:color="auto" w:fill="CFF0FC"/>
            <w:tcMar>
              <w:top w:w="15" w:type="dxa"/>
              <w:left w:w="0" w:type="dxa"/>
              <w:bottom w:w="0" w:type="dxa"/>
              <w:right w:w="15" w:type="dxa"/>
            </w:tcMar>
            <w:vAlign w:val="bottom"/>
            <w:hideMark/>
          </w:tcPr>
          <w:p w14:paraId="724C6520" w14:textId="77777777" w:rsidR="00251D72" w:rsidRDefault="00251D72">
            <w:pPr>
              <w:pStyle w:val="a3"/>
              <w:spacing w:before="0" w:beforeAutospacing="0" w:after="0" w:afterAutospacing="0"/>
              <w:ind w:left="547"/>
              <w:rPr>
                <w:rFonts w:ascii="Calibri" w:hAnsi="Calibri" w:cs="Calibri"/>
                <w:color w:val="000000"/>
                <w:sz w:val="20"/>
                <w:szCs w:val="20"/>
              </w:rPr>
            </w:pPr>
            <w:r>
              <w:rPr>
                <w:rFonts w:ascii="Calibri" w:hAnsi="Calibri" w:cs="Calibri"/>
                <w:color w:val="000000"/>
                <w:sz w:val="20"/>
                <w:szCs w:val="20"/>
              </w:rPr>
              <w:t>Total</w:t>
            </w:r>
          </w:p>
        </w:tc>
        <w:tc>
          <w:tcPr>
            <w:tcW w:w="100" w:type="pct"/>
            <w:shd w:val="clear" w:color="auto" w:fill="CFF0FC"/>
            <w:tcMar>
              <w:top w:w="15" w:type="dxa"/>
              <w:left w:w="0" w:type="dxa"/>
              <w:bottom w:w="0" w:type="dxa"/>
              <w:right w:w="15" w:type="dxa"/>
            </w:tcMar>
            <w:vAlign w:val="bottom"/>
            <w:hideMark/>
          </w:tcPr>
          <w:p w14:paraId="77D05F7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FEAD57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4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0BCE2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1,045</w:t>
            </w:r>
          </w:p>
        </w:tc>
        <w:tc>
          <w:tcPr>
            <w:tcW w:w="50" w:type="pct"/>
            <w:shd w:val="clear" w:color="auto" w:fill="CFF0FC"/>
            <w:noWrap/>
            <w:tcMar>
              <w:top w:w="15" w:type="dxa"/>
              <w:left w:w="0" w:type="dxa"/>
              <w:bottom w:w="0" w:type="dxa"/>
              <w:right w:w="15" w:type="dxa"/>
            </w:tcMar>
            <w:vAlign w:val="bottom"/>
            <w:hideMark/>
          </w:tcPr>
          <w:p w14:paraId="42EFC605"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E79E985" w14:textId="77777777" w:rsidR="00251D72" w:rsidRDefault="00251D72">
      <w:pPr>
        <w:pStyle w:val="a3"/>
        <w:spacing w:before="0" w:beforeAutospacing="0" w:after="0" w:afterAutospacing="0"/>
        <w:rPr>
          <w:sz w:val="12"/>
          <w:szCs w:val="12"/>
        </w:rPr>
      </w:pPr>
      <w:r>
        <w:rPr>
          <w:sz w:val="12"/>
          <w:szCs w:val="12"/>
        </w:rPr>
        <w:t> </w:t>
      </w:r>
    </w:p>
    <w:p w14:paraId="660056AD"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As described in Notes 7 and 10 above, as of May 31, 2019 we have senior notes and other borrowings of $56.3 billion that mature at various future dates and derivative financial instruments outstanding that we leverage to manage certain risks and exposures.</w:t>
      </w:r>
    </w:p>
    <w:p w14:paraId="360A1000"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Guarantees </w:t>
      </w:r>
    </w:p>
    <w:p w14:paraId="3B14B21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cloud, license and hardware sales agreements generally include certain provisions for indemnifying customers against liabilities if our products infringe a third party’s intellectual property rights. To date, we have not incurred any material costs as a result of such indemnifications and have not accrued any material liabilities related to such obligations in our consolidated financial statements. Certain of our sales agreements also include provisions indemnifying customers against liabilities in the event we breach confidentiality or service level requirements. It is not possible to determine the maximum potential amount under these indemnification agreements due to our limited and infrequent history of prior indemnification claims and the unique facts and circumstances involved in each particular agreement.</w:t>
      </w:r>
    </w:p>
    <w:p w14:paraId="2400A08E"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99</w:t>
      </w:r>
    </w:p>
    <w:p w14:paraId="471C21A8" w14:textId="77777777" w:rsidR="00251D72" w:rsidRDefault="00251D72">
      <w:pPr>
        <w:rPr>
          <w:rFonts w:ascii="Times New Roman" w:eastAsia="Times New Roman" w:hAnsi="Times New Roman" w:cs="Times New Roman"/>
          <w:sz w:val="24"/>
          <w:szCs w:val="24"/>
        </w:rPr>
      </w:pPr>
      <w:r>
        <w:rPr>
          <w:rFonts w:eastAsia="Times New Roman"/>
        </w:rPr>
        <w:pict w14:anchorId="74C44DD9">
          <v:rect id="_x0000_i1125" style="width:415.3pt;height:1.5pt" o:hralign="center" o:hrstd="t" o:hr="t" fillcolor="#a0a0a0" stroked="f"/>
        </w:pict>
      </w:r>
    </w:p>
    <w:p w14:paraId="1D43FB1B"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540502D0"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F49D4C1"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E73DF3C"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2E47C296"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1200BA67" w14:textId="77777777" w:rsidR="00251D72" w:rsidRDefault="00251D72">
      <w:pPr>
        <w:pStyle w:val="a3"/>
        <w:spacing w:before="0" w:beforeAutospacing="0" w:after="0" w:afterAutospacing="0"/>
        <w:rPr>
          <w:sz w:val="20"/>
          <w:szCs w:val="20"/>
        </w:rPr>
      </w:pPr>
      <w:r>
        <w:rPr>
          <w:sz w:val="20"/>
          <w:szCs w:val="20"/>
        </w:rPr>
        <w:t> </w:t>
      </w:r>
    </w:p>
    <w:p w14:paraId="40FBC6F4" w14:textId="77777777" w:rsidR="00251D72" w:rsidRDefault="00251D72">
      <w:pPr>
        <w:pStyle w:val="a3"/>
        <w:spacing w:before="120" w:beforeAutospacing="0" w:after="0" w:afterAutospacing="0"/>
        <w:jc w:val="both"/>
        <w:rPr>
          <w:rFonts w:ascii="Calibri" w:hAnsi="Calibri" w:cs="Calibri"/>
          <w:sz w:val="20"/>
          <w:szCs w:val="20"/>
        </w:rPr>
      </w:pPr>
      <w:bookmarkStart w:id="142" w:name="_AEIOULastRenderedPageBreakAEIOU102"/>
      <w:bookmarkEnd w:id="142"/>
      <w:r>
        <w:rPr>
          <w:rFonts w:ascii="Calibri" w:hAnsi="Calibri" w:cs="Calibri"/>
          <w:sz w:val="20"/>
          <w:szCs w:val="20"/>
        </w:rPr>
        <w:t>Our Oracle Cloud Services agreements generally include a warranty that the cloud services will be performed in all material respects as defined in the agreement during the service period.</w:t>
      </w:r>
      <w:r>
        <w:rPr>
          <w:rFonts w:ascii="Calibri" w:hAnsi="Calibri" w:cs="Calibri"/>
          <w:color w:val="FF0000"/>
        </w:rPr>
        <w:t xml:space="preserve"> </w:t>
      </w:r>
      <w:r>
        <w:rPr>
          <w:rFonts w:ascii="Calibri" w:hAnsi="Calibri" w:cs="Calibri"/>
          <w:sz w:val="20"/>
          <w:szCs w:val="20"/>
        </w:rPr>
        <w:t>Our license and hardware agreements also generally include a warranty that our products will substantially operate as described in the applicable program documentation for a period of one year after delivery. We also warrant that services we perform will be provided in a manner consistent with industry standards for a period of 90 days from performance of the services.</w:t>
      </w:r>
    </w:p>
    <w:p w14:paraId="160C47B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occasionally are required, for various reasons, to enter into financial guarantees with third parties in the ordinary course of our business including, among others, guarantees related to taxes, import licenses and letters of credit on behalf of parties with whom we conduct business. Such agreements have not had a material effect on our results of operations, financial position or cash flows.    </w:t>
      </w:r>
    </w:p>
    <w:p w14:paraId="7027555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connection with certain litigation, we posted certain court-mandated surety bonds with a court and entered into related indemnification agreements with each of the surety bond issuing companies. Additional information is provided in Note 17 below.</w:t>
      </w:r>
      <w:r>
        <w:rPr>
          <w:sz w:val="20"/>
          <w:szCs w:val="20"/>
        </w:rPr>
        <w:t xml:space="preserve"> </w:t>
      </w:r>
    </w:p>
    <w:tbl>
      <w:tblPr>
        <w:tblW w:w="5000" w:type="pct"/>
        <w:tblCellMar>
          <w:left w:w="0" w:type="dxa"/>
          <w:right w:w="0" w:type="dxa"/>
        </w:tblCellMar>
        <w:tblLook w:val="04A0" w:firstRow="1" w:lastRow="0" w:firstColumn="1" w:lastColumn="0" w:noHBand="0" w:noVBand="1"/>
      </w:tblPr>
      <w:tblGrid>
        <w:gridCol w:w="435"/>
        <w:gridCol w:w="7871"/>
      </w:tblGrid>
      <w:tr w:rsidR="00251D72" w14:paraId="20287555" w14:textId="77777777">
        <w:tc>
          <w:tcPr>
            <w:tcW w:w="262" w:type="pct"/>
            <w:noWrap/>
            <w:hideMark/>
          </w:tcPr>
          <w:p w14:paraId="30012CF1"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12.</w:t>
            </w:r>
          </w:p>
        </w:tc>
        <w:tc>
          <w:tcPr>
            <w:tcW w:w="0" w:type="auto"/>
            <w:hideMark/>
          </w:tcPr>
          <w:p w14:paraId="3825E0A9"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STOCKHOLDERS’ EQUITY </w:t>
            </w:r>
          </w:p>
        </w:tc>
      </w:tr>
    </w:tbl>
    <w:p w14:paraId="4B2A11B9"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Common Stock Repurchases</w:t>
      </w:r>
    </w:p>
    <w:p w14:paraId="27F6C9D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On September 17, 2018 and February 15, 2019, we announced that our Board of Directors approved expansions of our stock repurchase program collectively totaling $24.0 billion. </w:t>
      </w:r>
      <w:r>
        <w:rPr>
          <w:rFonts w:ascii="Calibri" w:hAnsi="Calibri" w:cs="Calibri"/>
          <w:color w:val="000000"/>
          <w:sz w:val="20"/>
          <w:szCs w:val="20"/>
        </w:rPr>
        <w:t xml:space="preserve">As of May 31, 2019, </w:t>
      </w:r>
      <w:r>
        <w:rPr>
          <w:rFonts w:ascii="Calibri" w:hAnsi="Calibri" w:cs="Calibri"/>
          <w:sz w:val="20"/>
          <w:szCs w:val="20"/>
        </w:rPr>
        <w:t xml:space="preserve">approximately $5.8 billion remained available for stock repurchases pursuant to our stock repurchase program. We repurchased 733.8 million shares for $36.0 billion (including 0.8 million shares for $40 million that were repurchased but not settled), 238.0 million shares for $11.5 billion, and 85.6 million shares for $3.5 billion in fiscal 2019, 2018 and 2017, respectively, under the stock repurchase program. </w:t>
      </w:r>
    </w:p>
    <w:p w14:paraId="41AAED1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needs, our cash requirements for acquisitions and dividend payments, our debt repayment obligations or repurchases of our debt, our stock price, and economic and market conditions. Our stock repurchases may be effected from time to time through open market purchases and pursuant to a Rule 10b5-1 plan. Our stock repurchase program may be accelerated, suspended, delayed or discontinued at any time.</w:t>
      </w:r>
    </w:p>
    <w:p w14:paraId="555661F9"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Dividends on Common Stock</w:t>
      </w:r>
    </w:p>
    <w:p w14:paraId="6DF9666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During fiscal 2019, 2018 and 2017, our Board of Directors declared cash dividends of $0.81, $0.76 and $0.64 per share of our outstanding common stock, respectively, which we paid during the same period.</w:t>
      </w:r>
    </w:p>
    <w:p w14:paraId="13DA21D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June 2019, our Board of Directors declared a quarterly cash dividend of $0.24 per share of our outstanding common stock. The dividend is payable on July 31, 2019 to stockholders of record as of the close of business on July 17, 2019. Future declarations of dividends and the establishment of future record and payment dates are subject to the final determination of our Board of Directors.</w:t>
      </w:r>
    </w:p>
    <w:p w14:paraId="3250CD02"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100</w:t>
      </w:r>
    </w:p>
    <w:p w14:paraId="60D59D64" w14:textId="77777777" w:rsidR="00251D72" w:rsidRDefault="00251D72">
      <w:pPr>
        <w:rPr>
          <w:rFonts w:ascii="Times New Roman" w:eastAsia="Times New Roman" w:hAnsi="Times New Roman" w:cs="Times New Roman"/>
          <w:sz w:val="24"/>
          <w:szCs w:val="24"/>
        </w:rPr>
      </w:pPr>
      <w:r>
        <w:rPr>
          <w:rFonts w:eastAsia="Times New Roman"/>
        </w:rPr>
        <w:pict w14:anchorId="29EB848E">
          <v:rect id="_x0000_i1126" style="width:415.3pt;height:1.5pt" o:hralign="center" o:hrstd="t" o:hr="t" fillcolor="#a0a0a0" stroked="f"/>
        </w:pict>
      </w:r>
    </w:p>
    <w:p w14:paraId="7E03F31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891E3E4"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FE08B8E"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34568574"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764A75D3"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219712D2" w14:textId="77777777" w:rsidR="00251D72" w:rsidRDefault="00251D72">
      <w:pPr>
        <w:pStyle w:val="a3"/>
        <w:spacing w:before="0" w:beforeAutospacing="0" w:after="0" w:afterAutospacing="0"/>
        <w:rPr>
          <w:sz w:val="20"/>
          <w:szCs w:val="20"/>
        </w:rPr>
      </w:pPr>
      <w:r>
        <w:rPr>
          <w:sz w:val="20"/>
          <w:szCs w:val="20"/>
        </w:rPr>
        <w:t> </w:t>
      </w:r>
    </w:p>
    <w:p w14:paraId="3BB9BCCF" w14:textId="77777777" w:rsidR="00251D72" w:rsidRDefault="00251D72">
      <w:pPr>
        <w:pStyle w:val="a3"/>
        <w:spacing w:before="240" w:beforeAutospacing="0" w:after="0" w:afterAutospacing="0"/>
        <w:jc w:val="both"/>
        <w:rPr>
          <w:rFonts w:ascii="Calibri" w:hAnsi="Calibri" w:cs="Calibri"/>
          <w:b/>
          <w:bCs/>
          <w:sz w:val="20"/>
          <w:szCs w:val="20"/>
        </w:rPr>
      </w:pPr>
      <w:bookmarkStart w:id="143" w:name="_AEIOULastRenderedPageBreakAEIOU103"/>
      <w:bookmarkEnd w:id="143"/>
      <w:r>
        <w:rPr>
          <w:rFonts w:ascii="Calibri" w:hAnsi="Calibri" w:cs="Calibri"/>
          <w:b/>
          <w:bCs/>
          <w:sz w:val="20"/>
          <w:szCs w:val="20"/>
        </w:rPr>
        <w:t>Accumulated Other Comprehensive Loss</w:t>
      </w:r>
    </w:p>
    <w:p w14:paraId="5F8D25B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following table summarizes, as of each balance sheet date, the components of our AOCL, net of income taxes:</w:t>
      </w:r>
    </w:p>
    <w:p w14:paraId="44ECD97D" w14:textId="77777777" w:rsidR="00251D72" w:rsidRDefault="00251D72">
      <w:pPr>
        <w:pStyle w:val="a3"/>
        <w:spacing w:before="0" w:beforeAutospacing="0" w:after="0" w:afterAutospacing="0"/>
        <w:rPr>
          <w:b/>
          <w:bCs/>
          <w:sz w:val="12"/>
          <w:szCs w:val="12"/>
        </w:rPr>
      </w:pPr>
      <w:r>
        <w:rPr>
          <w:b/>
          <w:bCs/>
          <w:sz w:val="12"/>
          <w:szCs w:val="12"/>
        </w:rPr>
        <w:t> </w:t>
      </w:r>
    </w:p>
    <w:tbl>
      <w:tblPr>
        <w:tblW w:w="5000" w:type="pct"/>
        <w:jc w:val="center"/>
        <w:tblCellMar>
          <w:left w:w="0" w:type="dxa"/>
          <w:right w:w="0" w:type="dxa"/>
        </w:tblCellMar>
        <w:tblLook w:val="04A0" w:firstRow="1" w:lastRow="0" w:firstColumn="1" w:lastColumn="0" w:noHBand="0" w:noVBand="1"/>
      </w:tblPr>
      <w:tblGrid>
        <w:gridCol w:w="5562"/>
        <w:gridCol w:w="120"/>
        <w:gridCol w:w="117"/>
        <w:gridCol w:w="1058"/>
        <w:gridCol w:w="76"/>
        <w:gridCol w:w="119"/>
        <w:gridCol w:w="117"/>
        <w:gridCol w:w="1061"/>
        <w:gridCol w:w="76"/>
      </w:tblGrid>
      <w:tr w:rsidR="00251D72" w14:paraId="65051154" w14:textId="77777777">
        <w:trPr>
          <w:divId w:val="535046260"/>
          <w:jc w:val="center"/>
        </w:trPr>
        <w:tc>
          <w:tcPr>
            <w:tcW w:w="3354" w:type="pct"/>
            <w:shd w:val="clear" w:color="auto" w:fill="FFFFFF"/>
            <w:tcMar>
              <w:top w:w="15" w:type="dxa"/>
              <w:left w:w="0" w:type="dxa"/>
              <w:bottom w:w="0" w:type="dxa"/>
              <w:right w:w="15" w:type="dxa"/>
            </w:tcMar>
            <w:vAlign w:val="bottom"/>
            <w:hideMark/>
          </w:tcPr>
          <w:p w14:paraId="4D605B7D"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79" w:type="pct"/>
            <w:shd w:val="clear" w:color="auto" w:fill="FFFFFF"/>
            <w:tcMar>
              <w:top w:w="15" w:type="dxa"/>
              <w:left w:w="0" w:type="dxa"/>
              <w:bottom w:w="0" w:type="dxa"/>
              <w:right w:w="15" w:type="dxa"/>
            </w:tcMar>
            <w:vAlign w:val="bottom"/>
            <w:hideMark/>
          </w:tcPr>
          <w:p w14:paraId="04A2A46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14:paraId="6E89BCA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left w:w="0" w:type="dxa"/>
              <w:bottom w:w="0" w:type="dxa"/>
              <w:right w:w="15" w:type="dxa"/>
            </w:tcMar>
            <w:vAlign w:val="bottom"/>
            <w:hideMark/>
          </w:tcPr>
          <w:p w14:paraId="351796E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9815909" w14:textId="77777777">
        <w:trPr>
          <w:divId w:val="535046260"/>
          <w:jc w:val="center"/>
        </w:trPr>
        <w:tc>
          <w:tcPr>
            <w:tcW w:w="3354" w:type="pct"/>
            <w:tcBorders>
              <w:bottom w:val="single" w:sz="6" w:space="0" w:color="000000"/>
            </w:tcBorders>
            <w:shd w:val="clear" w:color="auto" w:fill="FFFFFF"/>
            <w:tcMar>
              <w:top w:w="15" w:type="dxa"/>
              <w:left w:w="0" w:type="dxa"/>
              <w:bottom w:w="0" w:type="dxa"/>
              <w:right w:w="15" w:type="dxa"/>
            </w:tcMar>
            <w:vAlign w:val="bottom"/>
            <w:hideMark/>
          </w:tcPr>
          <w:p w14:paraId="0E76B58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left w:w="0" w:type="dxa"/>
              <w:bottom w:w="0" w:type="dxa"/>
              <w:right w:w="15" w:type="dxa"/>
            </w:tcMar>
            <w:vAlign w:val="bottom"/>
            <w:hideMark/>
          </w:tcPr>
          <w:p w14:paraId="7B1FF3F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DEE30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8B797D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664A1F2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9AE10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4B7C80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19A7ADC" w14:textId="77777777">
        <w:trPr>
          <w:divId w:val="535046260"/>
          <w:jc w:val="center"/>
        </w:trPr>
        <w:tc>
          <w:tcPr>
            <w:tcW w:w="3354" w:type="pct"/>
            <w:tcBorders>
              <w:top w:val="single" w:sz="6" w:space="0" w:color="000000"/>
            </w:tcBorders>
            <w:shd w:val="clear" w:color="auto" w:fill="CFF0FC"/>
            <w:tcMar>
              <w:top w:w="15" w:type="dxa"/>
              <w:left w:w="0" w:type="dxa"/>
              <w:bottom w:w="0" w:type="dxa"/>
              <w:right w:w="15" w:type="dxa"/>
            </w:tcMar>
            <w:hideMark/>
          </w:tcPr>
          <w:p w14:paraId="1241735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Foreign currency translation losses and other, net</w:t>
            </w:r>
          </w:p>
        </w:tc>
        <w:tc>
          <w:tcPr>
            <w:tcW w:w="79" w:type="pct"/>
            <w:shd w:val="clear" w:color="auto" w:fill="CFF0FC"/>
            <w:tcMar>
              <w:top w:w="15" w:type="dxa"/>
              <w:left w:w="0" w:type="dxa"/>
              <w:bottom w:w="0" w:type="dxa"/>
              <w:right w:w="15" w:type="dxa"/>
            </w:tcMar>
            <w:vAlign w:val="bottom"/>
            <w:hideMark/>
          </w:tcPr>
          <w:p w14:paraId="73F32F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78832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514BFBF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(1,176</w:t>
            </w:r>
          </w:p>
        </w:tc>
        <w:tc>
          <w:tcPr>
            <w:tcW w:w="50" w:type="pct"/>
            <w:shd w:val="clear" w:color="auto" w:fill="CFF0FC"/>
            <w:noWrap/>
            <w:tcMar>
              <w:top w:w="15" w:type="dxa"/>
              <w:left w:w="0" w:type="dxa"/>
              <w:bottom w:w="0" w:type="dxa"/>
              <w:right w:w="15" w:type="dxa"/>
            </w:tcMar>
            <w:vAlign w:val="bottom"/>
            <w:hideMark/>
          </w:tcPr>
          <w:p w14:paraId="6B0EA85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2C5D21D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E8284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645DBFD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(1,027</w:t>
            </w:r>
          </w:p>
        </w:tc>
        <w:tc>
          <w:tcPr>
            <w:tcW w:w="50" w:type="pct"/>
            <w:shd w:val="clear" w:color="auto" w:fill="CFF0FC"/>
            <w:noWrap/>
            <w:tcMar>
              <w:top w:w="15" w:type="dxa"/>
              <w:left w:w="0" w:type="dxa"/>
              <w:bottom w:w="0" w:type="dxa"/>
              <w:right w:w="15" w:type="dxa"/>
            </w:tcMar>
            <w:vAlign w:val="bottom"/>
            <w:hideMark/>
          </w:tcPr>
          <w:p w14:paraId="7B96C1E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47E9E138" w14:textId="77777777">
        <w:trPr>
          <w:divId w:val="535046260"/>
          <w:jc w:val="center"/>
        </w:trPr>
        <w:tc>
          <w:tcPr>
            <w:tcW w:w="3354" w:type="pct"/>
            <w:shd w:val="clear" w:color="auto" w:fill="FFFFFF"/>
            <w:tcMar>
              <w:top w:w="15" w:type="dxa"/>
              <w:left w:w="0" w:type="dxa"/>
              <w:bottom w:w="0" w:type="dxa"/>
              <w:right w:w="15" w:type="dxa"/>
            </w:tcMar>
            <w:hideMark/>
          </w:tcPr>
          <w:p w14:paraId="7E683B2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Unrealized losses on defined benefit plans, net</w:t>
            </w:r>
          </w:p>
        </w:tc>
        <w:tc>
          <w:tcPr>
            <w:tcW w:w="79" w:type="pct"/>
            <w:shd w:val="clear" w:color="auto" w:fill="FFFFFF"/>
            <w:tcMar>
              <w:top w:w="15" w:type="dxa"/>
              <w:left w:w="0" w:type="dxa"/>
              <w:bottom w:w="0" w:type="dxa"/>
              <w:right w:w="15" w:type="dxa"/>
            </w:tcMar>
            <w:vAlign w:val="bottom"/>
            <w:hideMark/>
          </w:tcPr>
          <w:p w14:paraId="7FB1992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4DA60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CE6C57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(392</w:t>
            </w:r>
          </w:p>
        </w:tc>
        <w:tc>
          <w:tcPr>
            <w:tcW w:w="50" w:type="pct"/>
            <w:shd w:val="clear" w:color="auto" w:fill="FFFFFF"/>
            <w:noWrap/>
            <w:tcMar>
              <w:top w:w="15" w:type="dxa"/>
              <w:left w:w="0" w:type="dxa"/>
              <w:bottom w:w="0" w:type="dxa"/>
              <w:right w:w="15" w:type="dxa"/>
            </w:tcMar>
            <w:vAlign w:val="bottom"/>
            <w:hideMark/>
          </w:tcPr>
          <w:p w14:paraId="4C3324A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left w:w="0" w:type="dxa"/>
              <w:bottom w:w="0" w:type="dxa"/>
              <w:right w:w="15" w:type="dxa"/>
            </w:tcMar>
            <w:vAlign w:val="bottom"/>
            <w:hideMark/>
          </w:tcPr>
          <w:p w14:paraId="6112D9A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34256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A8C669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(322</w:t>
            </w:r>
          </w:p>
        </w:tc>
        <w:tc>
          <w:tcPr>
            <w:tcW w:w="50" w:type="pct"/>
            <w:shd w:val="clear" w:color="auto" w:fill="FFFFFF"/>
            <w:noWrap/>
            <w:tcMar>
              <w:top w:w="15" w:type="dxa"/>
              <w:left w:w="0" w:type="dxa"/>
              <w:bottom w:w="0" w:type="dxa"/>
              <w:right w:w="15" w:type="dxa"/>
            </w:tcMar>
            <w:vAlign w:val="bottom"/>
            <w:hideMark/>
          </w:tcPr>
          <w:p w14:paraId="47489E3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05CA420F" w14:textId="77777777">
        <w:trPr>
          <w:divId w:val="535046260"/>
          <w:jc w:val="center"/>
        </w:trPr>
        <w:tc>
          <w:tcPr>
            <w:tcW w:w="3354" w:type="pct"/>
            <w:shd w:val="clear" w:color="auto" w:fill="CFF0FC"/>
            <w:tcMar>
              <w:top w:w="15" w:type="dxa"/>
              <w:left w:w="0" w:type="dxa"/>
              <w:bottom w:w="0" w:type="dxa"/>
              <w:right w:w="15" w:type="dxa"/>
            </w:tcMar>
            <w:hideMark/>
          </w:tcPr>
          <w:p w14:paraId="7272014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Unrealized losses on marketable securities, net</w:t>
            </w:r>
          </w:p>
        </w:tc>
        <w:tc>
          <w:tcPr>
            <w:tcW w:w="79" w:type="pct"/>
            <w:shd w:val="clear" w:color="auto" w:fill="CFF0FC"/>
            <w:tcMar>
              <w:top w:w="15" w:type="dxa"/>
              <w:left w:w="0" w:type="dxa"/>
              <w:bottom w:w="0" w:type="dxa"/>
              <w:right w:w="15" w:type="dxa"/>
            </w:tcMar>
            <w:vAlign w:val="bottom"/>
            <w:hideMark/>
          </w:tcPr>
          <w:p w14:paraId="1AA6E14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1CF90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5891BD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(90</w:t>
            </w:r>
          </w:p>
        </w:tc>
        <w:tc>
          <w:tcPr>
            <w:tcW w:w="50" w:type="pct"/>
            <w:shd w:val="clear" w:color="auto" w:fill="CFF0FC"/>
            <w:noWrap/>
            <w:tcMar>
              <w:top w:w="15" w:type="dxa"/>
              <w:left w:w="0" w:type="dxa"/>
              <w:bottom w:w="0" w:type="dxa"/>
              <w:right w:w="15" w:type="dxa"/>
            </w:tcMar>
            <w:vAlign w:val="bottom"/>
            <w:hideMark/>
          </w:tcPr>
          <w:p w14:paraId="57FCD7D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19F17F2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A763B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10A942F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(422</w:t>
            </w:r>
          </w:p>
        </w:tc>
        <w:tc>
          <w:tcPr>
            <w:tcW w:w="50" w:type="pct"/>
            <w:shd w:val="clear" w:color="auto" w:fill="CFF0FC"/>
            <w:noWrap/>
            <w:tcMar>
              <w:top w:w="15" w:type="dxa"/>
              <w:left w:w="0" w:type="dxa"/>
              <w:bottom w:w="0" w:type="dxa"/>
              <w:right w:w="15" w:type="dxa"/>
            </w:tcMar>
            <w:vAlign w:val="bottom"/>
            <w:hideMark/>
          </w:tcPr>
          <w:p w14:paraId="4879DAC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091574FE" w14:textId="77777777">
        <w:trPr>
          <w:divId w:val="535046260"/>
          <w:jc w:val="center"/>
        </w:trPr>
        <w:tc>
          <w:tcPr>
            <w:tcW w:w="3354" w:type="pct"/>
            <w:shd w:val="clear" w:color="auto" w:fill="FFFFFF"/>
            <w:tcMar>
              <w:top w:w="15" w:type="dxa"/>
              <w:left w:w="0" w:type="dxa"/>
              <w:bottom w:w="0" w:type="dxa"/>
              <w:right w:w="15" w:type="dxa"/>
            </w:tcMar>
            <w:hideMark/>
          </w:tcPr>
          <w:p w14:paraId="3B54FD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Unrealized gains on cash flow hedges, net</w:t>
            </w:r>
          </w:p>
        </w:tc>
        <w:tc>
          <w:tcPr>
            <w:tcW w:w="79" w:type="pct"/>
            <w:shd w:val="clear" w:color="auto" w:fill="FFFFFF"/>
            <w:tcMar>
              <w:top w:w="15" w:type="dxa"/>
              <w:left w:w="0" w:type="dxa"/>
              <w:bottom w:w="0" w:type="dxa"/>
              <w:right w:w="15" w:type="dxa"/>
            </w:tcMar>
            <w:vAlign w:val="bottom"/>
            <w:hideMark/>
          </w:tcPr>
          <w:p w14:paraId="468A755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8C38BE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10DAF0D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left w:w="0" w:type="dxa"/>
              <w:bottom w:w="0" w:type="dxa"/>
              <w:right w:w="15" w:type="dxa"/>
            </w:tcMar>
            <w:vAlign w:val="bottom"/>
            <w:hideMark/>
          </w:tcPr>
          <w:p w14:paraId="3A562C5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16F0D7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094DD5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59FD5AE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82</w:t>
            </w:r>
          </w:p>
        </w:tc>
        <w:tc>
          <w:tcPr>
            <w:tcW w:w="50" w:type="pct"/>
            <w:shd w:val="clear" w:color="auto" w:fill="FFFFFF"/>
            <w:noWrap/>
            <w:tcMar>
              <w:top w:w="15" w:type="dxa"/>
              <w:left w:w="0" w:type="dxa"/>
              <w:bottom w:w="0" w:type="dxa"/>
              <w:right w:w="15" w:type="dxa"/>
            </w:tcMar>
            <w:vAlign w:val="bottom"/>
            <w:hideMark/>
          </w:tcPr>
          <w:p w14:paraId="679638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98BC2A5" w14:textId="77777777">
        <w:trPr>
          <w:divId w:val="535046260"/>
          <w:jc w:val="center"/>
        </w:trPr>
        <w:tc>
          <w:tcPr>
            <w:tcW w:w="3354" w:type="pct"/>
            <w:shd w:val="clear" w:color="auto" w:fill="CFF0FC"/>
            <w:tcMar>
              <w:top w:w="15" w:type="dxa"/>
              <w:left w:w="0" w:type="dxa"/>
              <w:bottom w:w="0" w:type="dxa"/>
              <w:right w:w="15" w:type="dxa"/>
            </w:tcMar>
            <w:hideMark/>
          </w:tcPr>
          <w:p w14:paraId="1735EC66" w14:textId="77777777" w:rsidR="00251D72" w:rsidRDefault="00251D72">
            <w:pPr>
              <w:pStyle w:val="a3"/>
              <w:spacing w:before="0" w:beforeAutospacing="0" w:after="0" w:afterAutospacing="0"/>
              <w:ind w:left="684"/>
              <w:rPr>
                <w:rFonts w:ascii="Calibri" w:hAnsi="Calibri" w:cs="Calibri"/>
                <w:color w:val="000000"/>
                <w:sz w:val="20"/>
                <w:szCs w:val="20"/>
              </w:rPr>
            </w:pPr>
            <w:r>
              <w:rPr>
                <w:rFonts w:ascii="Calibri" w:hAnsi="Calibri" w:cs="Calibri"/>
                <w:color w:val="000000"/>
                <w:sz w:val="20"/>
                <w:szCs w:val="20"/>
              </w:rPr>
              <w:t>Total accumulated other comprehensive loss</w:t>
            </w:r>
          </w:p>
        </w:tc>
        <w:tc>
          <w:tcPr>
            <w:tcW w:w="79" w:type="pct"/>
            <w:shd w:val="clear" w:color="auto" w:fill="CFF0FC"/>
            <w:tcMar>
              <w:top w:w="15" w:type="dxa"/>
              <w:left w:w="0" w:type="dxa"/>
              <w:bottom w:w="0" w:type="dxa"/>
              <w:right w:w="15" w:type="dxa"/>
            </w:tcMar>
            <w:vAlign w:val="bottom"/>
            <w:hideMark/>
          </w:tcPr>
          <w:p w14:paraId="0ABABA6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8DE7D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042EE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(1,628</w:t>
            </w:r>
          </w:p>
        </w:tc>
        <w:tc>
          <w:tcPr>
            <w:tcW w:w="50" w:type="pct"/>
            <w:shd w:val="clear" w:color="auto" w:fill="CFF0FC"/>
            <w:noWrap/>
            <w:tcMar>
              <w:top w:w="15" w:type="dxa"/>
              <w:left w:w="0" w:type="dxa"/>
              <w:bottom w:w="0" w:type="dxa"/>
              <w:right w:w="15" w:type="dxa"/>
            </w:tcMar>
            <w:vAlign w:val="bottom"/>
            <w:hideMark/>
          </w:tcPr>
          <w:p w14:paraId="3688EB5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3DB8B5F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29339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AC516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(1,689</w:t>
            </w:r>
          </w:p>
        </w:tc>
        <w:tc>
          <w:tcPr>
            <w:tcW w:w="50" w:type="pct"/>
            <w:shd w:val="clear" w:color="auto" w:fill="CFF0FC"/>
            <w:noWrap/>
            <w:tcMar>
              <w:top w:w="15" w:type="dxa"/>
              <w:left w:w="0" w:type="dxa"/>
              <w:bottom w:w="0" w:type="dxa"/>
              <w:right w:w="15" w:type="dxa"/>
            </w:tcMar>
            <w:vAlign w:val="bottom"/>
            <w:hideMark/>
          </w:tcPr>
          <w:p w14:paraId="3ABB2BC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bl>
    <w:p w14:paraId="41B6FAC0" w14:textId="77777777" w:rsidR="00251D72" w:rsidRDefault="00251D72">
      <w:pPr>
        <w:pStyle w:val="a3"/>
        <w:spacing w:before="0" w:beforeAutospacing="0" w:after="0" w:afterAutospacing="0"/>
        <w:rPr>
          <w:b/>
          <w:bCs/>
          <w:sz w:val="12"/>
          <w:szCs w:val="12"/>
        </w:rPr>
      </w:pPr>
      <w:r>
        <w:rPr>
          <w:b/>
          <w:bCs/>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251D72" w14:paraId="17A52D02" w14:textId="77777777">
        <w:tc>
          <w:tcPr>
            <w:tcW w:w="262" w:type="pct"/>
            <w:noWrap/>
            <w:hideMark/>
          </w:tcPr>
          <w:p w14:paraId="23BE642E"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13.</w:t>
            </w:r>
          </w:p>
        </w:tc>
        <w:tc>
          <w:tcPr>
            <w:tcW w:w="0" w:type="auto"/>
            <w:hideMark/>
          </w:tcPr>
          <w:p w14:paraId="5A15F6AD"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 xml:space="preserve">EMPLOYEE BENEFIT PLANS </w:t>
            </w:r>
          </w:p>
        </w:tc>
      </w:tr>
    </w:tbl>
    <w:p w14:paraId="36BC5741"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 xml:space="preserve">Stock-Based Compensation Plans </w:t>
      </w:r>
    </w:p>
    <w:p w14:paraId="726C34EC" w14:textId="77777777" w:rsidR="00251D72" w:rsidRDefault="00251D72">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Stock Plans</w:t>
      </w:r>
    </w:p>
    <w:p w14:paraId="3C37398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fiscal 2001, we adopted the 2000 Long-Term Equity Incentive Plan, which provides for the issuance of long-term performance awards, including restricted stock-based awards, non-qualified stock options and incentive stock options, as well as stock purchase rights and stock appreciation rights, to our eligible employees, officers and directors who are also employees or consultants, independent consultants and advisers.</w:t>
      </w:r>
    </w:p>
    <w:tbl>
      <w:tblPr>
        <w:tblW w:w="5000" w:type="pct"/>
        <w:tblCellMar>
          <w:left w:w="0" w:type="dxa"/>
          <w:right w:w="0" w:type="dxa"/>
        </w:tblCellMar>
        <w:tblLook w:val="04A0" w:firstRow="1" w:lastRow="0" w:firstColumn="1" w:lastColumn="0" w:noHBand="0" w:noVBand="1"/>
      </w:tblPr>
      <w:tblGrid>
        <w:gridCol w:w="395"/>
        <w:gridCol w:w="243"/>
        <w:gridCol w:w="7668"/>
      </w:tblGrid>
      <w:tr w:rsidR="00251D72" w14:paraId="57E6CA82" w14:textId="77777777">
        <w:tc>
          <w:tcPr>
            <w:tcW w:w="238" w:type="pct"/>
            <w:noWrap/>
            <w:hideMark/>
          </w:tcPr>
          <w:p w14:paraId="2DA7746C" w14:textId="77777777" w:rsidR="00251D72" w:rsidRDefault="00251D72">
            <w:pPr>
              <w:pStyle w:val="a3"/>
              <w:spacing w:before="120" w:beforeAutospacing="0" w:after="0" w:afterAutospacing="0"/>
              <w:jc w:val="both"/>
              <w:rPr>
                <w:sz w:val="20"/>
                <w:szCs w:val="20"/>
              </w:rPr>
            </w:pPr>
            <w:r>
              <w:rPr>
                <w:sz w:val="20"/>
                <w:szCs w:val="20"/>
              </w:rPr>
              <w:t> </w:t>
            </w:r>
          </w:p>
        </w:tc>
        <w:tc>
          <w:tcPr>
            <w:tcW w:w="146" w:type="pct"/>
            <w:noWrap/>
            <w:hideMark/>
          </w:tcPr>
          <w:p w14:paraId="0C2A0E6E"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4785878"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In fiscal 2011, our stockholders, upon the recommendation of our Board of Directors (the Board), approved the adoption of the Amended and Restated 2000 Long-Term Equity Incentive Plan (the 2000 Plan), which extended the termination date of the 2000 Plan by 10 years and increased the number of authorized shares of stock that may be issued by 388,313,015 shares.</w:t>
            </w:r>
          </w:p>
        </w:tc>
      </w:tr>
    </w:tbl>
    <w:p w14:paraId="4BF3D20A"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5"/>
        <w:gridCol w:w="243"/>
        <w:gridCol w:w="7668"/>
      </w:tblGrid>
      <w:tr w:rsidR="00251D72" w14:paraId="05C3776B" w14:textId="77777777">
        <w:tc>
          <w:tcPr>
            <w:tcW w:w="238" w:type="pct"/>
            <w:noWrap/>
            <w:hideMark/>
          </w:tcPr>
          <w:p w14:paraId="63CDAA4A" w14:textId="77777777" w:rsidR="00251D72" w:rsidRDefault="00251D72">
            <w:pPr>
              <w:pStyle w:val="a3"/>
              <w:spacing w:before="120" w:beforeAutospacing="0" w:after="0" w:afterAutospacing="0"/>
              <w:jc w:val="both"/>
              <w:rPr>
                <w:sz w:val="20"/>
                <w:szCs w:val="20"/>
              </w:rPr>
            </w:pPr>
            <w:r>
              <w:rPr>
                <w:sz w:val="20"/>
                <w:szCs w:val="20"/>
              </w:rPr>
              <w:t> </w:t>
            </w:r>
          </w:p>
        </w:tc>
        <w:tc>
          <w:tcPr>
            <w:tcW w:w="146" w:type="pct"/>
            <w:noWrap/>
            <w:hideMark/>
          </w:tcPr>
          <w:p w14:paraId="640ABEDC"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0B48DFEE"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In fiscal 2014, our stockholders, upon the recommendation of the Board, approved a further increase in the number of authorized shares of stock that may be issued under the 2000 Plan by 305,000,000 shares. Under the terms of the 2000 Plan, long-term full value awards are granted in the form of restricted stock units (RSUs) and performance-based restricted stock awards (PSUs). For each share granted as a full value award under the 2000 Plan, an equivalent of 2.5 shares is deducted from our pool of shares available for grant.</w:t>
            </w:r>
          </w:p>
        </w:tc>
      </w:tr>
    </w:tbl>
    <w:p w14:paraId="36C90210"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95"/>
        <w:gridCol w:w="243"/>
        <w:gridCol w:w="7668"/>
      </w:tblGrid>
      <w:tr w:rsidR="00251D72" w14:paraId="59635B20" w14:textId="77777777">
        <w:tc>
          <w:tcPr>
            <w:tcW w:w="238" w:type="pct"/>
            <w:noWrap/>
            <w:hideMark/>
          </w:tcPr>
          <w:p w14:paraId="5860F082" w14:textId="77777777" w:rsidR="00251D72" w:rsidRDefault="00251D72">
            <w:pPr>
              <w:pStyle w:val="a3"/>
              <w:spacing w:before="120" w:beforeAutospacing="0" w:after="0" w:afterAutospacing="0"/>
              <w:jc w:val="both"/>
              <w:rPr>
                <w:sz w:val="20"/>
                <w:szCs w:val="20"/>
              </w:rPr>
            </w:pPr>
            <w:r>
              <w:rPr>
                <w:sz w:val="20"/>
                <w:szCs w:val="20"/>
              </w:rPr>
              <w:t> </w:t>
            </w:r>
          </w:p>
        </w:tc>
        <w:tc>
          <w:tcPr>
            <w:tcW w:w="146" w:type="pct"/>
            <w:noWrap/>
            <w:hideMark/>
          </w:tcPr>
          <w:p w14:paraId="19F79D1F" w14:textId="77777777" w:rsidR="00251D72" w:rsidRDefault="00251D72">
            <w:pPr>
              <w:pStyle w:val="a3"/>
              <w:spacing w:before="120" w:beforeAutospacing="0" w:after="0" w:afterAutospacing="0"/>
              <w:jc w:val="both"/>
              <w:rPr>
                <w:sz w:val="20"/>
                <w:szCs w:val="20"/>
              </w:rPr>
            </w:pPr>
            <w:r>
              <w:rPr>
                <w:sz w:val="20"/>
                <w:szCs w:val="20"/>
              </w:rPr>
              <w:t>•</w:t>
            </w:r>
          </w:p>
        </w:tc>
        <w:tc>
          <w:tcPr>
            <w:tcW w:w="0" w:type="auto"/>
            <w:hideMark/>
          </w:tcPr>
          <w:p w14:paraId="4B536555" w14:textId="77777777" w:rsidR="00251D72" w:rsidRDefault="00251D72">
            <w:pPr>
              <w:pStyle w:val="a3"/>
              <w:spacing w:before="120" w:beforeAutospacing="0" w:after="0" w:afterAutospacing="0"/>
              <w:jc w:val="both"/>
              <w:rPr>
                <w:sz w:val="20"/>
                <w:szCs w:val="20"/>
              </w:rPr>
            </w:pPr>
            <w:r>
              <w:rPr>
                <w:rFonts w:ascii="Calibri" w:hAnsi="Calibri" w:cs="Calibri"/>
                <w:sz w:val="20"/>
                <w:szCs w:val="20"/>
              </w:rPr>
              <w:t>In fiscal 2018, our stockholders, upon the recommendation of the Board, approved a further increase in the number of authorized shares of stock that may be issued under the 2000 Plan by 330,000,000 shares, and approved material terms of the performance goals under which PSUs and performance-based stock options (PSOs) could be granted.</w:t>
            </w:r>
          </w:p>
        </w:tc>
      </w:tr>
    </w:tbl>
    <w:p w14:paraId="53ABAE0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As of May 31, 2019, the 2000 Plan had 93 million unvested RSUs outstanding, 1 million unvested PSUs outstanding, 55 million PSOs outstanding and service-based stock options (SOs) to purchase 164 million shares of common stock outstanding of which 143 million shares were vested. As of May 31, 2019, approximately 301 million shares of common stock were available for future awards under the 2000 Plan. To date, we have not issued any stock purchase rights or stock appreciation rights under the 2000 Plan.</w:t>
      </w:r>
    </w:p>
    <w:p w14:paraId="7C3FD605" w14:textId="77777777" w:rsidR="00251D72" w:rsidRDefault="00251D72">
      <w:pPr>
        <w:pStyle w:val="a3"/>
        <w:spacing w:before="120" w:beforeAutospacing="0" w:after="0" w:afterAutospacing="0"/>
        <w:jc w:val="both"/>
        <w:rPr>
          <w:rFonts w:ascii="Calibri" w:hAnsi="Calibri" w:cs="Calibri"/>
          <w:sz w:val="20"/>
          <w:szCs w:val="20"/>
        </w:rPr>
      </w:pPr>
      <w:bookmarkStart w:id="144" w:name="_AEIOULastRenderedPageBreakAEIOU104"/>
      <w:bookmarkEnd w:id="144"/>
      <w:r>
        <w:rPr>
          <w:rFonts w:ascii="Calibri" w:hAnsi="Calibri" w:cs="Calibri"/>
          <w:sz w:val="20"/>
          <w:szCs w:val="20"/>
        </w:rPr>
        <w:t xml:space="preserve">The vesting schedule for all awards granted under the 2000 Plan is established by the Compensation Committee of the Board of Directors. RSUs generally require service-based vesting of 25% annually over four years. The vesting schedule for PSUs currently requires achieving performance targets and providing service over four fiscal years. SOs are granted at not less than fair market value, become exercisable generally 25% annually over four years of service, and generally expire 10 years from the date of grant. PSOs granted to three of our current executive officers in fiscal 2018 consist of seven numerically equivalent vesting tranches that potentially may vest. One tranche vests solely on the attainment of a market-based metric. The remaining six tranches require the attainment of both a performance metric and a market capitalization metric. In each case, the market-based </w:t>
      </w:r>
    </w:p>
    <w:p w14:paraId="380286B6"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101</w:t>
      </w:r>
    </w:p>
    <w:p w14:paraId="53F6C88F" w14:textId="77777777" w:rsidR="00251D72" w:rsidRDefault="00251D72">
      <w:pPr>
        <w:rPr>
          <w:rFonts w:ascii="Times New Roman" w:eastAsia="Times New Roman" w:hAnsi="Times New Roman" w:cs="Times New Roman"/>
          <w:sz w:val="24"/>
          <w:szCs w:val="24"/>
        </w:rPr>
      </w:pPr>
      <w:r>
        <w:rPr>
          <w:rFonts w:eastAsia="Times New Roman"/>
        </w:rPr>
        <w:pict w14:anchorId="4B4905D7">
          <v:rect id="_x0000_i1127" style="width:415.3pt;height:1.5pt" o:hralign="center" o:hrstd="t" o:hr="t" fillcolor="#a0a0a0" stroked="f"/>
        </w:pict>
      </w:r>
    </w:p>
    <w:p w14:paraId="3D790AFD"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67A75B1B"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A5F1ACA"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4D937426"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2CDBBB8F"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04B72A0E" w14:textId="77777777" w:rsidR="00251D72" w:rsidRDefault="00251D72">
      <w:pPr>
        <w:pStyle w:val="a3"/>
        <w:spacing w:before="0" w:beforeAutospacing="0" w:after="0" w:afterAutospacing="0"/>
        <w:rPr>
          <w:sz w:val="20"/>
          <w:szCs w:val="20"/>
        </w:rPr>
      </w:pPr>
      <w:r>
        <w:rPr>
          <w:sz w:val="20"/>
          <w:szCs w:val="20"/>
        </w:rPr>
        <w:t> </w:t>
      </w:r>
    </w:p>
    <w:p w14:paraId="01D50B0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metric, performance metrics and market capitalization metrics may be achieved at any time during a five year performance period, assuming continued employment and service through the date the Compensation Committee of the Board of Directors certifies that performance has been achieved. The PSOs have contractual lives of eight years in comparison to the typical ten year contractual lives for SOs. For the six tranches of the PSOs with both performance and market conditions, stock-based compensation expense is to be recognized once each vesting tranche becomes probable of achievement over the longer of the estimated implicit service period or derived service. We have preliminarily estimated service periods for those tranches that have been deemed probable of achievement to be up to five years. Stock-based compensation for the market-based tranche will be recognized using the derived service period for the market-based metric achievement, which we have initially estimated to be approximately three years.</w:t>
      </w:r>
    </w:p>
    <w:p w14:paraId="6515621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fiscal 1993, the Board adopted the 1993 Directors’ Stock Plan (the Directors’ Plan), which provides for the issuance of RSUs and other stock-based awards, including non-qualified stock options, to non-employee directors. The Directors’ Plan has from time to time been amended and restated. Under the terms of the Directors’ Plan, 10 million shares of common stock are reserved for issuance</w:t>
      </w:r>
      <w:r>
        <w:rPr>
          <w:rFonts w:ascii="Calibri" w:hAnsi="Calibri" w:cs="Calibri"/>
          <w:color w:val="1F497D"/>
          <w:sz w:val="20"/>
          <w:szCs w:val="20"/>
        </w:rPr>
        <w:t xml:space="preserve"> </w:t>
      </w:r>
      <w:r>
        <w:rPr>
          <w:rFonts w:ascii="Calibri" w:hAnsi="Calibri" w:cs="Calibri"/>
          <w:sz w:val="20"/>
          <w:szCs w:val="20"/>
        </w:rPr>
        <w:t>(including a fiscal 2013 amendment to increase the number of shares of our common stock reserved for issuance by 2 million shares). In prior years, we granted stock options at not less than fair market value, that vest over four years, and expire no more than 10 years from the date of grant. We currently grant RSUs only that vest fully on the one-year anniversary of the date of grant. The Directors’ Plan was most recently amended on April 29, 2016 and permits the Compensation Committee of the Board to determine the amount and form of automatic grants of stock awards to each non-employee director upon first becoming a director and thereafter on an annual basis, as well as automatic grants for chairing certain Board committees, subject to certain stockholder approved limitations set forth in the Directors’ Plan. As of May 31, 2019, approximately 90,000 unvested RSUs and stock options to purchase approximately 1 million shares of common stock (all of which were vested) were outstanding under the Directors’ Plan. As of May 31, 2019, approximately 1 million shares were available for future stock awards under this plan.</w:t>
      </w:r>
    </w:p>
    <w:p w14:paraId="005FDB15"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connection with certain of our acquisitions, we assumed certain outstanding restricted stock-based awards and stock options under each acquired company’s respective stock plans, or we substituted substantially similar awards under the 2000 Plan. These restricted stock-based awards and stock options assumed or substituted generally retain all of the rights, terms and conditions of the respective plans under which they were originally granted. As of May 31, 2019, approximately 1 million shares of restricted stock-based awards and stock options to purchase 2 million shares of common stock were outstanding under acquired company stock plans that Oracle assumed.</w:t>
      </w:r>
    </w:p>
    <w:p w14:paraId="786461E2"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102</w:t>
      </w:r>
    </w:p>
    <w:p w14:paraId="3E0C1037" w14:textId="77777777" w:rsidR="00251D72" w:rsidRDefault="00251D72">
      <w:pPr>
        <w:rPr>
          <w:rFonts w:ascii="Times New Roman" w:eastAsia="Times New Roman" w:hAnsi="Times New Roman" w:cs="Times New Roman"/>
          <w:sz w:val="24"/>
          <w:szCs w:val="24"/>
        </w:rPr>
      </w:pPr>
      <w:r>
        <w:rPr>
          <w:rFonts w:eastAsia="Times New Roman"/>
        </w:rPr>
        <w:pict w14:anchorId="4B71E32B">
          <v:rect id="_x0000_i1128" style="width:415.3pt;height:1.5pt" o:hralign="center" o:hrstd="t" o:hr="t" fillcolor="#a0a0a0" stroked="f"/>
        </w:pict>
      </w:r>
    </w:p>
    <w:p w14:paraId="6FD6F29B"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4262257"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66002B29"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F84AFA5"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10530810"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5C690D5A" w14:textId="77777777" w:rsidR="00251D72" w:rsidRDefault="00251D72">
      <w:pPr>
        <w:pStyle w:val="a3"/>
        <w:spacing w:before="0" w:beforeAutospacing="0" w:after="0" w:afterAutospacing="0"/>
        <w:rPr>
          <w:sz w:val="20"/>
          <w:szCs w:val="20"/>
        </w:rPr>
      </w:pPr>
      <w:r>
        <w:rPr>
          <w:sz w:val="20"/>
          <w:szCs w:val="20"/>
        </w:rPr>
        <w:t> </w:t>
      </w:r>
    </w:p>
    <w:p w14:paraId="453210BC" w14:textId="77777777" w:rsidR="00251D72" w:rsidRDefault="00251D72">
      <w:pPr>
        <w:pStyle w:val="a3"/>
        <w:spacing w:before="120" w:beforeAutospacing="0" w:after="0" w:afterAutospacing="0"/>
        <w:jc w:val="both"/>
        <w:rPr>
          <w:rFonts w:ascii="Calibri" w:hAnsi="Calibri" w:cs="Calibri"/>
          <w:sz w:val="20"/>
          <w:szCs w:val="20"/>
        </w:rPr>
      </w:pPr>
      <w:bookmarkStart w:id="145" w:name="_AEIOULastRenderedPageBreakAEIOU105"/>
      <w:bookmarkEnd w:id="145"/>
      <w:r>
        <w:rPr>
          <w:rFonts w:ascii="Calibri" w:hAnsi="Calibri" w:cs="Calibri"/>
          <w:sz w:val="20"/>
          <w:szCs w:val="20"/>
        </w:rPr>
        <w:t>The following table summarizes restricted stock-based award activity, including service-based awards and performance-based awards, granted pursuant to Oracle-based stock plans and stock plans assumed from our acquisitions for our last three fiscal years ended May 31, 2019:</w:t>
      </w:r>
    </w:p>
    <w:p w14:paraId="2CB8CA60"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970"/>
        <w:gridCol w:w="133"/>
        <w:gridCol w:w="80"/>
        <w:gridCol w:w="1361"/>
        <w:gridCol w:w="80"/>
        <w:gridCol w:w="133"/>
        <w:gridCol w:w="108"/>
        <w:gridCol w:w="1361"/>
        <w:gridCol w:w="80"/>
      </w:tblGrid>
      <w:tr w:rsidR="00251D72" w14:paraId="09CEDF19" w14:textId="77777777">
        <w:trPr>
          <w:divId w:val="299841982"/>
          <w:jc w:val="center"/>
        </w:trPr>
        <w:tc>
          <w:tcPr>
            <w:tcW w:w="2993" w:type="pct"/>
            <w:shd w:val="clear" w:color="auto" w:fill="FFFFFF"/>
            <w:tcMar>
              <w:top w:w="15" w:type="dxa"/>
              <w:left w:w="0" w:type="dxa"/>
              <w:bottom w:w="0" w:type="dxa"/>
              <w:right w:w="15" w:type="dxa"/>
            </w:tcMar>
            <w:vAlign w:val="bottom"/>
            <w:hideMark/>
          </w:tcPr>
          <w:p w14:paraId="483882B1" w14:textId="77777777" w:rsidR="00251D72" w:rsidRDefault="00251D72">
            <w:pPr>
              <w:pStyle w:val="a3"/>
              <w:spacing w:before="0" w:beforeAutospacing="0" w:after="0" w:afterAutospacing="0"/>
              <w:rPr>
                <w:sz w:val="20"/>
                <w:szCs w:val="20"/>
              </w:rPr>
            </w:pPr>
            <w:r>
              <w:rPr>
                <w:sz w:val="20"/>
                <w:szCs w:val="20"/>
              </w:rPr>
              <w:t> </w:t>
            </w:r>
          </w:p>
        </w:tc>
        <w:tc>
          <w:tcPr>
            <w:tcW w:w="82" w:type="pct"/>
            <w:shd w:val="clear" w:color="auto" w:fill="FFFFFF"/>
            <w:tcMar>
              <w:top w:w="15" w:type="dxa"/>
              <w:left w:w="0" w:type="dxa"/>
              <w:bottom w:w="0" w:type="dxa"/>
              <w:right w:w="15" w:type="dxa"/>
            </w:tcMar>
            <w:vAlign w:val="bottom"/>
            <w:hideMark/>
          </w:tcPr>
          <w:p w14:paraId="3AFA948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874" w:type="pct"/>
            <w:gridSpan w:val="6"/>
            <w:tcBorders>
              <w:bottom w:val="single" w:sz="6" w:space="0" w:color="000000"/>
            </w:tcBorders>
            <w:shd w:val="clear" w:color="auto" w:fill="FFFFFF"/>
            <w:tcMar>
              <w:top w:w="15" w:type="dxa"/>
              <w:left w:w="0" w:type="dxa"/>
              <w:bottom w:w="0" w:type="dxa"/>
              <w:right w:w="15" w:type="dxa"/>
            </w:tcMar>
            <w:vAlign w:val="bottom"/>
            <w:hideMark/>
          </w:tcPr>
          <w:p w14:paraId="3A20927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Restricted Stock-Based Awards Outstanding</w:t>
            </w:r>
          </w:p>
        </w:tc>
        <w:tc>
          <w:tcPr>
            <w:tcW w:w="50" w:type="pct"/>
            <w:shd w:val="clear" w:color="auto" w:fill="FFFFFF"/>
            <w:noWrap/>
            <w:tcMar>
              <w:top w:w="15" w:type="dxa"/>
              <w:left w:w="0" w:type="dxa"/>
              <w:bottom w:w="0" w:type="dxa"/>
              <w:right w:w="15" w:type="dxa"/>
            </w:tcMar>
            <w:vAlign w:val="bottom"/>
            <w:hideMark/>
          </w:tcPr>
          <w:p w14:paraId="0E9F215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50FC5C8" w14:textId="77777777">
        <w:trPr>
          <w:divId w:val="299841982"/>
          <w:jc w:val="center"/>
        </w:trPr>
        <w:tc>
          <w:tcPr>
            <w:tcW w:w="2993" w:type="pct"/>
            <w:tcBorders>
              <w:bottom w:val="single" w:sz="6" w:space="0" w:color="000000"/>
            </w:tcBorders>
            <w:shd w:val="clear" w:color="auto" w:fill="FFFFFF"/>
            <w:tcMar>
              <w:top w:w="15" w:type="dxa"/>
              <w:left w:w="0" w:type="dxa"/>
              <w:bottom w:w="0" w:type="dxa"/>
              <w:right w:w="15" w:type="dxa"/>
            </w:tcMar>
            <w:vAlign w:val="bottom"/>
            <w:hideMark/>
          </w:tcPr>
          <w:p w14:paraId="6051896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fair value)</w:t>
            </w:r>
          </w:p>
        </w:tc>
        <w:tc>
          <w:tcPr>
            <w:tcW w:w="82" w:type="pct"/>
            <w:shd w:val="clear" w:color="auto" w:fill="FFFFFF"/>
            <w:tcMar>
              <w:top w:w="15" w:type="dxa"/>
              <w:left w:w="0" w:type="dxa"/>
              <w:bottom w:w="0" w:type="dxa"/>
              <w:right w:w="15" w:type="dxa"/>
            </w:tcMar>
            <w:vAlign w:val="bottom"/>
            <w:hideMark/>
          </w:tcPr>
          <w:p w14:paraId="33117E5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1290A2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Number of</w:t>
            </w:r>
          </w:p>
          <w:p w14:paraId="5E78452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Shares</w:t>
            </w:r>
          </w:p>
        </w:tc>
        <w:tc>
          <w:tcPr>
            <w:tcW w:w="50" w:type="pct"/>
            <w:shd w:val="clear" w:color="auto" w:fill="FFFFFF"/>
            <w:noWrap/>
            <w:tcMar>
              <w:top w:w="15" w:type="dxa"/>
              <w:left w:w="0" w:type="dxa"/>
              <w:bottom w:w="0" w:type="dxa"/>
              <w:right w:w="15" w:type="dxa"/>
            </w:tcMar>
            <w:vAlign w:val="bottom"/>
            <w:hideMark/>
          </w:tcPr>
          <w:p w14:paraId="4700C23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2" w:type="pct"/>
            <w:tcBorders>
              <w:top w:val="single" w:sz="6" w:space="0" w:color="000000"/>
            </w:tcBorders>
            <w:shd w:val="clear" w:color="auto" w:fill="FFFFFF"/>
            <w:tcMar>
              <w:top w:w="15" w:type="dxa"/>
              <w:left w:w="0" w:type="dxa"/>
              <w:bottom w:w="0" w:type="dxa"/>
              <w:right w:w="15" w:type="dxa"/>
            </w:tcMar>
            <w:vAlign w:val="bottom"/>
            <w:hideMark/>
          </w:tcPr>
          <w:p w14:paraId="0328109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119C2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459FF3C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Grant Date Fair Value</w:t>
            </w:r>
          </w:p>
        </w:tc>
        <w:tc>
          <w:tcPr>
            <w:tcW w:w="50" w:type="pct"/>
            <w:shd w:val="clear" w:color="auto" w:fill="FFFFFF"/>
            <w:noWrap/>
            <w:tcMar>
              <w:top w:w="15" w:type="dxa"/>
              <w:left w:w="0" w:type="dxa"/>
              <w:bottom w:w="0" w:type="dxa"/>
              <w:right w:w="15" w:type="dxa"/>
            </w:tcMar>
            <w:vAlign w:val="bottom"/>
            <w:hideMark/>
          </w:tcPr>
          <w:p w14:paraId="245752C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6502020" w14:textId="77777777">
        <w:trPr>
          <w:divId w:val="299841982"/>
          <w:jc w:val="center"/>
        </w:trPr>
        <w:tc>
          <w:tcPr>
            <w:tcW w:w="2993" w:type="pct"/>
            <w:tcBorders>
              <w:top w:val="single" w:sz="6" w:space="0" w:color="000000"/>
            </w:tcBorders>
            <w:shd w:val="clear" w:color="auto" w:fill="CFF0FC"/>
            <w:tcMar>
              <w:top w:w="15" w:type="dxa"/>
              <w:left w:w="0" w:type="dxa"/>
              <w:bottom w:w="0" w:type="dxa"/>
              <w:right w:w="15" w:type="dxa"/>
            </w:tcMar>
            <w:hideMark/>
          </w:tcPr>
          <w:p w14:paraId="09235E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May 31, 2016</w:t>
            </w:r>
          </w:p>
        </w:tc>
        <w:tc>
          <w:tcPr>
            <w:tcW w:w="82" w:type="pct"/>
            <w:shd w:val="clear" w:color="auto" w:fill="CFF0FC"/>
            <w:tcMar>
              <w:top w:w="15" w:type="dxa"/>
              <w:left w:w="0" w:type="dxa"/>
              <w:bottom w:w="0" w:type="dxa"/>
              <w:right w:w="15" w:type="dxa"/>
            </w:tcMar>
            <w:vAlign w:val="bottom"/>
            <w:hideMark/>
          </w:tcPr>
          <w:p w14:paraId="2CEF195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BAC21C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CFF0FC"/>
            <w:noWrap/>
            <w:tcMar>
              <w:top w:w="15" w:type="dxa"/>
              <w:left w:w="0" w:type="dxa"/>
              <w:bottom w:w="0" w:type="dxa"/>
              <w:right w:w="15" w:type="dxa"/>
            </w:tcMar>
            <w:vAlign w:val="bottom"/>
            <w:hideMark/>
          </w:tcPr>
          <w:p w14:paraId="4599B7B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w:t>
            </w:r>
          </w:p>
        </w:tc>
        <w:tc>
          <w:tcPr>
            <w:tcW w:w="50" w:type="pct"/>
            <w:shd w:val="clear" w:color="auto" w:fill="CFF0FC"/>
            <w:noWrap/>
            <w:tcMar>
              <w:top w:w="15" w:type="dxa"/>
              <w:left w:w="0" w:type="dxa"/>
              <w:bottom w:w="0" w:type="dxa"/>
              <w:right w:w="15" w:type="dxa"/>
            </w:tcMar>
            <w:vAlign w:val="bottom"/>
            <w:hideMark/>
          </w:tcPr>
          <w:p w14:paraId="35291C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 w:type="pct"/>
            <w:shd w:val="clear" w:color="auto" w:fill="CFF0FC"/>
            <w:tcMar>
              <w:top w:w="15" w:type="dxa"/>
              <w:left w:w="0" w:type="dxa"/>
              <w:bottom w:w="0" w:type="dxa"/>
              <w:right w:w="15" w:type="dxa"/>
            </w:tcMar>
            <w:vAlign w:val="bottom"/>
            <w:hideMark/>
          </w:tcPr>
          <w:p w14:paraId="052AD5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4D393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tcBorders>
              <w:top w:val="single" w:sz="6" w:space="0" w:color="000000"/>
            </w:tcBorders>
            <w:shd w:val="clear" w:color="auto" w:fill="CFF0FC"/>
            <w:noWrap/>
            <w:tcMar>
              <w:top w:w="15" w:type="dxa"/>
              <w:left w:w="0" w:type="dxa"/>
              <w:bottom w:w="0" w:type="dxa"/>
              <w:right w:w="15" w:type="dxa"/>
            </w:tcMar>
            <w:vAlign w:val="bottom"/>
            <w:hideMark/>
          </w:tcPr>
          <w:p w14:paraId="4899934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39.29</w:t>
            </w:r>
          </w:p>
        </w:tc>
        <w:tc>
          <w:tcPr>
            <w:tcW w:w="50" w:type="pct"/>
            <w:shd w:val="clear" w:color="auto" w:fill="CFF0FC"/>
            <w:noWrap/>
            <w:tcMar>
              <w:top w:w="15" w:type="dxa"/>
              <w:left w:w="0" w:type="dxa"/>
              <w:bottom w:w="0" w:type="dxa"/>
              <w:right w:w="15" w:type="dxa"/>
            </w:tcMar>
            <w:vAlign w:val="bottom"/>
            <w:hideMark/>
          </w:tcPr>
          <w:p w14:paraId="46B4EF6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1C61C0D" w14:textId="77777777">
        <w:trPr>
          <w:divId w:val="299841982"/>
          <w:jc w:val="center"/>
        </w:trPr>
        <w:tc>
          <w:tcPr>
            <w:tcW w:w="2993" w:type="pct"/>
            <w:shd w:val="clear" w:color="auto" w:fill="FFFFFF"/>
            <w:tcMar>
              <w:top w:w="15" w:type="dxa"/>
              <w:left w:w="0" w:type="dxa"/>
              <w:bottom w:w="0" w:type="dxa"/>
              <w:right w:w="15" w:type="dxa"/>
            </w:tcMar>
            <w:hideMark/>
          </w:tcPr>
          <w:p w14:paraId="6AED34D4"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82" w:type="pct"/>
            <w:shd w:val="clear" w:color="auto" w:fill="FFFFFF"/>
            <w:tcMar>
              <w:top w:w="15" w:type="dxa"/>
              <w:left w:w="0" w:type="dxa"/>
              <w:bottom w:w="0" w:type="dxa"/>
              <w:right w:w="15" w:type="dxa"/>
            </w:tcMar>
            <w:vAlign w:val="bottom"/>
            <w:hideMark/>
          </w:tcPr>
          <w:p w14:paraId="2910949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C221E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left w:w="0" w:type="dxa"/>
              <w:bottom w:w="0" w:type="dxa"/>
              <w:right w:w="15" w:type="dxa"/>
            </w:tcMar>
            <w:vAlign w:val="bottom"/>
            <w:hideMark/>
          </w:tcPr>
          <w:p w14:paraId="43FC01E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w:t>
            </w:r>
          </w:p>
        </w:tc>
        <w:tc>
          <w:tcPr>
            <w:tcW w:w="50" w:type="pct"/>
            <w:shd w:val="clear" w:color="auto" w:fill="FFFFFF"/>
            <w:noWrap/>
            <w:tcMar>
              <w:top w:w="15" w:type="dxa"/>
              <w:left w:w="0" w:type="dxa"/>
              <w:bottom w:w="0" w:type="dxa"/>
              <w:right w:w="15" w:type="dxa"/>
            </w:tcMar>
            <w:vAlign w:val="bottom"/>
            <w:hideMark/>
          </w:tcPr>
          <w:p w14:paraId="35E222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 w:type="pct"/>
            <w:shd w:val="clear" w:color="auto" w:fill="FFFFFF"/>
            <w:tcMar>
              <w:top w:w="15" w:type="dxa"/>
              <w:left w:w="0" w:type="dxa"/>
              <w:bottom w:w="0" w:type="dxa"/>
              <w:right w:w="15" w:type="dxa"/>
            </w:tcMar>
            <w:vAlign w:val="bottom"/>
            <w:hideMark/>
          </w:tcPr>
          <w:p w14:paraId="3F4262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D0B25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115744A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39.40</w:t>
            </w:r>
          </w:p>
        </w:tc>
        <w:tc>
          <w:tcPr>
            <w:tcW w:w="50" w:type="pct"/>
            <w:shd w:val="clear" w:color="auto" w:fill="FFFFFF"/>
            <w:noWrap/>
            <w:tcMar>
              <w:top w:w="15" w:type="dxa"/>
              <w:left w:w="0" w:type="dxa"/>
              <w:bottom w:w="0" w:type="dxa"/>
              <w:right w:w="15" w:type="dxa"/>
            </w:tcMar>
            <w:vAlign w:val="bottom"/>
            <w:hideMark/>
          </w:tcPr>
          <w:p w14:paraId="5BF143E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D4EF675" w14:textId="77777777">
        <w:trPr>
          <w:divId w:val="299841982"/>
          <w:jc w:val="center"/>
        </w:trPr>
        <w:tc>
          <w:tcPr>
            <w:tcW w:w="2993" w:type="pct"/>
            <w:shd w:val="clear" w:color="auto" w:fill="CFF0FC"/>
            <w:tcMar>
              <w:top w:w="15" w:type="dxa"/>
              <w:left w:w="0" w:type="dxa"/>
              <w:bottom w:w="0" w:type="dxa"/>
              <w:right w:w="15" w:type="dxa"/>
            </w:tcMar>
            <w:hideMark/>
          </w:tcPr>
          <w:p w14:paraId="382F0E97"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Assumed</w:t>
            </w:r>
          </w:p>
        </w:tc>
        <w:tc>
          <w:tcPr>
            <w:tcW w:w="82" w:type="pct"/>
            <w:shd w:val="clear" w:color="auto" w:fill="CFF0FC"/>
            <w:tcMar>
              <w:top w:w="15" w:type="dxa"/>
              <w:left w:w="0" w:type="dxa"/>
              <w:bottom w:w="0" w:type="dxa"/>
              <w:right w:w="15" w:type="dxa"/>
            </w:tcMar>
            <w:vAlign w:val="bottom"/>
            <w:hideMark/>
          </w:tcPr>
          <w:p w14:paraId="004F97F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885A1C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left w:w="0" w:type="dxa"/>
              <w:bottom w:w="0" w:type="dxa"/>
              <w:right w:w="15" w:type="dxa"/>
            </w:tcMar>
            <w:vAlign w:val="bottom"/>
            <w:hideMark/>
          </w:tcPr>
          <w:p w14:paraId="099CB20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CFF0FC"/>
            <w:noWrap/>
            <w:tcMar>
              <w:top w:w="15" w:type="dxa"/>
              <w:left w:w="0" w:type="dxa"/>
              <w:bottom w:w="0" w:type="dxa"/>
              <w:right w:w="15" w:type="dxa"/>
            </w:tcMar>
            <w:vAlign w:val="bottom"/>
            <w:hideMark/>
          </w:tcPr>
          <w:p w14:paraId="5B66911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 w:type="pct"/>
            <w:shd w:val="clear" w:color="auto" w:fill="CFF0FC"/>
            <w:tcMar>
              <w:top w:w="15" w:type="dxa"/>
              <w:left w:w="0" w:type="dxa"/>
              <w:bottom w:w="0" w:type="dxa"/>
              <w:right w:w="15" w:type="dxa"/>
            </w:tcMar>
            <w:vAlign w:val="bottom"/>
            <w:hideMark/>
          </w:tcPr>
          <w:p w14:paraId="08DA34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60999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2952918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37.83</w:t>
            </w:r>
          </w:p>
        </w:tc>
        <w:tc>
          <w:tcPr>
            <w:tcW w:w="50" w:type="pct"/>
            <w:shd w:val="clear" w:color="auto" w:fill="CFF0FC"/>
            <w:noWrap/>
            <w:tcMar>
              <w:top w:w="15" w:type="dxa"/>
              <w:left w:w="0" w:type="dxa"/>
              <w:bottom w:w="0" w:type="dxa"/>
              <w:right w:w="15" w:type="dxa"/>
            </w:tcMar>
            <w:vAlign w:val="bottom"/>
            <w:hideMark/>
          </w:tcPr>
          <w:p w14:paraId="5FA4B8B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EEC1F75" w14:textId="77777777">
        <w:trPr>
          <w:divId w:val="299841982"/>
          <w:jc w:val="center"/>
        </w:trPr>
        <w:tc>
          <w:tcPr>
            <w:tcW w:w="2993" w:type="pct"/>
            <w:shd w:val="clear" w:color="auto" w:fill="FFFFFF"/>
            <w:tcMar>
              <w:top w:w="15" w:type="dxa"/>
              <w:left w:w="0" w:type="dxa"/>
              <w:bottom w:w="0" w:type="dxa"/>
              <w:right w:w="15" w:type="dxa"/>
            </w:tcMar>
            <w:hideMark/>
          </w:tcPr>
          <w:p w14:paraId="6951C643"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Vested and Issued</w:t>
            </w:r>
          </w:p>
        </w:tc>
        <w:tc>
          <w:tcPr>
            <w:tcW w:w="82" w:type="pct"/>
            <w:shd w:val="clear" w:color="auto" w:fill="FFFFFF"/>
            <w:tcMar>
              <w:top w:w="15" w:type="dxa"/>
              <w:left w:w="0" w:type="dxa"/>
              <w:bottom w:w="0" w:type="dxa"/>
              <w:right w:w="15" w:type="dxa"/>
            </w:tcMar>
            <w:vAlign w:val="bottom"/>
            <w:hideMark/>
          </w:tcPr>
          <w:p w14:paraId="012FD76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368375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left w:w="0" w:type="dxa"/>
              <w:bottom w:w="0" w:type="dxa"/>
              <w:right w:w="15" w:type="dxa"/>
            </w:tcMar>
            <w:vAlign w:val="bottom"/>
            <w:hideMark/>
          </w:tcPr>
          <w:p w14:paraId="701F7D5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w:t>
            </w:r>
          </w:p>
        </w:tc>
        <w:tc>
          <w:tcPr>
            <w:tcW w:w="50" w:type="pct"/>
            <w:shd w:val="clear" w:color="auto" w:fill="FFFFFF"/>
            <w:noWrap/>
            <w:tcMar>
              <w:top w:w="15" w:type="dxa"/>
              <w:left w:w="0" w:type="dxa"/>
              <w:bottom w:w="0" w:type="dxa"/>
              <w:right w:w="15" w:type="dxa"/>
            </w:tcMar>
            <w:vAlign w:val="bottom"/>
            <w:hideMark/>
          </w:tcPr>
          <w:p w14:paraId="031840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 w:type="pct"/>
            <w:shd w:val="clear" w:color="auto" w:fill="FFFFFF"/>
            <w:tcMar>
              <w:top w:w="15" w:type="dxa"/>
              <w:left w:w="0" w:type="dxa"/>
              <w:bottom w:w="0" w:type="dxa"/>
              <w:right w:w="15" w:type="dxa"/>
            </w:tcMar>
            <w:vAlign w:val="bottom"/>
            <w:hideMark/>
          </w:tcPr>
          <w:p w14:paraId="5463884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6F8B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173BDCA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40.39</w:t>
            </w:r>
          </w:p>
        </w:tc>
        <w:tc>
          <w:tcPr>
            <w:tcW w:w="50" w:type="pct"/>
            <w:shd w:val="clear" w:color="auto" w:fill="FFFFFF"/>
            <w:noWrap/>
            <w:tcMar>
              <w:top w:w="15" w:type="dxa"/>
              <w:left w:w="0" w:type="dxa"/>
              <w:bottom w:w="0" w:type="dxa"/>
              <w:right w:w="15" w:type="dxa"/>
            </w:tcMar>
            <w:vAlign w:val="bottom"/>
            <w:hideMark/>
          </w:tcPr>
          <w:p w14:paraId="6E8BA95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412F1AE" w14:textId="77777777">
        <w:trPr>
          <w:divId w:val="299841982"/>
          <w:jc w:val="center"/>
        </w:trPr>
        <w:tc>
          <w:tcPr>
            <w:tcW w:w="2993" w:type="pct"/>
            <w:shd w:val="clear" w:color="auto" w:fill="CFF0FC"/>
            <w:tcMar>
              <w:top w:w="15" w:type="dxa"/>
              <w:left w:w="0" w:type="dxa"/>
              <w:bottom w:w="0" w:type="dxa"/>
              <w:right w:w="15" w:type="dxa"/>
            </w:tcMar>
            <w:hideMark/>
          </w:tcPr>
          <w:p w14:paraId="437FB5D4"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2" w:type="pct"/>
            <w:shd w:val="clear" w:color="auto" w:fill="CFF0FC"/>
            <w:tcMar>
              <w:top w:w="15" w:type="dxa"/>
              <w:left w:w="0" w:type="dxa"/>
              <w:bottom w:w="0" w:type="dxa"/>
              <w:right w:w="15" w:type="dxa"/>
            </w:tcMar>
            <w:vAlign w:val="bottom"/>
            <w:hideMark/>
          </w:tcPr>
          <w:p w14:paraId="156F564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B4D36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CFF0FC"/>
            <w:noWrap/>
            <w:tcMar>
              <w:top w:w="15" w:type="dxa"/>
              <w:left w:w="0" w:type="dxa"/>
              <w:bottom w:w="0" w:type="dxa"/>
              <w:right w:w="15" w:type="dxa"/>
            </w:tcMar>
            <w:vAlign w:val="bottom"/>
            <w:hideMark/>
          </w:tcPr>
          <w:p w14:paraId="0C3B8CD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left w:w="0" w:type="dxa"/>
              <w:bottom w:w="0" w:type="dxa"/>
              <w:right w:w="15" w:type="dxa"/>
            </w:tcMar>
            <w:vAlign w:val="bottom"/>
            <w:hideMark/>
          </w:tcPr>
          <w:p w14:paraId="639618F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 w:type="pct"/>
            <w:shd w:val="clear" w:color="auto" w:fill="CFF0FC"/>
            <w:tcMar>
              <w:top w:w="15" w:type="dxa"/>
              <w:left w:w="0" w:type="dxa"/>
              <w:bottom w:w="0" w:type="dxa"/>
              <w:right w:w="15" w:type="dxa"/>
            </w:tcMar>
            <w:vAlign w:val="bottom"/>
            <w:hideMark/>
          </w:tcPr>
          <w:p w14:paraId="1049DE2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CDB7C9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0B48911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39.73</w:t>
            </w:r>
          </w:p>
        </w:tc>
        <w:tc>
          <w:tcPr>
            <w:tcW w:w="50" w:type="pct"/>
            <w:shd w:val="clear" w:color="auto" w:fill="CFF0FC"/>
            <w:noWrap/>
            <w:tcMar>
              <w:top w:w="15" w:type="dxa"/>
              <w:left w:w="0" w:type="dxa"/>
              <w:bottom w:w="0" w:type="dxa"/>
              <w:right w:w="15" w:type="dxa"/>
            </w:tcMar>
            <w:vAlign w:val="bottom"/>
            <w:hideMark/>
          </w:tcPr>
          <w:p w14:paraId="79F200B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B0E37E3" w14:textId="77777777">
        <w:trPr>
          <w:divId w:val="299841982"/>
          <w:jc w:val="center"/>
        </w:trPr>
        <w:tc>
          <w:tcPr>
            <w:tcW w:w="2993" w:type="pct"/>
            <w:shd w:val="clear" w:color="auto" w:fill="FFFFFF"/>
            <w:tcMar>
              <w:top w:w="15" w:type="dxa"/>
              <w:left w:w="0" w:type="dxa"/>
              <w:bottom w:w="0" w:type="dxa"/>
              <w:right w:w="15" w:type="dxa"/>
            </w:tcMar>
            <w:hideMark/>
          </w:tcPr>
          <w:p w14:paraId="75CE81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May 31, 2017</w:t>
            </w:r>
          </w:p>
        </w:tc>
        <w:tc>
          <w:tcPr>
            <w:tcW w:w="82" w:type="pct"/>
            <w:shd w:val="clear" w:color="auto" w:fill="FFFFFF"/>
            <w:tcMar>
              <w:top w:w="15" w:type="dxa"/>
              <w:left w:w="0" w:type="dxa"/>
              <w:bottom w:w="0" w:type="dxa"/>
              <w:right w:w="15" w:type="dxa"/>
            </w:tcMar>
            <w:vAlign w:val="bottom"/>
            <w:hideMark/>
          </w:tcPr>
          <w:p w14:paraId="0E5808F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25BFED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FFFFFF"/>
            <w:noWrap/>
            <w:tcMar>
              <w:top w:w="15" w:type="dxa"/>
              <w:left w:w="0" w:type="dxa"/>
              <w:bottom w:w="0" w:type="dxa"/>
              <w:right w:w="15" w:type="dxa"/>
            </w:tcMar>
            <w:vAlign w:val="bottom"/>
            <w:hideMark/>
          </w:tcPr>
          <w:p w14:paraId="7E4D1AA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83</w:t>
            </w:r>
          </w:p>
        </w:tc>
        <w:tc>
          <w:tcPr>
            <w:tcW w:w="50" w:type="pct"/>
            <w:shd w:val="clear" w:color="auto" w:fill="FFFFFF"/>
            <w:noWrap/>
            <w:tcMar>
              <w:top w:w="15" w:type="dxa"/>
              <w:left w:w="0" w:type="dxa"/>
              <w:bottom w:w="0" w:type="dxa"/>
              <w:right w:w="15" w:type="dxa"/>
            </w:tcMar>
            <w:vAlign w:val="bottom"/>
            <w:hideMark/>
          </w:tcPr>
          <w:p w14:paraId="6F0580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 w:type="pct"/>
            <w:shd w:val="clear" w:color="auto" w:fill="FFFFFF"/>
            <w:tcMar>
              <w:top w:w="15" w:type="dxa"/>
              <w:left w:w="0" w:type="dxa"/>
              <w:bottom w:w="0" w:type="dxa"/>
              <w:right w:w="15" w:type="dxa"/>
            </w:tcMar>
            <w:vAlign w:val="bottom"/>
            <w:hideMark/>
          </w:tcPr>
          <w:p w14:paraId="411E4DC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29B224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547E430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39.18</w:t>
            </w:r>
          </w:p>
        </w:tc>
        <w:tc>
          <w:tcPr>
            <w:tcW w:w="50" w:type="pct"/>
            <w:shd w:val="clear" w:color="auto" w:fill="FFFFFF"/>
            <w:noWrap/>
            <w:tcMar>
              <w:top w:w="15" w:type="dxa"/>
              <w:left w:w="0" w:type="dxa"/>
              <w:bottom w:w="0" w:type="dxa"/>
              <w:right w:w="15" w:type="dxa"/>
            </w:tcMar>
            <w:vAlign w:val="bottom"/>
            <w:hideMark/>
          </w:tcPr>
          <w:p w14:paraId="0ADF13F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385FF10" w14:textId="77777777">
        <w:trPr>
          <w:divId w:val="299841982"/>
          <w:jc w:val="center"/>
        </w:trPr>
        <w:tc>
          <w:tcPr>
            <w:tcW w:w="2993" w:type="pct"/>
            <w:shd w:val="clear" w:color="auto" w:fill="CFF0FC"/>
            <w:tcMar>
              <w:top w:w="15" w:type="dxa"/>
              <w:left w:w="0" w:type="dxa"/>
              <w:bottom w:w="0" w:type="dxa"/>
              <w:right w:w="15" w:type="dxa"/>
            </w:tcMar>
            <w:hideMark/>
          </w:tcPr>
          <w:p w14:paraId="5B82BFAD"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82" w:type="pct"/>
            <w:shd w:val="clear" w:color="auto" w:fill="CFF0FC"/>
            <w:tcMar>
              <w:top w:w="15" w:type="dxa"/>
              <w:left w:w="0" w:type="dxa"/>
              <w:bottom w:w="0" w:type="dxa"/>
              <w:right w:w="15" w:type="dxa"/>
            </w:tcMar>
            <w:vAlign w:val="bottom"/>
            <w:hideMark/>
          </w:tcPr>
          <w:p w14:paraId="4200433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F204A8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left w:w="0" w:type="dxa"/>
              <w:bottom w:w="0" w:type="dxa"/>
              <w:right w:w="15" w:type="dxa"/>
            </w:tcMar>
            <w:vAlign w:val="bottom"/>
            <w:hideMark/>
          </w:tcPr>
          <w:p w14:paraId="34D744C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CFF0FC"/>
            <w:noWrap/>
            <w:tcMar>
              <w:top w:w="15" w:type="dxa"/>
              <w:left w:w="0" w:type="dxa"/>
              <w:bottom w:w="0" w:type="dxa"/>
              <w:right w:w="15" w:type="dxa"/>
            </w:tcMar>
            <w:vAlign w:val="bottom"/>
            <w:hideMark/>
          </w:tcPr>
          <w:p w14:paraId="417661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 w:type="pct"/>
            <w:shd w:val="clear" w:color="auto" w:fill="CFF0FC"/>
            <w:tcMar>
              <w:top w:w="15" w:type="dxa"/>
              <w:left w:w="0" w:type="dxa"/>
              <w:bottom w:w="0" w:type="dxa"/>
              <w:right w:w="15" w:type="dxa"/>
            </w:tcMar>
            <w:vAlign w:val="bottom"/>
            <w:hideMark/>
          </w:tcPr>
          <w:p w14:paraId="757B083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BF6EC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1ACA0F2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47.42</w:t>
            </w:r>
          </w:p>
        </w:tc>
        <w:tc>
          <w:tcPr>
            <w:tcW w:w="50" w:type="pct"/>
            <w:shd w:val="clear" w:color="auto" w:fill="CFF0FC"/>
            <w:noWrap/>
            <w:tcMar>
              <w:top w:w="15" w:type="dxa"/>
              <w:left w:w="0" w:type="dxa"/>
              <w:bottom w:w="0" w:type="dxa"/>
              <w:right w:w="15" w:type="dxa"/>
            </w:tcMar>
            <w:vAlign w:val="bottom"/>
            <w:hideMark/>
          </w:tcPr>
          <w:p w14:paraId="54B51F7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2B6B624" w14:textId="77777777">
        <w:trPr>
          <w:divId w:val="299841982"/>
          <w:jc w:val="center"/>
        </w:trPr>
        <w:tc>
          <w:tcPr>
            <w:tcW w:w="2993" w:type="pct"/>
            <w:shd w:val="clear" w:color="auto" w:fill="FFFFFF"/>
            <w:tcMar>
              <w:top w:w="15" w:type="dxa"/>
              <w:left w:w="0" w:type="dxa"/>
              <w:bottom w:w="0" w:type="dxa"/>
              <w:right w:w="15" w:type="dxa"/>
            </w:tcMar>
            <w:hideMark/>
          </w:tcPr>
          <w:p w14:paraId="0696DDEF"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Vested and Issued</w:t>
            </w:r>
          </w:p>
        </w:tc>
        <w:tc>
          <w:tcPr>
            <w:tcW w:w="82" w:type="pct"/>
            <w:shd w:val="clear" w:color="auto" w:fill="FFFFFF"/>
            <w:tcMar>
              <w:top w:w="15" w:type="dxa"/>
              <w:left w:w="0" w:type="dxa"/>
              <w:bottom w:w="0" w:type="dxa"/>
              <w:right w:w="15" w:type="dxa"/>
            </w:tcMar>
            <w:vAlign w:val="bottom"/>
            <w:hideMark/>
          </w:tcPr>
          <w:p w14:paraId="64CCDA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1E6BD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left w:w="0" w:type="dxa"/>
              <w:bottom w:w="0" w:type="dxa"/>
              <w:right w:w="15" w:type="dxa"/>
            </w:tcMar>
            <w:vAlign w:val="bottom"/>
            <w:hideMark/>
          </w:tcPr>
          <w:p w14:paraId="2C0F641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w:t>
            </w:r>
          </w:p>
        </w:tc>
        <w:tc>
          <w:tcPr>
            <w:tcW w:w="50" w:type="pct"/>
            <w:shd w:val="clear" w:color="auto" w:fill="FFFFFF"/>
            <w:noWrap/>
            <w:tcMar>
              <w:top w:w="15" w:type="dxa"/>
              <w:left w:w="0" w:type="dxa"/>
              <w:bottom w:w="0" w:type="dxa"/>
              <w:right w:w="15" w:type="dxa"/>
            </w:tcMar>
            <w:vAlign w:val="bottom"/>
            <w:hideMark/>
          </w:tcPr>
          <w:p w14:paraId="657F89C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 w:type="pct"/>
            <w:shd w:val="clear" w:color="auto" w:fill="FFFFFF"/>
            <w:tcMar>
              <w:top w:w="15" w:type="dxa"/>
              <w:left w:w="0" w:type="dxa"/>
              <w:bottom w:w="0" w:type="dxa"/>
              <w:right w:w="15" w:type="dxa"/>
            </w:tcMar>
            <w:vAlign w:val="bottom"/>
            <w:hideMark/>
          </w:tcPr>
          <w:p w14:paraId="68D5F68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35E90D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0DE6BFF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39.10</w:t>
            </w:r>
          </w:p>
        </w:tc>
        <w:tc>
          <w:tcPr>
            <w:tcW w:w="50" w:type="pct"/>
            <w:shd w:val="clear" w:color="auto" w:fill="FFFFFF"/>
            <w:noWrap/>
            <w:tcMar>
              <w:top w:w="15" w:type="dxa"/>
              <w:left w:w="0" w:type="dxa"/>
              <w:bottom w:w="0" w:type="dxa"/>
              <w:right w:w="15" w:type="dxa"/>
            </w:tcMar>
            <w:vAlign w:val="bottom"/>
            <w:hideMark/>
          </w:tcPr>
          <w:p w14:paraId="685EAA4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6F6684A" w14:textId="77777777">
        <w:trPr>
          <w:divId w:val="299841982"/>
          <w:jc w:val="center"/>
        </w:trPr>
        <w:tc>
          <w:tcPr>
            <w:tcW w:w="2993" w:type="pct"/>
            <w:shd w:val="clear" w:color="auto" w:fill="CFF0FC"/>
            <w:tcMar>
              <w:top w:w="15" w:type="dxa"/>
              <w:left w:w="0" w:type="dxa"/>
              <w:bottom w:w="0" w:type="dxa"/>
              <w:right w:w="15" w:type="dxa"/>
            </w:tcMar>
            <w:hideMark/>
          </w:tcPr>
          <w:p w14:paraId="067648D7"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2" w:type="pct"/>
            <w:shd w:val="clear" w:color="auto" w:fill="CFF0FC"/>
            <w:tcMar>
              <w:top w:w="15" w:type="dxa"/>
              <w:left w:w="0" w:type="dxa"/>
              <w:bottom w:w="0" w:type="dxa"/>
              <w:right w:w="15" w:type="dxa"/>
            </w:tcMar>
            <w:vAlign w:val="bottom"/>
            <w:hideMark/>
          </w:tcPr>
          <w:p w14:paraId="02D517B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FB25B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CFF0FC"/>
            <w:noWrap/>
            <w:tcMar>
              <w:top w:w="15" w:type="dxa"/>
              <w:left w:w="0" w:type="dxa"/>
              <w:bottom w:w="0" w:type="dxa"/>
              <w:right w:w="15" w:type="dxa"/>
            </w:tcMar>
            <w:vAlign w:val="bottom"/>
            <w:hideMark/>
          </w:tcPr>
          <w:p w14:paraId="14E1ADD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CFF0FC"/>
            <w:noWrap/>
            <w:tcMar>
              <w:top w:w="15" w:type="dxa"/>
              <w:left w:w="0" w:type="dxa"/>
              <w:bottom w:w="0" w:type="dxa"/>
              <w:right w:w="15" w:type="dxa"/>
            </w:tcMar>
            <w:vAlign w:val="bottom"/>
            <w:hideMark/>
          </w:tcPr>
          <w:p w14:paraId="30D757A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 w:type="pct"/>
            <w:shd w:val="clear" w:color="auto" w:fill="CFF0FC"/>
            <w:tcMar>
              <w:top w:w="15" w:type="dxa"/>
              <w:left w:w="0" w:type="dxa"/>
              <w:bottom w:w="0" w:type="dxa"/>
              <w:right w:w="15" w:type="dxa"/>
            </w:tcMar>
            <w:vAlign w:val="bottom"/>
            <w:hideMark/>
          </w:tcPr>
          <w:p w14:paraId="504AFBE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7AFDE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60ED788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41.97</w:t>
            </w:r>
          </w:p>
        </w:tc>
        <w:tc>
          <w:tcPr>
            <w:tcW w:w="50" w:type="pct"/>
            <w:shd w:val="clear" w:color="auto" w:fill="CFF0FC"/>
            <w:noWrap/>
            <w:tcMar>
              <w:top w:w="15" w:type="dxa"/>
              <w:left w:w="0" w:type="dxa"/>
              <w:bottom w:w="0" w:type="dxa"/>
              <w:right w:w="15" w:type="dxa"/>
            </w:tcMar>
            <w:vAlign w:val="bottom"/>
            <w:hideMark/>
          </w:tcPr>
          <w:p w14:paraId="113630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4D0F316" w14:textId="77777777">
        <w:trPr>
          <w:divId w:val="299841982"/>
          <w:jc w:val="center"/>
        </w:trPr>
        <w:tc>
          <w:tcPr>
            <w:tcW w:w="2993" w:type="pct"/>
            <w:shd w:val="clear" w:color="auto" w:fill="FFFFFF"/>
            <w:tcMar>
              <w:top w:w="15" w:type="dxa"/>
              <w:left w:w="0" w:type="dxa"/>
              <w:bottom w:w="0" w:type="dxa"/>
              <w:right w:w="15" w:type="dxa"/>
            </w:tcMar>
            <w:hideMark/>
          </w:tcPr>
          <w:p w14:paraId="160BBA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May 31, 2018</w:t>
            </w:r>
          </w:p>
        </w:tc>
        <w:tc>
          <w:tcPr>
            <w:tcW w:w="82" w:type="pct"/>
            <w:shd w:val="clear" w:color="auto" w:fill="FFFFFF"/>
            <w:tcMar>
              <w:top w:w="15" w:type="dxa"/>
              <w:left w:w="0" w:type="dxa"/>
              <w:bottom w:w="0" w:type="dxa"/>
              <w:right w:w="15" w:type="dxa"/>
            </w:tcMar>
            <w:vAlign w:val="bottom"/>
            <w:hideMark/>
          </w:tcPr>
          <w:p w14:paraId="5AEB40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E1D33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FFFFFF"/>
            <w:noWrap/>
            <w:tcMar>
              <w:top w:w="15" w:type="dxa"/>
              <w:left w:w="0" w:type="dxa"/>
              <w:bottom w:w="0" w:type="dxa"/>
              <w:right w:w="15" w:type="dxa"/>
            </w:tcMar>
            <w:vAlign w:val="bottom"/>
            <w:hideMark/>
          </w:tcPr>
          <w:p w14:paraId="1144B2A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89</w:t>
            </w:r>
          </w:p>
        </w:tc>
        <w:tc>
          <w:tcPr>
            <w:tcW w:w="50" w:type="pct"/>
            <w:shd w:val="clear" w:color="auto" w:fill="FFFFFF"/>
            <w:noWrap/>
            <w:tcMar>
              <w:top w:w="15" w:type="dxa"/>
              <w:left w:w="0" w:type="dxa"/>
              <w:bottom w:w="0" w:type="dxa"/>
              <w:right w:w="15" w:type="dxa"/>
            </w:tcMar>
            <w:vAlign w:val="bottom"/>
            <w:hideMark/>
          </w:tcPr>
          <w:p w14:paraId="1386DA0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 w:type="pct"/>
            <w:shd w:val="clear" w:color="auto" w:fill="FFFFFF"/>
            <w:tcMar>
              <w:top w:w="15" w:type="dxa"/>
              <w:left w:w="0" w:type="dxa"/>
              <w:bottom w:w="0" w:type="dxa"/>
              <w:right w:w="15" w:type="dxa"/>
            </w:tcMar>
            <w:vAlign w:val="bottom"/>
            <w:hideMark/>
          </w:tcPr>
          <w:p w14:paraId="376645A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98C24E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4071E74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42.93</w:t>
            </w:r>
          </w:p>
        </w:tc>
        <w:tc>
          <w:tcPr>
            <w:tcW w:w="50" w:type="pct"/>
            <w:shd w:val="clear" w:color="auto" w:fill="FFFFFF"/>
            <w:noWrap/>
            <w:tcMar>
              <w:top w:w="15" w:type="dxa"/>
              <w:left w:w="0" w:type="dxa"/>
              <w:bottom w:w="0" w:type="dxa"/>
              <w:right w:w="15" w:type="dxa"/>
            </w:tcMar>
            <w:vAlign w:val="bottom"/>
            <w:hideMark/>
          </w:tcPr>
          <w:p w14:paraId="6CC24B5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14197FD" w14:textId="77777777">
        <w:trPr>
          <w:divId w:val="299841982"/>
          <w:jc w:val="center"/>
        </w:trPr>
        <w:tc>
          <w:tcPr>
            <w:tcW w:w="2993" w:type="pct"/>
            <w:shd w:val="clear" w:color="auto" w:fill="CFF0FC"/>
            <w:tcMar>
              <w:top w:w="15" w:type="dxa"/>
              <w:left w:w="0" w:type="dxa"/>
              <w:bottom w:w="0" w:type="dxa"/>
              <w:right w:w="15" w:type="dxa"/>
            </w:tcMar>
            <w:hideMark/>
          </w:tcPr>
          <w:p w14:paraId="0F0A92E6"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82" w:type="pct"/>
            <w:shd w:val="clear" w:color="auto" w:fill="CFF0FC"/>
            <w:tcMar>
              <w:top w:w="15" w:type="dxa"/>
              <w:left w:w="0" w:type="dxa"/>
              <w:bottom w:w="0" w:type="dxa"/>
              <w:right w:w="15" w:type="dxa"/>
            </w:tcMar>
            <w:vAlign w:val="bottom"/>
            <w:hideMark/>
          </w:tcPr>
          <w:p w14:paraId="23B2376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705417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left w:w="0" w:type="dxa"/>
              <w:bottom w:w="0" w:type="dxa"/>
              <w:right w:w="15" w:type="dxa"/>
            </w:tcMar>
            <w:vAlign w:val="bottom"/>
            <w:hideMark/>
          </w:tcPr>
          <w:p w14:paraId="6FAC54A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w:t>
            </w:r>
          </w:p>
        </w:tc>
        <w:tc>
          <w:tcPr>
            <w:tcW w:w="50" w:type="pct"/>
            <w:shd w:val="clear" w:color="auto" w:fill="CFF0FC"/>
            <w:noWrap/>
            <w:tcMar>
              <w:top w:w="15" w:type="dxa"/>
              <w:left w:w="0" w:type="dxa"/>
              <w:bottom w:w="0" w:type="dxa"/>
              <w:right w:w="15" w:type="dxa"/>
            </w:tcMar>
            <w:vAlign w:val="bottom"/>
            <w:hideMark/>
          </w:tcPr>
          <w:p w14:paraId="41388B3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 w:type="pct"/>
            <w:shd w:val="clear" w:color="auto" w:fill="CFF0FC"/>
            <w:tcMar>
              <w:top w:w="15" w:type="dxa"/>
              <w:left w:w="0" w:type="dxa"/>
              <w:bottom w:w="0" w:type="dxa"/>
              <w:right w:w="15" w:type="dxa"/>
            </w:tcMar>
            <w:vAlign w:val="bottom"/>
            <w:hideMark/>
          </w:tcPr>
          <w:p w14:paraId="3142BE0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8814A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4310BAF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42.47</w:t>
            </w:r>
          </w:p>
        </w:tc>
        <w:tc>
          <w:tcPr>
            <w:tcW w:w="50" w:type="pct"/>
            <w:shd w:val="clear" w:color="auto" w:fill="CFF0FC"/>
            <w:noWrap/>
            <w:tcMar>
              <w:top w:w="15" w:type="dxa"/>
              <w:left w:w="0" w:type="dxa"/>
              <w:bottom w:w="0" w:type="dxa"/>
              <w:right w:w="15" w:type="dxa"/>
            </w:tcMar>
            <w:vAlign w:val="bottom"/>
            <w:hideMark/>
          </w:tcPr>
          <w:p w14:paraId="73E19C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1813E03" w14:textId="77777777">
        <w:trPr>
          <w:divId w:val="299841982"/>
          <w:jc w:val="center"/>
        </w:trPr>
        <w:tc>
          <w:tcPr>
            <w:tcW w:w="2993" w:type="pct"/>
            <w:shd w:val="clear" w:color="auto" w:fill="FFFFFF"/>
            <w:tcMar>
              <w:top w:w="15" w:type="dxa"/>
              <w:left w:w="0" w:type="dxa"/>
              <w:bottom w:w="0" w:type="dxa"/>
              <w:right w:w="15" w:type="dxa"/>
            </w:tcMar>
            <w:hideMark/>
          </w:tcPr>
          <w:p w14:paraId="3C7088DF"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Vested and Issued</w:t>
            </w:r>
          </w:p>
        </w:tc>
        <w:tc>
          <w:tcPr>
            <w:tcW w:w="82" w:type="pct"/>
            <w:shd w:val="clear" w:color="auto" w:fill="FFFFFF"/>
            <w:tcMar>
              <w:top w:w="15" w:type="dxa"/>
              <w:left w:w="0" w:type="dxa"/>
              <w:bottom w:w="0" w:type="dxa"/>
              <w:right w:w="15" w:type="dxa"/>
            </w:tcMar>
            <w:vAlign w:val="bottom"/>
            <w:hideMark/>
          </w:tcPr>
          <w:p w14:paraId="443FA32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864298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left w:w="0" w:type="dxa"/>
              <w:bottom w:w="0" w:type="dxa"/>
              <w:right w:w="15" w:type="dxa"/>
            </w:tcMar>
            <w:vAlign w:val="bottom"/>
            <w:hideMark/>
          </w:tcPr>
          <w:p w14:paraId="159ADA2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w:t>
            </w:r>
          </w:p>
        </w:tc>
        <w:tc>
          <w:tcPr>
            <w:tcW w:w="50" w:type="pct"/>
            <w:shd w:val="clear" w:color="auto" w:fill="FFFFFF"/>
            <w:noWrap/>
            <w:tcMar>
              <w:top w:w="15" w:type="dxa"/>
              <w:left w:w="0" w:type="dxa"/>
              <w:bottom w:w="0" w:type="dxa"/>
              <w:right w:w="15" w:type="dxa"/>
            </w:tcMar>
            <w:vAlign w:val="bottom"/>
            <w:hideMark/>
          </w:tcPr>
          <w:p w14:paraId="70AF81B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 w:type="pct"/>
            <w:shd w:val="clear" w:color="auto" w:fill="FFFFFF"/>
            <w:tcMar>
              <w:top w:w="15" w:type="dxa"/>
              <w:left w:w="0" w:type="dxa"/>
              <w:bottom w:w="0" w:type="dxa"/>
              <w:right w:w="15" w:type="dxa"/>
            </w:tcMar>
            <w:vAlign w:val="bottom"/>
            <w:hideMark/>
          </w:tcPr>
          <w:p w14:paraId="180F9C1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9E35C0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124EF55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41.85</w:t>
            </w:r>
          </w:p>
        </w:tc>
        <w:tc>
          <w:tcPr>
            <w:tcW w:w="50" w:type="pct"/>
            <w:shd w:val="clear" w:color="auto" w:fill="FFFFFF"/>
            <w:noWrap/>
            <w:tcMar>
              <w:top w:w="15" w:type="dxa"/>
              <w:left w:w="0" w:type="dxa"/>
              <w:bottom w:w="0" w:type="dxa"/>
              <w:right w:w="15" w:type="dxa"/>
            </w:tcMar>
            <w:vAlign w:val="bottom"/>
            <w:hideMark/>
          </w:tcPr>
          <w:p w14:paraId="7A2751F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86713AD" w14:textId="77777777">
        <w:trPr>
          <w:divId w:val="299841982"/>
          <w:jc w:val="center"/>
        </w:trPr>
        <w:tc>
          <w:tcPr>
            <w:tcW w:w="2993" w:type="pct"/>
            <w:shd w:val="clear" w:color="auto" w:fill="CFF0FC"/>
            <w:tcMar>
              <w:top w:w="15" w:type="dxa"/>
              <w:left w:w="0" w:type="dxa"/>
              <w:bottom w:w="0" w:type="dxa"/>
              <w:right w:w="15" w:type="dxa"/>
            </w:tcMar>
            <w:hideMark/>
          </w:tcPr>
          <w:p w14:paraId="6634D087"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2" w:type="pct"/>
            <w:shd w:val="clear" w:color="auto" w:fill="CFF0FC"/>
            <w:tcMar>
              <w:top w:w="15" w:type="dxa"/>
              <w:left w:w="0" w:type="dxa"/>
              <w:bottom w:w="0" w:type="dxa"/>
              <w:right w:w="15" w:type="dxa"/>
            </w:tcMar>
            <w:vAlign w:val="bottom"/>
            <w:hideMark/>
          </w:tcPr>
          <w:p w14:paraId="1330CA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1CCA33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CFF0FC"/>
            <w:noWrap/>
            <w:tcMar>
              <w:top w:w="15" w:type="dxa"/>
              <w:left w:w="0" w:type="dxa"/>
              <w:bottom w:w="0" w:type="dxa"/>
              <w:right w:w="15" w:type="dxa"/>
            </w:tcMar>
            <w:vAlign w:val="bottom"/>
            <w:hideMark/>
          </w:tcPr>
          <w:p w14:paraId="329F43C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CFF0FC"/>
            <w:noWrap/>
            <w:tcMar>
              <w:top w:w="15" w:type="dxa"/>
              <w:left w:w="0" w:type="dxa"/>
              <w:bottom w:w="0" w:type="dxa"/>
              <w:right w:w="15" w:type="dxa"/>
            </w:tcMar>
            <w:vAlign w:val="bottom"/>
            <w:hideMark/>
          </w:tcPr>
          <w:p w14:paraId="22F7593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 w:type="pct"/>
            <w:shd w:val="clear" w:color="auto" w:fill="CFF0FC"/>
            <w:tcMar>
              <w:top w:w="15" w:type="dxa"/>
              <w:left w:w="0" w:type="dxa"/>
              <w:bottom w:w="0" w:type="dxa"/>
              <w:right w:w="15" w:type="dxa"/>
            </w:tcMar>
            <w:vAlign w:val="bottom"/>
            <w:hideMark/>
          </w:tcPr>
          <w:p w14:paraId="0625A65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6AFC8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3C674F6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42.97</w:t>
            </w:r>
          </w:p>
        </w:tc>
        <w:tc>
          <w:tcPr>
            <w:tcW w:w="50" w:type="pct"/>
            <w:shd w:val="clear" w:color="auto" w:fill="CFF0FC"/>
            <w:noWrap/>
            <w:tcMar>
              <w:top w:w="15" w:type="dxa"/>
              <w:left w:w="0" w:type="dxa"/>
              <w:bottom w:w="0" w:type="dxa"/>
              <w:right w:w="15" w:type="dxa"/>
            </w:tcMar>
            <w:vAlign w:val="bottom"/>
            <w:hideMark/>
          </w:tcPr>
          <w:p w14:paraId="625D82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39D9D89" w14:textId="77777777">
        <w:trPr>
          <w:divId w:val="299841982"/>
          <w:jc w:val="center"/>
        </w:trPr>
        <w:tc>
          <w:tcPr>
            <w:tcW w:w="2993" w:type="pct"/>
            <w:shd w:val="clear" w:color="auto" w:fill="FFFFFF"/>
            <w:tcMar>
              <w:top w:w="15" w:type="dxa"/>
              <w:left w:w="0" w:type="dxa"/>
              <w:bottom w:w="0" w:type="dxa"/>
              <w:right w:w="15" w:type="dxa"/>
            </w:tcMar>
            <w:hideMark/>
          </w:tcPr>
          <w:p w14:paraId="656A98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May 31, 2019</w:t>
            </w:r>
          </w:p>
        </w:tc>
        <w:tc>
          <w:tcPr>
            <w:tcW w:w="82" w:type="pct"/>
            <w:shd w:val="clear" w:color="auto" w:fill="FFFFFF"/>
            <w:tcMar>
              <w:top w:w="15" w:type="dxa"/>
              <w:left w:w="0" w:type="dxa"/>
              <w:bottom w:w="0" w:type="dxa"/>
              <w:right w:w="15" w:type="dxa"/>
            </w:tcMar>
            <w:vAlign w:val="bottom"/>
            <w:hideMark/>
          </w:tcPr>
          <w:p w14:paraId="455FEF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778F5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C2860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99</w:t>
            </w:r>
          </w:p>
        </w:tc>
        <w:tc>
          <w:tcPr>
            <w:tcW w:w="50" w:type="pct"/>
            <w:shd w:val="clear" w:color="auto" w:fill="FFFFFF"/>
            <w:noWrap/>
            <w:tcMar>
              <w:top w:w="15" w:type="dxa"/>
              <w:left w:w="0" w:type="dxa"/>
              <w:bottom w:w="0" w:type="dxa"/>
              <w:right w:w="15" w:type="dxa"/>
            </w:tcMar>
            <w:vAlign w:val="bottom"/>
            <w:hideMark/>
          </w:tcPr>
          <w:p w14:paraId="7E9D4F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 w:type="pct"/>
            <w:shd w:val="clear" w:color="auto" w:fill="FFFFFF"/>
            <w:tcMar>
              <w:top w:w="15" w:type="dxa"/>
              <w:left w:w="0" w:type="dxa"/>
              <w:bottom w:w="0" w:type="dxa"/>
              <w:right w:w="15" w:type="dxa"/>
            </w:tcMar>
            <w:vAlign w:val="bottom"/>
            <w:hideMark/>
          </w:tcPr>
          <w:p w14:paraId="740D41B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B9E52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43C68CE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43.01</w:t>
            </w:r>
          </w:p>
        </w:tc>
        <w:tc>
          <w:tcPr>
            <w:tcW w:w="50" w:type="pct"/>
            <w:shd w:val="clear" w:color="auto" w:fill="FFFFFF"/>
            <w:noWrap/>
            <w:tcMar>
              <w:top w:w="15" w:type="dxa"/>
              <w:left w:w="0" w:type="dxa"/>
              <w:bottom w:w="0" w:type="dxa"/>
              <w:right w:w="15" w:type="dxa"/>
            </w:tcMar>
            <w:vAlign w:val="bottom"/>
            <w:hideMark/>
          </w:tcPr>
          <w:p w14:paraId="3318A5CE"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0B17878" w14:textId="77777777" w:rsidR="00251D72" w:rsidRDefault="00251D72">
      <w:pPr>
        <w:pStyle w:val="a3"/>
        <w:spacing w:before="0" w:beforeAutospacing="0" w:after="0" w:afterAutospacing="0"/>
        <w:rPr>
          <w:sz w:val="12"/>
          <w:szCs w:val="12"/>
        </w:rPr>
      </w:pPr>
      <w:r>
        <w:rPr>
          <w:sz w:val="12"/>
          <w:szCs w:val="12"/>
        </w:rPr>
        <w:t> </w:t>
      </w:r>
    </w:p>
    <w:p w14:paraId="13677C6C"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xml:space="preserve">The total grant date fair value of restricted stock-based awards that were vested and issued in fiscal 2019, 2018 and 2017 was $1.3 billion, $1.0 billion and $715 million, respectively. As of May 31, 2019, total unrecognized stock-based compensation expense related to non-vested restricted stock-based awards was $2.8 billion and is expected to be recognized over the remaining weighted-average vesting period of 2.68 years. </w:t>
      </w:r>
    </w:p>
    <w:p w14:paraId="041CF323"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No PSUs were granted in each of fiscal 2019 and 2018. In fiscal 2017, 1.7 million PSUs were granted which vest upon the attainment of certain performance metrics and service-based vesting. Based upon actual attainment relative to the “target” performance metric, certain participants have the ability to be issued up to 150% of the target number of PSUs originally granted, or to be issued no PSUs at all. In fiscal 2019, 2.4 million PSUs vested and 1.3 million PSUs remained outstanding as of May 31, 2019.</w:t>
      </w:r>
    </w:p>
    <w:p w14:paraId="65A82628"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103</w:t>
      </w:r>
    </w:p>
    <w:p w14:paraId="7ECCBF51" w14:textId="77777777" w:rsidR="00251D72" w:rsidRDefault="00251D72">
      <w:pPr>
        <w:rPr>
          <w:rFonts w:ascii="Times New Roman" w:eastAsia="Times New Roman" w:hAnsi="Times New Roman" w:cs="Times New Roman"/>
          <w:sz w:val="24"/>
          <w:szCs w:val="24"/>
        </w:rPr>
      </w:pPr>
      <w:r>
        <w:rPr>
          <w:rFonts w:eastAsia="Times New Roman"/>
        </w:rPr>
        <w:pict w14:anchorId="6B24CF32">
          <v:rect id="_x0000_i1129" style="width:415.3pt;height:1.5pt" o:hralign="center" o:hrstd="t" o:hr="t" fillcolor="#a0a0a0" stroked="f"/>
        </w:pict>
      </w:r>
    </w:p>
    <w:p w14:paraId="0FD4911F"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68D00E21"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0BAE6DA"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6D36EB05"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6EE31700"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18F64254" w14:textId="77777777" w:rsidR="00251D72" w:rsidRDefault="00251D72">
      <w:pPr>
        <w:pStyle w:val="a3"/>
        <w:spacing w:before="0" w:beforeAutospacing="0" w:after="0" w:afterAutospacing="0"/>
        <w:rPr>
          <w:sz w:val="20"/>
          <w:szCs w:val="20"/>
        </w:rPr>
      </w:pPr>
      <w:r>
        <w:rPr>
          <w:sz w:val="20"/>
          <w:szCs w:val="20"/>
        </w:rPr>
        <w:t> </w:t>
      </w:r>
    </w:p>
    <w:p w14:paraId="3A5B5693" w14:textId="77777777" w:rsidR="00251D72" w:rsidRDefault="00251D72">
      <w:pPr>
        <w:pStyle w:val="a3"/>
        <w:spacing w:before="120" w:beforeAutospacing="0" w:after="0" w:afterAutospacing="0"/>
        <w:jc w:val="both"/>
        <w:rPr>
          <w:rFonts w:ascii="Calibri" w:hAnsi="Calibri" w:cs="Calibri"/>
          <w:sz w:val="20"/>
          <w:szCs w:val="20"/>
        </w:rPr>
      </w:pPr>
      <w:bookmarkStart w:id="146" w:name="_AEIOULastRenderedPageBreakAEIOU106"/>
      <w:bookmarkEnd w:id="146"/>
      <w:r>
        <w:rPr>
          <w:rFonts w:ascii="Calibri" w:hAnsi="Calibri" w:cs="Calibri"/>
          <w:sz w:val="20"/>
          <w:szCs w:val="20"/>
        </w:rPr>
        <w:t>The following table summarizes stock option activity, including SOs and PSOs, and includes awards granted pursuant to the 2000 Plan and stock plans assumed from our acquisitions for our last three fiscal years ended May 31, 2019:</w:t>
      </w:r>
    </w:p>
    <w:p w14:paraId="5D1518DF"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962"/>
        <w:gridCol w:w="137"/>
        <w:gridCol w:w="80"/>
        <w:gridCol w:w="1361"/>
        <w:gridCol w:w="80"/>
        <w:gridCol w:w="137"/>
        <w:gridCol w:w="108"/>
        <w:gridCol w:w="1361"/>
        <w:gridCol w:w="80"/>
      </w:tblGrid>
      <w:tr w:rsidR="00251D72" w14:paraId="7D0E1239" w14:textId="77777777">
        <w:trPr>
          <w:divId w:val="1257252312"/>
          <w:jc w:val="center"/>
        </w:trPr>
        <w:tc>
          <w:tcPr>
            <w:tcW w:w="2988" w:type="pct"/>
            <w:shd w:val="clear" w:color="auto" w:fill="FFFFFF"/>
            <w:tcMar>
              <w:top w:w="15" w:type="dxa"/>
              <w:left w:w="0" w:type="dxa"/>
              <w:bottom w:w="0" w:type="dxa"/>
              <w:right w:w="15" w:type="dxa"/>
            </w:tcMar>
            <w:vAlign w:val="bottom"/>
            <w:hideMark/>
          </w:tcPr>
          <w:p w14:paraId="0D680A31" w14:textId="77777777" w:rsidR="00251D72" w:rsidRDefault="00251D72">
            <w:pPr>
              <w:pStyle w:val="a3"/>
              <w:spacing w:before="0" w:beforeAutospacing="0" w:after="0" w:afterAutospacing="0"/>
              <w:jc w:val="center"/>
              <w:rPr>
                <w:sz w:val="20"/>
                <w:szCs w:val="20"/>
              </w:rPr>
            </w:pPr>
            <w:r>
              <w:rPr>
                <w:sz w:val="20"/>
                <w:szCs w:val="20"/>
              </w:rPr>
              <w:t> </w:t>
            </w:r>
          </w:p>
        </w:tc>
        <w:tc>
          <w:tcPr>
            <w:tcW w:w="84" w:type="pct"/>
            <w:shd w:val="clear" w:color="auto" w:fill="FFFFFF"/>
            <w:tcMar>
              <w:top w:w="15" w:type="dxa"/>
              <w:left w:w="0" w:type="dxa"/>
              <w:bottom w:w="0" w:type="dxa"/>
              <w:right w:w="15" w:type="dxa"/>
            </w:tcMar>
            <w:vAlign w:val="bottom"/>
            <w:hideMark/>
          </w:tcPr>
          <w:p w14:paraId="6B5BB1D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876" w:type="pct"/>
            <w:gridSpan w:val="6"/>
            <w:tcBorders>
              <w:bottom w:val="single" w:sz="6" w:space="0" w:color="000000"/>
            </w:tcBorders>
            <w:shd w:val="clear" w:color="auto" w:fill="FFFFFF"/>
            <w:tcMar>
              <w:top w:w="15" w:type="dxa"/>
              <w:left w:w="0" w:type="dxa"/>
              <w:bottom w:w="0" w:type="dxa"/>
              <w:right w:w="15" w:type="dxa"/>
            </w:tcMar>
            <w:vAlign w:val="bottom"/>
            <w:hideMark/>
          </w:tcPr>
          <w:p w14:paraId="37C2A69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Options Outstanding</w:t>
            </w:r>
          </w:p>
        </w:tc>
        <w:tc>
          <w:tcPr>
            <w:tcW w:w="50" w:type="pct"/>
            <w:shd w:val="clear" w:color="auto" w:fill="FFFFFF"/>
            <w:noWrap/>
            <w:tcMar>
              <w:top w:w="15" w:type="dxa"/>
              <w:left w:w="0" w:type="dxa"/>
              <w:bottom w:w="0" w:type="dxa"/>
              <w:right w:w="15" w:type="dxa"/>
            </w:tcMar>
            <w:vAlign w:val="bottom"/>
            <w:hideMark/>
          </w:tcPr>
          <w:p w14:paraId="417D400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58C4BE61" w14:textId="77777777">
        <w:trPr>
          <w:divId w:val="1257252312"/>
          <w:jc w:val="center"/>
        </w:trPr>
        <w:tc>
          <w:tcPr>
            <w:tcW w:w="2988" w:type="pct"/>
            <w:tcBorders>
              <w:bottom w:val="single" w:sz="6" w:space="0" w:color="000000"/>
            </w:tcBorders>
            <w:shd w:val="clear" w:color="auto" w:fill="FFFFFF"/>
            <w:tcMar>
              <w:top w:w="15" w:type="dxa"/>
              <w:left w:w="0" w:type="dxa"/>
              <w:bottom w:w="0" w:type="dxa"/>
              <w:right w:w="15" w:type="dxa"/>
            </w:tcMar>
            <w:vAlign w:val="bottom"/>
            <w:hideMark/>
          </w:tcPr>
          <w:p w14:paraId="1FDE121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exercise price)</w:t>
            </w:r>
          </w:p>
        </w:tc>
        <w:tc>
          <w:tcPr>
            <w:tcW w:w="84" w:type="pct"/>
            <w:shd w:val="clear" w:color="auto" w:fill="FFFFFF"/>
            <w:tcMar>
              <w:top w:w="15" w:type="dxa"/>
              <w:left w:w="0" w:type="dxa"/>
              <w:bottom w:w="0" w:type="dxa"/>
              <w:right w:w="15" w:type="dxa"/>
            </w:tcMar>
            <w:vAlign w:val="bottom"/>
            <w:hideMark/>
          </w:tcPr>
          <w:p w14:paraId="2567C54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0924D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Shares Under</w:t>
            </w:r>
          </w:p>
          <w:p w14:paraId="0ED72E5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Stock Option</w:t>
            </w:r>
          </w:p>
        </w:tc>
        <w:tc>
          <w:tcPr>
            <w:tcW w:w="50" w:type="pct"/>
            <w:shd w:val="clear" w:color="auto" w:fill="FFFFFF"/>
            <w:noWrap/>
            <w:tcMar>
              <w:top w:w="15" w:type="dxa"/>
              <w:left w:w="0" w:type="dxa"/>
              <w:bottom w:w="0" w:type="dxa"/>
              <w:right w:w="15" w:type="dxa"/>
            </w:tcMar>
            <w:vAlign w:val="bottom"/>
            <w:hideMark/>
          </w:tcPr>
          <w:p w14:paraId="7019781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4" w:type="pct"/>
            <w:tcBorders>
              <w:top w:val="single" w:sz="6" w:space="0" w:color="000000"/>
            </w:tcBorders>
            <w:shd w:val="clear" w:color="auto" w:fill="FFFFFF"/>
            <w:tcMar>
              <w:top w:w="15" w:type="dxa"/>
              <w:left w:w="0" w:type="dxa"/>
              <w:bottom w:w="0" w:type="dxa"/>
              <w:right w:w="15" w:type="dxa"/>
            </w:tcMar>
            <w:vAlign w:val="bottom"/>
            <w:hideMark/>
          </w:tcPr>
          <w:p w14:paraId="1C2155A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5DF201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1BDFC07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Exercise Price</w:t>
            </w:r>
          </w:p>
        </w:tc>
        <w:tc>
          <w:tcPr>
            <w:tcW w:w="50" w:type="pct"/>
            <w:shd w:val="clear" w:color="auto" w:fill="FFFFFF"/>
            <w:noWrap/>
            <w:tcMar>
              <w:top w:w="15" w:type="dxa"/>
              <w:left w:w="0" w:type="dxa"/>
              <w:bottom w:w="0" w:type="dxa"/>
              <w:right w:w="15" w:type="dxa"/>
            </w:tcMar>
            <w:vAlign w:val="bottom"/>
            <w:hideMark/>
          </w:tcPr>
          <w:p w14:paraId="71E77D7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0A3ACD3" w14:textId="77777777">
        <w:trPr>
          <w:divId w:val="1257252312"/>
          <w:jc w:val="center"/>
        </w:trPr>
        <w:tc>
          <w:tcPr>
            <w:tcW w:w="2988" w:type="pct"/>
            <w:tcBorders>
              <w:top w:val="single" w:sz="6" w:space="0" w:color="000000"/>
            </w:tcBorders>
            <w:shd w:val="clear" w:color="auto" w:fill="CFF0FC"/>
            <w:tcMar>
              <w:top w:w="15" w:type="dxa"/>
              <w:left w:w="0" w:type="dxa"/>
              <w:bottom w:w="0" w:type="dxa"/>
              <w:right w:w="15" w:type="dxa"/>
            </w:tcMar>
            <w:hideMark/>
          </w:tcPr>
          <w:p w14:paraId="0EC8772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May 31, 2016</w:t>
            </w:r>
          </w:p>
        </w:tc>
        <w:tc>
          <w:tcPr>
            <w:tcW w:w="84" w:type="pct"/>
            <w:shd w:val="clear" w:color="auto" w:fill="CFF0FC"/>
            <w:tcMar>
              <w:top w:w="15" w:type="dxa"/>
              <w:left w:w="0" w:type="dxa"/>
              <w:bottom w:w="0" w:type="dxa"/>
              <w:right w:w="15" w:type="dxa"/>
            </w:tcMar>
            <w:vAlign w:val="bottom"/>
            <w:hideMark/>
          </w:tcPr>
          <w:p w14:paraId="3B905D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6495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CFF0FC"/>
            <w:noWrap/>
            <w:tcMar>
              <w:top w:w="15" w:type="dxa"/>
              <w:left w:w="0" w:type="dxa"/>
              <w:bottom w:w="0" w:type="dxa"/>
              <w:right w:w="15" w:type="dxa"/>
            </w:tcMar>
            <w:vAlign w:val="bottom"/>
            <w:hideMark/>
          </w:tcPr>
          <w:p w14:paraId="29B5CF1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375</w:t>
            </w:r>
          </w:p>
        </w:tc>
        <w:tc>
          <w:tcPr>
            <w:tcW w:w="50" w:type="pct"/>
            <w:shd w:val="clear" w:color="auto" w:fill="CFF0FC"/>
            <w:noWrap/>
            <w:tcMar>
              <w:top w:w="15" w:type="dxa"/>
              <w:left w:w="0" w:type="dxa"/>
              <w:bottom w:w="0" w:type="dxa"/>
              <w:right w:w="15" w:type="dxa"/>
            </w:tcMar>
            <w:vAlign w:val="bottom"/>
            <w:hideMark/>
          </w:tcPr>
          <w:p w14:paraId="3ED74D6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64C10EE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D66A83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tcBorders>
              <w:top w:val="single" w:sz="6" w:space="0" w:color="000000"/>
            </w:tcBorders>
            <w:shd w:val="clear" w:color="auto" w:fill="CFF0FC"/>
            <w:noWrap/>
            <w:tcMar>
              <w:top w:w="15" w:type="dxa"/>
              <w:left w:w="0" w:type="dxa"/>
              <w:bottom w:w="0" w:type="dxa"/>
              <w:right w:w="15" w:type="dxa"/>
            </w:tcMar>
            <w:vAlign w:val="bottom"/>
            <w:hideMark/>
          </w:tcPr>
          <w:p w14:paraId="4650F59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29.66</w:t>
            </w:r>
          </w:p>
        </w:tc>
        <w:tc>
          <w:tcPr>
            <w:tcW w:w="50" w:type="pct"/>
            <w:shd w:val="clear" w:color="auto" w:fill="CFF0FC"/>
            <w:noWrap/>
            <w:tcMar>
              <w:top w:w="15" w:type="dxa"/>
              <w:left w:w="0" w:type="dxa"/>
              <w:bottom w:w="0" w:type="dxa"/>
              <w:right w:w="15" w:type="dxa"/>
            </w:tcMar>
            <w:vAlign w:val="bottom"/>
            <w:hideMark/>
          </w:tcPr>
          <w:p w14:paraId="2AEA7BF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3825EDC" w14:textId="77777777">
        <w:trPr>
          <w:divId w:val="1257252312"/>
          <w:jc w:val="center"/>
        </w:trPr>
        <w:tc>
          <w:tcPr>
            <w:tcW w:w="2988" w:type="pct"/>
            <w:shd w:val="clear" w:color="auto" w:fill="FFFFFF"/>
            <w:tcMar>
              <w:top w:w="15" w:type="dxa"/>
              <w:left w:w="0" w:type="dxa"/>
              <w:bottom w:w="0" w:type="dxa"/>
              <w:right w:w="15" w:type="dxa"/>
            </w:tcMar>
            <w:hideMark/>
          </w:tcPr>
          <w:p w14:paraId="2229BD32"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Granted</w:t>
            </w:r>
            <w:r>
              <w:rPr>
                <w:rFonts w:ascii="Calibri" w:hAnsi="Calibri" w:cs="Calibri"/>
                <w:color w:val="000000"/>
                <w:sz w:val="15"/>
                <w:szCs w:val="15"/>
                <w:vertAlign w:val="superscript"/>
              </w:rPr>
              <w:t>(1)</w:t>
            </w:r>
          </w:p>
        </w:tc>
        <w:tc>
          <w:tcPr>
            <w:tcW w:w="84" w:type="pct"/>
            <w:shd w:val="clear" w:color="auto" w:fill="FFFFFF"/>
            <w:tcMar>
              <w:top w:w="15" w:type="dxa"/>
              <w:left w:w="0" w:type="dxa"/>
              <w:bottom w:w="0" w:type="dxa"/>
              <w:right w:w="15" w:type="dxa"/>
            </w:tcMar>
            <w:vAlign w:val="bottom"/>
            <w:hideMark/>
          </w:tcPr>
          <w:p w14:paraId="364BF6E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B4B52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left w:w="0" w:type="dxa"/>
              <w:bottom w:w="0" w:type="dxa"/>
              <w:right w:w="15" w:type="dxa"/>
            </w:tcMar>
            <w:vAlign w:val="bottom"/>
            <w:hideMark/>
          </w:tcPr>
          <w:p w14:paraId="3395789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w:t>
            </w:r>
          </w:p>
        </w:tc>
        <w:tc>
          <w:tcPr>
            <w:tcW w:w="50" w:type="pct"/>
            <w:shd w:val="clear" w:color="auto" w:fill="FFFFFF"/>
            <w:noWrap/>
            <w:tcMar>
              <w:top w:w="15" w:type="dxa"/>
              <w:left w:w="0" w:type="dxa"/>
              <w:bottom w:w="0" w:type="dxa"/>
              <w:right w:w="15" w:type="dxa"/>
            </w:tcMar>
            <w:vAlign w:val="bottom"/>
            <w:hideMark/>
          </w:tcPr>
          <w:p w14:paraId="0840AB6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33FC40C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F4DA1C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1045265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40.90</w:t>
            </w:r>
          </w:p>
        </w:tc>
        <w:tc>
          <w:tcPr>
            <w:tcW w:w="50" w:type="pct"/>
            <w:shd w:val="clear" w:color="auto" w:fill="FFFFFF"/>
            <w:noWrap/>
            <w:tcMar>
              <w:top w:w="15" w:type="dxa"/>
              <w:left w:w="0" w:type="dxa"/>
              <w:bottom w:w="0" w:type="dxa"/>
              <w:right w:w="15" w:type="dxa"/>
            </w:tcMar>
            <w:vAlign w:val="bottom"/>
            <w:hideMark/>
          </w:tcPr>
          <w:p w14:paraId="47DBBA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D9393D8" w14:textId="77777777">
        <w:trPr>
          <w:divId w:val="1257252312"/>
          <w:jc w:val="center"/>
        </w:trPr>
        <w:tc>
          <w:tcPr>
            <w:tcW w:w="2988" w:type="pct"/>
            <w:shd w:val="clear" w:color="auto" w:fill="CFF0FC"/>
            <w:tcMar>
              <w:top w:w="15" w:type="dxa"/>
              <w:left w:w="0" w:type="dxa"/>
              <w:bottom w:w="0" w:type="dxa"/>
              <w:right w:w="15" w:type="dxa"/>
            </w:tcMar>
            <w:hideMark/>
          </w:tcPr>
          <w:p w14:paraId="4B7E0A31"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Assumed</w:t>
            </w:r>
          </w:p>
        </w:tc>
        <w:tc>
          <w:tcPr>
            <w:tcW w:w="84" w:type="pct"/>
            <w:shd w:val="clear" w:color="auto" w:fill="CFF0FC"/>
            <w:tcMar>
              <w:top w:w="15" w:type="dxa"/>
              <w:left w:w="0" w:type="dxa"/>
              <w:bottom w:w="0" w:type="dxa"/>
              <w:right w:w="15" w:type="dxa"/>
            </w:tcMar>
            <w:vAlign w:val="bottom"/>
            <w:hideMark/>
          </w:tcPr>
          <w:p w14:paraId="3D59E5B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CCDCD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left w:w="0" w:type="dxa"/>
              <w:bottom w:w="0" w:type="dxa"/>
              <w:right w:w="15" w:type="dxa"/>
            </w:tcMar>
            <w:vAlign w:val="bottom"/>
            <w:hideMark/>
          </w:tcPr>
          <w:p w14:paraId="3E417C4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CFF0FC"/>
            <w:noWrap/>
            <w:tcMar>
              <w:top w:w="15" w:type="dxa"/>
              <w:left w:w="0" w:type="dxa"/>
              <w:bottom w:w="0" w:type="dxa"/>
              <w:right w:w="15" w:type="dxa"/>
            </w:tcMar>
            <w:vAlign w:val="bottom"/>
            <w:hideMark/>
          </w:tcPr>
          <w:p w14:paraId="7149FEA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3EBBD3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6AE504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284AD87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13.06</w:t>
            </w:r>
          </w:p>
        </w:tc>
        <w:tc>
          <w:tcPr>
            <w:tcW w:w="50" w:type="pct"/>
            <w:shd w:val="clear" w:color="auto" w:fill="CFF0FC"/>
            <w:noWrap/>
            <w:tcMar>
              <w:top w:w="15" w:type="dxa"/>
              <w:left w:w="0" w:type="dxa"/>
              <w:bottom w:w="0" w:type="dxa"/>
              <w:right w:w="15" w:type="dxa"/>
            </w:tcMar>
            <w:vAlign w:val="bottom"/>
            <w:hideMark/>
          </w:tcPr>
          <w:p w14:paraId="5A5FF0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FEF6122" w14:textId="77777777">
        <w:trPr>
          <w:divId w:val="1257252312"/>
          <w:jc w:val="center"/>
        </w:trPr>
        <w:tc>
          <w:tcPr>
            <w:tcW w:w="2988" w:type="pct"/>
            <w:shd w:val="clear" w:color="auto" w:fill="FFFFFF"/>
            <w:tcMar>
              <w:top w:w="15" w:type="dxa"/>
              <w:left w:w="0" w:type="dxa"/>
              <w:bottom w:w="0" w:type="dxa"/>
              <w:right w:w="15" w:type="dxa"/>
            </w:tcMar>
            <w:hideMark/>
          </w:tcPr>
          <w:p w14:paraId="119B8A55"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Exercised</w:t>
            </w:r>
          </w:p>
        </w:tc>
        <w:tc>
          <w:tcPr>
            <w:tcW w:w="84" w:type="pct"/>
            <w:shd w:val="clear" w:color="auto" w:fill="FFFFFF"/>
            <w:tcMar>
              <w:top w:w="15" w:type="dxa"/>
              <w:left w:w="0" w:type="dxa"/>
              <w:bottom w:w="0" w:type="dxa"/>
              <w:right w:w="15" w:type="dxa"/>
            </w:tcMar>
            <w:vAlign w:val="bottom"/>
            <w:hideMark/>
          </w:tcPr>
          <w:p w14:paraId="17168F9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78F23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left w:w="0" w:type="dxa"/>
              <w:bottom w:w="0" w:type="dxa"/>
              <w:right w:w="15" w:type="dxa"/>
            </w:tcMar>
            <w:vAlign w:val="bottom"/>
            <w:hideMark/>
          </w:tcPr>
          <w:p w14:paraId="2952575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(77</w:t>
            </w:r>
          </w:p>
        </w:tc>
        <w:tc>
          <w:tcPr>
            <w:tcW w:w="50" w:type="pct"/>
            <w:shd w:val="clear" w:color="auto" w:fill="FFFFFF"/>
            <w:noWrap/>
            <w:tcMar>
              <w:top w:w="15" w:type="dxa"/>
              <w:left w:w="0" w:type="dxa"/>
              <w:bottom w:w="0" w:type="dxa"/>
              <w:right w:w="15" w:type="dxa"/>
            </w:tcMar>
            <w:vAlign w:val="bottom"/>
            <w:hideMark/>
          </w:tcPr>
          <w:p w14:paraId="56EE97E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FFFFFF"/>
            <w:tcMar>
              <w:top w:w="15" w:type="dxa"/>
              <w:left w:w="0" w:type="dxa"/>
              <w:bottom w:w="0" w:type="dxa"/>
              <w:right w:w="15" w:type="dxa"/>
            </w:tcMar>
            <w:vAlign w:val="bottom"/>
            <w:hideMark/>
          </w:tcPr>
          <w:p w14:paraId="1A45475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ECE9BB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07387D6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26.65</w:t>
            </w:r>
          </w:p>
        </w:tc>
        <w:tc>
          <w:tcPr>
            <w:tcW w:w="50" w:type="pct"/>
            <w:shd w:val="clear" w:color="auto" w:fill="FFFFFF"/>
            <w:noWrap/>
            <w:tcMar>
              <w:top w:w="15" w:type="dxa"/>
              <w:left w:w="0" w:type="dxa"/>
              <w:bottom w:w="0" w:type="dxa"/>
              <w:right w:w="15" w:type="dxa"/>
            </w:tcMar>
            <w:vAlign w:val="bottom"/>
            <w:hideMark/>
          </w:tcPr>
          <w:p w14:paraId="1D3045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BA77D59" w14:textId="77777777">
        <w:trPr>
          <w:divId w:val="1257252312"/>
          <w:jc w:val="center"/>
        </w:trPr>
        <w:tc>
          <w:tcPr>
            <w:tcW w:w="2988" w:type="pct"/>
            <w:shd w:val="clear" w:color="auto" w:fill="CFF0FC"/>
            <w:tcMar>
              <w:top w:w="15" w:type="dxa"/>
              <w:left w:w="0" w:type="dxa"/>
              <w:bottom w:w="0" w:type="dxa"/>
              <w:right w:w="15" w:type="dxa"/>
            </w:tcMar>
            <w:hideMark/>
          </w:tcPr>
          <w:p w14:paraId="7D6E4584"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4" w:type="pct"/>
            <w:shd w:val="clear" w:color="auto" w:fill="CFF0FC"/>
            <w:tcMar>
              <w:top w:w="15" w:type="dxa"/>
              <w:left w:w="0" w:type="dxa"/>
              <w:bottom w:w="0" w:type="dxa"/>
              <w:right w:w="15" w:type="dxa"/>
            </w:tcMar>
            <w:vAlign w:val="bottom"/>
            <w:hideMark/>
          </w:tcPr>
          <w:p w14:paraId="0A6DD5F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2B50AC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CFF0FC"/>
            <w:noWrap/>
            <w:tcMar>
              <w:top w:w="15" w:type="dxa"/>
              <w:left w:w="0" w:type="dxa"/>
              <w:bottom w:w="0" w:type="dxa"/>
              <w:right w:w="15" w:type="dxa"/>
            </w:tcMar>
            <w:vAlign w:val="bottom"/>
            <w:hideMark/>
          </w:tcPr>
          <w:p w14:paraId="666ACBF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CFF0FC"/>
            <w:noWrap/>
            <w:tcMar>
              <w:top w:w="15" w:type="dxa"/>
              <w:left w:w="0" w:type="dxa"/>
              <w:bottom w:w="0" w:type="dxa"/>
              <w:right w:w="15" w:type="dxa"/>
            </w:tcMar>
            <w:vAlign w:val="bottom"/>
            <w:hideMark/>
          </w:tcPr>
          <w:p w14:paraId="2A2040A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CFF0FC"/>
            <w:tcMar>
              <w:top w:w="15" w:type="dxa"/>
              <w:left w:w="0" w:type="dxa"/>
              <w:bottom w:w="0" w:type="dxa"/>
              <w:right w:w="15" w:type="dxa"/>
            </w:tcMar>
            <w:vAlign w:val="bottom"/>
            <w:hideMark/>
          </w:tcPr>
          <w:p w14:paraId="325D83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88A22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7649768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36.28</w:t>
            </w:r>
          </w:p>
        </w:tc>
        <w:tc>
          <w:tcPr>
            <w:tcW w:w="50" w:type="pct"/>
            <w:shd w:val="clear" w:color="auto" w:fill="CFF0FC"/>
            <w:noWrap/>
            <w:tcMar>
              <w:top w:w="15" w:type="dxa"/>
              <w:left w:w="0" w:type="dxa"/>
              <w:bottom w:w="0" w:type="dxa"/>
              <w:right w:w="15" w:type="dxa"/>
            </w:tcMar>
            <w:vAlign w:val="bottom"/>
            <w:hideMark/>
          </w:tcPr>
          <w:p w14:paraId="7B5449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B55262B" w14:textId="77777777">
        <w:trPr>
          <w:divId w:val="1257252312"/>
          <w:jc w:val="center"/>
        </w:trPr>
        <w:tc>
          <w:tcPr>
            <w:tcW w:w="2988" w:type="pct"/>
            <w:shd w:val="clear" w:color="auto" w:fill="FFFFFF"/>
            <w:tcMar>
              <w:top w:w="15" w:type="dxa"/>
              <w:left w:w="0" w:type="dxa"/>
              <w:bottom w:w="0" w:type="dxa"/>
              <w:right w:w="15" w:type="dxa"/>
            </w:tcMar>
            <w:hideMark/>
          </w:tcPr>
          <w:p w14:paraId="1380A4B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May 31, 2017</w:t>
            </w:r>
          </w:p>
        </w:tc>
        <w:tc>
          <w:tcPr>
            <w:tcW w:w="84" w:type="pct"/>
            <w:shd w:val="clear" w:color="auto" w:fill="FFFFFF"/>
            <w:tcMar>
              <w:top w:w="15" w:type="dxa"/>
              <w:left w:w="0" w:type="dxa"/>
              <w:bottom w:w="0" w:type="dxa"/>
              <w:right w:w="15" w:type="dxa"/>
            </w:tcMar>
            <w:vAlign w:val="bottom"/>
            <w:hideMark/>
          </w:tcPr>
          <w:p w14:paraId="493BAA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114DF7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FFFFFF"/>
            <w:noWrap/>
            <w:tcMar>
              <w:top w:w="15" w:type="dxa"/>
              <w:left w:w="0" w:type="dxa"/>
              <w:bottom w:w="0" w:type="dxa"/>
              <w:right w:w="15" w:type="dxa"/>
            </w:tcMar>
            <w:vAlign w:val="bottom"/>
            <w:hideMark/>
          </w:tcPr>
          <w:p w14:paraId="68CD429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312</w:t>
            </w:r>
          </w:p>
        </w:tc>
        <w:tc>
          <w:tcPr>
            <w:tcW w:w="50" w:type="pct"/>
            <w:shd w:val="clear" w:color="auto" w:fill="FFFFFF"/>
            <w:noWrap/>
            <w:tcMar>
              <w:top w:w="15" w:type="dxa"/>
              <w:left w:w="0" w:type="dxa"/>
              <w:bottom w:w="0" w:type="dxa"/>
              <w:right w:w="15" w:type="dxa"/>
            </w:tcMar>
            <w:vAlign w:val="bottom"/>
            <w:hideMark/>
          </w:tcPr>
          <w:p w14:paraId="257FEEA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37F329B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93983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6744185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29.02</w:t>
            </w:r>
          </w:p>
        </w:tc>
        <w:tc>
          <w:tcPr>
            <w:tcW w:w="50" w:type="pct"/>
            <w:shd w:val="clear" w:color="auto" w:fill="FFFFFF"/>
            <w:noWrap/>
            <w:tcMar>
              <w:top w:w="15" w:type="dxa"/>
              <w:left w:w="0" w:type="dxa"/>
              <w:bottom w:w="0" w:type="dxa"/>
              <w:right w:w="15" w:type="dxa"/>
            </w:tcMar>
            <w:vAlign w:val="bottom"/>
            <w:hideMark/>
          </w:tcPr>
          <w:p w14:paraId="3A6622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8D22936" w14:textId="77777777">
        <w:trPr>
          <w:divId w:val="1257252312"/>
          <w:jc w:val="center"/>
        </w:trPr>
        <w:tc>
          <w:tcPr>
            <w:tcW w:w="2988" w:type="pct"/>
            <w:shd w:val="clear" w:color="auto" w:fill="CFF0FC"/>
            <w:tcMar>
              <w:top w:w="15" w:type="dxa"/>
              <w:left w:w="0" w:type="dxa"/>
              <w:bottom w:w="0" w:type="dxa"/>
              <w:right w:w="15" w:type="dxa"/>
            </w:tcMar>
            <w:hideMark/>
          </w:tcPr>
          <w:p w14:paraId="0CA6394F"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Granted</w:t>
            </w:r>
            <w:r>
              <w:rPr>
                <w:rFonts w:ascii="Calibri" w:hAnsi="Calibri" w:cs="Calibri"/>
                <w:color w:val="000000"/>
                <w:sz w:val="15"/>
                <w:szCs w:val="15"/>
                <w:vertAlign w:val="superscript"/>
              </w:rPr>
              <w:t>(2)</w:t>
            </w:r>
          </w:p>
        </w:tc>
        <w:tc>
          <w:tcPr>
            <w:tcW w:w="84" w:type="pct"/>
            <w:shd w:val="clear" w:color="auto" w:fill="CFF0FC"/>
            <w:tcMar>
              <w:top w:w="15" w:type="dxa"/>
              <w:left w:w="0" w:type="dxa"/>
              <w:bottom w:w="0" w:type="dxa"/>
              <w:right w:w="15" w:type="dxa"/>
            </w:tcMar>
            <w:vAlign w:val="bottom"/>
            <w:hideMark/>
          </w:tcPr>
          <w:p w14:paraId="5FF13E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4FA740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left w:w="0" w:type="dxa"/>
              <w:bottom w:w="0" w:type="dxa"/>
              <w:right w:w="15" w:type="dxa"/>
            </w:tcMar>
            <w:vAlign w:val="bottom"/>
            <w:hideMark/>
          </w:tcPr>
          <w:p w14:paraId="5743111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77</w:t>
            </w:r>
          </w:p>
        </w:tc>
        <w:tc>
          <w:tcPr>
            <w:tcW w:w="50" w:type="pct"/>
            <w:shd w:val="clear" w:color="auto" w:fill="CFF0FC"/>
            <w:noWrap/>
            <w:tcMar>
              <w:top w:w="15" w:type="dxa"/>
              <w:left w:w="0" w:type="dxa"/>
              <w:bottom w:w="0" w:type="dxa"/>
              <w:right w:w="15" w:type="dxa"/>
            </w:tcMar>
            <w:vAlign w:val="bottom"/>
            <w:hideMark/>
          </w:tcPr>
          <w:p w14:paraId="42F31DD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03CD42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47C666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6371C26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50.95</w:t>
            </w:r>
          </w:p>
        </w:tc>
        <w:tc>
          <w:tcPr>
            <w:tcW w:w="50" w:type="pct"/>
            <w:shd w:val="clear" w:color="auto" w:fill="CFF0FC"/>
            <w:noWrap/>
            <w:tcMar>
              <w:top w:w="15" w:type="dxa"/>
              <w:left w:w="0" w:type="dxa"/>
              <w:bottom w:w="0" w:type="dxa"/>
              <w:right w:w="15" w:type="dxa"/>
            </w:tcMar>
            <w:vAlign w:val="bottom"/>
            <w:hideMark/>
          </w:tcPr>
          <w:p w14:paraId="1E3BD7C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21A90D3" w14:textId="77777777">
        <w:trPr>
          <w:divId w:val="1257252312"/>
          <w:jc w:val="center"/>
        </w:trPr>
        <w:tc>
          <w:tcPr>
            <w:tcW w:w="2988" w:type="pct"/>
            <w:shd w:val="clear" w:color="auto" w:fill="FFFFFF"/>
            <w:tcMar>
              <w:top w:w="15" w:type="dxa"/>
              <w:left w:w="0" w:type="dxa"/>
              <w:bottom w:w="0" w:type="dxa"/>
              <w:right w:w="15" w:type="dxa"/>
            </w:tcMar>
            <w:hideMark/>
          </w:tcPr>
          <w:p w14:paraId="3183EBBD"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Exercised</w:t>
            </w:r>
          </w:p>
        </w:tc>
        <w:tc>
          <w:tcPr>
            <w:tcW w:w="84" w:type="pct"/>
            <w:shd w:val="clear" w:color="auto" w:fill="FFFFFF"/>
            <w:tcMar>
              <w:top w:w="15" w:type="dxa"/>
              <w:left w:w="0" w:type="dxa"/>
              <w:bottom w:w="0" w:type="dxa"/>
              <w:right w:w="15" w:type="dxa"/>
            </w:tcMar>
            <w:vAlign w:val="bottom"/>
            <w:hideMark/>
          </w:tcPr>
          <w:p w14:paraId="2CF7738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C17A88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left w:w="0" w:type="dxa"/>
              <w:bottom w:w="0" w:type="dxa"/>
              <w:right w:w="15" w:type="dxa"/>
            </w:tcMar>
            <w:vAlign w:val="bottom"/>
            <w:hideMark/>
          </w:tcPr>
          <w:p w14:paraId="22AA375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(78</w:t>
            </w:r>
          </w:p>
        </w:tc>
        <w:tc>
          <w:tcPr>
            <w:tcW w:w="50" w:type="pct"/>
            <w:shd w:val="clear" w:color="auto" w:fill="FFFFFF"/>
            <w:noWrap/>
            <w:tcMar>
              <w:top w:w="15" w:type="dxa"/>
              <w:left w:w="0" w:type="dxa"/>
              <w:bottom w:w="0" w:type="dxa"/>
              <w:right w:w="15" w:type="dxa"/>
            </w:tcMar>
            <w:vAlign w:val="bottom"/>
            <w:hideMark/>
          </w:tcPr>
          <w:p w14:paraId="771AB43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FFFFFF"/>
            <w:tcMar>
              <w:top w:w="15" w:type="dxa"/>
              <w:left w:w="0" w:type="dxa"/>
              <w:bottom w:w="0" w:type="dxa"/>
              <w:right w:w="15" w:type="dxa"/>
            </w:tcMar>
            <w:vAlign w:val="bottom"/>
            <w:hideMark/>
          </w:tcPr>
          <w:p w14:paraId="56807C1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A26788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50EA563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28.78</w:t>
            </w:r>
          </w:p>
        </w:tc>
        <w:tc>
          <w:tcPr>
            <w:tcW w:w="50" w:type="pct"/>
            <w:shd w:val="clear" w:color="auto" w:fill="FFFFFF"/>
            <w:noWrap/>
            <w:tcMar>
              <w:top w:w="15" w:type="dxa"/>
              <w:left w:w="0" w:type="dxa"/>
              <w:bottom w:w="0" w:type="dxa"/>
              <w:right w:w="15" w:type="dxa"/>
            </w:tcMar>
            <w:vAlign w:val="bottom"/>
            <w:hideMark/>
          </w:tcPr>
          <w:p w14:paraId="48F9616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992215D" w14:textId="77777777">
        <w:trPr>
          <w:divId w:val="1257252312"/>
          <w:jc w:val="center"/>
        </w:trPr>
        <w:tc>
          <w:tcPr>
            <w:tcW w:w="2988" w:type="pct"/>
            <w:shd w:val="clear" w:color="auto" w:fill="CFF0FC"/>
            <w:tcMar>
              <w:top w:w="15" w:type="dxa"/>
              <w:left w:w="0" w:type="dxa"/>
              <w:bottom w:w="0" w:type="dxa"/>
              <w:right w:w="15" w:type="dxa"/>
            </w:tcMar>
            <w:hideMark/>
          </w:tcPr>
          <w:p w14:paraId="7032B169"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4" w:type="pct"/>
            <w:shd w:val="clear" w:color="auto" w:fill="CFF0FC"/>
            <w:tcMar>
              <w:top w:w="15" w:type="dxa"/>
              <w:left w:w="0" w:type="dxa"/>
              <w:bottom w:w="0" w:type="dxa"/>
              <w:right w:w="15" w:type="dxa"/>
            </w:tcMar>
            <w:vAlign w:val="bottom"/>
            <w:hideMark/>
          </w:tcPr>
          <w:p w14:paraId="63CD03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B0397A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CFF0FC"/>
            <w:noWrap/>
            <w:tcMar>
              <w:top w:w="15" w:type="dxa"/>
              <w:left w:w="0" w:type="dxa"/>
              <w:bottom w:w="0" w:type="dxa"/>
              <w:right w:w="15" w:type="dxa"/>
            </w:tcMar>
            <w:vAlign w:val="bottom"/>
            <w:hideMark/>
          </w:tcPr>
          <w:p w14:paraId="63DCD75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left w:w="0" w:type="dxa"/>
              <w:bottom w:w="0" w:type="dxa"/>
              <w:right w:w="15" w:type="dxa"/>
            </w:tcMar>
            <w:vAlign w:val="bottom"/>
            <w:hideMark/>
          </w:tcPr>
          <w:p w14:paraId="2A3E65B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CFF0FC"/>
            <w:tcMar>
              <w:top w:w="15" w:type="dxa"/>
              <w:left w:w="0" w:type="dxa"/>
              <w:bottom w:w="0" w:type="dxa"/>
              <w:right w:w="15" w:type="dxa"/>
            </w:tcMar>
            <w:vAlign w:val="bottom"/>
            <w:hideMark/>
          </w:tcPr>
          <w:p w14:paraId="36D03AE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6F7BB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68E9FB3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45.70</w:t>
            </w:r>
          </w:p>
        </w:tc>
        <w:tc>
          <w:tcPr>
            <w:tcW w:w="50" w:type="pct"/>
            <w:shd w:val="clear" w:color="auto" w:fill="CFF0FC"/>
            <w:noWrap/>
            <w:tcMar>
              <w:top w:w="15" w:type="dxa"/>
              <w:left w:w="0" w:type="dxa"/>
              <w:bottom w:w="0" w:type="dxa"/>
              <w:right w:w="15" w:type="dxa"/>
            </w:tcMar>
            <w:vAlign w:val="bottom"/>
            <w:hideMark/>
          </w:tcPr>
          <w:p w14:paraId="735832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EDD8C4C" w14:textId="77777777">
        <w:trPr>
          <w:divId w:val="1257252312"/>
          <w:jc w:val="center"/>
        </w:trPr>
        <w:tc>
          <w:tcPr>
            <w:tcW w:w="2988" w:type="pct"/>
            <w:shd w:val="clear" w:color="auto" w:fill="FFFFFF"/>
            <w:tcMar>
              <w:top w:w="15" w:type="dxa"/>
              <w:left w:w="0" w:type="dxa"/>
              <w:bottom w:w="0" w:type="dxa"/>
              <w:right w:w="15" w:type="dxa"/>
            </w:tcMar>
            <w:hideMark/>
          </w:tcPr>
          <w:p w14:paraId="1616AA2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May 31, 2018</w:t>
            </w:r>
          </w:p>
        </w:tc>
        <w:tc>
          <w:tcPr>
            <w:tcW w:w="84" w:type="pct"/>
            <w:shd w:val="clear" w:color="auto" w:fill="FFFFFF"/>
            <w:tcMar>
              <w:top w:w="15" w:type="dxa"/>
              <w:left w:w="0" w:type="dxa"/>
              <w:bottom w:w="0" w:type="dxa"/>
              <w:right w:w="15" w:type="dxa"/>
            </w:tcMar>
            <w:vAlign w:val="bottom"/>
            <w:hideMark/>
          </w:tcPr>
          <w:p w14:paraId="7E8A6AF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F35720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FFFFFF"/>
            <w:noWrap/>
            <w:tcMar>
              <w:top w:w="15" w:type="dxa"/>
              <w:left w:w="0" w:type="dxa"/>
              <w:bottom w:w="0" w:type="dxa"/>
              <w:right w:w="15" w:type="dxa"/>
            </w:tcMar>
            <w:vAlign w:val="bottom"/>
            <w:hideMark/>
          </w:tcPr>
          <w:p w14:paraId="60650FB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304</w:t>
            </w:r>
          </w:p>
        </w:tc>
        <w:tc>
          <w:tcPr>
            <w:tcW w:w="50" w:type="pct"/>
            <w:shd w:val="clear" w:color="auto" w:fill="FFFFFF"/>
            <w:noWrap/>
            <w:tcMar>
              <w:top w:w="15" w:type="dxa"/>
              <w:left w:w="0" w:type="dxa"/>
              <w:bottom w:w="0" w:type="dxa"/>
              <w:right w:w="15" w:type="dxa"/>
            </w:tcMar>
            <w:vAlign w:val="bottom"/>
            <w:hideMark/>
          </w:tcPr>
          <w:p w14:paraId="201A06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218A70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70D836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3C76011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36.11</w:t>
            </w:r>
          </w:p>
        </w:tc>
        <w:tc>
          <w:tcPr>
            <w:tcW w:w="50" w:type="pct"/>
            <w:shd w:val="clear" w:color="auto" w:fill="FFFFFF"/>
            <w:noWrap/>
            <w:tcMar>
              <w:top w:w="15" w:type="dxa"/>
              <w:left w:w="0" w:type="dxa"/>
              <w:bottom w:w="0" w:type="dxa"/>
              <w:right w:w="15" w:type="dxa"/>
            </w:tcMar>
            <w:vAlign w:val="bottom"/>
            <w:hideMark/>
          </w:tcPr>
          <w:p w14:paraId="1615D6C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BD57813" w14:textId="77777777">
        <w:trPr>
          <w:divId w:val="1257252312"/>
          <w:jc w:val="center"/>
        </w:trPr>
        <w:tc>
          <w:tcPr>
            <w:tcW w:w="2988" w:type="pct"/>
            <w:shd w:val="clear" w:color="auto" w:fill="CFF0FC"/>
            <w:tcMar>
              <w:top w:w="15" w:type="dxa"/>
              <w:left w:w="0" w:type="dxa"/>
              <w:bottom w:w="0" w:type="dxa"/>
              <w:right w:w="15" w:type="dxa"/>
            </w:tcMar>
            <w:hideMark/>
          </w:tcPr>
          <w:p w14:paraId="745C310C"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84" w:type="pct"/>
            <w:shd w:val="clear" w:color="auto" w:fill="CFF0FC"/>
            <w:tcMar>
              <w:top w:w="15" w:type="dxa"/>
              <w:left w:w="0" w:type="dxa"/>
              <w:bottom w:w="0" w:type="dxa"/>
              <w:right w:w="15" w:type="dxa"/>
            </w:tcMar>
            <w:vAlign w:val="bottom"/>
            <w:hideMark/>
          </w:tcPr>
          <w:p w14:paraId="0FD299B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D5FBAC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left w:w="0" w:type="dxa"/>
              <w:bottom w:w="0" w:type="dxa"/>
              <w:right w:w="15" w:type="dxa"/>
            </w:tcMar>
            <w:vAlign w:val="bottom"/>
            <w:hideMark/>
          </w:tcPr>
          <w:p w14:paraId="7C8E229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left w:w="0" w:type="dxa"/>
              <w:bottom w:w="0" w:type="dxa"/>
              <w:right w:w="15" w:type="dxa"/>
            </w:tcMar>
            <w:vAlign w:val="bottom"/>
            <w:hideMark/>
          </w:tcPr>
          <w:p w14:paraId="73D1C5B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left w:w="0" w:type="dxa"/>
              <w:bottom w:w="0" w:type="dxa"/>
              <w:right w:w="15" w:type="dxa"/>
            </w:tcMar>
            <w:vAlign w:val="bottom"/>
            <w:hideMark/>
          </w:tcPr>
          <w:p w14:paraId="519A9C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36A1C7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08D2144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43.47</w:t>
            </w:r>
          </w:p>
        </w:tc>
        <w:tc>
          <w:tcPr>
            <w:tcW w:w="50" w:type="pct"/>
            <w:shd w:val="clear" w:color="auto" w:fill="CFF0FC"/>
            <w:noWrap/>
            <w:tcMar>
              <w:top w:w="15" w:type="dxa"/>
              <w:left w:w="0" w:type="dxa"/>
              <w:bottom w:w="0" w:type="dxa"/>
              <w:right w:w="15" w:type="dxa"/>
            </w:tcMar>
            <w:vAlign w:val="bottom"/>
            <w:hideMark/>
          </w:tcPr>
          <w:p w14:paraId="7E610A4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DF5BD9A" w14:textId="77777777">
        <w:trPr>
          <w:divId w:val="1257252312"/>
          <w:jc w:val="center"/>
        </w:trPr>
        <w:tc>
          <w:tcPr>
            <w:tcW w:w="2988" w:type="pct"/>
            <w:shd w:val="clear" w:color="auto" w:fill="FFFFFF"/>
            <w:tcMar>
              <w:top w:w="15" w:type="dxa"/>
              <w:left w:w="0" w:type="dxa"/>
              <w:bottom w:w="0" w:type="dxa"/>
              <w:right w:w="15" w:type="dxa"/>
            </w:tcMar>
            <w:hideMark/>
          </w:tcPr>
          <w:p w14:paraId="776C6902"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Exercised</w:t>
            </w:r>
          </w:p>
        </w:tc>
        <w:tc>
          <w:tcPr>
            <w:tcW w:w="84" w:type="pct"/>
            <w:shd w:val="clear" w:color="auto" w:fill="FFFFFF"/>
            <w:tcMar>
              <w:top w:w="15" w:type="dxa"/>
              <w:left w:w="0" w:type="dxa"/>
              <w:bottom w:w="0" w:type="dxa"/>
              <w:right w:w="15" w:type="dxa"/>
            </w:tcMar>
            <w:vAlign w:val="bottom"/>
            <w:hideMark/>
          </w:tcPr>
          <w:p w14:paraId="150578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DED7DD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left w:w="0" w:type="dxa"/>
              <w:bottom w:w="0" w:type="dxa"/>
              <w:right w:w="15" w:type="dxa"/>
            </w:tcMar>
            <w:vAlign w:val="bottom"/>
            <w:hideMark/>
          </w:tcPr>
          <w:p w14:paraId="6B00FCF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(72</w:t>
            </w:r>
          </w:p>
        </w:tc>
        <w:tc>
          <w:tcPr>
            <w:tcW w:w="50" w:type="pct"/>
            <w:shd w:val="clear" w:color="auto" w:fill="FFFFFF"/>
            <w:noWrap/>
            <w:tcMar>
              <w:top w:w="15" w:type="dxa"/>
              <w:left w:w="0" w:type="dxa"/>
              <w:bottom w:w="0" w:type="dxa"/>
              <w:right w:w="15" w:type="dxa"/>
            </w:tcMar>
            <w:vAlign w:val="bottom"/>
            <w:hideMark/>
          </w:tcPr>
          <w:p w14:paraId="1FF660F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FFFFFF"/>
            <w:tcMar>
              <w:top w:w="15" w:type="dxa"/>
              <w:left w:w="0" w:type="dxa"/>
              <w:bottom w:w="0" w:type="dxa"/>
              <w:right w:w="15" w:type="dxa"/>
            </w:tcMar>
            <w:vAlign w:val="bottom"/>
            <w:hideMark/>
          </w:tcPr>
          <w:p w14:paraId="49F36CC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A9FED5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046142E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28.32</w:t>
            </w:r>
          </w:p>
        </w:tc>
        <w:tc>
          <w:tcPr>
            <w:tcW w:w="50" w:type="pct"/>
            <w:shd w:val="clear" w:color="auto" w:fill="FFFFFF"/>
            <w:noWrap/>
            <w:tcMar>
              <w:top w:w="15" w:type="dxa"/>
              <w:left w:w="0" w:type="dxa"/>
              <w:bottom w:w="0" w:type="dxa"/>
              <w:right w:w="15" w:type="dxa"/>
            </w:tcMar>
            <w:vAlign w:val="bottom"/>
            <w:hideMark/>
          </w:tcPr>
          <w:p w14:paraId="224F798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BEEEE47" w14:textId="77777777">
        <w:trPr>
          <w:divId w:val="1257252312"/>
          <w:jc w:val="center"/>
        </w:trPr>
        <w:tc>
          <w:tcPr>
            <w:tcW w:w="2988" w:type="pct"/>
            <w:shd w:val="clear" w:color="auto" w:fill="CFF0FC"/>
            <w:tcMar>
              <w:top w:w="15" w:type="dxa"/>
              <w:left w:w="0" w:type="dxa"/>
              <w:bottom w:w="0" w:type="dxa"/>
              <w:right w:w="15" w:type="dxa"/>
            </w:tcMar>
            <w:hideMark/>
          </w:tcPr>
          <w:p w14:paraId="3777B86E"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4" w:type="pct"/>
            <w:shd w:val="clear" w:color="auto" w:fill="CFF0FC"/>
            <w:tcMar>
              <w:top w:w="15" w:type="dxa"/>
              <w:left w:w="0" w:type="dxa"/>
              <w:bottom w:w="0" w:type="dxa"/>
              <w:right w:w="15" w:type="dxa"/>
            </w:tcMar>
            <w:vAlign w:val="bottom"/>
            <w:hideMark/>
          </w:tcPr>
          <w:p w14:paraId="06EB14A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3830E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CFF0FC"/>
            <w:noWrap/>
            <w:tcMar>
              <w:top w:w="15" w:type="dxa"/>
              <w:left w:w="0" w:type="dxa"/>
              <w:bottom w:w="0" w:type="dxa"/>
              <w:right w:w="15" w:type="dxa"/>
            </w:tcMar>
            <w:vAlign w:val="bottom"/>
            <w:hideMark/>
          </w:tcPr>
          <w:p w14:paraId="55D3E09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CFF0FC"/>
            <w:noWrap/>
            <w:tcMar>
              <w:top w:w="15" w:type="dxa"/>
              <w:left w:w="0" w:type="dxa"/>
              <w:bottom w:w="0" w:type="dxa"/>
              <w:right w:w="15" w:type="dxa"/>
            </w:tcMar>
            <w:vAlign w:val="bottom"/>
            <w:hideMark/>
          </w:tcPr>
          <w:p w14:paraId="3C5B047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CFF0FC"/>
            <w:tcMar>
              <w:top w:w="15" w:type="dxa"/>
              <w:left w:w="0" w:type="dxa"/>
              <w:bottom w:w="0" w:type="dxa"/>
              <w:right w:w="15" w:type="dxa"/>
            </w:tcMar>
            <w:vAlign w:val="bottom"/>
            <w:hideMark/>
          </w:tcPr>
          <w:p w14:paraId="0AC782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2D6173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left w:w="0" w:type="dxa"/>
              <w:bottom w:w="0" w:type="dxa"/>
              <w:right w:w="15" w:type="dxa"/>
            </w:tcMar>
            <w:vAlign w:val="bottom"/>
            <w:hideMark/>
          </w:tcPr>
          <w:p w14:paraId="0A45DD5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49.28</w:t>
            </w:r>
          </w:p>
        </w:tc>
        <w:tc>
          <w:tcPr>
            <w:tcW w:w="50" w:type="pct"/>
            <w:shd w:val="clear" w:color="auto" w:fill="CFF0FC"/>
            <w:noWrap/>
            <w:tcMar>
              <w:top w:w="15" w:type="dxa"/>
              <w:left w:w="0" w:type="dxa"/>
              <w:bottom w:w="0" w:type="dxa"/>
              <w:right w:w="15" w:type="dxa"/>
            </w:tcMar>
            <w:vAlign w:val="bottom"/>
            <w:hideMark/>
          </w:tcPr>
          <w:p w14:paraId="354A3C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002F878" w14:textId="77777777">
        <w:trPr>
          <w:divId w:val="1257252312"/>
          <w:jc w:val="center"/>
        </w:trPr>
        <w:tc>
          <w:tcPr>
            <w:tcW w:w="2988" w:type="pct"/>
            <w:shd w:val="clear" w:color="auto" w:fill="FFFFFF"/>
            <w:tcMar>
              <w:top w:w="15" w:type="dxa"/>
              <w:left w:w="0" w:type="dxa"/>
              <w:bottom w:w="0" w:type="dxa"/>
              <w:right w:w="15" w:type="dxa"/>
            </w:tcMar>
            <w:hideMark/>
          </w:tcPr>
          <w:p w14:paraId="18380A0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May 31, 2019</w:t>
            </w:r>
          </w:p>
        </w:tc>
        <w:tc>
          <w:tcPr>
            <w:tcW w:w="84" w:type="pct"/>
            <w:shd w:val="clear" w:color="auto" w:fill="FFFFFF"/>
            <w:tcMar>
              <w:top w:w="15" w:type="dxa"/>
              <w:left w:w="0" w:type="dxa"/>
              <w:bottom w:w="0" w:type="dxa"/>
              <w:right w:w="15" w:type="dxa"/>
            </w:tcMar>
            <w:vAlign w:val="bottom"/>
            <w:hideMark/>
          </w:tcPr>
          <w:p w14:paraId="38E5D90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C2DE1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2D00E2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222</w:t>
            </w:r>
          </w:p>
        </w:tc>
        <w:tc>
          <w:tcPr>
            <w:tcW w:w="50" w:type="pct"/>
            <w:shd w:val="clear" w:color="auto" w:fill="FFFFFF"/>
            <w:noWrap/>
            <w:tcMar>
              <w:top w:w="15" w:type="dxa"/>
              <w:left w:w="0" w:type="dxa"/>
              <w:bottom w:w="0" w:type="dxa"/>
              <w:right w:w="15" w:type="dxa"/>
            </w:tcMar>
            <w:vAlign w:val="bottom"/>
            <w:hideMark/>
          </w:tcPr>
          <w:p w14:paraId="22BC8FB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left w:w="0" w:type="dxa"/>
              <w:bottom w:w="0" w:type="dxa"/>
              <w:right w:w="15" w:type="dxa"/>
            </w:tcMar>
            <w:vAlign w:val="bottom"/>
            <w:hideMark/>
          </w:tcPr>
          <w:p w14:paraId="36E14DB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C7067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left w:w="0" w:type="dxa"/>
              <w:bottom w:w="0" w:type="dxa"/>
              <w:right w:w="15" w:type="dxa"/>
            </w:tcMar>
            <w:vAlign w:val="bottom"/>
            <w:hideMark/>
          </w:tcPr>
          <w:p w14:paraId="7F2EA00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37.78</w:t>
            </w:r>
          </w:p>
        </w:tc>
        <w:tc>
          <w:tcPr>
            <w:tcW w:w="50" w:type="pct"/>
            <w:shd w:val="clear" w:color="auto" w:fill="FFFFFF"/>
            <w:noWrap/>
            <w:tcMar>
              <w:top w:w="15" w:type="dxa"/>
              <w:left w:w="0" w:type="dxa"/>
              <w:bottom w:w="0" w:type="dxa"/>
              <w:right w:w="15" w:type="dxa"/>
            </w:tcMar>
            <w:vAlign w:val="bottom"/>
            <w:hideMark/>
          </w:tcPr>
          <w:p w14:paraId="3ABD6CC8"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5D02D5D4"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4850E6E6" w14:textId="77777777">
        <w:tc>
          <w:tcPr>
            <w:tcW w:w="192" w:type="pct"/>
            <w:noWrap/>
            <w:hideMark/>
          </w:tcPr>
          <w:p w14:paraId="50D215BC"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2698A078"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6.75 million SOs were granted in total during fiscal 2017 to our Chief Executive Officers and Chief Technology Officer and have contractual lives of five years versus the ten-year contractual lives for most of the other SOs granted.</w:t>
            </w:r>
          </w:p>
        </w:tc>
      </w:tr>
    </w:tbl>
    <w:p w14:paraId="62B6CE15"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04A921BD" w14:textId="77777777">
        <w:tc>
          <w:tcPr>
            <w:tcW w:w="192" w:type="pct"/>
            <w:noWrap/>
            <w:hideMark/>
          </w:tcPr>
          <w:p w14:paraId="1A0CF53D"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7E28F76E"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Awards granted in fiscal 2018 included 66.5 million PSOs granted in total to our Chief Executive Officers, Chief Technology Officer, and former President, Product Development, the contractual terms of which are described in greater detail above.</w:t>
            </w:r>
          </w:p>
        </w:tc>
      </w:tr>
    </w:tbl>
    <w:p w14:paraId="677FFCF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Stock options outstanding that have vested and that are expected to vest as of May 31, 2019 were as follows:</w:t>
      </w:r>
    </w:p>
    <w:p w14:paraId="341971FE"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2165"/>
        <w:gridCol w:w="114"/>
        <w:gridCol w:w="77"/>
        <w:gridCol w:w="1291"/>
        <w:gridCol w:w="77"/>
        <w:gridCol w:w="77"/>
        <w:gridCol w:w="77"/>
        <w:gridCol w:w="77"/>
        <w:gridCol w:w="108"/>
        <w:gridCol w:w="1291"/>
        <w:gridCol w:w="77"/>
        <w:gridCol w:w="77"/>
        <w:gridCol w:w="77"/>
        <w:gridCol w:w="77"/>
        <w:gridCol w:w="77"/>
        <w:gridCol w:w="1291"/>
        <w:gridCol w:w="77"/>
        <w:gridCol w:w="77"/>
        <w:gridCol w:w="77"/>
        <w:gridCol w:w="77"/>
        <w:gridCol w:w="108"/>
        <w:gridCol w:w="789"/>
        <w:gridCol w:w="71"/>
      </w:tblGrid>
      <w:tr w:rsidR="00251D72" w14:paraId="6EDCE548" w14:textId="77777777">
        <w:trPr>
          <w:divId w:val="580410522"/>
          <w:jc w:val="center"/>
        </w:trPr>
        <w:tc>
          <w:tcPr>
            <w:tcW w:w="1307" w:type="pct"/>
            <w:shd w:val="clear" w:color="auto" w:fill="FFFFFF"/>
            <w:tcMar>
              <w:top w:w="15" w:type="dxa"/>
              <w:left w:w="0" w:type="dxa"/>
              <w:bottom w:w="0" w:type="dxa"/>
              <w:right w:w="15" w:type="dxa"/>
            </w:tcMar>
            <w:vAlign w:val="bottom"/>
            <w:hideMark/>
          </w:tcPr>
          <w:p w14:paraId="4F36EF52" w14:textId="77777777" w:rsidR="00251D72" w:rsidRDefault="00251D72">
            <w:pPr>
              <w:pStyle w:val="a3"/>
              <w:spacing w:before="0" w:beforeAutospacing="0" w:after="0" w:afterAutospacing="0"/>
              <w:rPr>
                <w:sz w:val="20"/>
                <w:szCs w:val="20"/>
              </w:rPr>
            </w:pPr>
            <w:r>
              <w:rPr>
                <w:sz w:val="20"/>
                <w:szCs w:val="20"/>
              </w:rPr>
              <w:t> </w:t>
            </w:r>
          </w:p>
        </w:tc>
        <w:tc>
          <w:tcPr>
            <w:tcW w:w="72" w:type="pct"/>
            <w:shd w:val="clear" w:color="auto" w:fill="FFFFFF"/>
            <w:tcMar>
              <w:top w:w="15" w:type="dxa"/>
              <w:left w:w="0" w:type="dxa"/>
              <w:bottom w:w="0" w:type="dxa"/>
              <w:right w:w="15" w:type="dxa"/>
            </w:tcMar>
            <w:vAlign w:val="bottom"/>
            <w:hideMark/>
          </w:tcPr>
          <w:p w14:paraId="0987F2A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1" w:type="pct"/>
            <w:gridSpan w:val="2"/>
            <w:tcBorders>
              <w:bottom w:val="single" w:sz="6" w:space="0" w:color="000000"/>
            </w:tcBorders>
            <w:shd w:val="clear" w:color="auto" w:fill="FFFFFF"/>
            <w:tcMar>
              <w:top w:w="15" w:type="dxa"/>
              <w:left w:w="0" w:type="dxa"/>
              <w:bottom w:w="0" w:type="dxa"/>
              <w:right w:w="15" w:type="dxa"/>
            </w:tcMar>
            <w:vAlign w:val="bottom"/>
            <w:hideMark/>
          </w:tcPr>
          <w:p w14:paraId="3F74F70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Outstanding</w:t>
            </w:r>
          </w:p>
          <w:p w14:paraId="0535221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Stock Options</w:t>
            </w:r>
          </w:p>
          <w:p w14:paraId="626939F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noWrap/>
            <w:tcMar>
              <w:top w:w="15" w:type="dxa"/>
              <w:left w:w="0" w:type="dxa"/>
              <w:bottom w:w="0" w:type="dxa"/>
              <w:right w:w="15" w:type="dxa"/>
            </w:tcMar>
            <w:vAlign w:val="bottom"/>
            <w:hideMark/>
          </w:tcPr>
          <w:p w14:paraId="79E2D89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0E9BAA0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04D625D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6772A9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1" w:type="pct"/>
            <w:gridSpan w:val="2"/>
            <w:tcBorders>
              <w:bottom w:val="single" w:sz="6" w:space="0" w:color="000000"/>
            </w:tcBorders>
            <w:shd w:val="clear" w:color="auto" w:fill="FFFFFF"/>
            <w:tcMar>
              <w:top w:w="15" w:type="dxa"/>
              <w:left w:w="0" w:type="dxa"/>
              <w:bottom w:w="0" w:type="dxa"/>
              <w:right w:w="15" w:type="dxa"/>
            </w:tcMar>
            <w:vAlign w:val="bottom"/>
            <w:hideMark/>
          </w:tcPr>
          <w:p w14:paraId="44A88E4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1167544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Exercise</w:t>
            </w:r>
            <w:r>
              <w:rPr>
                <w:color w:val="000000"/>
                <w:sz w:val="20"/>
                <w:szCs w:val="20"/>
              </w:rPr>
              <w:t xml:space="preserve"> </w:t>
            </w:r>
            <w:r>
              <w:rPr>
                <w:rFonts w:ascii="Calibri" w:hAnsi="Calibri" w:cs="Calibri"/>
                <w:b/>
                <w:bCs/>
                <w:color w:val="000000"/>
                <w:sz w:val="15"/>
                <w:szCs w:val="15"/>
              </w:rPr>
              <w:t>Price</w:t>
            </w:r>
          </w:p>
        </w:tc>
        <w:tc>
          <w:tcPr>
            <w:tcW w:w="50" w:type="pct"/>
            <w:shd w:val="clear" w:color="auto" w:fill="FFFFFF"/>
            <w:noWrap/>
            <w:tcMar>
              <w:top w:w="15" w:type="dxa"/>
              <w:left w:w="0" w:type="dxa"/>
              <w:bottom w:w="0" w:type="dxa"/>
              <w:right w:w="15" w:type="dxa"/>
            </w:tcMar>
            <w:vAlign w:val="bottom"/>
            <w:hideMark/>
          </w:tcPr>
          <w:p w14:paraId="4419AFE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87E88B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194F8CC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1BD78B6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1" w:type="pct"/>
            <w:gridSpan w:val="2"/>
            <w:tcBorders>
              <w:bottom w:val="single" w:sz="6" w:space="0" w:color="000000"/>
            </w:tcBorders>
            <w:shd w:val="clear" w:color="auto" w:fill="FFFFFF"/>
            <w:tcMar>
              <w:top w:w="15" w:type="dxa"/>
              <w:left w:w="0" w:type="dxa"/>
              <w:bottom w:w="0" w:type="dxa"/>
              <w:right w:w="15" w:type="dxa"/>
            </w:tcMar>
            <w:vAlign w:val="bottom"/>
            <w:hideMark/>
          </w:tcPr>
          <w:p w14:paraId="370BA63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54F5585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Remaining</w:t>
            </w:r>
            <w:r>
              <w:rPr>
                <w:color w:val="000000"/>
                <w:sz w:val="20"/>
                <w:szCs w:val="20"/>
              </w:rPr>
              <w:t xml:space="preserve"> </w:t>
            </w:r>
            <w:r>
              <w:rPr>
                <w:rFonts w:ascii="Calibri" w:hAnsi="Calibri" w:cs="Calibri"/>
                <w:b/>
                <w:bCs/>
                <w:color w:val="000000"/>
                <w:sz w:val="15"/>
                <w:szCs w:val="15"/>
              </w:rPr>
              <w:t>Contract Term</w:t>
            </w:r>
          </w:p>
          <w:p w14:paraId="634BB85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 years)</w:t>
            </w:r>
          </w:p>
        </w:tc>
        <w:tc>
          <w:tcPr>
            <w:tcW w:w="50" w:type="pct"/>
            <w:shd w:val="clear" w:color="auto" w:fill="FFFFFF"/>
            <w:noWrap/>
            <w:tcMar>
              <w:top w:w="15" w:type="dxa"/>
              <w:left w:w="0" w:type="dxa"/>
              <w:bottom w:w="0" w:type="dxa"/>
              <w:right w:w="15" w:type="dxa"/>
            </w:tcMar>
            <w:vAlign w:val="bottom"/>
            <w:hideMark/>
          </w:tcPr>
          <w:p w14:paraId="6AEB78D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687690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73D62AA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7A2F506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31" w:type="pct"/>
            <w:gridSpan w:val="2"/>
            <w:tcBorders>
              <w:bottom w:val="single" w:sz="6" w:space="0" w:color="000000"/>
            </w:tcBorders>
            <w:shd w:val="clear" w:color="auto" w:fill="FFFFFF"/>
            <w:tcMar>
              <w:top w:w="15" w:type="dxa"/>
              <w:left w:w="0" w:type="dxa"/>
              <w:bottom w:w="0" w:type="dxa"/>
              <w:right w:w="15" w:type="dxa"/>
            </w:tcMar>
            <w:vAlign w:val="bottom"/>
            <w:hideMark/>
          </w:tcPr>
          <w:p w14:paraId="042DB7A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Aggregate</w:t>
            </w:r>
          </w:p>
          <w:p w14:paraId="68EA2DF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Intrinsic</w:t>
            </w:r>
            <w:r>
              <w:rPr>
                <w:color w:val="000000"/>
                <w:sz w:val="20"/>
                <w:szCs w:val="20"/>
              </w:rPr>
              <w:t xml:space="preserve"> </w:t>
            </w:r>
            <w:r>
              <w:rPr>
                <w:rFonts w:ascii="Calibri" w:hAnsi="Calibri" w:cs="Calibri"/>
                <w:b/>
                <w:bCs/>
                <w:color w:val="000000"/>
                <w:sz w:val="15"/>
                <w:szCs w:val="15"/>
              </w:rPr>
              <w:t>Value</w:t>
            </w:r>
            <w:r>
              <w:rPr>
                <w:rFonts w:ascii="Calibri" w:hAnsi="Calibri" w:cs="Calibri"/>
                <w:b/>
                <w:bCs/>
                <w:color w:val="000000"/>
                <w:sz w:val="13"/>
                <w:szCs w:val="13"/>
                <w:vertAlign w:val="superscript"/>
              </w:rPr>
              <w:t>(1)</w:t>
            </w:r>
          </w:p>
          <w:p w14:paraId="7AF3644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noWrap/>
            <w:tcMar>
              <w:top w:w="15" w:type="dxa"/>
              <w:left w:w="0" w:type="dxa"/>
              <w:bottom w:w="0" w:type="dxa"/>
              <w:right w:w="15" w:type="dxa"/>
            </w:tcMar>
            <w:vAlign w:val="bottom"/>
            <w:hideMark/>
          </w:tcPr>
          <w:p w14:paraId="665BE7EA" w14:textId="77777777" w:rsidR="00251D72" w:rsidRDefault="00251D72">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r>
      <w:tr w:rsidR="00251D72" w14:paraId="70728489" w14:textId="77777777">
        <w:trPr>
          <w:divId w:val="580410522"/>
          <w:jc w:val="center"/>
        </w:trPr>
        <w:tc>
          <w:tcPr>
            <w:tcW w:w="1307" w:type="pct"/>
            <w:shd w:val="clear" w:color="auto" w:fill="CFF0FC"/>
            <w:tcMar>
              <w:top w:w="15" w:type="dxa"/>
              <w:left w:w="0" w:type="dxa"/>
              <w:bottom w:w="0" w:type="dxa"/>
              <w:right w:w="15" w:type="dxa"/>
            </w:tcMar>
            <w:hideMark/>
          </w:tcPr>
          <w:p w14:paraId="2B54DC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Vested</w:t>
            </w:r>
          </w:p>
        </w:tc>
        <w:tc>
          <w:tcPr>
            <w:tcW w:w="72" w:type="pct"/>
            <w:shd w:val="clear" w:color="auto" w:fill="CFF0FC"/>
            <w:tcMar>
              <w:top w:w="15" w:type="dxa"/>
              <w:left w:w="0" w:type="dxa"/>
              <w:bottom w:w="0" w:type="dxa"/>
              <w:right w:w="15" w:type="dxa"/>
            </w:tcMar>
            <w:vAlign w:val="bottom"/>
            <w:hideMark/>
          </w:tcPr>
          <w:p w14:paraId="71A9DEB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CD27A9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81" w:type="pct"/>
            <w:tcBorders>
              <w:top w:val="single" w:sz="6" w:space="0" w:color="000000"/>
            </w:tcBorders>
            <w:shd w:val="clear" w:color="auto" w:fill="CFF0FC"/>
            <w:noWrap/>
            <w:tcMar>
              <w:top w:w="15" w:type="dxa"/>
              <w:left w:w="0" w:type="dxa"/>
              <w:bottom w:w="0" w:type="dxa"/>
              <w:right w:w="15" w:type="dxa"/>
            </w:tcMar>
            <w:vAlign w:val="bottom"/>
            <w:hideMark/>
          </w:tcPr>
          <w:p w14:paraId="51B6820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146</w:t>
            </w:r>
          </w:p>
        </w:tc>
        <w:tc>
          <w:tcPr>
            <w:tcW w:w="50" w:type="pct"/>
            <w:shd w:val="clear" w:color="auto" w:fill="CFF0FC"/>
            <w:noWrap/>
            <w:tcMar>
              <w:top w:w="15" w:type="dxa"/>
              <w:left w:w="0" w:type="dxa"/>
              <w:bottom w:w="0" w:type="dxa"/>
              <w:right w:w="15" w:type="dxa"/>
            </w:tcMar>
            <w:vAlign w:val="bottom"/>
            <w:hideMark/>
          </w:tcPr>
          <w:p w14:paraId="61A6E15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A20AE0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2C175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2CFF2F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A9A76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81" w:type="pct"/>
            <w:tcBorders>
              <w:top w:val="single" w:sz="6" w:space="0" w:color="000000"/>
            </w:tcBorders>
            <w:shd w:val="clear" w:color="auto" w:fill="CFF0FC"/>
            <w:noWrap/>
            <w:tcMar>
              <w:top w:w="15" w:type="dxa"/>
              <w:left w:w="0" w:type="dxa"/>
              <w:bottom w:w="0" w:type="dxa"/>
              <w:right w:w="15" w:type="dxa"/>
            </w:tcMar>
            <w:vAlign w:val="bottom"/>
            <w:hideMark/>
          </w:tcPr>
          <w:p w14:paraId="0D871B6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32.13</w:t>
            </w:r>
          </w:p>
        </w:tc>
        <w:tc>
          <w:tcPr>
            <w:tcW w:w="50" w:type="pct"/>
            <w:shd w:val="clear" w:color="auto" w:fill="CFF0FC"/>
            <w:noWrap/>
            <w:tcMar>
              <w:top w:w="15" w:type="dxa"/>
              <w:left w:w="0" w:type="dxa"/>
              <w:bottom w:w="0" w:type="dxa"/>
              <w:right w:w="15" w:type="dxa"/>
            </w:tcMar>
            <w:vAlign w:val="bottom"/>
            <w:hideMark/>
          </w:tcPr>
          <w:p w14:paraId="13338FE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C24FF1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25BE6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A9698B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6D32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81" w:type="pct"/>
            <w:tcBorders>
              <w:top w:val="single" w:sz="6" w:space="0" w:color="000000"/>
            </w:tcBorders>
            <w:shd w:val="clear" w:color="auto" w:fill="CFF0FC"/>
            <w:noWrap/>
            <w:tcMar>
              <w:top w:w="15" w:type="dxa"/>
              <w:left w:w="0" w:type="dxa"/>
              <w:bottom w:w="0" w:type="dxa"/>
              <w:right w:w="15" w:type="dxa"/>
            </w:tcMar>
            <w:vAlign w:val="bottom"/>
            <w:hideMark/>
          </w:tcPr>
          <w:p w14:paraId="0E48239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3.32</w:t>
            </w:r>
          </w:p>
        </w:tc>
        <w:tc>
          <w:tcPr>
            <w:tcW w:w="50" w:type="pct"/>
            <w:shd w:val="clear" w:color="auto" w:fill="CFF0FC"/>
            <w:noWrap/>
            <w:tcMar>
              <w:top w:w="15" w:type="dxa"/>
              <w:left w:w="0" w:type="dxa"/>
              <w:bottom w:w="0" w:type="dxa"/>
              <w:right w:w="15" w:type="dxa"/>
            </w:tcMar>
            <w:vAlign w:val="bottom"/>
            <w:hideMark/>
          </w:tcPr>
          <w:p w14:paraId="008927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8B3973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BD187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D5F3E8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9EF1F0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81" w:type="pct"/>
            <w:tcBorders>
              <w:top w:val="single" w:sz="6" w:space="0" w:color="000000"/>
            </w:tcBorders>
            <w:shd w:val="clear" w:color="auto" w:fill="CFF0FC"/>
            <w:noWrap/>
            <w:tcMar>
              <w:top w:w="15" w:type="dxa"/>
              <w:left w:w="0" w:type="dxa"/>
              <w:bottom w:w="0" w:type="dxa"/>
              <w:right w:w="15" w:type="dxa"/>
            </w:tcMar>
            <w:vAlign w:val="bottom"/>
            <w:hideMark/>
          </w:tcPr>
          <w:p w14:paraId="4585CDB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2,698</w:t>
            </w:r>
          </w:p>
        </w:tc>
        <w:tc>
          <w:tcPr>
            <w:tcW w:w="50" w:type="pct"/>
            <w:shd w:val="clear" w:color="auto" w:fill="CFF0FC"/>
            <w:noWrap/>
            <w:tcMar>
              <w:top w:w="15" w:type="dxa"/>
              <w:left w:w="0" w:type="dxa"/>
              <w:bottom w:w="0" w:type="dxa"/>
              <w:right w:w="15" w:type="dxa"/>
            </w:tcMar>
            <w:vAlign w:val="bottom"/>
            <w:hideMark/>
          </w:tcPr>
          <w:p w14:paraId="3932E47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C87C619" w14:textId="77777777">
        <w:trPr>
          <w:divId w:val="580410522"/>
          <w:jc w:val="center"/>
        </w:trPr>
        <w:tc>
          <w:tcPr>
            <w:tcW w:w="1307" w:type="pct"/>
            <w:shd w:val="clear" w:color="auto" w:fill="FFFFFF"/>
            <w:tcMar>
              <w:top w:w="15" w:type="dxa"/>
              <w:left w:w="0" w:type="dxa"/>
              <w:bottom w:w="0" w:type="dxa"/>
              <w:right w:w="15" w:type="dxa"/>
            </w:tcMar>
            <w:hideMark/>
          </w:tcPr>
          <w:p w14:paraId="745372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Expected to vest</w:t>
            </w:r>
            <w:r>
              <w:rPr>
                <w:rFonts w:ascii="Calibri" w:hAnsi="Calibri" w:cs="Calibri"/>
                <w:color w:val="000000"/>
                <w:sz w:val="15"/>
                <w:szCs w:val="15"/>
                <w:vertAlign w:val="superscript"/>
              </w:rPr>
              <w:t>(2)</w:t>
            </w:r>
          </w:p>
        </w:tc>
        <w:tc>
          <w:tcPr>
            <w:tcW w:w="72" w:type="pct"/>
            <w:shd w:val="clear" w:color="auto" w:fill="FFFFFF"/>
            <w:tcMar>
              <w:top w:w="15" w:type="dxa"/>
              <w:left w:w="0" w:type="dxa"/>
              <w:bottom w:w="0" w:type="dxa"/>
              <w:right w:w="15" w:type="dxa"/>
            </w:tcMar>
            <w:vAlign w:val="bottom"/>
            <w:hideMark/>
          </w:tcPr>
          <w:p w14:paraId="405DA1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097A1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81" w:type="pct"/>
            <w:tcBorders>
              <w:bottom w:val="single" w:sz="6" w:space="0" w:color="000000"/>
            </w:tcBorders>
            <w:shd w:val="clear" w:color="auto" w:fill="FFFFFF"/>
            <w:noWrap/>
            <w:tcMar>
              <w:top w:w="15" w:type="dxa"/>
              <w:left w:w="0" w:type="dxa"/>
              <w:bottom w:w="0" w:type="dxa"/>
              <w:right w:w="15" w:type="dxa"/>
            </w:tcMar>
            <w:vAlign w:val="bottom"/>
            <w:hideMark/>
          </w:tcPr>
          <w:p w14:paraId="7D9DFFA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w:t>
            </w:r>
          </w:p>
        </w:tc>
        <w:tc>
          <w:tcPr>
            <w:tcW w:w="50" w:type="pct"/>
            <w:shd w:val="clear" w:color="auto" w:fill="FFFFFF"/>
            <w:noWrap/>
            <w:tcMar>
              <w:top w:w="15" w:type="dxa"/>
              <w:left w:w="0" w:type="dxa"/>
              <w:bottom w:w="0" w:type="dxa"/>
              <w:right w:w="15" w:type="dxa"/>
            </w:tcMar>
            <w:vAlign w:val="bottom"/>
            <w:hideMark/>
          </w:tcPr>
          <w:p w14:paraId="31666D9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86CFF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BE4DA3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595807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36E76D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81" w:type="pct"/>
            <w:shd w:val="clear" w:color="auto" w:fill="FFFFFF"/>
            <w:noWrap/>
            <w:tcMar>
              <w:top w:w="15" w:type="dxa"/>
              <w:left w:w="0" w:type="dxa"/>
              <w:bottom w:w="0" w:type="dxa"/>
              <w:right w:w="15" w:type="dxa"/>
            </w:tcMar>
            <w:vAlign w:val="bottom"/>
            <w:hideMark/>
          </w:tcPr>
          <w:p w14:paraId="0FD25B5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46.95</w:t>
            </w:r>
          </w:p>
        </w:tc>
        <w:tc>
          <w:tcPr>
            <w:tcW w:w="50" w:type="pct"/>
            <w:shd w:val="clear" w:color="auto" w:fill="FFFFFF"/>
            <w:noWrap/>
            <w:tcMar>
              <w:top w:w="15" w:type="dxa"/>
              <w:left w:w="0" w:type="dxa"/>
              <w:bottom w:w="0" w:type="dxa"/>
              <w:right w:w="15" w:type="dxa"/>
            </w:tcMar>
            <w:vAlign w:val="bottom"/>
            <w:hideMark/>
          </w:tcPr>
          <w:p w14:paraId="14060F4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784593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B5EEDE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D9210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BD554F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81" w:type="pct"/>
            <w:shd w:val="clear" w:color="auto" w:fill="FFFFFF"/>
            <w:noWrap/>
            <w:tcMar>
              <w:top w:w="15" w:type="dxa"/>
              <w:left w:w="0" w:type="dxa"/>
              <w:bottom w:w="0" w:type="dxa"/>
              <w:right w:w="15" w:type="dxa"/>
            </w:tcMar>
            <w:vAlign w:val="bottom"/>
            <w:hideMark/>
          </w:tcPr>
          <w:p w14:paraId="4229B43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6.47</w:t>
            </w:r>
          </w:p>
        </w:tc>
        <w:tc>
          <w:tcPr>
            <w:tcW w:w="50" w:type="pct"/>
            <w:shd w:val="clear" w:color="auto" w:fill="FFFFFF"/>
            <w:noWrap/>
            <w:tcMar>
              <w:top w:w="15" w:type="dxa"/>
              <w:left w:w="0" w:type="dxa"/>
              <w:bottom w:w="0" w:type="dxa"/>
              <w:right w:w="15" w:type="dxa"/>
            </w:tcMar>
            <w:vAlign w:val="bottom"/>
            <w:hideMark/>
          </w:tcPr>
          <w:p w14:paraId="54F3813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B0EF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AE696E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B3745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26A75B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81" w:type="pct"/>
            <w:tcBorders>
              <w:bottom w:val="single" w:sz="6" w:space="0" w:color="000000"/>
            </w:tcBorders>
            <w:shd w:val="clear" w:color="auto" w:fill="FFFFFF"/>
            <w:noWrap/>
            <w:tcMar>
              <w:top w:w="15" w:type="dxa"/>
              <w:left w:w="0" w:type="dxa"/>
              <w:bottom w:w="0" w:type="dxa"/>
              <w:right w:w="15" w:type="dxa"/>
            </w:tcMar>
            <w:vAlign w:val="bottom"/>
            <w:hideMark/>
          </w:tcPr>
          <w:p w14:paraId="29329FA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181</w:t>
            </w:r>
          </w:p>
        </w:tc>
        <w:tc>
          <w:tcPr>
            <w:tcW w:w="50" w:type="pct"/>
            <w:shd w:val="clear" w:color="auto" w:fill="FFFFFF"/>
            <w:noWrap/>
            <w:tcMar>
              <w:top w:w="15" w:type="dxa"/>
              <w:left w:w="0" w:type="dxa"/>
              <w:bottom w:w="0" w:type="dxa"/>
              <w:right w:w="15" w:type="dxa"/>
            </w:tcMar>
            <w:vAlign w:val="bottom"/>
            <w:hideMark/>
          </w:tcPr>
          <w:p w14:paraId="1624CAE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B354DF6" w14:textId="77777777">
        <w:trPr>
          <w:divId w:val="580410522"/>
          <w:jc w:val="center"/>
        </w:trPr>
        <w:tc>
          <w:tcPr>
            <w:tcW w:w="1307" w:type="pct"/>
            <w:shd w:val="clear" w:color="auto" w:fill="CFF0FC"/>
            <w:tcMar>
              <w:top w:w="15" w:type="dxa"/>
              <w:left w:w="0" w:type="dxa"/>
              <w:bottom w:w="0" w:type="dxa"/>
              <w:right w:w="15" w:type="dxa"/>
            </w:tcMar>
            <w:hideMark/>
          </w:tcPr>
          <w:p w14:paraId="1FC774F1"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Total</w:t>
            </w:r>
          </w:p>
        </w:tc>
        <w:tc>
          <w:tcPr>
            <w:tcW w:w="72" w:type="pct"/>
            <w:shd w:val="clear" w:color="auto" w:fill="CFF0FC"/>
            <w:tcMar>
              <w:top w:w="15" w:type="dxa"/>
              <w:left w:w="0" w:type="dxa"/>
              <w:bottom w:w="0" w:type="dxa"/>
              <w:right w:w="15" w:type="dxa"/>
            </w:tcMar>
            <w:vAlign w:val="bottom"/>
            <w:hideMark/>
          </w:tcPr>
          <w:p w14:paraId="41DDFC7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2A726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8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740D8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188</w:t>
            </w:r>
          </w:p>
        </w:tc>
        <w:tc>
          <w:tcPr>
            <w:tcW w:w="50" w:type="pct"/>
            <w:shd w:val="clear" w:color="auto" w:fill="CFF0FC"/>
            <w:noWrap/>
            <w:tcMar>
              <w:top w:w="15" w:type="dxa"/>
              <w:left w:w="0" w:type="dxa"/>
              <w:bottom w:w="0" w:type="dxa"/>
              <w:right w:w="15" w:type="dxa"/>
            </w:tcMar>
            <w:vAlign w:val="bottom"/>
            <w:hideMark/>
          </w:tcPr>
          <w:p w14:paraId="163880D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0B273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16D0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B3EF53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9524F5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81" w:type="pct"/>
            <w:shd w:val="clear" w:color="auto" w:fill="CFF0FC"/>
            <w:noWrap/>
            <w:tcMar>
              <w:top w:w="15" w:type="dxa"/>
              <w:left w:w="0" w:type="dxa"/>
              <w:bottom w:w="0" w:type="dxa"/>
              <w:right w:w="15" w:type="dxa"/>
            </w:tcMar>
            <w:vAlign w:val="bottom"/>
            <w:hideMark/>
          </w:tcPr>
          <w:p w14:paraId="15BBA3E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35.45</w:t>
            </w:r>
          </w:p>
        </w:tc>
        <w:tc>
          <w:tcPr>
            <w:tcW w:w="50" w:type="pct"/>
            <w:shd w:val="clear" w:color="auto" w:fill="CFF0FC"/>
            <w:noWrap/>
            <w:tcMar>
              <w:top w:w="15" w:type="dxa"/>
              <w:left w:w="0" w:type="dxa"/>
              <w:bottom w:w="0" w:type="dxa"/>
              <w:right w:w="15" w:type="dxa"/>
            </w:tcMar>
            <w:vAlign w:val="bottom"/>
            <w:hideMark/>
          </w:tcPr>
          <w:p w14:paraId="5A8B140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48C453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447D4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2C242A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184C81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81" w:type="pct"/>
            <w:shd w:val="clear" w:color="auto" w:fill="CFF0FC"/>
            <w:noWrap/>
            <w:tcMar>
              <w:top w:w="15" w:type="dxa"/>
              <w:left w:w="0" w:type="dxa"/>
              <w:bottom w:w="0" w:type="dxa"/>
              <w:right w:w="15" w:type="dxa"/>
            </w:tcMar>
            <w:vAlign w:val="bottom"/>
            <w:hideMark/>
          </w:tcPr>
          <w:p w14:paraId="4DFD84C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4.02</w:t>
            </w:r>
          </w:p>
        </w:tc>
        <w:tc>
          <w:tcPr>
            <w:tcW w:w="50" w:type="pct"/>
            <w:shd w:val="clear" w:color="auto" w:fill="CFF0FC"/>
            <w:noWrap/>
            <w:tcMar>
              <w:top w:w="15" w:type="dxa"/>
              <w:left w:w="0" w:type="dxa"/>
              <w:bottom w:w="0" w:type="dxa"/>
              <w:right w:w="15" w:type="dxa"/>
            </w:tcMar>
            <w:vAlign w:val="bottom"/>
            <w:hideMark/>
          </w:tcPr>
          <w:p w14:paraId="11DCBA3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BE1831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56FB7E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9EF77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CF28C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8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5D0B1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2,879</w:t>
            </w:r>
          </w:p>
        </w:tc>
        <w:tc>
          <w:tcPr>
            <w:tcW w:w="50" w:type="pct"/>
            <w:shd w:val="clear" w:color="auto" w:fill="CFF0FC"/>
            <w:noWrap/>
            <w:tcMar>
              <w:top w:w="15" w:type="dxa"/>
              <w:left w:w="0" w:type="dxa"/>
              <w:bottom w:w="0" w:type="dxa"/>
              <w:right w:w="15" w:type="dxa"/>
            </w:tcMar>
            <w:vAlign w:val="bottom"/>
            <w:hideMark/>
          </w:tcPr>
          <w:p w14:paraId="3C7FBAFD"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6FC85E0"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23081213" w14:textId="77777777">
        <w:tc>
          <w:tcPr>
            <w:tcW w:w="192" w:type="pct"/>
            <w:noWrap/>
            <w:hideMark/>
          </w:tcPr>
          <w:p w14:paraId="70A89BFE"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r>
              <w:rPr>
                <w:rFonts w:ascii="Calibri" w:hAnsi="Calibri" w:cs="Calibri"/>
                <w:sz w:val="15"/>
                <w:szCs w:val="15"/>
              </w:rPr>
              <w:t xml:space="preserve"> </w:t>
            </w:r>
          </w:p>
        </w:tc>
        <w:tc>
          <w:tcPr>
            <w:tcW w:w="0" w:type="auto"/>
            <w:hideMark/>
          </w:tcPr>
          <w:p w14:paraId="0F755344"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The aggregate intrinsic value was calculated based on the gross difference between our closing stock price on the last trading day of fiscal 2019 of $50.60 and the exercise prices for all “in-the-money” options outstanding, excluding tax effects.</w:t>
            </w:r>
          </w:p>
        </w:tc>
      </w:tr>
    </w:tbl>
    <w:p w14:paraId="07AA297D"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24F25734" w14:textId="77777777">
        <w:tc>
          <w:tcPr>
            <w:tcW w:w="192" w:type="pct"/>
            <w:noWrap/>
            <w:hideMark/>
          </w:tcPr>
          <w:p w14:paraId="260657EF"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(2)</w:t>
            </w:r>
            <w:r>
              <w:rPr>
                <w:rFonts w:ascii="Calibri" w:hAnsi="Calibri" w:cs="Calibri"/>
                <w:sz w:val="15"/>
                <w:szCs w:val="15"/>
              </w:rPr>
              <w:t xml:space="preserve"> </w:t>
            </w:r>
          </w:p>
        </w:tc>
        <w:tc>
          <w:tcPr>
            <w:tcW w:w="0" w:type="auto"/>
            <w:hideMark/>
          </w:tcPr>
          <w:p w14:paraId="5C683627"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The unrecognized compensation expense calculated under the fair value method for shares expected to vest (unvested shares net of expected forfeitures) as of May 31, 2019 was approximately $254 million and is expected to be recognized over a weighted-average period of 2.74 years. Approximately 34 million shares outstanding as of May 31, 2019 were not expected to vest.</w:t>
            </w:r>
          </w:p>
        </w:tc>
      </w:tr>
    </w:tbl>
    <w:p w14:paraId="000821FD" w14:textId="77777777" w:rsidR="00251D72" w:rsidRDefault="00251D72">
      <w:pPr>
        <w:pStyle w:val="a3"/>
        <w:spacing w:before="240" w:beforeAutospacing="0" w:after="0" w:afterAutospacing="0"/>
        <w:jc w:val="both"/>
        <w:rPr>
          <w:rFonts w:ascii="Calibri" w:hAnsi="Calibri" w:cs="Calibri"/>
          <w:sz w:val="20"/>
          <w:szCs w:val="20"/>
        </w:rPr>
      </w:pPr>
      <w:r>
        <w:rPr>
          <w:rFonts w:ascii="Calibri" w:hAnsi="Calibri" w:cs="Calibri"/>
          <w:sz w:val="20"/>
          <w:szCs w:val="20"/>
          <w:u w:val="single"/>
        </w:rPr>
        <w:t>Stock-Based Compensation Expense and Valuations of Stock Awards</w:t>
      </w:r>
    </w:p>
    <w:p w14:paraId="530C8DF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estimated the fair values of our restricted stock-based awards that are solely subject to service-based vesting requirements based upon their market values as of the grant dates, discounted for the present values of expected dividends. </w:t>
      </w:r>
    </w:p>
    <w:p w14:paraId="23AE6F1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The fair values of our PSUs were also measured based upon their market values as of their respective grant dates, discounted for the present values of expected dividends. The vesting conditions and related terms of our PSUs were communicated to each participating employee as of their respective grant dates and included attainment metrics that were defined, fixed and based upon consistent U.S. GAAP metrics or internal metrics that are defined, fixed and consistently determined, and that require the employee to render service. Therefore, these awards met the performance-based award classification criteria as defined within ASC 718. </w:t>
      </w:r>
    </w:p>
    <w:p w14:paraId="75E93F63"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104</w:t>
      </w:r>
    </w:p>
    <w:p w14:paraId="1031BE57" w14:textId="77777777" w:rsidR="00251D72" w:rsidRDefault="00251D72">
      <w:pPr>
        <w:rPr>
          <w:rFonts w:ascii="Times New Roman" w:eastAsia="Times New Roman" w:hAnsi="Times New Roman" w:cs="Times New Roman"/>
          <w:sz w:val="24"/>
          <w:szCs w:val="24"/>
        </w:rPr>
      </w:pPr>
      <w:r>
        <w:rPr>
          <w:rFonts w:eastAsia="Times New Roman"/>
        </w:rPr>
        <w:pict w14:anchorId="7E2DA48D">
          <v:rect id="_x0000_i1130" style="width:415.3pt;height:1.5pt" o:hralign="center" o:hrstd="t" o:hr="t" fillcolor="#a0a0a0" stroked="f"/>
        </w:pict>
      </w:r>
    </w:p>
    <w:p w14:paraId="5F5FCF5E"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9A33917"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5D20F6F"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66A6D456"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292CDE3B"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395641FE" w14:textId="77777777" w:rsidR="00251D72" w:rsidRDefault="00251D72">
      <w:pPr>
        <w:pStyle w:val="a3"/>
        <w:spacing w:before="0" w:beforeAutospacing="0" w:after="0" w:afterAutospacing="0"/>
        <w:rPr>
          <w:sz w:val="20"/>
          <w:szCs w:val="20"/>
        </w:rPr>
      </w:pPr>
      <w:r>
        <w:rPr>
          <w:sz w:val="20"/>
          <w:szCs w:val="20"/>
        </w:rPr>
        <w:t> </w:t>
      </w:r>
    </w:p>
    <w:p w14:paraId="3D2E8ED5" w14:textId="77777777" w:rsidR="00251D72" w:rsidRDefault="00251D72">
      <w:pPr>
        <w:pStyle w:val="a3"/>
        <w:spacing w:before="120" w:beforeAutospacing="0" w:after="0" w:afterAutospacing="0"/>
        <w:jc w:val="both"/>
        <w:rPr>
          <w:rFonts w:ascii="Calibri" w:hAnsi="Calibri" w:cs="Calibri"/>
          <w:sz w:val="20"/>
          <w:szCs w:val="20"/>
        </w:rPr>
      </w:pPr>
      <w:bookmarkStart w:id="147" w:name="_AEIOULastRenderedPageBreakAEIOU107"/>
      <w:bookmarkEnd w:id="147"/>
      <w:r>
        <w:rPr>
          <w:rFonts w:ascii="Calibri" w:hAnsi="Calibri" w:cs="Calibri"/>
          <w:sz w:val="20"/>
          <w:szCs w:val="20"/>
        </w:rPr>
        <w:t>We estimated the fair values of our stock options that were solely subject to service-based vesting requirements using the Black-Scholes-Merton option-pricing model, which was developed for use in estimating the fair values of stock options. Option valuation models, including the Black-Scholes-Merton option-pricing model, require the input of assumptions, including stock price volatility. Changes in the input assumptions can affect the fair value estimates and ultimately how much we recognize as stock-based compensation expense. The fair values of our stock options were estimated at the grant dates or at the acquisition dates for options assumed in a business combination. The weighted-average input assumptions used and resulting fair values of our service-based stock options were as follows for fiscal 2019, 2018 and 2017:</w:t>
      </w:r>
    </w:p>
    <w:p w14:paraId="3E2A47E3"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429"/>
        <w:gridCol w:w="121"/>
        <w:gridCol w:w="117"/>
        <w:gridCol w:w="648"/>
        <w:gridCol w:w="73"/>
        <w:gridCol w:w="121"/>
        <w:gridCol w:w="117"/>
        <w:gridCol w:w="648"/>
        <w:gridCol w:w="73"/>
        <w:gridCol w:w="121"/>
        <w:gridCol w:w="117"/>
        <w:gridCol w:w="648"/>
        <w:gridCol w:w="73"/>
      </w:tblGrid>
      <w:tr w:rsidR="00251D72" w14:paraId="34D963C0" w14:textId="77777777">
        <w:trPr>
          <w:divId w:val="1791434612"/>
          <w:jc w:val="center"/>
        </w:trPr>
        <w:tc>
          <w:tcPr>
            <w:tcW w:w="3273" w:type="pct"/>
            <w:shd w:val="clear" w:color="auto" w:fill="FFFFFF"/>
            <w:tcMar>
              <w:top w:w="15" w:type="dxa"/>
              <w:left w:w="0" w:type="dxa"/>
              <w:bottom w:w="0" w:type="dxa"/>
              <w:right w:w="15" w:type="dxa"/>
            </w:tcMar>
            <w:vAlign w:val="bottom"/>
            <w:hideMark/>
          </w:tcPr>
          <w:p w14:paraId="7714A661" w14:textId="77777777" w:rsidR="00251D72" w:rsidRDefault="00251D72">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6E3FCC0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6" w:type="pct"/>
            <w:gridSpan w:val="10"/>
            <w:tcBorders>
              <w:bottom w:val="single" w:sz="6" w:space="0" w:color="000000"/>
            </w:tcBorders>
            <w:shd w:val="clear" w:color="auto" w:fill="FFFFFF"/>
            <w:tcMar>
              <w:top w:w="15" w:type="dxa"/>
              <w:left w:w="0" w:type="dxa"/>
              <w:bottom w:w="0" w:type="dxa"/>
              <w:right w:w="15" w:type="dxa"/>
            </w:tcMar>
            <w:vAlign w:val="bottom"/>
            <w:hideMark/>
          </w:tcPr>
          <w:p w14:paraId="2083EF7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0086222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DC3EA86" w14:textId="77777777">
        <w:trPr>
          <w:divId w:val="1791434612"/>
          <w:jc w:val="center"/>
        </w:trPr>
        <w:tc>
          <w:tcPr>
            <w:tcW w:w="3273" w:type="pct"/>
            <w:shd w:val="clear" w:color="auto" w:fill="FFFFFF"/>
            <w:tcMar>
              <w:top w:w="15" w:type="dxa"/>
              <w:left w:w="0" w:type="dxa"/>
              <w:bottom w:w="0" w:type="dxa"/>
              <w:right w:w="15" w:type="dxa"/>
            </w:tcMar>
            <w:vAlign w:val="bottom"/>
            <w:hideMark/>
          </w:tcPr>
          <w:p w14:paraId="12D482F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shd w:val="clear" w:color="auto" w:fill="FFFFFF"/>
            <w:tcMar>
              <w:top w:w="15" w:type="dxa"/>
              <w:left w:w="0" w:type="dxa"/>
              <w:bottom w:w="0" w:type="dxa"/>
              <w:right w:w="15" w:type="dxa"/>
            </w:tcMar>
            <w:vAlign w:val="bottom"/>
            <w:hideMark/>
          </w:tcPr>
          <w:p w14:paraId="7DB0DDE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3E213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B8D8DC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4083FD3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968B4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46A5AF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7F30A1B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7B8466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43722A0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77EE7403" w14:textId="77777777">
        <w:trPr>
          <w:divId w:val="1791434612"/>
          <w:jc w:val="center"/>
        </w:trPr>
        <w:tc>
          <w:tcPr>
            <w:tcW w:w="3273" w:type="pct"/>
            <w:shd w:val="clear" w:color="auto" w:fill="CFF0FC"/>
            <w:tcMar>
              <w:top w:w="15" w:type="dxa"/>
              <w:left w:w="0" w:type="dxa"/>
              <w:bottom w:w="0" w:type="dxa"/>
              <w:right w:w="15" w:type="dxa"/>
            </w:tcMar>
            <w:hideMark/>
          </w:tcPr>
          <w:p w14:paraId="3008DA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Expected life (in years)</w:t>
            </w:r>
          </w:p>
        </w:tc>
        <w:tc>
          <w:tcPr>
            <w:tcW w:w="79" w:type="pct"/>
            <w:shd w:val="clear" w:color="auto" w:fill="CFF0FC"/>
            <w:tcMar>
              <w:top w:w="15" w:type="dxa"/>
              <w:left w:w="0" w:type="dxa"/>
              <w:bottom w:w="0" w:type="dxa"/>
              <w:right w:w="15" w:type="dxa"/>
            </w:tcMar>
            <w:vAlign w:val="bottom"/>
            <w:hideMark/>
          </w:tcPr>
          <w:p w14:paraId="5EA7568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4AF52E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650B79C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CFF0FC"/>
            <w:noWrap/>
            <w:tcMar>
              <w:top w:w="15" w:type="dxa"/>
              <w:left w:w="0" w:type="dxa"/>
              <w:bottom w:w="0" w:type="dxa"/>
              <w:right w:w="15" w:type="dxa"/>
            </w:tcMar>
            <w:vAlign w:val="bottom"/>
            <w:hideMark/>
          </w:tcPr>
          <w:p w14:paraId="044B7A5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5EA06A0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B0FE7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3C25A83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CFF0FC"/>
            <w:noWrap/>
            <w:tcMar>
              <w:top w:w="15" w:type="dxa"/>
              <w:left w:w="0" w:type="dxa"/>
              <w:bottom w:w="0" w:type="dxa"/>
              <w:right w:w="15" w:type="dxa"/>
            </w:tcMar>
            <w:vAlign w:val="bottom"/>
            <w:hideMark/>
          </w:tcPr>
          <w:p w14:paraId="0BB3C05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09E5B7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CCE94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2C25FD0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CFF0FC"/>
            <w:noWrap/>
            <w:tcMar>
              <w:top w:w="15" w:type="dxa"/>
              <w:left w:w="0" w:type="dxa"/>
              <w:bottom w:w="0" w:type="dxa"/>
              <w:right w:w="15" w:type="dxa"/>
            </w:tcMar>
            <w:vAlign w:val="bottom"/>
            <w:hideMark/>
          </w:tcPr>
          <w:p w14:paraId="4868CF8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48A015C" w14:textId="77777777">
        <w:trPr>
          <w:divId w:val="1791434612"/>
          <w:jc w:val="center"/>
        </w:trPr>
        <w:tc>
          <w:tcPr>
            <w:tcW w:w="3273" w:type="pct"/>
            <w:shd w:val="clear" w:color="auto" w:fill="FFFFFF"/>
            <w:tcMar>
              <w:top w:w="15" w:type="dxa"/>
              <w:left w:w="0" w:type="dxa"/>
              <w:bottom w:w="0" w:type="dxa"/>
              <w:right w:w="15" w:type="dxa"/>
            </w:tcMar>
            <w:hideMark/>
          </w:tcPr>
          <w:p w14:paraId="11E58E9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Risk-free interest rate</w:t>
            </w:r>
          </w:p>
        </w:tc>
        <w:tc>
          <w:tcPr>
            <w:tcW w:w="79" w:type="pct"/>
            <w:shd w:val="clear" w:color="auto" w:fill="FFFFFF"/>
            <w:tcMar>
              <w:top w:w="15" w:type="dxa"/>
              <w:left w:w="0" w:type="dxa"/>
              <w:bottom w:w="0" w:type="dxa"/>
              <w:right w:w="15" w:type="dxa"/>
            </w:tcMar>
            <w:vAlign w:val="bottom"/>
            <w:hideMark/>
          </w:tcPr>
          <w:p w14:paraId="2E9C78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shd w:val="clear" w:color="auto" w:fill="FFFFFF"/>
            <w:tcMar>
              <w:top w:w="15" w:type="dxa"/>
              <w:left w:w="0" w:type="dxa"/>
              <w:bottom w:w="0" w:type="dxa"/>
              <w:right w:w="15" w:type="dxa"/>
            </w:tcMar>
            <w:vAlign w:val="bottom"/>
            <w:hideMark/>
          </w:tcPr>
          <w:p w14:paraId="43DA9A5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FFFFFF"/>
            <w:noWrap/>
            <w:tcMar>
              <w:top w:w="15" w:type="dxa"/>
              <w:left w:w="0" w:type="dxa"/>
              <w:bottom w:w="0" w:type="dxa"/>
              <w:right w:w="15" w:type="dxa"/>
            </w:tcMar>
            <w:vAlign w:val="bottom"/>
            <w:hideMark/>
          </w:tcPr>
          <w:p w14:paraId="345EDA7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35EEB95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shd w:val="clear" w:color="auto" w:fill="FFFFFF"/>
            <w:tcMar>
              <w:top w:w="15" w:type="dxa"/>
              <w:left w:w="0" w:type="dxa"/>
              <w:bottom w:w="0" w:type="dxa"/>
              <w:right w:w="15" w:type="dxa"/>
            </w:tcMar>
            <w:vAlign w:val="bottom"/>
            <w:hideMark/>
          </w:tcPr>
          <w:p w14:paraId="22489FA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5721EF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4BF020A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shd w:val="clear" w:color="auto" w:fill="FFFFFF"/>
            <w:tcMar>
              <w:top w:w="15" w:type="dxa"/>
              <w:left w:w="0" w:type="dxa"/>
              <w:bottom w:w="0" w:type="dxa"/>
              <w:right w:w="15" w:type="dxa"/>
            </w:tcMar>
            <w:vAlign w:val="bottom"/>
            <w:hideMark/>
          </w:tcPr>
          <w:p w14:paraId="5620BEF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left w:w="0" w:type="dxa"/>
              <w:bottom w:w="0" w:type="dxa"/>
              <w:right w:w="15" w:type="dxa"/>
            </w:tcMar>
            <w:vAlign w:val="bottom"/>
            <w:hideMark/>
          </w:tcPr>
          <w:p w14:paraId="414AFA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167681C" w14:textId="77777777">
        <w:trPr>
          <w:divId w:val="1791434612"/>
          <w:jc w:val="center"/>
        </w:trPr>
        <w:tc>
          <w:tcPr>
            <w:tcW w:w="3273" w:type="pct"/>
            <w:shd w:val="clear" w:color="auto" w:fill="CFF0FC"/>
            <w:tcMar>
              <w:top w:w="15" w:type="dxa"/>
              <w:left w:w="0" w:type="dxa"/>
              <w:bottom w:w="0" w:type="dxa"/>
              <w:right w:w="15" w:type="dxa"/>
            </w:tcMar>
            <w:hideMark/>
          </w:tcPr>
          <w:p w14:paraId="6D63126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Volatility</w:t>
            </w:r>
          </w:p>
        </w:tc>
        <w:tc>
          <w:tcPr>
            <w:tcW w:w="79" w:type="pct"/>
            <w:shd w:val="clear" w:color="auto" w:fill="CFF0FC"/>
            <w:tcMar>
              <w:top w:w="15" w:type="dxa"/>
              <w:left w:w="0" w:type="dxa"/>
              <w:bottom w:w="0" w:type="dxa"/>
              <w:right w:w="15" w:type="dxa"/>
            </w:tcMar>
            <w:vAlign w:val="bottom"/>
            <w:hideMark/>
          </w:tcPr>
          <w:p w14:paraId="0CC57CC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shd w:val="clear" w:color="auto" w:fill="CFF0FC"/>
            <w:tcMar>
              <w:top w:w="15" w:type="dxa"/>
              <w:left w:w="0" w:type="dxa"/>
              <w:bottom w:w="0" w:type="dxa"/>
              <w:right w:w="15" w:type="dxa"/>
            </w:tcMar>
            <w:vAlign w:val="bottom"/>
            <w:hideMark/>
          </w:tcPr>
          <w:p w14:paraId="0F5131F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CFF0FC"/>
            <w:noWrap/>
            <w:tcMar>
              <w:top w:w="15" w:type="dxa"/>
              <w:left w:w="0" w:type="dxa"/>
              <w:bottom w:w="0" w:type="dxa"/>
              <w:right w:w="15" w:type="dxa"/>
            </w:tcMar>
            <w:vAlign w:val="bottom"/>
            <w:hideMark/>
          </w:tcPr>
          <w:p w14:paraId="38F6AF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6AC0CBC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shd w:val="clear" w:color="auto" w:fill="CFF0FC"/>
            <w:tcMar>
              <w:top w:w="15" w:type="dxa"/>
              <w:left w:w="0" w:type="dxa"/>
              <w:bottom w:w="0" w:type="dxa"/>
              <w:right w:w="15" w:type="dxa"/>
            </w:tcMar>
            <w:vAlign w:val="bottom"/>
            <w:hideMark/>
          </w:tcPr>
          <w:p w14:paraId="0156CDF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CFF0FC"/>
            <w:noWrap/>
            <w:tcMar>
              <w:top w:w="15" w:type="dxa"/>
              <w:left w:w="0" w:type="dxa"/>
              <w:bottom w:w="0" w:type="dxa"/>
              <w:right w:w="15" w:type="dxa"/>
            </w:tcMar>
            <w:vAlign w:val="bottom"/>
            <w:hideMark/>
          </w:tcPr>
          <w:p w14:paraId="7A283E7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74F05A5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shd w:val="clear" w:color="auto" w:fill="CFF0FC"/>
            <w:tcMar>
              <w:top w:w="15" w:type="dxa"/>
              <w:left w:w="0" w:type="dxa"/>
              <w:bottom w:w="0" w:type="dxa"/>
              <w:right w:w="15" w:type="dxa"/>
            </w:tcMar>
            <w:vAlign w:val="bottom"/>
            <w:hideMark/>
          </w:tcPr>
          <w:p w14:paraId="43C72A4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CFF0FC"/>
            <w:noWrap/>
            <w:tcMar>
              <w:top w:w="15" w:type="dxa"/>
              <w:left w:w="0" w:type="dxa"/>
              <w:bottom w:w="0" w:type="dxa"/>
              <w:right w:w="15" w:type="dxa"/>
            </w:tcMar>
            <w:vAlign w:val="bottom"/>
            <w:hideMark/>
          </w:tcPr>
          <w:p w14:paraId="4AACC75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9A0FFC1" w14:textId="77777777">
        <w:trPr>
          <w:divId w:val="1791434612"/>
          <w:jc w:val="center"/>
        </w:trPr>
        <w:tc>
          <w:tcPr>
            <w:tcW w:w="3273" w:type="pct"/>
            <w:shd w:val="clear" w:color="auto" w:fill="FFFFFF"/>
            <w:tcMar>
              <w:top w:w="15" w:type="dxa"/>
              <w:left w:w="0" w:type="dxa"/>
              <w:bottom w:w="0" w:type="dxa"/>
              <w:right w:w="15" w:type="dxa"/>
            </w:tcMar>
            <w:hideMark/>
          </w:tcPr>
          <w:p w14:paraId="5711D3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Dividend yield</w:t>
            </w:r>
          </w:p>
        </w:tc>
        <w:tc>
          <w:tcPr>
            <w:tcW w:w="79" w:type="pct"/>
            <w:shd w:val="clear" w:color="auto" w:fill="FFFFFF"/>
            <w:tcMar>
              <w:top w:w="15" w:type="dxa"/>
              <w:left w:w="0" w:type="dxa"/>
              <w:bottom w:w="0" w:type="dxa"/>
              <w:right w:w="15" w:type="dxa"/>
            </w:tcMar>
            <w:vAlign w:val="bottom"/>
            <w:hideMark/>
          </w:tcPr>
          <w:p w14:paraId="61E849C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shd w:val="clear" w:color="auto" w:fill="FFFFFF"/>
            <w:tcMar>
              <w:top w:w="15" w:type="dxa"/>
              <w:left w:w="0" w:type="dxa"/>
              <w:bottom w:w="0" w:type="dxa"/>
              <w:right w:w="15" w:type="dxa"/>
            </w:tcMar>
            <w:vAlign w:val="bottom"/>
            <w:hideMark/>
          </w:tcPr>
          <w:p w14:paraId="2763EB1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left w:w="0" w:type="dxa"/>
              <w:bottom w:w="0" w:type="dxa"/>
              <w:right w:w="15" w:type="dxa"/>
            </w:tcMar>
            <w:vAlign w:val="bottom"/>
            <w:hideMark/>
          </w:tcPr>
          <w:p w14:paraId="3F3F360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7708DF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shd w:val="clear" w:color="auto" w:fill="FFFFFF"/>
            <w:tcMar>
              <w:top w:w="15" w:type="dxa"/>
              <w:left w:w="0" w:type="dxa"/>
              <w:bottom w:w="0" w:type="dxa"/>
              <w:right w:w="15" w:type="dxa"/>
            </w:tcMar>
            <w:vAlign w:val="bottom"/>
            <w:hideMark/>
          </w:tcPr>
          <w:p w14:paraId="2A67588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59BC2B7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22DBD70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shd w:val="clear" w:color="auto" w:fill="FFFFFF"/>
            <w:tcMar>
              <w:top w:w="15" w:type="dxa"/>
              <w:left w:w="0" w:type="dxa"/>
              <w:bottom w:w="0" w:type="dxa"/>
              <w:right w:w="15" w:type="dxa"/>
            </w:tcMar>
            <w:vAlign w:val="bottom"/>
            <w:hideMark/>
          </w:tcPr>
          <w:p w14:paraId="66D447B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78CFDEB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D5B6CEF" w14:textId="77777777">
        <w:trPr>
          <w:divId w:val="1791434612"/>
          <w:jc w:val="center"/>
        </w:trPr>
        <w:tc>
          <w:tcPr>
            <w:tcW w:w="3273" w:type="pct"/>
            <w:shd w:val="clear" w:color="auto" w:fill="CFF0FC"/>
            <w:tcMar>
              <w:top w:w="15" w:type="dxa"/>
              <w:left w:w="0" w:type="dxa"/>
              <w:bottom w:w="0" w:type="dxa"/>
              <w:right w:w="15" w:type="dxa"/>
            </w:tcMar>
            <w:hideMark/>
          </w:tcPr>
          <w:p w14:paraId="10807C2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Weighted-average fair value per share</w:t>
            </w:r>
          </w:p>
        </w:tc>
        <w:tc>
          <w:tcPr>
            <w:tcW w:w="79" w:type="pct"/>
            <w:shd w:val="clear" w:color="auto" w:fill="CFF0FC"/>
            <w:tcMar>
              <w:top w:w="15" w:type="dxa"/>
              <w:left w:w="0" w:type="dxa"/>
              <w:bottom w:w="0" w:type="dxa"/>
              <w:right w:w="15" w:type="dxa"/>
            </w:tcMar>
            <w:vAlign w:val="bottom"/>
            <w:hideMark/>
          </w:tcPr>
          <w:p w14:paraId="2C2709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98FC7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shd w:val="clear" w:color="auto" w:fill="CFF0FC"/>
            <w:noWrap/>
            <w:tcMar>
              <w:top w:w="15" w:type="dxa"/>
              <w:left w:w="0" w:type="dxa"/>
              <w:bottom w:w="0" w:type="dxa"/>
              <w:right w:w="15" w:type="dxa"/>
            </w:tcMar>
            <w:vAlign w:val="bottom"/>
            <w:hideMark/>
          </w:tcPr>
          <w:p w14:paraId="381A1C4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10.77</w:t>
            </w:r>
          </w:p>
        </w:tc>
        <w:tc>
          <w:tcPr>
            <w:tcW w:w="50" w:type="pct"/>
            <w:shd w:val="clear" w:color="auto" w:fill="CFF0FC"/>
            <w:noWrap/>
            <w:tcMar>
              <w:top w:w="15" w:type="dxa"/>
              <w:left w:w="0" w:type="dxa"/>
              <w:bottom w:w="0" w:type="dxa"/>
              <w:right w:w="15" w:type="dxa"/>
            </w:tcMar>
            <w:vAlign w:val="bottom"/>
            <w:hideMark/>
          </w:tcPr>
          <w:p w14:paraId="5CBB885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216B36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27AF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shd w:val="clear" w:color="auto" w:fill="CFF0FC"/>
            <w:noWrap/>
            <w:tcMar>
              <w:top w:w="15" w:type="dxa"/>
              <w:left w:w="0" w:type="dxa"/>
              <w:bottom w:w="0" w:type="dxa"/>
              <w:right w:w="15" w:type="dxa"/>
            </w:tcMar>
            <w:vAlign w:val="bottom"/>
            <w:hideMark/>
          </w:tcPr>
          <w:p w14:paraId="728901B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9.34</w:t>
            </w:r>
          </w:p>
        </w:tc>
        <w:tc>
          <w:tcPr>
            <w:tcW w:w="50" w:type="pct"/>
            <w:shd w:val="clear" w:color="auto" w:fill="CFF0FC"/>
            <w:noWrap/>
            <w:tcMar>
              <w:top w:w="15" w:type="dxa"/>
              <w:left w:w="0" w:type="dxa"/>
              <w:bottom w:w="0" w:type="dxa"/>
              <w:right w:w="15" w:type="dxa"/>
            </w:tcMar>
            <w:vAlign w:val="bottom"/>
            <w:hideMark/>
          </w:tcPr>
          <w:p w14:paraId="0D14722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646AED9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29D45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shd w:val="clear" w:color="auto" w:fill="CFF0FC"/>
            <w:noWrap/>
            <w:tcMar>
              <w:top w:w="15" w:type="dxa"/>
              <w:left w:w="0" w:type="dxa"/>
              <w:bottom w:w="0" w:type="dxa"/>
              <w:right w:w="15" w:type="dxa"/>
            </w:tcMar>
            <w:vAlign w:val="bottom"/>
            <w:hideMark/>
          </w:tcPr>
          <w:p w14:paraId="60C495B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8.18</w:t>
            </w:r>
          </w:p>
        </w:tc>
        <w:tc>
          <w:tcPr>
            <w:tcW w:w="50" w:type="pct"/>
            <w:shd w:val="clear" w:color="auto" w:fill="CFF0FC"/>
            <w:noWrap/>
            <w:tcMar>
              <w:top w:w="15" w:type="dxa"/>
              <w:left w:w="0" w:type="dxa"/>
              <w:bottom w:w="0" w:type="dxa"/>
              <w:right w:w="15" w:type="dxa"/>
            </w:tcMar>
            <w:vAlign w:val="bottom"/>
            <w:hideMark/>
          </w:tcPr>
          <w:p w14:paraId="70B0E559"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476EF25A" w14:textId="77777777" w:rsidR="00251D72" w:rsidRDefault="00251D72">
      <w:pPr>
        <w:pStyle w:val="a3"/>
        <w:spacing w:before="0" w:beforeAutospacing="0" w:after="0" w:afterAutospacing="0"/>
        <w:rPr>
          <w:sz w:val="12"/>
          <w:szCs w:val="12"/>
        </w:rPr>
      </w:pPr>
      <w:r>
        <w:rPr>
          <w:sz w:val="12"/>
          <w:szCs w:val="12"/>
        </w:rPr>
        <w:t> </w:t>
      </w:r>
    </w:p>
    <w:p w14:paraId="06544542"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The expected life input is based on historical exercise patterns and post-vesting termination behavior, the risk-free interest rate input is based on U.S. Treasury instruments, the annualized dividend yield input is based on the per share dividend declared by the Board, and the volatility input is calculated based on the implied volatility of our publicly traded options.</w:t>
      </w:r>
    </w:p>
    <w:p w14:paraId="69F1B14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estimated the fair values of the PSOs granted during fiscal 2018 at approximately $10 per share using a Monte Carlo simulation approach as of the grant date with the following assumptions: risk-free interest rate of 2.14%, expected term of seven years, expected volatility of 22.44% and dividend yield of 1.49%.</w:t>
      </w:r>
    </w:p>
    <w:p w14:paraId="782B6C8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Stock-based compensation expense is included in the following operating expense line items in our consolidated statements of operations:</w:t>
      </w:r>
    </w:p>
    <w:p w14:paraId="34F0430D"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428"/>
        <w:gridCol w:w="120"/>
        <w:gridCol w:w="117"/>
        <w:gridCol w:w="647"/>
        <w:gridCol w:w="76"/>
        <w:gridCol w:w="118"/>
        <w:gridCol w:w="117"/>
        <w:gridCol w:w="648"/>
        <w:gridCol w:w="76"/>
        <w:gridCol w:w="118"/>
        <w:gridCol w:w="117"/>
        <w:gridCol w:w="648"/>
        <w:gridCol w:w="76"/>
      </w:tblGrid>
      <w:tr w:rsidR="00251D72" w14:paraId="0DC08671" w14:textId="77777777">
        <w:trPr>
          <w:divId w:val="43336027"/>
          <w:jc w:val="center"/>
        </w:trPr>
        <w:tc>
          <w:tcPr>
            <w:tcW w:w="3273" w:type="pct"/>
            <w:shd w:val="clear" w:color="auto" w:fill="FFFFFF"/>
            <w:tcMar>
              <w:top w:w="15" w:type="dxa"/>
              <w:left w:w="0" w:type="dxa"/>
              <w:bottom w:w="0" w:type="dxa"/>
              <w:right w:w="15" w:type="dxa"/>
            </w:tcMar>
            <w:vAlign w:val="bottom"/>
            <w:hideMark/>
          </w:tcPr>
          <w:p w14:paraId="00491DDF" w14:textId="77777777" w:rsidR="00251D72" w:rsidRDefault="00251D72">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100BA6D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6" w:type="pct"/>
            <w:gridSpan w:val="10"/>
            <w:tcBorders>
              <w:bottom w:val="single" w:sz="6" w:space="0" w:color="000000"/>
            </w:tcBorders>
            <w:shd w:val="clear" w:color="auto" w:fill="FFFFFF"/>
            <w:tcMar>
              <w:top w:w="15" w:type="dxa"/>
              <w:left w:w="0" w:type="dxa"/>
              <w:bottom w:w="0" w:type="dxa"/>
              <w:right w:w="15" w:type="dxa"/>
            </w:tcMar>
            <w:vAlign w:val="bottom"/>
            <w:hideMark/>
          </w:tcPr>
          <w:p w14:paraId="2A0B594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106BAC6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EFDC6EA" w14:textId="77777777">
        <w:trPr>
          <w:divId w:val="43336027"/>
          <w:jc w:val="center"/>
        </w:trPr>
        <w:tc>
          <w:tcPr>
            <w:tcW w:w="3273" w:type="pct"/>
            <w:tcBorders>
              <w:bottom w:val="single" w:sz="6" w:space="0" w:color="000000"/>
            </w:tcBorders>
            <w:shd w:val="clear" w:color="auto" w:fill="FFFFFF"/>
            <w:tcMar>
              <w:top w:w="15" w:type="dxa"/>
              <w:left w:w="0" w:type="dxa"/>
              <w:bottom w:w="0" w:type="dxa"/>
              <w:right w:w="15" w:type="dxa"/>
            </w:tcMar>
            <w:vAlign w:val="bottom"/>
            <w:hideMark/>
          </w:tcPr>
          <w:p w14:paraId="2DF24CE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left w:w="0" w:type="dxa"/>
              <w:bottom w:w="0" w:type="dxa"/>
              <w:right w:w="15" w:type="dxa"/>
            </w:tcMar>
            <w:vAlign w:val="bottom"/>
            <w:hideMark/>
          </w:tcPr>
          <w:p w14:paraId="437E22E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0E971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1FC83C8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5FC5FC3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691A7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60298E0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353A052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E53B0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2E1677C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FA00EFC" w14:textId="77777777">
        <w:trPr>
          <w:divId w:val="43336027"/>
          <w:jc w:val="center"/>
        </w:trPr>
        <w:tc>
          <w:tcPr>
            <w:tcW w:w="3273" w:type="pct"/>
            <w:tcBorders>
              <w:top w:val="single" w:sz="6" w:space="0" w:color="000000"/>
            </w:tcBorders>
            <w:shd w:val="clear" w:color="auto" w:fill="CFF0FC"/>
            <w:tcMar>
              <w:top w:w="15" w:type="dxa"/>
              <w:left w:w="0" w:type="dxa"/>
              <w:bottom w:w="0" w:type="dxa"/>
              <w:right w:w="15" w:type="dxa"/>
            </w:tcMar>
            <w:hideMark/>
          </w:tcPr>
          <w:p w14:paraId="58C4CCA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79" w:type="pct"/>
            <w:shd w:val="clear" w:color="auto" w:fill="CFF0FC"/>
            <w:tcMar>
              <w:top w:w="15" w:type="dxa"/>
              <w:left w:w="0" w:type="dxa"/>
              <w:bottom w:w="0" w:type="dxa"/>
              <w:right w:w="15" w:type="dxa"/>
            </w:tcMar>
            <w:vAlign w:val="bottom"/>
            <w:hideMark/>
          </w:tcPr>
          <w:p w14:paraId="10EB439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8C981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28B2EEC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99</w:t>
            </w:r>
          </w:p>
        </w:tc>
        <w:tc>
          <w:tcPr>
            <w:tcW w:w="50" w:type="pct"/>
            <w:shd w:val="clear" w:color="auto" w:fill="CFF0FC"/>
            <w:noWrap/>
            <w:tcMar>
              <w:top w:w="15" w:type="dxa"/>
              <w:left w:w="0" w:type="dxa"/>
              <w:bottom w:w="0" w:type="dxa"/>
              <w:right w:w="15" w:type="dxa"/>
            </w:tcMar>
            <w:vAlign w:val="bottom"/>
            <w:hideMark/>
          </w:tcPr>
          <w:p w14:paraId="737F85B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7E39782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C32C5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4388B3B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82</w:t>
            </w:r>
          </w:p>
        </w:tc>
        <w:tc>
          <w:tcPr>
            <w:tcW w:w="50" w:type="pct"/>
            <w:shd w:val="clear" w:color="auto" w:fill="CFF0FC"/>
            <w:noWrap/>
            <w:tcMar>
              <w:top w:w="15" w:type="dxa"/>
              <w:left w:w="0" w:type="dxa"/>
              <w:bottom w:w="0" w:type="dxa"/>
              <w:right w:w="15" w:type="dxa"/>
            </w:tcMar>
            <w:vAlign w:val="bottom"/>
            <w:hideMark/>
          </w:tcPr>
          <w:p w14:paraId="6E6235A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48B2771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1901C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10A0593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54</w:t>
            </w:r>
          </w:p>
        </w:tc>
        <w:tc>
          <w:tcPr>
            <w:tcW w:w="50" w:type="pct"/>
            <w:shd w:val="clear" w:color="auto" w:fill="CFF0FC"/>
            <w:noWrap/>
            <w:tcMar>
              <w:top w:w="15" w:type="dxa"/>
              <w:left w:w="0" w:type="dxa"/>
              <w:bottom w:w="0" w:type="dxa"/>
              <w:right w:w="15" w:type="dxa"/>
            </w:tcMar>
            <w:vAlign w:val="bottom"/>
            <w:hideMark/>
          </w:tcPr>
          <w:p w14:paraId="728B935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035D6D8" w14:textId="77777777">
        <w:trPr>
          <w:divId w:val="43336027"/>
          <w:jc w:val="center"/>
        </w:trPr>
        <w:tc>
          <w:tcPr>
            <w:tcW w:w="3273" w:type="pct"/>
            <w:shd w:val="clear" w:color="auto" w:fill="FFFFFF"/>
            <w:tcMar>
              <w:top w:w="15" w:type="dxa"/>
              <w:left w:w="0" w:type="dxa"/>
              <w:bottom w:w="0" w:type="dxa"/>
              <w:right w:w="15" w:type="dxa"/>
            </w:tcMar>
            <w:hideMark/>
          </w:tcPr>
          <w:p w14:paraId="6A6BDFB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Hardware</w:t>
            </w:r>
          </w:p>
        </w:tc>
        <w:tc>
          <w:tcPr>
            <w:tcW w:w="79" w:type="pct"/>
            <w:shd w:val="clear" w:color="auto" w:fill="FFFFFF"/>
            <w:tcMar>
              <w:top w:w="15" w:type="dxa"/>
              <w:left w:w="0" w:type="dxa"/>
              <w:bottom w:w="0" w:type="dxa"/>
              <w:right w:w="15" w:type="dxa"/>
            </w:tcMar>
            <w:vAlign w:val="bottom"/>
            <w:hideMark/>
          </w:tcPr>
          <w:p w14:paraId="4773622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893B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1BC5F67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left w:w="0" w:type="dxa"/>
              <w:bottom w:w="0" w:type="dxa"/>
              <w:right w:w="15" w:type="dxa"/>
            </w:tcMar>
            <w:vAlign w:val="bottom"/>
            <w:hideMark/>
          </w:tcPr>
          <w:p w14:paraId="148CF22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7E334BA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E99B4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6CF6144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left w:w="0" w:type="dxa"/>
              <w:bottom w:w="0" w:type="dxa"/>
              <w:right w:w="15" w:type="dxa"/>
            </w:tcMar>
            <w:vAlign w:val="bottom"/>
            <w:hideMark/>
          </w:tcPr>
          <w:p w14:paraId="3775F2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42EB473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16D7B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225DD10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noWrap/>
            <w:tcMar>
              <w:top w:w="15" w:type="dxa"/>
              <w:left w:w="0" w:type="dxa"/>
              <w:bottom w:w="0" w:type="dxa"/>
              <w:right w:w="15" w:type="dxa"/>
            </w:tcMar>
            <w:vAlign w:val="bottom"/>
            <w:hideMark/>
          </w:tcPr>
          <w:p w14:paraId="0428118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C549FDD" w14:textId="77777777">
        <w:trPr>
          <w:divId w:val="43336027"/>
          <w:jc w:val="center"/>
        </w:trPr>
        <w:tc>
          <w:tcPr>
            <w:tcW w:w="3273" w:type="pct"/>
            <w:shd w:val="clear" w:color="auto" w:fill="CFF0FC"/>
            <w:tcMar>
              <w:top w:w="15" w:type="dxa"/>
              <w:left w:w="0" w:type="dxa"/>
              <w:bottom w:w="0" w:type="dxa"/>
              <w:right w:w="15" w:type="dxa"/>
            </w:tcMar>
            <w:hideMark/>
          </w:tcPr>
          <w:p w14:paraId="7C7FCBA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Services</w:t>
            </w:r>
          </w:p>
        </w:tc>
        <w:tc>
          <w:tcPr>
            <w:tcW w:w="79" w:type="pct"/>
            <w:shd w:val="clear" w:color="auto" w:fill="CFF0FC"/>
            <w:tcMar>
              <w:top w:w="15" w:type="dxa"/>
              <w:left w:w="0" w:type="dxa"/>
              <w:bottom w:w="0" w:type="dxa"/>
              <w:right w:w="15" w:type="dxa"/>
            </w:tcMar>
            <w:vAlign w:val="bottom"/>
            <w:hideMark/>
          </w:tcPr>
          <w:p w14:paraId="4DB56FF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94E83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1F9C5FA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left w:w="0" w:type="dxa"/>
              <w:bottom w:w="0" w:type="dxa"/>
              <w:right w:w="15" w:type="dxa"/>
            </w:tcMar>
            <w:vAlign w:val="bottom"/>
            <w:hideMark/>
          </w:tcPr>
          <w:p w14:paraId="4D0DE72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29689A9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CFF057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4E80AC8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w:t>
            </w:r>
          </w:p>
        </w:tc>
        <w:tc>
          <w:tcPr>
            <w:tcW w:w="50" w:type="pct"/>
            <w:shd w:val="clear" w:color="auto" w:fill="CFF0FC"/>
            <w:noWrap/>
            <w:tcMar>
              <w:top w:w="15" w:type="dxa"/>
              <w:left w:w="0" w:type="dxa"/>
              <w:bottom w:w="0" w:type="dxa"/>
              <w:right w:w="15" w:type="dxa"/>
            </w:tcMar>
            <w:vAlign w:val="bottom"/>
            <w:hideMark/>
          </w:tcPr>
          <w:p w14:paraId="3968514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7203B3A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3105F8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762E28C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CFF0FC"/>
            <w:noWrap/>
            <w:tcMar>
              <w:top w:w="15" w:type="dxa"/>
              <w:left w:w="0" w:type="dxa"/>
              <w:bottom w:w="0" w:type="dxa"/>
              <w:right w:w="15" w:type="dxa"/>
            </w:tcMar>
            <w:vAlign w:val="bottom"/>
            <w:hideMark/>
          </w:tcPr>
          <w:p w14:paraId="63DFD0A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86463DB" w14:textId="77777777">
        <w:trPr>
          <w:divId w:val="43336027"/>
          <w:jc w:val="center"/>
        </w:trPr>
        <w:tc>
          <w:tcPr>
            <w:tcW w:w="3273" w:type="pct"/>
            <w:shd w:val="clear" w:color="auto" w:fill="FFFFFF"/>
            <w:tcMar>
              <w:top w:w="15" w:type="dxa"/>
              <w:left w:w="0" w:type="dxa"/>
              <w:bottom w:w="0" w:type="dxa"/>
              <w:right w:w="15" w:type="dxa"/>
            </w:tcMar>
            <w:hideMark/>
          </w:tcPr>
          <w:p w14:paraId="7585AB2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Sales and marketing</w:t>
            </w:r>
          </w:p>
        </w:tc>
        <w:tc>
          <w:tcPr>
            <w:tcW w:w="79" w:type="pct"/>
            <w:shd w:val="clear" w:color="auto" w:fill="FFFFFF"/>
            <w:tcMar>
              <w:top w:w="15" w:type="dxa"/>
              <w:left w:w="0" w:type="dxa"/>
              <w:bottom w:w="0" w:type="dxa"/>
              <w:right w:w="15" w:type="dxa"/>
            </w:tcMar>
            <w:vAlign w:val="bottom"/>
            <w:hideMark/>
          </w:tcPr>
          <w:p w14:paraId="240447D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44FE5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18DF07E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360</w:t>
            </w:r>
          </w:p>
        </w:tc>
        <w:tc>
          <w:tcPr>
            <w:tcW w:w="50" w:type="pct"/>
            <w:shd w:val="clear" w:color="auto" w:fill="FFFFFF"/>
            <w:noWrap/>
            <w:tcMar>
              <w:top w:w="15" w:type="dxa"/>
              <w:left w:w="0" w:type="dxa"/>
              <w:bottom w:w="0" w:type="dxa"/>
              <w:right w:w="15" w:type="dxa"/>
            </w:tcMar>
            <w:vAlign w:val="bottom"/>
            <w:hideMark/>
          </w:tcPr>
          <w:p w14:paraId="3F3F2C1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758C56C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E944D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4702C96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361</w:t>
            </w:r>
          </w:p>
        </w:tc>
        <w:tc>
          <w:tcPr>
            <w:tcW w:w="50" w:type="pct"/>
            <w:shd w:val="clear" w:color="auto" w:fill="FFFFFF"/>
            <w:noWrap/>
            <w:tcMar>
              <w:top w:w="15" w:type="dxa"/>
              <w:left w:w="0" w:type="dxa"/>
              <w:bottom w:w="0" w:type="dxa"/>
              <w:right w:w="15" w:type="dxa"/>
            </w:tcMar>
            <w:vAlign w:val="bottom"/>
            <w:hideMark/>
          </w:tcPr>
          <w:p w14:paraId="50F4E0A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5D5AA8D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0C92A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4F62FA3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306</w:t>
            </w:r>
          </w:p>
        </w:tc>
        <w:tc>
          <w:tcPr>
            <w:tcW w:w="50" w:type="pct"/>
            <w:shd w:val="clear" w:color="auto" w:fill="FFFFFF"/>
            <w:noWrap/>
            <w:tcMar>
              <w:top w:w="15" w:type="dxa"/>
              <w:left w:w="0" w:type="dxa"/>
              <w:bottom w:w="0" w:type="dxa"/>
              <w:right w:w="15" w:type="dxa"/>
            </w:tcMar>
            <w:vAlign w:val="bottom"/>
            <w:hideMark/>
          </w:tcPr>
          <w:p w14:paraId="2326F3D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8E3119C" w14:textId="77777777">
        <w:trPr>
          <w:divId w:val="43336027"/>
          <w:jc w:val="center"/>
        </w:trPr>
        <w:tc>
          <w:tcPr>
            <w:tcW w:w="3273" w:type="pct"/>
            <w:shd w:val="clear" w:color="auto" w:fill="CFF0FC"/>
            <w:tcMar>
              <w:top w:w="15" w:type="dxa"/>
              <w:left w:w="0" w:type="dxa"/>
              <w:bottom w:w="0" w:type="dxa"/>
              <w:right w:w="15" w:type="dxa"/>
            </w:tcMar>
            <w:hideMark/>
          </w:tcPr>
          <w:p w14:paraId="2E57949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79" w:type="pct"/>
            <w:shd w:val="clear" w:color="auto" w:fill="CFF0FC"/>
            <w:tcMar>
              <w:top w:w="15" w:type="dxa"/>
              <w:left w:w="0" w:type="dxa"/>
              <w:bottom w:w="0" w:type="dxa"/>
              <w:right w:w="15" w:type="dxa"/>
            </w:tcMar>
            <w:vAlign w:val="bottom"/>
            <w:hideMark/>
          </w:tcPr>
          <w:p w14:paraId="70ED0C8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06411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77FB725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963</w:t>
            </w:r>
          </w:p>
        </w:tc>
        <w:tc>
          <w:tcPr>
            <w:tcW w:w="50" w:type="pct"/>
            <w:shd w:val="clear" w:color="auto" w:fill="CFF0FC"/>
            <w:noWrap/>
            <w:tcMar>
              <w:top w:w="15" w:type="dxa"/>
              <w:left w:w="0" w:type="dxa"/>
              <w:bottom w:w="0" w:type="dxa"/>
              <w:right w:w="15" w:type="dxa"/>
            </w:tcMar>
            <w:vAlign w:val="bottom"/>
            <w:hideMark/>
          </w:tcPr>
          <w:p w14:paraId="045F01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4BDA888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9B4F7F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4E9A874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921</w:t>
            </w:r>
          </w:p>
        </w:tc>
        <w:tc>
          <w:tcPr>
            <w:tcW w:w="50" w:type="pct"/>
            <w:shd w:val="clear" w:color="auto" w:fill="CFF0FC"/>
            <w:noWrap/>
            <w:tcMar>
              <w:top w:w="15" w:type="dxa"/>
              <w:left w:w="0" w:type="dxa"/>
              <w:bottom w:w="0" w:type="dxa"/>
              <w:right w:w="15" w:type="dxa"/>
            </w:tcMar>
            <w:vAlign w:val="bottom"/>
            <w:hideMark/>
          </w:tcPr>
          <w:p w14:paraId="19450EA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0950F92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736C7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2114F18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770</w:t>
            </w:r>
          </w:p>
        </w:tc>
        <w:tc>
          <w:tcPr>
            <w:tcW w:w="50" w:type="pct"/>
            <w:shd w:val="clear" w:color="auto" w:fill="CFF0FC"/>
            <w:noWrap/>
            <w:tcMar>
              <w:top w:w="15" w:type="dxa"/>
              <w:left w:w="0" w:type="dxa"/>
              <w:bottom w:w="0" w:type="dxa"/>
              <w:right w:w="15" w:type="dxa"/>
            </w:tcMar>
            <w:vAlign w:val="bottom"/>
            <w:hideMark/>
          </w:tcPr>
          <w:p w14:paraId="3B82181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F3DFCAE" w14:textId="77777777">
        <w:trPr>
          <w:divId w:val="43336027"/>
          <w:jc w:val="center"/>
        </w:trPr>
        <w:tc>
          <w:tcPr>
            <w:tcW w:w="3273" w:type="pct"/>
            <w:shd w:val="clear" w:color="auto" w:fill="FFFFFF"/>
            <w:tcMar>
              <w:top w:w="15" w:type="dxa"/>
              <w:left w:w="0" w:type="dxa"/>
              <w:bottom w:w="0" w:type="dxa"/>
              <w:right w:w="15" w:type="dxa"/>
            </w:tcMar>
            <w:hideMark/>
          </w:tcPr>
          <w:p w14:paraId="0A274CB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79" w:type="pct"/>
            <w:shd w:val="clear" w:color="auto" w:fill="FFFFFF"/>
            <w:tcMar>
              <w:top w:w="15" w:type="dxa"/>
              <w:left w:w="0" w:type="dxa"/>
              <w:bottom w:w="0" w:type="dxa"/>
              <w:right w:w="15" w:type="dxa"/>
            </w:tcMar>
            <w:vAlign w:val="bottom"/>
            <w:hideMark/>
          </w:tcPr>
          <w:p w14:paraId="20B5CC9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7574D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2A11709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172</w:t>
            </w:r>
          </w:p>
        </w:tc>
        <w:tc>
          <w:tcPr>
            <w:tcW w:w="50" w:type="pct"/>
            <w:shd w:val="clear" w:color="auto" w:fill="FFFFFF"/>
            <w:noWrap/>
            <w:tcMar>
              <w:top w:w="15" w:type="dxa"/>
              <w:left w:w="0" w:type="dxa"/>
              <w:bottom w:w="0" w:type="dxa"/>
              <w:right w:w="15" w:type="dxa"/>
            </w:tcMar>
            <w:vAlign w:val="bottom"/>
            <w:hideMark/>
          </w:tcPr>
          <w:p w14:paraId="7A1857B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12E92C8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5DB0A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234FA5D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180</w:t>
            </w:r>
          </w:p>
        </w:tc>
        <w:tc>
          <w:tcPr>
            <w:tcW w:w="50" w:type="pct"/>
            <w:shd w:val="clear" w:color="auto" w:fill="FFFFFF"/>
            <w:noWrap/>
            <w:tcMar>
              <w:top w:w="15" w:type="dxa"/>
              <w:left w:w="0" w:type="dxa"/>
              <w:bottom w:w="0" w:type="dxa"/>
              <w:right w:w="15" w:type="dxa"/>
            </w:tcMar>
            <w:vAlign w:val="bottom"/>
            <w:hideMark/>
          </w:tcPr>
          <w:p w14:paraId="41998CB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3AB7DB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72CF6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618BFA5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130</w:t>
            </w:r>
          </w:p>
        </w:tc>
        <w:tc>
          <w:tcPr>
            <w:tcW w:w="50" w:type="pct"/>
            <w:shd w:val="clear" w:color="auto" w:fill="FFFFFF"/>
            <w:noWrap/>
            <w:tcMar>
              <w:top w:w="15" w:type="dxa"/>
              <w:left w:w="0" w:type="dxa"/>
              <w:bottom w:w="0" w:type="dxa"/>
              <w:right w:w="15" w:type="dxa"/>
            </w:tcMar>
            <w:vAlign w:val="bottom"/>
            <w:hideMark/>
          </w:tcPr>
          <w:p w14:paraId="521087F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A555877" w14:textId="77777777">
        <w:trPr>
          <w:divId w:val="43336027"/>
          <w:jc w:val="center"/>
        </w:trPr>
        <w:tc>
          <w:tcPr>
            <w:tcW w:w="3273" w:type="pct"/>
            <w:shd w:val="clear" w:color="auto" w:fill="CFF0FC"/>
            <w:tcMar>
              <w:top w:w="15" w:type="dxa"/>
              <w:left w:w="0" w:type="dxa"/>
              <w:bottom w:w="0" w:type="dxa"/>
              <w:right w:w="15" w:type="dxa"/>
            </w:tcMar>
            <w:hideMark/>
          </w:tcPr>
          <w:p w14:paraId="68137E2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Acquisition related and other</w:t>
            </w:r>
          </w:p>
        </w:tc>
        <w:tc>
          <w:tcPr>
            <w:tcW w:w="79" w:type="pct"/>
            <w:shd w:val="clear" w:color="auto" w:fill="CFF0FC"/>
            <w:tcMar>
              <w:top w:w="15" w:type="dxa"/>
              <w:left w:w="0" w:type="dxa"/>
              <w:bottom w:w="0" w:type="dxa"/>
              <w:right w:w="15" w:type="dxa"/>
            </w:tcMar>
            <w:vAlign w:val="bottom"/>
            <w:hideMark/>
          </w:tcPr>
          <w:p w14:paraId="4EDB30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9E451A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571D0EA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0C7926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534857A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958750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718E0D3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719EE7D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7831786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CE5CC8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36E45CA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CFF0FC"/>
            <w:noWrap/>
            <w:tcMar>
              <w:top w:w="15" w:type="dxa"/>
              <w:left w:w="0" w:type="dxa"/>
              <w:bottom w:w="0" w:type="dxa"/>
              <w:right w:w="15" w:type="dxa"/>
            </w:tcMar>
            <w:vAlign w:val="bottom"/>
            <w:hideMark/>
          </w:tcPr>
          <w:p w14:paraId="71C2D43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43F46FB" w14:textId="77777777">
        <w:trPr>
          <w:divId w:val="43336027"/>
          <w:jc w:val="center"/>
        </w:trPr>
        <w:tc>
          <w:tcPr>
            <w:tcW w:w="3273" w:type="pct"/>
            <w:shd w:val="clear" w:color="auto" w:fill="FFFFFF"/>
            <w:tcMar>
              <w:top w:w="15" w:type="dxa"/>
              <w:left w:w="0" w:type="dxa"/>
              <w:bottom w:w="0" w:type="dxa"/>
              <w:right w:w="15" w:type="dxa"/>
            </w:tcMar>
            <w:hideMark/>
          </w:tcPr>
          <w:p w14:paraId="172FB682"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stock-based compensation</w:t>
            </w:r>
          </w:p>
        </w:tc>
        <w:tc>
          <w:tcPr>
            <w:tcW w:w="79" w:type="pct"/>
            <w:shd w:val="clear" w:color="auto" w:fill="FFFFFF"/>
            <w:tcMar>
              <w:top w:w="15" w:type="dxa"/>
              <w:left w:w="0" w:type="dxa"/>
              <w:bottom w:w="0" w:type="dxa"/>
              <w:right w:w="15" w:type="dxa"/>
            </w:tcMar>
            <w:vAlign w:val="bottom"/>
            <w:hideMark/>
          </w:tcPr>
          <w:p w14:paraId="1C79549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5AE397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7E018B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1,653</w:t>
            </w:r>
          </w:p>
        </w:tc>
        <w:tc>
          <w:tcPr>
            <w:tcW w:w="50" w:type="pct"/>
            <w:shd w:val="clear" w:color="auto" w:fill="FFFFFF"/>
            <w:noWrap/>
            <w:tcMar>
              <w:top w:w="15" w:type="dxa"/>
              <w:left w:w="0" w:type="dxa"/>
              <w:bottom w:w="0" w:type="dxa"/>
              <w:right w:w="15" w:type="dxa"/>
            </w:tcMar>
            <w:vAlign w:val="bottom"/>
            <w:hideMark/>
          </w:tcPr>
          <w:p w14:paraId="2B2140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35B66F2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2D26C9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9D367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1,607</w:t>
            </w:r>
          </w:p>
        </w:tc>
        <w:tc>
          <w:tcPr>
            <w:tcW w:w="50" w:type="pct"/>
            <w:shd w:val="clear" w:color="auto" w:fill="FFFFFF"/>
            <w:noWrap/>
            <w:tcMar>
              <w:top w:w="15" w:type="dxa"/>
              <w:left w:w="0" w:type="dxa"/>
              <w:bottom w:w="0" w:type="dxa"/>
              <w:right w:w="15" w:type="dxa"/>
            </w:tcMar>
            <w:vAlign w:val="bottom"/>
            <w:hideMark/>
          </w:tcPr>
          <w:p w14:paraId="233E9F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3486A8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CF006C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F41782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1,350</w:t>
            </w:r>
          </w:p>
        </w:tc>
        <w:tc>
          <w:tcPr>
            <w:tcW w:w="50" w:type="pct"/>
            <w:shd w:val="clear" w:color="auto" w:fill="FFFFFF"/>
            <w:noWrap/>
            <w:tcMar>
              <w:top w:w="15" w:type="dxa"/>
              <w:left w:w="0" w:type="dxa"/>
              <w:bottom w:w="0" w:type="dxa"/>
              <w:right w:w="15" w:type="dxa"/>
            </w:tcMar>
            <w:vAlign w:val="bottom"/>
            <w:hideMark/>
          </w:tcPr>
          <w:p w14:paraId="5DAB6B4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751F375" w14:textId="77777777">
        <w:trPr>
          <w:divId w:val="43336027"/>
          <w:jc w:val="center"/>
        </w:trPr>
        <w:tc>
          <w:tcPr>
            <w:tcW w:w="3273" w:type="pct"/>
            <w:shd w:val="clear" w:color="auto" w:fill="CFF0FC"/>
            <w:tcMar>
              <w:top w:w="15" w:type="dxa"/>
              <w:left w:w="0" w:type="dxa"/>
              <w:bottom w:w="0" w:type="dxa"/>
              <w:right w:w="15" w:type="dxa"/>
            </w:tcMar>
            <w:hideMark/>
          </w:tcPr>
          <w:p w14:paraId="5A92C9E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Estimated income tax benefit included in provision for income taxes</w:t>
            </w:r>
          </w:p>
        </w:tc>
        <w:tc>
          <w:tcPr>
            <w:tcW w:w="79" w:type="pct"/>
            <w:shd w:val="clear" w:color="auto" w:fill="CFF0FC"/>
            <w:tcMar>
              <w:top w:w="15" w:type="dxa"/>
              <w:left w:w="0" w:type="dxa"/>
              <w:bottom w:w="0" w:type="dxa"/>
              <w:right w:w="15" w:type="dxa"/>
            </w:tcMar>
            <w:vAlign w:val="bottom"/>
            <w:hideMark/>
          </w:tcPr>
          <w:p w14:paraId="4C5857A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428102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000FB5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(358</w:t>
            </w:r>
          </w:p>
        </w:tc>
        <w:tc>
          <w:tcPr>
            <w:tcW w:w="50" w:type="pct"/>
            <w:shd w:val="clear" w:color="auto" w:fill="CFF0FC"/>
            <w:noWrap/>
            <w:tcMar>
              <w:top w:w="15" w:type="dxa"/>
              <w:left w:w="0" w:type="dxa"/>
              <w:bottom w:w="0" w:type="dxa"/>
              <w:right w:w="15" w:type="dxa"/>
            </w:tcMar>
            <w:vAlign w:val="bottom"/>
            <w:hideMark/>
          </w:tcPr>
          <w:p w14:paraId="00B6272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6709872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39361B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817F69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(451</w:t>
            </w:r>
          </w:p>
        </w:tc>
        <w:tc>
          <w:tcPr>
            <w:tcW w:w="50" w:type="pct"/>
            <w:shd w:val="clear" w:color="auto" w:fill="CFF0FC"/>
            <w:noWrap/>
            <w:tcMar>
              <w:top w:w="15" w:type="dxa"/>
              <w:left w:w="0" w:type="dxa"/>
              <w:bottom w:w="0" w:type="dxa"/>
              <w:right w:w="15" w:type="dxa"/>
            </w:tcMar>
            <w:vAlign w:val="bottom"/>
            <w:hideMark/>
          </w:tcPr>
          <w:p w14:paraId="4A5C65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55AB438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64AC92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E144DC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(423</w:t>
            </w:r>
          </w:p>
        </w:tc>
        <w:tc>
          <w:tcPr>
            <w:tcW w:w="50" w:type="pct"/>
            <w:shd w:val="clear" w:color="auto" w:fill="CFF0FC"/>
            <w:noWrap/>
            <w:tcMar>
              <w:top w:w="15" w:type="dxa"/>
              <w:left w:w="0" w:type="dxa"/>
              <w:bottom w:w="0" w:type="dxa"/>
              <w:right w:w="15" w:type="dxa"/>
            </w:tcMar>
            <w:vAlign w:val="bottom"/>
            <w:hideMark/>
          </w:tcPr>
          <w:p w14:paraId="0BF8153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428F49F5" w14:textId="77777777">
        <w:trPr>
          <w:divId w:val="43336027"/>
          <w:jc w:val="center"/>
        </w:trPr>
        <w:tc>
          <w:tcPr>
            <w:tcW w:w="3273" w:type="pct"/>
            <w:shd w:val="clear" w:color="auto" w:fill="FFFFFF"/>
            <w:tcMar>
              <w:top w:w="15" w:type="dxa"/>
              <w:left w:w="0" w:type="dxa"/>
              <w:bottom w:w="0" w:type="dxa"/>
              <w:right w:w="15" w:type="dxa"/>
            </w:tcMar>
            <w:hideMark/>
          </w:tcPr>
          <w:p w14:paraId="2DF5B69B"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stock-based compensation, net of estimated income tax benefit</w:t>
            </w:r>
          </w:p>
        </w:tc>
        <w:tc>
          <w:tcPr>
            <w:tcW w:w="79" w:type="pct"/>
            <w:shd w:val="clear" w:color="auto" w:fill="FFFFFF"/>
            <w:tcMar>
              <w:top w:w="15" w:type="dxa"/>
              <w:left w:w="0" w:type="dxa"/>
              <w:bottom w:w="0" w:type="dxa"/>
              <w:right w:w="15" w:type="dxa"/>
            </w:tcMar>
            <w:vAlign w:val="bottom"/>
            <w:hideMark/>
          </w:tcPr>
          <w:p w14:paraId="466B2F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13B1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91BE3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1,295</w:t>
            </w:r>
          </w:p>
        </w:tc>
        <w:tc>
          <w:tcPr>
            <w:tcW w:w="50" w:type="pct"/>
            <w:shd w:val="clear" w:color="auto" w:fill="FFFFFF"/>
            <w:noWrap/>
            <w:tcMar>
              <w:top w:w="15" w:type="dxa"/>
              <w:left w:w="0" w:type="dxa"/>
              <w:bottom w:w="0" w:type="dxa"/>
              <w:right w:w="15" w:type="dxa"/>
            </w:tcMar>
            <w:vAlign w:val="bottom"/>
            <w:hideMark/>
          </w:tcPr>
          <w:p w14:paraId="293ADFD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52AA9D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78ED2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2FC90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1,156</w:t>
            </w:r>
          </w:p>
        </w:tc>
        <w:tc>
          <w:tcPr>
            <w:tcW w:w="50" w:type="pct"/>
            <w:shd w:val="clear" w:color="auto" w:fill="FFFFFF"/>
            <w:noWrap/>
            <w:tcMar>
              <w:top w:w="15" w:type="dxa"/>
              <w:left w:w="0" w:type="dxa"/>
              <w:bottom w:w="0" w:type="dxa"/>
              <w:right w:w="15" w:type="dxa"/>
            </w:tcMar>
            <w:vAlign w:val="bottom"/>
            <w:hideMark/>
          </w:tcPr>
          <w:p w14:paraId="7C3F670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276184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2B3BE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A61E6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927</w:t>
            </w:r>
          </w:p>
        </w:tc>
        <w:tc>
          <w:tcPr>
            <w:tcW w:w="50" w:type="pct"/>
            <w:shd w:val="clear" w:color="auto" w:fill="FFFFFF"/>
            <w:noWrap/>
            <w:tcMar>
              <w:top w:w="15" w:type="dxa"/>
              <w:left w:w="0" w:type="dxa"/>
              <w:bottom w:w="0" w:type="dxa"/>
              <w:right w:w="15" w:type="dxa"/>
            </w:tcMar>
            <w:vAlign w:val="bottom"/>
            <w:hideMark/>
          </w:tcPr>
          <w:p w14:paraId="5BEA320F"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E15140C" w14:textId="77777777" w:rsidR="00251D72" w:rsidRDefault="00251D72">
      <w:pPr>
        <w:pStyle w:val="a3"/>
        <w:spacing w:before="0" w:beforeAutospacing="0" w:after="0" w:afterAutospacing="0"/>
        <w:rPr>
          <w:sz w:val="12"/>
          <w:szCs w:val="12"/>
        </w:rPr>
      </w:pPr>
      <w:r>
        <w:rPr>
          <w:sz w:val="12"/>
          <w:szCs w:val="12"/>
        </w:rPr>
        <w:t> </w:t>
      </w:r>
    </w:p>
    <w:p w14:paraId="59AED43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u w:val="single"/>
        </w:rPr>
        <w:t>Tax Benefits from Exercises of Stock Options and Vesting of Restricted Stock-Based Awards</w:t>
      </w:r>
    </w:p>
    <w:p w14:paraId="23113E1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Total cash received as a result of option exercises was approximately $2.0 billion, $2.3 billion and $2.1 billion for fiscal 2019, 2018 and 2017, respectively. The total aggregate intrinsic value of restricted stock-based awards that vested and were issued and stock options that were exercised was $3.1 billion, $3.0 billion and $2.0 billion for fiscal 2019, 2018 and 2017, respectively. In connection with the vesting and issuance of restricted stock-based awards and stock options that were exercised, the tax benefits realized by us were $692 million, $860 million and $614 million for fiscal 2019, 2018 and 2017, respectively. </w:t>
      </w:r>
    </w:p>
    <w:p w14:paraId="6787E3F3"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105</w:t>
      </w:r>
    </w:p>
    <w:p w14:paraId="6340DB2F" w14:textId="77777777" w:rsidR="00251D72" w:rsidRDefault="00251D72">
      <w:pPr>
        <w:rPr>
          <w:rFonts w:ascii="Times New Roman" w:eastAsia="Times New Roman" w:hAnsi="Times New Roman" w:cs="Times New Roman"/>
          <w:sz w:val="24"/>
          <w:szCs w:val="24"/>
        </w:rPr>
      </w:pPr>
      <w:r>
        <w:rPr>
          <w:rFonts w:eastAsia="Times New Roman"/>
        </w:rPr>
        <w:pict w14:anchorId="380EAAF0">
          <v:rect id="_x0000_i1131" style="width:415.3pt;height:1.5pt" o:hralign="center" o:hrstd="t" o:hr="t" fillcolor="#a0a0a0" stroked="f"/>
        </w:pict>
      </w:r>
    </w:p>
    <w:p w14:paraId="4A258838"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1CE7A6A3"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DF069F7"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0B1E3620"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210F13D0"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5A77D027" w14:textId="77777777" w:rsidR="00251D72" w:rsidRDefault="00251D72">
      <w:pPr>
        <w:pStyle w:val="a3"/>
        <w:spacing w:before="0" w:beforeAutospacing="0" w:after="0" w:afterAutospacing="0"/>
        <w:rPr>
          <w:sz w:val="20"/>
          <w:szCs w:val="20"/>
        </w:rPr>
      </w:pPr>
      <w:r>
        <w:rPr>
          <w:sz w:val="20"/>
          <w:szCs w:val="20"/>
        </w:rPr>
        <w:t> </w:t>
      </w:r>
    </w:p>
    <w:p w14:paraId="41794DD9" w14:textId="77777777" w:rsidR="00251D72" w:rsidRDefault="00251D72">
      <w:pPr>
        <w:pStyle w:val="a3"/>
        <w:spacing w:before="240" w:beforeAutospacing="0" w:after="0" w:afterAutospacing="0"/>
        <w:jc w:val="both"/>
        <w:rPr>
          <w:rFonts w:ascii="Calibri" w:hAnsi="Calibri" w:cs="Calibri"/>
          <w:b/>
          <w:bCs/>
          <w:i/>
          <w:iCs/>
          <w:sz w:val="20"/>
          <w:szCs w:val="20"/>
        </w:rPr>
      </w:pPr>
      <w:bookmarkStart w:id="148" w:name="_AEIOULastRenderedPageBreakAEIOU108"/>
      <w:bookmarkEnd w:id="148"/>
      <w:r>
        <w:rPr>
          <w:rFonts w:ascii="Calibri" w:hAnsi="Calibri" w:cs="Calibri"/>
          <w:b/>
          <w:bCs/>
          <w:i/>
          <w:iCs/>
          <w:sz w:val="20"/>
          <w:szCs w:val="20"/>
        </w:rPr>
        <w:t>Employee Stock Purchase Plan</w:t>
      </w:r>
    </w:p>
    <w:p w14:paraId="65AC43F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have an Employee Stock Purchase Plan (Purchase Plan) that allows employees to purchase shares of common stock at a price per share that is 95% of the fair market value of Oracle stock as of the end of the semi-annual option period. As of May 31, 2019, 46 million shares were reserved for future issuances under the Purchase Plan. We issued 2 million shares in fiscal 2019 and 3 million shares in each of fiscal 2018 and 2017, respectively, under the Purchase Plan. </w:t>
      </w:r>
    </w:p>
    <w:p w14:paraId="1CB8352C"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Defined Contribution and Other Postretirement Plans </w:t>
      </w:r>
    </w:p>
    <w:p w14:paraId="61DC95A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offer various defined contribution plans for our U.S. and non-U.S. employees. Total defined contribution plan expense was $380 million, $384 million and $366 million for fiscal 2019, 2018 and 2017, respectively. </w:t>
      </w:r>
    </w:p>
    <w:p w14:paraId="6666ECA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In the U.S., regular employees can participate in the Oracle Corporation 401(k) Savings and Investment Plan (Oracle 401(k) Plan). Participants can generally contribute up to 40% of their eligible compensation on a per-pay-period basis as defined by the Oracle 401(k) Plan document or by the section 402(g) limit as defined by the U.S. Internal Revenue Service (IRS). We match a portion of employee contributions, currently 50% up to 6% of compensation each pay period, subject to maximum aggregate matching amounts. Our contributions to the Oracle 401(k) Plan, net of forfeitures, were $154 million, $151 million and $157 million in fiscal 2019, 2018 and 2017, respectively.</w:t>
      </w:r>
    </w:p>
    <w:p w14:paraId="1590D41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also offer non-qualified deferred compensation plans to certain employees whereby they may defer a portion of their annual base and/or variable compensation until retirement or a date specified by the employee in accordance with the plans. Deferred compensation plan assets and liabilities were each approximately $566 million and approximately $555 million as of May 31, 2019 and 2018, respectively, and were presented in other non-current assets and other non-current liabilities in the accompanying consolidated balance sheets.</w:t>
      </w:r>
    </w:p>
    <w:p w14:paraId="7024B2D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sponsor certain defined benefit pension plans that are offered primarily by certain of our foreign subsidiaries. Many of these plans were assumed through our acquisitions or are required by local regulatory requirements. We may deposit funds for these plans with insurance companies, third-party trustees, or into government-managed accounts consistent with local regulatory requirements, as applicable. Our total defined benefit plan pension expenses were $90 million, $102 million and $85 million for fiscal 2019, 2018 and 2017, respectively. The aggregate projected benefit obligation and aggregate net liability (funded status) of our defined benefit plans as of May 31, 2019 were $1.2 billion and $821 million, respectively, and as of May 31, 2018 were $1.1 billion and $711 million, respectively.</w:t>
      </w:r>
    </w:p>
    <w:tbl>
      <w:tblPr>
        <w:tblW w:w="5000" w:type="pct"/>
        <w:tblCellMar>
          <w:left w:w="0" w:type="dxa"/>
          <w:right w:w="0" w:type="dxa"/>
        </w:tblCellMar>
        <w:tblLook w:val="04A0" w:firstRow="1" w:lastRow="0" w:firstColumn="1" w:lastColumn="0" w:noHBand="0" w:noVBand="1"/>
      </w:tblPr>
      <w:tblGrid>
        <w:gridCol w:w="435"/>
        <w:gridCol w:w="7871"/>
      </w:tblGrid>
      <w:tr w:rsidR="00251D72" w14:paraId="10C8B283" w14:textId="77777777">
        <w:tc>
          <w:tcPr>
            <w:tcW w:w="262" w:type="pct"/>
            <w:noWrap/>
            <w:hideMark/>
          </w:tcPr>
          <w:p w14:paraId="4AEDEF6B" w14:textId="77777777" w:rsidR="00251D72" w:rsidRDefault="00251D72">
            <w:pPr>
              <w:pStyle w:val="a3"/>
              <w:spacing w:before="240" w:beforeAutospacing="0" w:after="0" w:afterAutospacing="0"/>
              <w:rPr>
                <w:rFonts w:ascii="Calibri" w:hAnsi="Calibri" w:cs="Calibri"/>
                <w:b/>
                <w:bCs/>
                <w:sz w:val="20"/>
                <w:szCs w:val="20"/>
              </w:rPr>
            </w:pPr>
            <w:r>
              <w:rPr>
                <w:rFonts w:ascii="Calibri" w:hAnsi="Calibri" w:cs="Calibri"/>
                <w:b/>
                <w:bCs/>
                <w:sz w:val="20"/>
                <w:szCs w:val="20"/>
              </w:rPr>
              <w:t>14.</w:t>
            </w:r>
          </w:p>
        </w:tc>
        <w:tc>
          <w:tcPr>
            <w:tcW w:w="0" w:type="auto"/>
            <w:hideMark/>
          </w:tcPr>
          <w:p w14:paraId="2506CBE4" w14:textId="77777777" w:rsidR="00251D72" w:rsidRDefault="00251D72">
            <w:pPr>
              <w:pStyle w:val="a3"/>
              <w:spacing w:before="240" w:beforeAutospacing="0" w:after="0" w:afterAutospacing="0"/>
              <w:rPr>
                <w:rFonts w:ascii="Calibri" w:hAnsi="Calibri" w:cs="Calibri"/>
                <w:b/>
                <w:bCs/>
                <w:sz w:val="20"/>
                <w:szCs w:val="20"/>
              </w:rPr>
            </w:pPr>
            <w:r>
              <w:rPr>
                <w:rFonts w:ascii="Calibri" w:hAnsi="Calibri" w:cs="Calibri"/>
                <w:b/>
                <w:bCs/>
                <w:sz w:val="20"/>
                <w:szCs w:val="20"/>
              </w:rPr>
              <w:t>INCOME TAXES</w:t>
            </w:r>
            <w:r>
              <w:rPr>
                <w:rFonts w:ascii="Calibri" w:hAnsi="Calibri" w:cs="Calibri"/>
                <w:b/>
                <w:bCs/>
                <w:color w:val="FF0000"/>
                <w:sz w:val="20"/>
                <w:szCs w:val="20"/>
              </w:rPr>
              <w:t xml:space="preserve"> </w:t>
            </w:r>
          </w:p>
        </w:tc>
      </w:tr>
    </w:tbl>
    <w:p w14:paraId="7E750668" w14:textId="77777777" w:rsidR="00251D72" w:rsidRDefault="00251D72">
      <w:pPr>
        <w:pStyle w:val="a3"/>
        <w:spacing w:before="120" w:beforeAutospacing="0" w:after="0" w:afterAutospacing="0"/>
        <w:jc w:val="both"/>
        <w:rPr>
          <w:rFonts w:ascii="Calibri" w:hAnsi="Calibri" w:cs="Calibri"/>
          <w:sz w:val="20"/>
          <w:szCs w:val="20"/>
        </w:rPr>
      </w:pPr>
      <w:bookmarkStart w:id="149" w:name="_AEIOULastRenderedPageBreakAEIOU109"/>
      <w:bookmarkEnd w:id="149"/>
      <w:r>
        <w:rPr>
          <w:rFonts w:ascii="Calibri" w:hAnsi="Calibri" w:cs="Calibri"/>
          <w:sz w:val="20"/>
          <w:szCs w:val="20"/>
        </w:rPr>
        <w:t xml:space="preserve">Our effective tax rates for each of the periods presented are the result of the mix of income earned in various tax jurisdictions that apply a broad range of income tax rates. The more significant provisions of the Tax Act as applicable to us are described in Note 1 above under “Impacts of the U.S. Tax Cuts and Jobs Act of 2017.” During fiscal 2019, we recorded a net benefit of $389 million in accordance with SAB 118 related to adjustments in our estimates of the one-time transition tax on certain foreign subsidiary earnings, and the remeasurement of our net deferred tax assets and liabilities affected by the Tax Act. Our provision for income taxes for fiscal 2019 varied from the 21% U.S. statutory rate imposed by the Tax Act primarily due to earnings in foreign operations, state taxes, the U.S. research and development tax credit, settlements with tax authorities, the tax effects of stock-based compensation, the Foreign Derived Intangible Income deduction, the tax effect of GILTI, and a reduction to our transition tax recorded consistent with the provision of SAB 118. Our provision for income taxes for fiscal 2018 varied from the 21% U.S. statutory rate imposed by the Tax Act primarily due to the impacts of the Tax Act upon adoption, state taxes, the U.S. research and development tax credit, settlements with tax authorities, the tax effects of stock-based compensation and the U.S. domestic production activity deduction. </w:t>
      </w:r>
      <w:r>
        <w:rPr>
          <w:rFonts w:ascii="Calibri" w:hAnsi="Calibri" w:cs="Calibri"/>
          <w:color w:val="000000"/>
          <w:sz w:val="20"/>
          <w:szCs w:val="20"/>
          <w:shd w:val="clear" w:color="auto" w:fill="FFFFFF"/>
        </w:rPr>
        <w:t xml:space="preserve">Prior to the January 1, 2018 effective date of the Tax Act, our provision for income taxes historically differed from the tax computed at </w:t>
      </w:r>
    </w:p>
    <w:p w14:paraId="6A83B42C"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106</w:t>
      </w:r>
    </w:p>
    <w:p w14:paraId="59A3E781" w14:textId="77777777" w:rsidR="00251D72" w:rsidRDefault="00251D72">
      <w:pPr>
        <w:rPr>
          <w:rFonts w:ascii="Times New Roman" w:eastAsia="Times New Roman" w:hAnsi="Times New Roman" w:cs="Times New Roman"/>
          <w:sz w:val="24"/>
          <w:szCs w:val="24"/>
        </w:rPr>
      </w:pPr>
      <w:r>
        <w:rPr>
          <w:rFonts w:eastAsia="Times New Roman"/>
        </w:rPr>
        <w:pict w14:anchorId="25C07A74">
          <v:rect id="_x0000_i1132" style="width:415.3pt;height:1.5pt" o:hralign="center" o:hrstd="t" o:hr="t" fillcolor="#a0a0a0" stroked="f"/>
        </w:pict>
      </w:r>
    </w:p>
    <w:p w14:paraId="7FF532CD"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CAAD4BC"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40B030A6"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42472FFD"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4008D507"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2DE13866" w14:textId="77777777" w:rsidR="00251D72" w:rsidRDefault="00251D72">
      <w:pPr>
        <w:pStyle w:val="a3"/>
        <w:spacing w:before="0" w:beforeAutospacing="0" w:after="0" w:afterAutospacing="0"/>
        <w:rPr>
          <w:sz w:val="20"/>
          <w:szCs w:val="20"/>
        </w:rPr>
      </w:pPr>
      <w:r>
        <w:rPr>
          <w:sz w:val="20"/>
          <w:szCs w:val="20"/>
        </w:rPr>
        <w:t> </w:t>
      </w:r>
    </w:p>
    <w:p w14:paraId="343D662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color w:val="000000"/>
          <w:sz w:val="20"/>
          <w:szCs w:val="20"/>
          <w:shd w:val="clear" w:color="auto" w:fill="FFFFFF"/>
        </w:rPr>
        <w:t>the previous U.S. federal statutory income tax rate due primarily to certain earnings considered as indefinitely reinvested in foreign operations, state taxes, the U.S. research and development tax credit, settlements with tax authorities, the tax effects of stock-based compensation and the U.S. domestic production activity deduction.</w:t>
      </w:r>
    </w:p>
    <w:p w14:paraId="328438B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following is a geographical breakdown of income before the provision for income taxes:</w:t>
      </w:r>
    </w:p>
    <w:p w14:paraId="157F87F7"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429"/>
        <w:gridCol w:w="121"/>
        <w:gridCol w:w="117"/>
        <w:gridCol w:w="648"/>
        <w:gridCol w:w="73"/>
        <w:gridCol w:w="121"/>
        <w:gridCol w:w="117"/>
        <w:gridCol w:w="648"/>
        <w:gridCol w:w="73"/>
        <w:gridCol w:w="121"/>
        <w:gridCol w:w="117"/>
        <w:gridCol w:w="648"/>
        <w:gridCol w:w="73"/>
      </w:tblGrid>
      <w:tr w:rsidR="00251D72" w14:paraId="0371D17F" w14:textId="77777777">
        <w:trPr>
          <w:divId w:val="1527522074"/>
          <w:jc w:val="center"/>
        </w:trPr>
        <w:tc>
          <w:tcPr>
            <w:tcW w:w="3273" w:type="pct"/>
            <w:shd w:val="clear" w:color="auto" w:fill="FFFFFF"/>
            <w:tcMar>
              <w:top w:w="15" w:type="dxa"/>
              <w:left w:w="0" w:type="dxa"/>
              <w:bottom w:w="0" w:type="dxa"/>
              <w:right w:w="15" w:type="dxa"/>
            </w:tcMar>
            <w:vAlign w:val="bottom"/>
            <w:hideMark/>
          </w:tcPr>
          <w:p w14:paraId="588FC1E8" w14:textId="77777777" w:rsidR="00251D72" w:rsidRDefault="00251D72">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1E0EBD7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6" w:type="pct"/>
            <w:gridSpan w:val="10"/>
            <w:tcBorders>
              <w:bottom w:val="single" w:sz="6" w:space="0" w:color="000000"/>
            </w:tcBorders>
            <w:shd w:val="clear" w:color="auto" w:fill="FFFFFF"/>
            <w:tcMar>
              <w:top w:w="15" w:type="dxa"/>
              <w:left w:w="0" w:type="dxa"/>
              <w:bottom w:w="0" w:type="dxa"/>
              <w:right w:w="15" w:type="dxa"/>
            </w:tcMar>
            <w:vAlign w:val="bottom"/>
            <w:hideMark/>
          </w:tcPr>
          <w:p w14:paraId="368681E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61332DD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2CB1A60" w14:textId="77777777">
        <w:trPr>
          <w:divId w:val="1527522074"/>
          <w:jc w:val="center"/>
        </w:trPr>
        <w:tc>
          <w:tcPr>
            <w:tcW w:w="3273" w:type="pct"/>
            <w:tcBorders>
              <w:bottom w:val="single" w:sz="6" w:space="0" w:color="000000"/>
            </w:tcBorders>
            <w:shd w:val="clear" w:color="auto" w:fill="FFFFFF"/>
            <w:tcMar>
              <w:top w:w="15" w:type="dxa"/>
              <w:left w:w="0" w:type="dxa"/>
              <w:bottom w:w="0" w:type="dxa"/>
              <w:right w:w="15" w:type="dxa"/>
            </w:tcMar>
            <w:vAlign w:val="bottom"/>
            <w:hideMark/>
          </w:tcPr>
          <w:p w14:paraId="407EA07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left w:w="0" w:type="dxa"/>
              <w:bottom w:w="0" w:type="dxa"/>
              <w:right w:w="15" w:type="dxa"/>
            </w:tcMar>
            <w:vAlign w:val="bottom"/>
            <w:hideMark/>
          </w:tcPr>
          <w:p w14:paraId="54DE0EC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EAC30F"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A4A089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05376EA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9CDDB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2EF1FE7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14BCA87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970F9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523E804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3FB32CE" w14:textId="77777777">
        <w:trPr>
          <w:divId w:val="1527522074"/>
          <w:jc w:val="center"/>
        </w:trPr>
        <w:tc>
          <w:tcPr>
            <w:tcW w:w="3273" w:type="pct"/>
            <w:tcBorders>
              <w:top w:val="single" w:sz="6" w:space="0" w:color="000000"/>
            </w:tcBorders>
            <w:shd w:val="clear" w:color="auto" w:fill="CFF0FC"/>
            <w:tcMar>
              <w:top w:w="15" w:type="dxa"/>
              <w:left w:w="0" w:type="dxa"/>
              <w:bottom w:w="0" w:type="dxa"/>
              <w:right w:w="15" w:type="dxa"/>
            </w:tcMar>
            <w:hideMark/>
          </w:tcPr>
          <w:p w14:paraId="04BFA9C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Domestic</w:t>
            </w:r>
          </w:p>
        </w:tc>
        <w:tc>
          <w:tcPr>
            <w:tcW w:w="79" w:type="pct"/>
            <w:shd w:val="clear" w:color="auto" w:fill="CFF0FC"/>
            <w:tcMar>
              <w:top w:w="15" w:type="dxa"/>
              <w:left w:w="0" w:type="dxa"/>
              <w:bottom w:w="0" w:type="dxa"/>
              <w:right w:w="15" w:type="dxa"/>
            </w:tcMar>
            <w:vAlign w:val="bottom"/>
            <w:hideMark/>
          </w:tcPr>
          <w:p w14:paraId="47E0BCB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3B388C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6992EFC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3,774</w:t>
            </w:r>
          </w:p>
        </w:tc>
        <w:tc>
          <w:tcPr>
            <w:tcW w:w="50" w:type="pct"/>
            <w:shd w:val="clear" w:color="auto" w:fill="CFF0FC"/>
            <w:noWrap/>
            <w:tcMar>
              <w:top w:w="15" w:type="dxa"/>
              <w:left w:w="0" w:type="dxa"/>
              <w:bottom w:w="0" w:type="dxa"/>
              <w:right w:w="15" w:type="dxa"/>
            </w:tcMar>
            <w:vAlign w:val="bottom"/>
            <w:hideMark/>
          </w:tcPr>
          <w:p w14:paraId="45060CB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1423D8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393DE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3509667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3,366</w:t>
            </w:r>
          </w:p>
        </w:tc>
        <w:tc>
          <w:tcPr>
            <w:tcW w:w="50" w:type="pct"/>
            <w:shd w:val="clear" w:color="auto" w:fill="CFF0FC"/>
            <w:noWrap/>
            <w:tcMar>
              <w:top w:w="15" w:type="dxa"/>
              <w:left w:w="0" w:type="dxa"/>
              <w:bottom w:w="0" w:type="dxa"/>
              <w:right w:w="15" w:type="dxa"/>
            </w:tcMar>
            <w:vAlign w:val="bottom"/>
            <w:hideMark/>
          </w:tcPr>
          <w:p w14:paraId="44ADCED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5AE594A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84B67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6259C1D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3,674</w:t>
            </w:r>
          </w:p>
        </w:tc>
        <w:tc>
          <w:tcPr>
            <w:tcW w:w="50" w:type="pct"/>
            <w:shd w:val="clear" w:color="auto" w:fill="CFF0FC"/>
            <w:noWrap/>
            <w:tcMar>
              <w:top w:w="15" w:type="dxa"/>
              <w:left w:w="0" w:type="dxa"/>
              <w:bottom w:w="0" w:type="dxa"/>
              <w:right w:w="15" w:type="dxa"/>
            </w:tcMar>
            <w:vAlign w:val="bottom"/>
            <w:hideMark/>
          </w:tcPr>
          <w:p w14:paraId="286EF6B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6C45887" w14:textId="77777777">
        <w:trPr>
          <w:divId w:val="1527522074"/>
          <w:jc w:val="center"/>
        </w:trPr>
        <w:tc>
          <w:tcPr>
            <w:tcW w:w="3273" w:type="pct"/>
            <w:shd w:val="clear" w:color="auto" w:fill="FFFFFF"/>
            <w:tcMar>
              <w:top w:w="15" w:type="dxa"/>
              <w:left w:w="0" w:type="dxa"/>
              <w:bottom w:w="0" w:type="dxa"/>
              <w:right w:w="15" w:type="dxa"/>
            </w:tcMar>
            <w:hideMark/>
          </w:tcPr>
          <w:p w14:paraId="16D8D36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Foreign</w:t>
            </w:r>
          </w:p>
        </w:tc>
        <w:tc>
          <w:tcPr>
            <w:tcW w:w="79" w:type="pct"/>
            <w:shd w:val="clear" w:color="auto" w:fill="FFFFFF"/>
            <w:tcMar>
              <w:top w:w="15" w:type="dxa"/>
              <w:left w:w="0" w:type="dxa"/>
              <w:bottom w:w="0" w:type="dxa"/>
              <w:right w:w="15" w:type="dxa"/>
            </w:tcMar>
            <w:vAlign w:val="bottom"/>
            <w:hideMark/>
          </w:tcPr>
          <w:p w14:paraId="173272E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56EDE0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0947E79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8,494</w:t>
            </w:r>
          </w:p>
        </w:tc>
        <w:tc>
          <w:tcPr>
            <w:tcW w:w="50" w:type="pct"/>
            <w:shd w:val="clear" w:color="auto" w:fill="FFFFFF"/>
            <w:noWrap/>
            <w:tcMar>
              <w:top w:w="15" w:type="dxa"/>
              <w:left w:w="0" w:type="dxa"/>
              <w:bottom w:w="0" w:type="dxa"/>
              <w:right w:w="15" w:type="dxa"/>
            </w:tcMar>
            <w:vAlign w:val="bottom"/>
            <w:hideMark/>
          </w:tcPr>
          <w:p w14:paraId="268D59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17B58A4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A859BA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62B05C4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9,058</w:t>
            </w:r>
          </w:p>
        </w:tc>
        <w:tc>
          <w:tcPr>
            <w:tcW w:w="50" w:type="pct"/>
            <w:shd w:val="clear" w:color="auto" w:fill="FFFFFF"/>
            <w:noWrap/>
            <w:tcMar>
              <w:top w:w="15" w:type="dxa"/>
              <w:left w:w="0" w:type="dxa"/>
              <w:bottom w:w="0" w:type="dxa"/>
              <w:right w:w="15" w:type="dxa"/>
            </w:tcMar>
            <w:vAlign w:val="bottom"/>
            <w:hideMark/>
          </w:tcPr>
          <w:p w14:paraId="22D12C7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4DA3CA2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F8F8D8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6135D0A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8,006</w:t>
            </w:r>
          </w:p>
        </w:tc>
        <w:tc>
          <w:tcPr>
            <w:tcW w:w="50" w:type="pct"/>
            <w:shd w:val="clear" w:color="auto" w:fill="FFFFFF"/>
            <w:noWrap/>
            <w:tcMar>
              <w:top w:w="15" w:type="dxa"/>
              <w:left w:w="0" w:type="dxa"/>
              <w:bottom w:w="0" w:type="dxa"/>
              <w:right w:w="15" w:type="dxa"/>
            </w:tcMar>
            <w:vAlign w:val="bottom"/>
            <w:hideMark/>
          </w:tcPr>
          <w:p w14:paraId="6891A71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2FA324A" w14:textId="77777777">
        <w:trPr>
          <w:divId w:val="1527522074"/>
          <w:jc w:val="center"/>
        </w:trPr>
        <w:tc>
          <w:tcPr>
            <w:tcW w:w="3273" w:type="pct"/>
            <w:shd w:val="clear" w:color="auto" w:fill="CFF0FC"/>
            <w:tcMar>
              <w:top w:w="15" w:type="dxa"/>
              <w:left w:w="0" w:type="dxa"/>
              <w:bottom w:w="0" w:type="dxa"/>
              <w:right w:w="15" w:type="dxa"/>
            </w:tcMar>
            <w:hideMark/>
          </w:tcPr>
          <w:p w14:paraId="258502D8"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Income before provision for income taxes</w:t>
            </w:r>
          </w:p>
        </w:tc>
        <w:tc>
          <w:tcPr>
            <w:tcW w:w="79" w:type="pct"/>
            <w:shd w:val="clear" w:color="auto" w:fill="CFF0FC"/>
            <w:tcMar>
              <w:top w:w="15" w:type="dxa"/>
              <w:left w:w="0" w:type="dxa"/>
              <w:bottom w:w="0" w:type="dxa"/>
              <w:right w:w="15" w:type="dxa"/>
            </w:tcMar>
            <w:vAlign w:val="bottom"/>
            <w:hideMark/>
          </w:tcPr>
          <w:p w14:paraId="7ACADD1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39116F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2B10E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12,268</w:t>
            </w:r>
          </w:p>
        </w:tc>
        <w:tc>
          <w:tcPr>
            <w:tcW w:w="50" w:type="pct"/>
            <w:shd w:val="clear" w:color="auto" w:fill="CFF0FC"/>
            <w:noWrap/>
            <w:tcMar>
              <w:top w:w="15" w:type="dxa"/>
              <w:left w:w="0" w:type="dxa"/>
              <w:bottom w:w="0" w:type="dxa"/>
              <w:right w:w="15" w:type="dxa"/>
            </w:tcMar>
            <w:vAlign w:val="bottom"/>
            <w:hideMark/>
          </w:tcPr>
          <w:p w14:paraId="0F34E5A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7B5A3EA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022B43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677CE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12,424</w:t>
            </w:r>
          </w:p>
        </w:tc>
        <w:tc>
          <w:tcPr>
            <w:tcW w:w="50" w:type="pct"/>
            <w:shd w:val="clear" w:color="auto" w:fill="CFF0FC"/>
            <w:noWrap/>
            <w:tcMar>
              <w:top w:w="15" w:type="dxa"/>
              <w:left w:w="0" w:type="dxa"/>
              <w:bottom w:w="0" w:type="dxa"/>
              <w:right w:w="15" w:type="dxa"/>
            </w:tcMar>
            <w:vAlign w:val="bottom"/>
            <w:hideMark/>
          </w:tcPr>
          <w:p w14:paraId="432FF0E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213A9EB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0E7E4E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44D5D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11,680</w:t>
            </w:r>
          </w:p>
        </w:tc>
        <w:tc>
          <w:tcPr>
            <w:tcW w:w="50" w:type="pct"/>
            <w:shd w:val="clear" w:color="auto" w:fill="CFF0FC"/>
            <w:noWrap/>
            <w:tcMar>
              <w:top w:w="15" w:type="dxa"/>
              <w:left w:w="0" w:type="dxa"/>
              <w:bottom w:w="0" w:type="dxa"/>
              <w:right w:w="15" w:type="dxa"/>
            </w:tcMar>
            <w:vAlign w:val="bottom"/>
            <w:hideMark/>
          </w:tcPr>
          <w:p w14:paraId="5ACBAEB5"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368273C" w14:textId="77777777" w:rsidR="00251D72" w:rsidRDefault="00251D72">
      <w:pPr>
        <w:pStyle w:val="a3"/>
        <w:spacing w:before="0" w:beforeAutospacing="0" w:after="0" w:afterAutospacing="0"/>
        <w:rPr>
          <w:sz w:val="12"/>
          <w:szCs w:val="12"/>
        </w:rPr>
      </w:pPr>
      <w:r>
        <w:rPr>
          <w:sz w:val="12"/>
          <w:szCs w:val="12"/>
        </w:rPr>
        <w:t> </w:t>
      </w:r>
    </w:p>
    <w:p w14:paraId="2DB60748"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The provision for income taxes consisted of the following:</w:t>
      </w:r>
    </w:p>
    <w:p w14:paraId="3B4230DE"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428"/>
        <w:gridCol w:w="120"/>
        <w:gridCol w:w="117"/>
        <w:gridCol w:w="647"/>
        <w:gridCol w:w="76"/>
        <w:gridCol w:w="118"/>
        <w:gridCol w:w="117"/>
        <w:gridCol w:w="648"/>
        <w:gridCol w:w="76"/>
        <w:gridCol w:w="118"/>
        <w:gridCol w:w="117"/>
        <w:gridCol w:w="648"/>
        <w:gridCol w:w="76"/>
      </w:tblGrid>
      <w:tr w:rsidR="00251D72" w14:paraId="73001785" w14:textId="77777777">
        <w:trPr>
          <w:divId w:val="1771508715"/>
          <w:jc w:val="center"/>
        </w:trPr>
        <w:tc>
          <w:tcPr>
            <w:tcW w:w="3273" w:type="pct"/>
            <w:shd w:val="clear" w:color="auto" w:fill="FFFFFF"/>
            <w:tcMar>
              <w:top w:w="15" w:type="dxa"/>
              <w:left w:w="0" w:type="dxa"/>
              <w:bottom w:w="0" w:type="dxa"/>
              <w:right w:w="15" w:type="dxa"/>
            </w:tcMar>
            <w:vAlign w:val="bottom"/>
            <w:hideMark/>
          </w:tcPr>
          <w:p w14:paraId="75599B13" w14:textId="77777777" w:rsidR="00251D72" w:rsidRDefault="00251D72">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099F0D5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6" w:type="pct"/>
            <w:gridSpan w:val="10"/>
            <w:tcBorders>
              <w:bottom w:val="single" w:sz="6" w:space="0" w:color="000000"/>
            </w:tcBorders>
            <w:shd w:val="clear" w:color="auto" w:fill="FFFFFF"/>
            <w:tcMar>
              <w:top w:w="15" w:type="dxa"/>
              <w:left w:w="0" w:type="dxa"/>
              <w:bottom w:w="0" w:type="dxa"/>
              <w:right w:w="15" w:type="dxa"/>
            </w:tcMar>
            <w:vAlign w:val="bottom"/>
            <w:hideMark/>
          </w:tcPr>
          <w:p w14:paraId="35D033C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0F600DD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2A22093" w14:textId="77777777">
        <w:trPr>
          <w:divId w:val="1771508715"/>
          <w:jc w:val="center"/>
        </w:trPr>
        <w:tc>
          <w:tcPr>
            <w:tcW w:w="3273" w:type="pct"/>
            <w:tcBorders>
              <w:bottom w:val="single" w:sz="6" w:space="0" w:color="000000"/>
            </w:tcBorders>
            <w:shd w:val="clear" w:color="auto" w:fill="FFFFFF"/>
            <w:tcMar>
              <w:top w:w="15" w:type="dxa"/>
              <w:left w:w="0" w:type="dxa"/>
              <w:bottom w:w="0" w:type="dxa"/>
              <w:right w:w="15" w:type="dxa"/>
            </w:tcMar>
            <w:vAlign w:val="bottom"/>
            <w:hideMark/>
          </w:tcPr>
          <w:p w14:paraId="6593336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left w:w="0" w:type="dxa"/>
              <w:bottom w:w="0" w:type="dxa"/>
              <w:right w:w="15" w:type="dxa"/>
            </w:tcMar>
            <w:vAlign w:val="bottom"/>
            <w:hideMark/>
          </w:tcPr>
          <w:p w14:paraId="5B284B2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D7718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B2C276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17EFA96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4397B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C20D8A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3324FC0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E46AB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51DE925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5F5CB92" w14:textId="77777777">
        <w:trPr>
          <w:divId w:val="1771508715"/>
          <w:jc w:val="center"/>
        </w:trPr>
        <w:tc>
          <w:tcPr>
            <w:tcW w:w="3273" w:type="pct"/>
            <w:tcBorders>
              <w:top w:val="single" w:sz="6" w:space="0" w:color="000000"/>
            </w:tcBorders>
            <w:shd w:val="clear" w:color="auto" w:fill="CFF0FC"/>
            <w:tcMar>
              <w:top w:w="15" w:type="dxa"/>
              <w:left w:w="0" w:type="dxa"/>
              <w:bottom w:w="0" w:type="dxa"/>
              <w:right w:w="15" w:type="dxa"/>
            </w:tcMar>
            <w:hideMark/>
          </w:tcPr>
          <w:p w14:paraId="00C88DF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Current provision:</w:t>
            </w:r>
          </w:p>
        </w:tc>
        <w:tc>
          <w:tcPr>
            <w:tcW w:w="79" w:type="pct"/>
            <w:shd w:val="clear" w:color="auto" w:fill="CFF0FC"/>
            <w:tcMar>
              <w:top w:w="15" w:type="dxa"/>
              <w:left w:w="0" w:type="dxa"/>
              <w:bottom w:w="0" w:type="dxa"/>
              <w:right w:w="15" w:type="dxa"/>
            </w:tcMar>
            <w:vAlign w:val="bottom"/>
            <w:hideMark/>
          </w:tcPr>
          <w:p w14:paraId="28FBA33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B11DF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1DD77FC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4E052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1F289FC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48683C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677B995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B6128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62F22EF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000BD1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3762921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B8A5BE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706934B" w14:textId="77777777">
        <w:trPr>
          <w:divId w:val="1771508715"/>
          <w:jc w:val="center"/>
        </w:trPr>
        <w:tc>
          <w:tcPr>
            <w:tcW w:w="3273" w:type="pct"/>
            <w:shd w:val="clear" w:color="auto" w:fill="FFFFFF"/>
            <w:tcMar>
              <w:top w:w="15" w:type="dxa"/>
              <w:left w:w="0" w:type="dxa"/>
              <w:bottom w:w="0" w:type="dxa"/>
              <w:right w:w="15" w:type="dxa"/>
            </w:tcMar>
            <w:hideMark/>
          </w:tcPr>
          <w:p w14:paraId="218F8186"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Federal</w:t>
            </w:r>
          </w:p>
        </w:tc>
        <w:tc>
          <w:tcPr>
            <w:tcW w:w="79" w:type="pct"/>
            <w:shd w:val="clear" w:color="auto" w:fill="FFFFFF"/>
            <w:tcMar>
              <w:top w:w="15" w:type="dxa"/>
              <w:left w:w="0" w:type="dxa"/>
              <w:bottom w:w="0" w:type="dxa"/>
              <w:right w:w="15" w:type="dxa"/>
            </w:tcMar>
            <w:vAlign w:val="bottom"/>
            <w:hideMark/>
          </w:tcPr>
          <w:p w14:paraId="1968B13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638C6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shd w:val="clear" w:color="auto" w:fill="FFFFFF"/>
            <w:noWrap/>
            <w:tcMar>
              <w:top w:w="15" w:type="dxa"/>
              <w:left w:w="0" w:type="dxa"/>
              <w:bottom w:w="0" w:type="dxa"/>
              <w:right w:w="15" w:type="dxa"/>
            </w:tcMar>
            <w:vAlign w:val="bottom"/>
            <w:hideMark/>
          </w:tcPr>
          <w:p w14:paraId="660D59A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979</w:t>
            </w:r>
          </w:p>
        </w:tc>
        <w:tc>
          <w:tcPr>
            <w:tcW w:w="50" w:type="pct"/>
            <w:shd w:val="clear" w:color="auto" w:fill="FFFFFF"/>
            <w:noWrap/>
            <w:tcMar>
              <w:top w:w="15" w:type="dxa"/>
              <w:left w:w="0" w:type="dxa"/>
              <w:bottom w:w="0" w:type="dxa"/>
              <w:right w:w="15" w:type="dxa"/>
            </w:tcMar>
            <w:vAlign w:val="bottom"/>
            <w:hideMark/>
          </w:tcPr>
          <w:p w14:paraId="2936260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1D5DAEC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064EF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shd w:val="clear" w:color="auto" w:fill="FFFFFF"/>
            <w:noWrap/>
            <w:tcMar>
              <w:top w:w="15" w:type="dxa"/>
              <w:left w:w="0" w:type="dxa"/>
              <w:bottom w:w="0" w:type="dxa"/>
              <w:right w:w="15" w:type="dxa"/>
            </w:tcMar>
            <w:vAlign w:val="bottom"/>
            <w:hideMark/>
          </w:tcPr>
          <w:p w14:paraId="4310820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8,320</w:t>
            </w:r>
          </w:p>
        </w:tc>
        <w:tc>
          <w:tcPr>
            <w:tcW w:w="50" w:type="pct"/>
            <w:shd w:val="clear" w:color="auto" w:fill="FFFFFF"/>
            <w:noWrap/>
            <w:tcMar>
              <w:top w:w="15" w:type="dxa"/>
              <w:left w:w="0" w:type="dxa"/>
              <w:bottom w:w="0" w:type="dxa"/>
              <w:right w:w="15" w:type="dxa"/>
            </w:tcMar>
            <w:vAlign w:val="bottom"/>
            <w:hideMark/>
          </w:tcPr>
          <w:p w14:paraId="6B58D24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4988E80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3A51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shd w:val="clear" w:color="auto" w:fill="FFFFFF"/>
            <w:noWrap/>
            <w:tcMar>
              <w:top w:w="15" w:type="dxa"/>
              <w:left w:w="0" w:type="dxa"/>
              <w:bottom w:w="0" w:type="dxa"/>
              <w:right w:w="15" w:type="dxa"/>
            </w:tcMar>
            <w:vAlign w:val="bottom"/>
            <w:hideMark/>
          </w:tcPr>
          <w:p w14:paraId="6C5EFA3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936</w:t>
            </w:r>
          </w:p>
        </w:tc>
        <w:tc>
          <w:tcPr>
            <w:tcW w:w="50" w:type="pct"/>
            <w:shd w:val="clear" w:color="auto" w:fill="FFFFFF"/>
            <w:noWrap/>
            <w:tcMar>
              <w:top w:w="15" w:type="dxa"/>
              <w:left w:w="0" w:type="dxa"/>
              <w:bottom w:w="0" w:type="dxa"/>
              <w:right w:w="15" w:type="dxa"/>
            </w:tcMar>
            <w:vAlign w:val="bottom"/>
            <w:hideMark/>
          </w:tcPr>
          <w:p w14:paraId="12B28E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3A04AEB" w14:textId="77777777">
        <w:trPr>
          <w:divId w:val="1771508715"/>
          <w:jc w:val="center"/>
        </w:trPr>
        <w:tc>
          <w:tcPr>
            <w:tcW w:w="3273" w:type="pct"/>
            <w:shd w:val="clear" w:color="auto" w:fill="CFF0FC"/>
            <w:tcMar>
              <w:top w:w="15" w:type="dxa"/>
              <w:left w:w="0" w:type="dxa"/>
              <w:bottom w:w="0" w:type="dxa"/>
              <w:right w:w="15" w:type="dxa"/>
            </w:tcMar>
            <w:hideMark/>
          </w:tcPr>
          <w:p w14:paraId="024D90BF"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State</w:t>
            </w:r>
          </w:p>
        </w:tc>
        <w:tc>
          <w:tcPr>
            <w:tcW w:w="79" w:type="pct"/>
            <w:shd w:val="clear" w:color="auto" w:fill="CFF0FC"/>
            <w:tcMar>
              <w:top w:w="15" w:type="dxa"/>
              <w:left w:w="0" w:type="dxa"/>
              <w:bottom w:w="0" w:type="dxa"/>
              <w:right w:w="15" w:type="dxa"/>
            </w:tcMar>
            <w:vAlign w:val="bottom"/>
            <w:hideMark/>
          </w:tcPr>
          <w:p w14:paraId="74B6A37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A9C8E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158DFB9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300</w:t>
            </w:r>
          </w:p>
        </w:tc>
        <w:tc>
          <w:tcPr>
            <w:tcW w:w="50" w:type="pct"/>
            <w:shd w:val="clear" w:color="auto" w:fill="CFF0FC"/>
            <w:noWrap/>
            <w:tcMar>
              <w:top w:w="15" w:type="dxa"/>
              <w:left w:w="0" w:type="dxa"/>
              <w:bottom w:w="0" w:type="dxa"/>
              <w:right w:w="15" w:type="dxa"/>
            </w:tcMar>
            <w:vAlign w:val="bottom"/>
            <w:hideMark/>
          </w:tcPr>
          <w:p w14:paraId="02F9EBB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48D4516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439D5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00F6B5B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264</w:t>
            </w:r>
          </w:p>
        </w:tc>
        <w:tc>
          <w:tcPr>
            <w:tcW w:w="50" w:type="pct"/>
            <w:shd w:val="clear" w:color="auto" w:fill="CFF0FC"/>
            <w:noWrap/>
            <w:tcMar>
              <w:top w:w="15" w:type="dxa"/>
              <w:left w:w="0" w:type="dxa"/>
              <w:bottom w:w="0" w:type="dxa"/>
              <w:right w:w="15" w:type="dxa"/>
            </w:tcMar>
            <w:vAlign w:val="bottom"/>
            <w:hideMark/>
          </w:tcPr>
          <w:p w14:paraId="13A61B6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667603C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7CBC7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4456A2B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257</w:t>
            </w:r>
          </w:p>
        </w:tc>
        <w:tc>
          <w:tcPr>
            <w:tcW w:w="50" w:type="pct"/>
            <w:shd w:val="clear" w:color="auto" w:fill="CFF0FC"/>
            <w:noWrap/>
            <w:tcMar>
              <w:top w:w="15" w:type="dxa"/>
              <w:left w:w="0" w:type="dxa"/>
              <w:bottom w:w="0" w:type="dxa"/>
              <w:right w:w="15" w:type="dxa"/>
            </w:tcMar>
            <w:vAlign w:val="bottom"/>
            <w:hideMark/>
          </w:tcPr>
          <w:p w14:paraId="4AADABB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70B6EDB" w14:textId="77777777">
        <w:trPr>
          <w:divId w:val="1771508715"/>
          <w:jc w:val="center"/>
        </w:trPr>
        <w:tc>
          <w:tcPr>
            <w:tcW w:w="3273" w:type="pct"/>
            <w:shd w:val="clear" w:color="auto" w:fill="FFFFFF"/>
            <w:tcMar>
              <w:top w:w="15" w:type="dxa"/>
              <w:left w:w="0" w:type="dxa"/>
              <w:bottom w:w="0" w:type="dxa"/>
              <w:right w:w="15" w:type="dxa"/>
            </w:tcMar>
            <w:hideMark/>
          </w:tcPr>
          <w:p w14:paraId="3766D3E4"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Foreign</w:t>
            </w:r>
          </w:p>
        </w:tc>
        <w:tc>
          <w:tcPr>
            <w:tcW w:w="79" w:type="pct"/>
            <w:shd w:val="clear" w:color="auto" w:fill="FFFFFF"/>
            <w:tcMar>
              <w:top w:w="15" w:type="dxa"/>
              <w:left w:w="0" w:type="dxa"/>
              <w:bottom w:w="0" w:type="dxa"/>
              <w:right w:w="15" w:type="dxa"/>
            </w:tcMar>
            <w:vAlign w:val="bottom"/>
            <w:hideMark/>
          </w:tcPr>
          <w:p w14:paraId="7EDBA65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B8979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741936F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1,097</w:t>
            </w:r>
          </w:p>
        </w:tc>
        <w:tc>
          <w:tcPr>
            <w:tcW w:w="50" w:type="pct"/>
            <w:shd w:val="clear" w:color="auto" w:fill="FFFFFF"/>
            <w:noWrap/>
            <w:tcMar>
              <w:top w:w="15" w:type="dxa"/>
              <w:left w:w="0" w:type="dxa"/>
              <w:bottom w:w="0" w:type="dxa"/>
              <w:right w:w="15" w:type="dxa"/>
            </w:tcMar>
            <w:vAlign w:val="bottom"/>
            <w:hideMark/>
          </w:tcPr>
          <w:p w14:paraId="065ECF6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7E47F1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8FAF7E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3F051C4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1,100</w:t>
            </w:r>
          </w:p>
        </w:tc>
        <w:tc>
          <w:tcPr>
            <w:tcW w:w="50" w:type="pct"/>
            <w:shd w:val="clear" w:color="auto" w:fill="FFFFFF"/>
            <w:noWrap/>
            <w:tcMar>
              <w:top w:w="15" w:type="dxa"/>
              <w:left w:w="0" w:type="dxa"/>
              <w:bottom w:w="0" w:type="dxa"/>
              <w:right w:w="15" w:type="dxa"/>
            </w:tcMar>
            <w:vAlign w:val="bottom"/>
            <w:hideMark/>
          </w:tcPr>
          <w:p w14:paraId="421AB4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159C8A0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166CC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4FC26A6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1,475</w:t>
            </w:r>
          </w:p>
        </w:tc>
        <w:tc>
          <w:tcPr>
            <w:tcW w:w="50" w:type="pct"/>
            <w:shd w:val="clear" w:color="auto" w:fill="FFFFFF"/>
            <w:noWrap/>
            <w:tcMar>
              <w:top w:w="15" w:type="dxa"/>
              <w:left w:w="0" w:type="dxa"/>
              <w:bottom w:w="0" w:type="dxa"/>
              <w:right w:w="15" w:type="dxa"/>
            </w:tcMar>
            <w:vAlign w:val="bottom"/>
            <w:hideMark/>
          </w:tcPr>
          <w:p w14:paraId="707802A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D06C097" w14:textId="77777777">
        <w:trPr>
          <w:divId w:val="1771508715"/>
          <w:jc w:val="center"/>
        </w:trPr>
        <w:tc>
          <w:tcPr>
            <w:tcW w:w="3273" w:type="pct"/>
            <w:shd w:val="clear" w:color="auto" w:fill="CFF0FC"/>
            <w:tcMar>
              <w:top w:w="15" w:type="dxa"/>
              <w:left w:w="0" w:type="dxa"/>
              <w:bottom w:w="0" w:type="dxa"/>
              <w:right w:w="15" w:type="dxa"/>
            </w:tcMar>
            <w:hideMark/>
          </w:tcPr>
          <w:p w14:paraId="1CA89077" w14:textId="77777777" w:rsidR="00251D72" w:rsidRDefault="00251D72">
            <w:pPr>
              <w:pStyle w:val="a3"/>
              <w:spacing w:before="0" w:beforeAutospacing="0" w:after="0" w:afterAutospacing="0"/>
              <w:ind w:left="547"/>
              <w:rPr>
                <w:rFonts w:ascii="Calibri" w:hAnsi="Calibri" w:cs="Calibri"/>
                <w:color w:val="000000"/>
                <w:sz w:val="20"/>
                <w:szCs w:val="20"/>
              </w:rPr>
            </w:pPr>
            <w:r>
              <w:rPr>
                <w:rFonts w:ascii="Calibri" w:hAnsi="Calibri" w:cs="Calibri"/>
                <w:color w:val="000000"/>
                <w:sz w:val="20"/>
                <w:szCs w:val="20"/>
              </w:rPr>
              <w:t>Total current provision</w:t>
            </w:r>
          </w:p>
        </w:tc>
        <w:tc>
          <w:tcPr>
            <w:tcW w:w="79" w:type="pct"/>
            <w:shd w:val="clear" w:color="auto" w:fill="CFF0FC"/>
            <w:tcMar>
              <w:top w:w="15" w:type="dxa"/>
              <w:left w:w="0" w:type="dxa"/>
              <w:bottom w:w="0" w:type="dxa"/>
              <w:right w:w="15" w:type="dxa"/>
            </w:tcMar>
            <w:vAlign w:val="bottom"/>
            <w:hideMark/>
          </w:tcPr>
          <w:p w14:paraId="09BAF4F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45418A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94344C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2,376</w:t>
            </w:r>
          </w:p>
        </w:tc>
        <w:tc>
          <w:tcPr>
            <w:tcW w:w="50" w:type="pct"/>
            <w:shd w:val="clear" w:color="auto" w:fill="CFF0FC"/>
            <w:noWrap/>
            <w:tcMar>
              <w:top w:w="15" w:type="dxa"/>
              <w:left w:w="0" w:type="dxa"/>
              <w:bottom w:w="0" w:type="dxa"/>
              <w:right w:w="15" w:type="dxa"/>
            </w:tcMar>
            <w:vAlign w:val="bottom"/>
            <w:hideMark/>
          </w:tcPr>
          <w:p w14:paraId="74B1FB9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6B0D379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51A084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2BD3C3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9,684</w:t>
            </w:r>
          </w:p>
        </w:tc>
        <w:tc>
          <w:tcPr>
            <w:tcW w:w="50" w:type="pct"/>
            <w:shd w:val="clear" w:color="auto" w:fill="CFF0FC"/>
            <w:noWrap/>
            <w:tcMar>
              <w:top w:w="15" w:type="dxa"/>
              <w:left w:w="0" w:type="dxa"/>
              <w:bottom w:w="0" w:type="dxa"/>
              <w:right w:w="15" w:type="dxa"/>
            </w:tcMar>
            <w:vAlign w:val="bottom"/>
            <w:hideMark/>
          </w:tcPr>
          <w:p w14:paraId="30BC573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446A79C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3CF8D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C6FAF4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2,668</w:t>
            </w:r>
          </w:p>
        </w:tc>
        <w:tc>
          <w:tcPr>
            <w:tcW w:w="50" w:type="pct"/>
            <w:shd w:val="clear" w:color="auto" w:fill="CFF0FC"/>
            <w:noWrap/>
            <w:tcMar>
              <w:top w:w="15" w:type="dxa"/>
              <w:left w:w="0" w:type="dxa"/>
              <w:bottom w:w="0" w:type="dxa"/>
              <w:right w:w="15" w:type="dxa"/>
            </w:tcMar>
            <w:vAlign w:val="bottom"/>
            <w:hideMark/>
          </w:tcPr>
          <w:p w14:paraId="33A35BD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6E498A3" w14:textId="77777777">
        <w:trPr>
          <w:divId w:val="1771508715"/>
          <w:jc w:val="center"/>
        </w:trPr>
        <w:tc>
          <w:tcPr>
            <w:tcW w:w="3273" w:type="pct"/>
            <w:shd w:val="clear" w:color="auto" w:fill="FFFFFF"/>
            <w:tcMar>
              <w:top w:w="15" w:type="dxa"/>
              <w:left w:w="0" w:type="dxa"/>
              <w:bottom w:w="0" w:type="dxa"/>
              <w:right w:w="15" w:type="dxa"/>
            </w:tcMar>
            <w:hideMark/>
          </w:tcPr>
          <w:p w14:paraId="27171BE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Deferred benefit:</w:t>
            </w:r>
          </w:p>
        </w:tc>
        <w:tc>
          <w:tcPr>
            <w:tcW w:w="79" w:type="pct"/>
            <w:shd w:val="clear" w:color="auto" w:fill="FFFFFF"/>
            <w:tcMar>
              <w:top w:w="15" w:type="dxa"/>
              <w:left w:w="0" w:type="dxa"/>
              <w:bottom w:w="0" w:type="dxa"/>
              <w:right w:w="15" w:type="dxa"/>
            </w:tcMar>
            <w:vAlign w:val="bottom"/>
            <w:hideMark/>
          </w:tcPr>
          <w:p w14:paraId="3C96257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7290B9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tcBorders>
            <w:shd w:val="clear" w:color="auto" w:fill="FFFFFF"/>
            <w:noWrap/>
            <w:tcMar>
              <w:top w:w="15" w:type="dxa"/>
              <w:left w:w="0" w:type="dxa"/>
              <w:bottom w:w="0" w:type="dxa"/>
              <w:right w:w="15" w:type="dxa"/>
            </w:tcMar>
            <w:vAlign w:val="bottom"/>
            <w:hideMark/>
          </w:tcPr>
          <w:p w14:paraId="2CADADB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EF135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77C6993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8F1E42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tcBorders>
            <w:shd w:val="clear" w:color="auto" w:fill="FFFFFF"/>
            <w:noWrap/>
            <w:tcMar>
              <w:top w:w="15" w:type="dxa"/>
              <w:left w:w="0" w:type="dxa"/>
              <w:bottom w:w="0" w:type="dxa"/>
              <w:right w:w="15" w:type="dxa"/>
            </w:tcMar>
            <w:vAlign w:val="bottom"/>
            <w:hideMark/>
          </w:tcPr>
          <w:p w14:paraId="12CA4CC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EFAF3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072139F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0BA0EC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top w:val="single" w:sz="6" w:space="0" w:color="000000"/>
            </w:tcBorders>
            <w:shd w:val="clear" w:color="auto" w:fill="FFFFFF"/>
            <w:noWrap/>
            <w:tcMar>
              <w:top w:w="15" w:type="dxa"/>
              <w:left w:w="0" w:type="dxa"/>
              <w:bottom w:w="0" w:type="dxa"/>
              <w:right w:w="15" w:type="dxa"/>
            </w:tcMar>
            <w:vAlign w:val="bottom"/>
            <w:hideMark/>
          </w:tcPr>
          <w:p w14:paraId="1CD6A64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B63A3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10133166" w14:textId="77777777">
        <w:trPr>
          <w:divId w:val="1771508715"/>
          <w:jc w:val="center"/>
        </w:trPr>
        <w:tc>
          <w:tcPr>
            <w:tcW w:w="3273" w:type="pct"/>
            <w:shd w:val="clear" w:color="auto" w:fill="CFF0FC"/>
            <w:tcMar>
              <w:top w:w="15" w:type="dxa"/>
              <w:left w:w="0" w:type="dxa"/>
              <w:bottom w:w="0" w:type="dxa"/>
              <w:right w:w="15" w:type="dxa"/>
            </w:tcMar>
            <w:hideMark/>
          </w:tcPr>
          <w:p w14:paraId="3AC08FD7"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Federal</w:t>
            </w:r>
          </w:p>
        </w:tc>
        <w:tc>
          <w:tcPr>
            <w:tcW w:w="79" w:type="pct"/>
            <w:shd w:val="clear" w:color="auto" w:fill="CFF0FC"/>
            <w:tcMar>
              <w:top w:w="15" w:type="dxa"/>
              <w:left w:w="0" w:type="dxa"/>
              <w:bottom w:w="0" w:type="dxa"/>
              <w:right w:w="15" w:type="dxa"/>
            </w:tcMar>
            <w:vAlign w:val="bottom"/>
            <w:hideMark/>
          </w:tcPr>
          <w:p w14:paraId="085AF0D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D72C3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shd w:val="clear" w:color="auto" w:fill="CFF0FC"/>
            <w:noWrap/>
            <w:tcMar>
              <w:top w:w="15" w:type="dxa"/>
              <w:left w:w="0" w:type="dxa"/>
              <w:bottom w:w="0" w:type="dxa"/>
              <w:right w:w="15" w:type="dxa"/>
            </w:tcMar>
            <w:vAlign w:val="bottom"/>
            <w:hideMark/>
          </w:tcPr>
          <w:p w14:paraId="10C93E3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483</w:t>
            </w:r>
          </w:p>
        </w:tc>
        <w:tc>
          <w:tcPr>
            <w:tcW w:w="50" w:type="pct"/>
            <w:shd w:val="clear" w:color="auto" w:fill="CFF0FC"/>
            <w:noWrap/>
            <w:tcMar>
              <w:top w:w="15" w:type="dxa"/>
              <w:left w:w="0" w:type="dxa"/>
              <w:bottom w:w="0" w:type="dxa"/>
              <w:right w:w="15" w:type="dxa"/>
            </w:tcMar>
            <w:vAlign w:val="bottom"/>
            <w:hideMark/>
          </w:tcPr>
          <w:p w14:paraId="13636DF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687F3F6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AF361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shd w:val="clear" w:color="auto" w:fill="CFF0FC"/>
            <w:noWrap/>
            <w:tcMar>
              <w:top w:w="15" w:type="dxa"/>
              <w:left w:w="0" w:type="dxa"/>
              <w:bottom w:w="0" w:type="dxa"/>
              <w:right w:w="15" w:type="dxa"/>
            </w:tcMar>
            <w:vAlign w:val="bottom"/>
            <w:hideMark/>
          </w:tcPr>
          <w:p w14:paraId="00BBFA7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(827</w:t>
            </w:r>
          </w:p>
        </w:tc>
        <w:tc>
          <w:tcPr>
            <w:tcW w:w="50" w:type="pct"/>
            <w:shd w:val="clear" w:color="auto" w:fill="CFF0FC"/>
            <w:noWrap/>
            <w:tcMar>
              <w:top w:w="15" w:type="dxa"/>
              <w:left w:w="0" w:type="dxa"/>
              <w:bottom w:w="0" w:type="dxa"/>
              <w:right w:w="15" w:type="dxa"/>
            </w:tcMar>
            <w:vAlign w:val="bottom"/>
            <w:hideMark/>
          </w:tcPr>
          <w:p w14:paraId="46853BF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00595EA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91D4C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shd w:val="clear" w:color="auto" w:fill="CFF0FC"/>
            <w:noWrap/>
            <w:tcMar>
              <w:top w:w="15" w:type="dxa"/>
              <w:left w:w="0" w:type="dxa"/>
              <w:bottom w:w="0" w:type="dxa"/>
              <w:right w:w="15" w:type="dxa"/>
            </w:tcMar>
            <w:vAlign w:val="bottom"/>
            <w:hideMark/>
          </w:tcPr>
          <w:p w14:paraId="189CF6D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(158</w:t>
            </w:r>
          </w:p>
        </w:tc>
        <w:tc>
          <w:tcPr>
            <w:tcW w:w="50" w:type="pct"/>
            <w:shd w:val="clear" w:color="auto" w:fill="CFF0FC"/>
            <w:noWrap/>
            <w:tcMar>
              <w:top w:w="15" w:type="dxa"/>
              <w:left w:w="0" w:type="dxa"/>
              <w:bottom w:w="0" w:type="dxa"/>
              <w:right w:w="15" w:type="dxa"/>
            </w:tcMar>
            <w:vAlign w:val="bottom"/>
            <w:hideMark/>
          </w:tcPr>
          <w:p w14:paraId="58B76E6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4BAA2A6E" w14:textId="77777777">
        <w:trPr>
          <w:divId w:val="1771508715"/>
          <w:jc w:val="center"/>
        </w:trPr>
        <w:tc>
          <w:tcPr>
            <w:tcW w:w="3273" w:type="pct"/>
            <w:shd w:val="clear" w:color="auto" w:fill="FFFFFF"/>
            <w:tcMar>
              <w:top w:w="15" w:type="dxa"/>
              <w:left w:w="0" w:type="dxa"/>
              <w:bottom w:w="0" w:type="dxa"/>
              <w:right w:w="15" w:type="dxa"/>
            </w:tcMar>
            <w:hideMark/>
          </w:tcPr>
          <w:p w14:paraId="4B5AD093"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State</w:t>
            </w:r>
          </w:p>
        </w:tc>
        <w:tc>
          <w:tcPr>
            <w:tcW w:w="79" w:type="pct"/>
            <w:shd w:val="clear" w:color="auto" w:fill="FFFFFF"/>
            <w:tcMar>
              <w:top w:w="15" w:type="dxa"/>
              <w:left w:w="0" w:type="dxa"/>
              <w:bottom w:w="0" w:type="dxa"/>
              <w:right w:w="15" w:type="dxa"/>
            </w:tcMar>
            <w:vAlign w:val="bottom"/>
            <w:hideMark/>
          </w:tcPr>
          <w:p w14:paraId="76006BE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3912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6D82DE6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left w:w="0" w:type="dxa"/>
              <w:bottom w:w="0" w:type="dxa"/>
              <w:right w:w="15" w:type="dxa"/>
            </w:tcMar>
            <w:vAlign w:val="bottom"/>
            <w:hideMark/>
          </w:tcPr>
          <w:p w14:paraId="509A834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left w:w="0" w:type="dxa"/>
              <w:bottom w:w="0" w:type="dxa"/>
              <w:right w:w="15" w:type="dxa"/>
            </w:tcMar>
            <w:vAlign w:val="bottom"/>
            <w:hideMark/>
          </w:tcPr>
          <w:p w14:paraId="52AB63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07D4F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0B82D77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w:t>
            </w:r>
          </w:p>
        </w:tc>
        <w:tc>
          <w:tcPr>
            <w:tcW w:w="50" w:type="pct"/>
            <w:shd w:val="clear" w:color="auto" w:fill="FFFFFF"/>
            <w:noWrap/>
            <w:tcMar>
              <w:top w:w="15" w:type="dxa"/>
              <w:left w:w="0" w:type="dxa"/>
              <w:bottom w:w="0" w:type="dxa"/>
              <w:right w:w="15" w:type="dxa"/>
            </w:tcMar>
            <w:vAlign w:val="bottom"/>
            <w:hideMark/>
          </w:tcPr>
          <w:p w14:paraId="3591874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left w:w="0" w:type="dxa"/>
              <w:bottom w:w="0" w:type="dxa"/>
              <w:right w:w="15" w:type="dxa"/>
            </w:tcMar>
            <w:vAlign w:val="bottom"/>
            <w:hideMark/>
          </w:tcPr>
          <w:p w14:paraId="2AFEFF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A2ECE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6C684DE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left w:w="0" w:type="dxa"/>
              <w:bottom w:w="0" w:type="dxa"/>
              <w:right w:w="15" w:type="dxa"/>
            </w:tcMar>
            <w:vAlign w:val="bottom"/>
            <w:hideMark/>
          </w:tcPr>
          <w:p w14:paraId="7882C41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4EC0E3E8" w14:textId="77777777">
        <w:trPr>
          <w:divId w:val="1771508715"/>
          <w:jc w:val="center"/>
        </w:trPr>
        <w:tc>
          <w:tcPr>
            <w:tcW w:w="3273" w:type="pct"/>
            <w:shd w:val="clear" w:color="auto" w:fill="CFF0FC"/>
            <w:tcMar>
              <w:top w:w="15" w:type="dxa"/>
              <w:left w:w="0" w:type="dxa"/>
              <w:bottom w:w="0" w:type="dxa"/>
              <w:right w:w="15" w:type="dxa"/>
            </w:tcMar>
            <w:hideMark/>
          </w:tcPr>
          <w:p w14:paraId="5A2AAA15"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Foreign</w:t>
            </w:r>
          </w:p>
        </w:tc>
        <w:tc>
          <w:tcPr>
            <w:tcW w:w="79" w:type="pct"/>
            <w:shd w:val="clear" w:color="auto" w:fill="CFF0FC"/>
            <w:tcMar>
              <w:top w:w="15" w:type="dxa"/>
              <w:left w:w="0" w:type="dxa"/>
              <w:bottom w:w="0" w:type="dxa"/>
              <w:right w:w="15" w:type="dxa"/>
            </w:tcMar>
            <w:vAlign w:val="bottom"/>
            <w:hideMark/>
          </w:tcPr>
          <w:p w14:paraId="31CBC59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168032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3E4DCC1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(1,646</w:t>
            </w:r>
          </w:p>
        </w:tc>
        <w:tc>
          <w:tcPr>
            <w:tcW w:w="50" w:type="pct"/>
            <w:shd w:val="clear" w:color="auto" w:fill="CFF0FC"/>
            <w:noWrap/>
            <w:tcMar>
              <w:top w:w="15" w:type="dxa"/>
              <w:left w:w="0" w:type="dxa"/>
              <w:bottom w:w="0" w:type="dxa"/>
              <w:right w:w="15" w:type="dxa"/>
            </w:tcMar>
            <w:vAlign w:val="bottom"/>
            <w:hideMark/>
          </w:tcPr>
          <w:p w14:paraId="499AFE1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5A12CEF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E9A90F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2AB7B57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CFF0FC"/>
            <w:noWrap/>
            <w:tcMar>
              <w:top w:w="15" w:type="dxa"/>
              <w:left w:w="0" w:type="dxa"/>
              <w:bottom w:w="0" w:type="dxa"/>
              <w:right w:w="15" w:type="dxa"/>
            </w:tcMar>
            <w:vAlign w:val="bottom"/>
            <w:hideMark/>
          </w:tcPr>
          <w:p w14:paraId="64B93B0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311A0FC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DBFA6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4522AC6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(253</w:t>
            </w:r>
          </w:p>
        </w:tc>
        <w:tc>
          <w:tcPr>
            <w:tcW w:w="50" w:type="pct"/>
            <w:shd w:val="clear" w:color="auto" w:fill="CFF0FC"/>
            <w:noWrap/>
            <w:tcMar>
              <w:top w:w="15" w:type="dxa"/>
              <w:left w:w="0" w:type="dxa"/>
              <w:bottom w:w="0" w:type="dxa"/>
              <w:right w:w="15" w:type="dxa"/>
            </w:tcMar>
            <w:vAlign w:val="bottom"/>
            <w:hideMark/>
          </w:tcPr>
          <w:p w14:paraId="5E3C6A2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570D7615" w14:textId="77777777">
        <w:trPr>
          <w:divId w:val="1771508715"/>
          <w:jc w:val="center"/>
        </w:trPr>
        <w:tc>
          <w:tcPr>
            <w:tcW w:w="3273" w:type="pct"/>
            <w:shd w:val="clear" w:color="auto" w:fill="FFFFFF"/>
            <w:tcMar>
              <w:top w:w="15" w:type="dxa"/>
              <w:left w:w="0" w:type="dxa"/>
              <w:bottom w:w="0" w:type="dxa"/>
              <w:right w:w="15" w:type="dxa"/>
            </w:tcMar>
            <w:hideMark/>
          </w:tcPr>
          <w:p w14:paraId="58F42CA6" w14:textId="77777777" w:rsidR="00251D72" w:rsidRDefault="00251D72">
            <w:pPr>
              <w:pStyle w:val="a3"/>
              <w:spacing w:before="0" w:beforeAutospacing="0" w:after="0" w:afterAutospacing="0"/>
              <w:ind w:left="547"/>
              <w:rPr>
                <w:rFonts w:ascii="Calibri" w:hAnsi="Calibri" w:cs="Calibri"/>
                <w:color w:val="000000"/>
                <w:sz w:val="20"/>
                <w:szCs w:val="20"/>
              </w:rPr>
            </w:pPr>
            <w:r>
              <w:rPr>
                <w:rFonts w:ascii="Calibri" w:hAnsi="Calibri" w:cs="Calibri"/>
                <w:color w:val="000000"/>
                <w:sz w:val="20"/>
                <w:szCs w:val="20"/>
              </w:rPr>
              <w:t>Total deferred benefit</w:t>
            </w:r>
          </w:p>
        </w:tc>
        <w:tc>
          <w:tcPr>
            <w:tcW w:w="79" w:type="pct"/>
            <w:shd w:val="clear" w:color="auto" w:fill="FFFFFF"/>
            <w:tcMar>
              <w:top w:w="15" w:type="dxa"/>
              <w:left w:w="0" w:type="dxa"/>
              <w:bottom w:w="0" w:type="dxa"/>
              <w:right w:w="15" w:type="dxa"/>
            </w:tcMar>
            <w:vAlign w:val="bottom"/>
            <w:hideMark/>
          </w:tcPr>
          <w:p w14:paraId="2A61AF5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08FE6E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B993CE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(1,191</w:t>
            </w:r>
          </w:p>
        </w:tc>
        <w:tc>
          <w:tcPr>
            <w:tcW w:w="50" w:type="pct"/>
            <w:shd w:val="clear" w:color="auto" w:fill="FFFFFF"/>
            <w:noWrap/>
            <w:tcMar>
              <w:top w:w="15" w:type="dxa"/>
              <w:left w:w="0" w:type="dxa"/>
              <w:bottom w:w="0" w:type="dxa"/>
              <w:right w:w="15" w:type="dxa"/>
            </w:tcMar>
            <w:vAlign w:val="bottom"/>
            <w:hideMark/>
          </w:tcPr>
          <w:p w14:paraId="30C12FE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left w:w="0" w:type="dxa"/>
              <w:bottom w:w="0" w:type="dxa"/>
              <w:right w:w="15" w:type="dxa"/>
            </w:tcMar>
            <w:vAlign w:val="bottom"/>
            <w:hideMark/>
          </w:tcPr>
          <w:p w14:paraId="7E5662D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1A34E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F6D122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(847</w:t>
            </w:r>
          </w:p>
        </w:tc>
        <w:tc>
          <w:tcPr>
            <w:tcW w:w="50" w:type="pct"/>
            <w:shd w:val="clear" w:color="auto" w:fill="FFFFFF"/>
            <w:noWrap/>
            <w:tcMar>
              <w:top w:w="15" w:type="dxa"/>
              <w:left w:w="0" w:type="dxa"/>
              <w:bottom w:w="0" w:type="dxa"/>
              <w:right w:w="15" w:type="dxa"/>
            </w:tcMar>
            <w:vAlign w:val="bottom"/>
            <w:hideMark/>
          </w:tcPr>
          <w:p w14:paraId="065D786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left w:w="0" w:type="dxa"/>
              <w:bottom w:w="0" w:type="dxa"/>
              <w:right w:w="15" w:type="dxa"/>
            </w:tcMar>
            <w:vAlign w:val="bottom"/>
            <w:hideMark/>
          </w:tcPr>
          <w:p w14:paraId="4ADF9C1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F7323E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F35F63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(440</w:t>
            </w:r>
          </w:p>
        </w:tc>
        <w:tc>
          <w:tcPr>
            <w:tcW w:w="50" w:type="pct"/>
            <w:shd w:val="clear" w:color="auto" w:fill="FFFFFF"/>
            <w:noWrap/>
            <w:tcMar>
              <w:top w:w="15" w:type="dxa"/>
              <w:left w:w="0" w:type="dxa"/>
              <w:bottom w:w="0" w:type="dxa"/>
              <w:right w:w="15" w:type="dxa"/>
            </w:tcMar>
            <w:vAlign w:val="bottom"/>
            <w:hideMark/>
          </w:tcPr>
          <w:p w14:paraId="543381F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0284DE1D" w14:textId="77777777">
        <w:trPr>
          <w:divId w:val="1771508715"/>
          <w:jc w:val="center"/>
        </w:trPr>
        <w:tc>
          <w:tcPr>
            <w:tcW w:w="3273" w:type="pct"/>
            <w:shd w:val="clear" w:color="auto" w:fill="CFF0FC"/>
            <w:tcMar>
              <w:top w:w="15" w:type="dxa"/>
              <w:left w:w="0" w:type="dxa"/>
              <w:bottom w:w="0" w:type="dxa"/>
              <w:right w:w="15" w:type="dxa"/>
            </w:tcMar>
            <w:hideMark/>
          </w:tcPr>
          <w:p w14:paraId="3A77FA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Total provision for income taxes</w:t>
            </w:r>
          </w:p>
        </w:tc>
        <w:tc>
          <w:tcPr>
            <w:tcW w:w="79" w:type="pct"/>
            <w:shd w:val="clear" w:color="auto" w:fill="CFF0FC"/>
            <w:tcMar>
              <w:top w:w="15" w:type="dxa"/>
              <w:left w:w="0" w:type="dxa"/>
              <w:bottom w:w="0" w:type="dxa"/>
              <w:right w:w="15" w:type="dxa"/>
            </w:tcMar>
            <w:vAlign w:val="bottom"/>
            <w:hideMark/>
          </w:tcPr>
          <w:p w14:paraId="27E1C37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B13972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996EA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1,185</w:t>
            </w:r>
          </w:p>
        </w:tc>
        <w:tc>
          <w:tcPr>
            <w:tcW w:w="50" w:type="pct"/>
            <w:shd w:val="clear" w:color="auto" w:fill="CFF0FC"/>
            <w:noWrap/>
            <w:tcMar>
              <w:top w:w="15" w:type="dxa"/>
              <w:left w:w="0" w:type="dxa"/>
              <w:bottom w:w="0" w:type="dxa"/>
              <w:right w:w="15" w:type="dxa"/>
            </w:tcMar>
            <w:vAlign w:val="bottom"/>
            <w:hideMark/>
          </w:tcPr>
          <w:p w14:paraId="6E3605A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2984D35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7AC25B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30B6E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8,837</w:t>
            </w:r>
          </w:p>
        </w:tc>
        <w:tc>
          <w:tcPr>
            <w:tcW w:w="50" w:type="pct"/>
            <w:shd w:val="clear" w:color="auto" w:fill="CFF0FC"/>
            <w:noWrap/>
            <w:tcMar>
              <w:top w:w="15" w:type="dxa"/>
              <w:left w:w="0" w:type="dxa"/>
              <w:bottom w:w="0" w:type="dxa"/>
              <w:right w:w="15" w:type="dxa"/>
            </w:tcMar>
            <w:vAlign w:val="bottom"/>
            <w:hideMark/>
          </w:tcPr>
          <w:p w14:paraId="31E57D5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4C05EF4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ABA83D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60964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2,228</w:t>
            </w:r>
          </w:p>
        </w:tc>
        <w:tc>
          <w:tcPr>
            <w:tcW w:w="50" w:type="pct"/>
            <w:shd w:val="clear" w:color="auto" w:fill="CFF0FC"/>
            <w:noWrap/>
            <w:tcMar>
              <w:top w:w="15" w:type="dxa"/>
              <w:left w:w="0" w:type="dxa"/>
              <w:bottom w:w="0" w:type="dxa"/>
              <w:right w:w="15" w:type="dxa"/>
            </w:tcMar>
            <w:vAlign w:val="bottom"/>
            <w:hideMark/>
          </w:tcPr>
          <w:p w14:paraId="14725DC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DCD6B22" w14:textId="77777777">
        <w:trPr>
          <w:divId w:val="1771508715"/>
          <w:jc w:val="center"/>
        </w:trPr>
        <w:tc>
          <w:tcPr>
            <w:tcW w:w="3273" w:type="pct"/>
            <w:shd w:val="clear" w:color="auto" w:fill="FFFFFF"/>
            <w:tcMar>
              <w:top w:w="15" w:type="dxa"/>
              <w:left w:w="0" w:type="dxa"/>
              <w:bottom w:w="0" w:type="dxa"/>
              <w:right w:w="15" w:type="dxa"/>
            </w:tcMar>
            <w:hideMark/>
          </w:tcPr>
          <w:p w14:paraId="3E49A4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Effective income tax rate</w:t>
            </w:r>
          </w:p>
        </w:tc>
        <w:tc>
          <w:tcPr>
            <w:tcW w:w="79" w:type="pct"/>
            <w:shd w:val="clear" w:color="auto" w:fill="FFFFFF"/>
            <w:tcMar>
              <w:top w:w="15" w:type="dxa"/>
              <w:left w:w="0" w:type="dxa"/>
              <w:bottom w:w="0" w:type="dxa"/>
              <w:right w:w="15" w:type="dxa"/>
            </w:tcMar>
            <w:vAlign w:val="bottom"/>
            <w:hideMark/>
          </w:tcPr>
          <w:p w14:paraId="2A2D4E9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tcBorders>
              <w:top w:val="double" w:sz="6" w:space="0" w:color="000000"/>
            </w:tcBorders>
            <w:shd w:val="clear" w:color="auto" w:fill="FFFFFF"/>
            <w:tcMar>
              <w:top w:w="15" w:type="dxa"/>
              <w:left w:w="0" w:type="dxa"/>
              <w:bottom w:w="0" w:type="dxa"/>
              <w:right w:w="15" w:type="dxa"/>
            </w:tcMar>
            <w:vAlign w:val="bottom"/>
            <w:hideMark/>
          </w:tcPr>
          <w:p w14:paraId="272CE8E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9.7%</w:t>
            </w:r>
          </w:p>
        </w:tc>
        <w:tc>
          <w:tcPr>
            <w:tcW w:w="50" w:type="pct"/>
            <w:shd w:val="clear" w:color="auto" w:fill="FFFFFF"/>
            <w:noWrap/>
            <w:tcMar>
              <w:top w:w="15" w:type="dxa"/>
              <w:left w:w="0" w:type="dxa"/>
              <w:bottom w:w="0" w:type="dxa"/>
              <w:right w:w="15" w:type="dxa"/>
            </w:tcMar>
            <w:vAlign w:val="bottom"/>
            <w:hideMark/>
          </w:tcPr>
          <w:p w14:paraId="00EF849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7FBD6D5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tcBorders>
              <w:top w:val="double" w:sz="6" w:space="0" w:color="000000"/>
            </w:tcBorders>
            <w:shd w:val="clear" w:color="auto" w:fill="FFFFFF"/>
            <w:tcMar>
              <w:top w:w="15" w:type="dxa"/>
              <w:left w:w="0" w:type="dxa"/>
              <w:bottom w:w="0" w:type="dxa"/>
              <w:right w:w="15" w:type="dxa"/>
            </w:tcMar>
            <w:vAlign w:val="bottom"/>
            <w:hideMark/>
          </w:tcPr>
          <w:p w14:paraId="2117909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71.1%</w:t>
            </w:r>
          </w:p>
        </w:tc>
        <w:tc>
          <w:tcPr>
            <w:tcW w:w="50" w:type="pct"/>
            <w:shd w:val="clear" w:color="auto" w:fill="FFFFFF"/>
            <w:noWrap/>
            <w:tcMar>
              <w:top w:w="15" w:type="dxa"/>
              <w:left w:w="0" w:type="dxa"/>
              <w:bottom w:w="0" w:type="dxa"/>
              <w:right w:w="15" w:type="dxa"/>
            </w:tcMar>
            <w:vAlign w:val="bottom"/>
            <w:hideMark/>
          </w:tcPr>
          <w:p w14:paraId="201215D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70DBD88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tcBorders>
              <w:top w:val="double" w:sz="6" w:space="0" w:color="000000"/>
            </w:tcBorders>
            <w:shd w:val="clear" w:color="auto" w:fill="FFFFFF"/>
            <w:tcMar>
              <w:top w:w="15" w:type="dxa"/>
              <w:left w:w="0" w:type="dxa"/>
              <w:bottom w:w="0" w:type="dxa"/>
              <w:right w:w="15" w:type="dxa"/>
            </w:tcMar>
            <w:vAlign w:val="bottom"/>
            <w:hideMark/>
          </w:tcPr>
          <w:p w14:paraId="3D0E989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19.1%</w:t>
            </w:r>
          </w:p>
        </w:tc>
        <w:tc>
          <w:tcPr>
            <w:tcW w:w="50" w:type="pct"/>
            <w:shd w:val="clear" w:color="auto" w:fill="FFFFFF"/>
            <w:noWrap/>
            <w:tcMar>
              <w:top w:w="15" w:type="dxa"/>
              <w:left w:w="0" w:type="dxa"/>
              <w:bottom w:w="0" w:type="dxa"/>
              <w:right w:w="15" w:type="dxa"/>
            </w:tcMar>
            <w:vAlign w:val="bottom"/>
            <w:hideMark/>
          </w:tcPr>
          <w:p w14:paraId="73FFF7AC"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C93D5B1" w14:textId="77777777" w:rsidR="00251D72" w:rsidRDefault="00251D72">
      <w:pPr>
        <w:pStyle w:val="a3"/>
        <w:spacing w:before="0" w:beforeAutospacing="0" w:after="0" w:afterAutospacing="0"/>
        <w:rPr>
          <w:sz w:val="12"/>
          <w:szCs w:val="12"/>
        </w:rPr>
      </w:pPr>
      <w:r>
        <w:rPr>
          <w:sz w:val="12"/>
          <w:szCs w:val="12"/>
        </w:rPr>
        <w:t> </w:t>
      </w:r>
    </w:p>
    <w:p w14:paraId="1E798EB7"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The provision for income taxes differed from the amount computed by applying the federal statutory rate to our income before provision for income taxes as follows:</w:t>
      </w:r>
    </w:p>
    <w:p w14:paraId="3864CAC9"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430"/>
        <w:gridCol w:w="122"/>
        <w:gridCol w:w="112"/>
        <w:gridCol w:w="649"/>
        <w:gridCol w:w="74"/>
        <w:gridCol w:w="122"/>
        <w:gridCol w:w="112"/>
        <w:gridCol w:w="650"/>
        <w:gridCol w:w="75"/>
        <w:gridCol w:w="123"/>
        <w:gridCol w:w="112"/>
        <w:gridCol w:w="650"/>
        <w:gridCol w:w="75"/>
      </w:tblGrid>
      <w:tr w:rsidR="00251D72" w14:paraId="08CAFCD1" w14:textId="77777777">
        <w:trPr>
          <w:divId w:val="1416518288"/>
          <w:jc w:val="center"/>
        </w:trPr>
        <w:tc>
          <w:tcPr>
            <w:tcW w:w="3273" w:type="pct"/>
            <w:shd w:val="clear" w:color="auto" w:fill="FFFFFF"/>
            <w:tcMar>
              <w:top w:w="15" w:type="dxa"/>
              <w:left w:w="0" w:type="dxa"/>
              <w:bottom w:w="0" w:type="dxa"/>
              <w:right w:w="15" w:type="dxa"/>
            </w:tcMar>
            <w:vAlign w:val="bottom"/>
            <w:hideMark/>
          </w:tcPr>
          <w:p w14:paraId="0DC465BA" w14:textId="77777777" w:rsidR="00251D72" w:rsidRDefault="00251D72">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427F48D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6" w:type="pct"/>
            <w:gridSpan w:val="10"/>
            <w:tcBorders>
              <w:bottom w:val="single" w:sz="6" w:space="0" w:color="000000"/>
            </w:tcBorders>
            <w:shd w:val="clear" w:color="auto" w:fill="FFFFFF"/>
            <w:tcMar>
              <w:top w:w="15" w:type="dxa"/>
              <w:left w:w="0" w:type="dxa"/>
              <w:bottom w:w="0" w:type="dxa"/>
              <w:right w:w="15" w:type="dxa"/>
            </w:tcMar>
            <w:vAlign w:val="bottom"/>
            <w:hideMark/>
          </w:tcPr>
          <w:p w14:paraId="281A49C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138C4F4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32241CA" w14:textId="77777777">
        <w:trPr>
          <w:divId w:val="1416518288"/>
          <w:jc w:val="center"/>
        </w:trPr>
        <w:tc>
          <w:tcPr>
            <w:tcW w:w="3273" w:type="pct"/>
            <w:tcBorders>
              <w:bottom w:val="single" w:sz="6" w:space="0" w:color="000000"/>
            </w:tcBorders>
            <w:shd w:val="clear" w:color="auto" w:fill="FFFFFF"/>
            <w:tcMar>
              <w:top w:w="15" w:type="dxa"/>
              <w:left w:w="0" w:type="dxa"/>
              <w:bottom w:w="0" w:type="dxa"/>
              <w:right w:w="15" w:type="dxa"/>
            </w:tcMar>
            <w:vAlign w:val="bottom"/>
            <w:hideMark/>
          </w:tcPr>
          <w:p w14:paraId="6E51881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left w:w="0" w:type="dxa"/>
              <w:bottom w:w="0" w:type="dxa"/>
              <w:right w:w="15" w:type="dxa"/>
            </w:tcMar>
            <w:vAlign w:val="bottom"/>
            <w:hideMark/>
          </w:tcPr>
          <w:p w14:paraId="48DF7E2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F6777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A51713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3170F6D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B96D5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5A586E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7A34A73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FF4F9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6D9CCAF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F329E88" w14:textId="77777777">
        <w:trPr>
          <w:divId w:val="1416518288"/>
          <w:jc w:val="center"/>
        </w:trPr>
        <w:tc>
          <w:tcPr>
            <w:tcW w:w="3273" w:type="pct"/>
            <w:tcBorders>
              <w:top w:val="single" w:sz="6" w:space="0" w:color="000000"/>
            </w:tcBorders>
            <w:shd w:val="clear" w:color="auto" w:fill="CFF0FC"/>
            <w:tcMar>
              <w:top w:w="15" w:type="dxa"/>
              <w:left w:w="0" w:type="dxa"/>
              <w:bottom w:w="0" w:type="dxa"/>
              <w:right w:w="15" w:type="dxa"/>
            </w:tcMar>
            <w:hideMark/>
          </w:tcPr>
          <w:p w14:paraId="4442ABBD"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U.S. federal statutory tax rate</w:t>
            </w:r>
          </w:p>
        </w:tc>
        <w:tc>
          <w:tcPr>
            <w:tcW w:w="79" w:type="pct"/>
            <w:shd w:val="clear" w:color="auto" w:fill="CFF0FC"/>
            <w:tcMar>
              <w:top w:w="15" w:type="dxa"/>
              <w:left w:w="0" w:type="dxa"/>
              <w:bottom w:w="0" w:type="dxa"/>
              <w:right w:w="15" w:type="dxa"/>
            </w:tcMar>
            <w:vAlign w:val="bottom"/>
            <w:hideMark/>
          </w:tcPr>
          <w:p w14:paraId="4CC344D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446" w:type="pct"/>
            <w:gridSpan w:val="2"/>
            <w:tcBorders>
              <w:top w:val="single" w:sz="6" w:space="0" w:color="000000"/>
            </w:tcBorders>
            <w:shd w:val="clear" w:color="auto" w:fill="CFF0FC"/>
            <w:tcMar>
              <w:top w:w="15" w:type="dxa"/>
              <w:left w:w="0" w:type="dxa"/>
              <w:bottom w:w="0" w:type="dxa"/>
              <w:right w:w="15" w:type="dxa"/>
            </w:tcMar>
            <w:vAlign w:val="bottom"/>
            <w:hideMark/>
          </w:tcPr>
          <w:p w14:paraId="7A346AAE"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21.0%</w:t>
            </w:r>
          </w:p>
        </w:tc>
        <w:tc>
          <w:tcPr>
            <w:tcW w:w="50" w:type="pct"/>
            <w:shd w:val="clear" w:color="auto" w:fill="CFF0FC"/>
            <w:noWrap/>
            <w:tcMar>
              <w:top w:w="15" w:type="dxa"/>
              <w:left w:w="0" w:type="dxa"/>
              <w:bottom w:w="0" w:type="dxa"/>
              <w:right w:w="15" w:type="dxa"/>
            </w:tcMar>
            <w:vAlign w:val="bottom"/>
            <w:hideMark/>
          </w:tcPr>
          <w:p w14:paraId="47ED841B"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left w:w="0" w:type="dxa"/>
              <w:bottom w:w="0" w:type="dxa"/>
              <w:right w:w="15" w:type="dxa"/>
            </w:tcMar>
            <w:vAlign w:val="bottom"/>
            <w:hideMark/>
          </w:tcPr>
          <w:p w14:paraId="7DF1D30D"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446" w:type="pct"/>
            <w:gridSpan w:val="2"/>
            <w:tcBorders>
              <w:top w:val="single" w:sz="6" w:space="0" w:color="000000"/>
            </w:tcBorders>
            <w:shd w:val="clear" w:color="auto" w:fill="CFF0FC"/>
            <w:tcMar>
              <w:top w:w="15" w:type="dxa"/>
              <w:left w:w="0" w:type="dxa"/>
              <w:bottom w:w="0" w:type="dxa"/>
              <w:right w:w="15" w:type="dxa"/>
            </w:tcMar>
            <w:vAlign w:val="bottom"/>
            <w:hideMark/>
          </w:tcPr>
          <w:p w14:paraId="413A925C"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29.2%</w:t>
            </w:r>
          </w:p>
        </w:tc>
        <w:tc>
          <w:tcPr>
            <w:tcW w:w="50" w:type="pct"/>
            <w:shd w:val="clear" w:color="auto" w:fill="CFF0FC"/>
            <w:noWrap/>
            <w:tcMar>
              <w:top w:w="15" w:type="dxa"/>
              <w:left w:w="0" w:type="dxa"/>
              <w:bottom w:w="0" w:type="dxa"/>
              <w:right w:w="15" w:type="dxa"/>
            </w:tcMar>
            <w:vAlign w:val="bottom"/>
            <w:hideMark/>
          </w:tcPr>
          <w:p w14:paraId="7F0D97FA"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left w:w="0" w:type="dxa"/>
              <w:bottom w:w="0" w:type="dxa"/>
              <w:right w:w="15" w:type="dxa"/>
            </w:tcMar>
            <w:vAlign w:val="bottom"/>
            <w:hideMark/>
          </w:tcPr>
          <w:p w14:paraId="478C59BD"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446" w:type="pct"/>
            <w:gridSpan w:val="2"/>
            <w:tcBorders>
              <w:top w:val="single" w:sz="6" w:space="0" w:color="000000"/>
            </w:tcBorders>
            <w:shd w:val="clear" w:color="auto" w:fill="CFF0FC"/>
            <w:tcMar>
              <w:top w:w="15" w:type="dxa"/>
              <w:left w:w="0" w:type="dxa"/>
              <w:bottom w:w="0" w:type="dxa"/>
              <w:right w:w="15" w:type="dxa"/>
            </w:tcMar>
            <w:vAlign w:val="bottom"/>
            <w:hideMark/>
          </w:tcPr>
          <w:p w14:paraId="6E5B94AE"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35.0%</w:t>
            </w:r>
          </w:p>
        </w:tc>
        <w:tc>
          <w:tcPr>
            <w:tcW w:w="50" w:type="pct"/>
            <w:shd w:val="clear" w:color="auto" w:fill="CFF0FC"/>
            <w:noWrap/>
            <w:tcMar>
              <w:top w:w="15" w:type="dxa"/>
              <w:left w:w="0" w:type="dxa"/>
              <w:bottom w:w="0" w:type="dxa"/>
              <w:right w:w="15" w:type="dxa"/>
            </w:tcMar>
            <w:vAlign w:val="bottom"/>
            <w:hideMark/>
          </w:tcPr>
          <w:p w14:paraId="4A63BC10"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r>
      <w:tr w:rsidR="00251D72" w14:paraId="15EA00CE" w14:textId="77777777">
        <w:trPr>
          <w:divId w:val="1416518288"/>
          <w:jc w:val="center"/>
        </w:trPr>
        <w:tc>
          <w:tcPr>
            <w:tcW w:w="3273" w:type="pct"/>
            <w:shd w:val="clear" w:color="auto" w:fill="FFFFFF"/>
            <w:tcMar>
              <w:top w:w="15" w:type="dxa"/>
              <w:left w:w="0" w:type="dxa"/>
              <w:bottom w:w="0" w:type="dxa"/>
              <w:right w:w="15" w:type="dxa"/>
            </w:tcMar>
            <w:hideMark/>
          </w:tcPr>
          <w:p w14:paraId="03F8B6C1"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Tax provision at statutory rate</w:t>
            </w:r>
          </w:p>
        </w:tc>
        <w:tc>
          <w:tcPr>
            <w:tcW w:w="79" w:type="pct"/>
            <w:shd w:val="clear" w:color="auto" w:fill="FFFFFF"/>
            <w:tcMar>
              <w:top w:w="15" w:type="dxa"/>
              <w:left w:w="0" w:type="dxa"/>
              <w:bottom w:w="0" w:type="dxa"/>
              <w:right w:w="15" w:type="dxa"/>
            </w:tcMar>
            <w:vAlign w:val="bottom"/>
            <w:hideMark/>
          </w:tcPr>
          <w:p w14:paraId="7787BA97"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2D0E20B4"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396" w:type="pct"/>
            <w:shd w:val="clear" w:color="auto" w:fill="FFFFFF"/>
            <w:noWrap/>
            <w:tcMar>
              <w:top w:w="15" w:type="dxa"/>
              <w:left w:w="0" w:type="dxa"/>
              <w:bottom w:w="0" w:type="dxa"/>
              <w:right w:w="15" w:type="dxa"/>
            </w:tcMar>
            <w:vAlign w:val="bottom"/>
            <w:hideMark/>
          </w:tcPr>
          <w:p w14:paraId="120957F5"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2,576</w:t>
            </w:r>
          </w:p>
        </w:tc>
        <w:tc>
          <w:tcPr>
            <w:tcW w:w="50" w:type="pct"/>
            <w:shd w:val="clear" w:color="auto" w:fill="FFFFFF"/>
            <w:noWrap/>
            <w:tcMar>
              <w:top w:w="15" w:type="dxa"/>
              <w:left w:w="0" w:type="dxa"/>
              <w:bottom w:w="0" w:type="dxa"/>
              <w:right w:w="15" w:type="dxa"/>
            </w:tcMar>
            <w:vAlign w:val="bottom"/>
            <w:hideMark/>
          </w:tcPr>
          <w:p w14:paraId="0B801F2F"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left w:w="0" w:type="dxa"/>
              <w:bottom w:w="0" w:type="dxa"/>
              <w:right w:w="15" w:type="dxa"/>
            </w:tcMar>
            <w:vAlign w:val="bottom"/>
            <w:hideMark/>
          </w:tcPr>
          <w:p w14:paraId="4D3904FF"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1F8189F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396" w:type="pct"/>
            <w:shd w:val="clear" w:color="auto" w:fill="FFFFFF"/>
            <w:noWrap/>
            <w:tcMar>
              <w:top w:w="15" w:type="dxa"/>
              <w:left w:w="0" w:type="dxa"/>
              <w:bottom w:w="0" w:type="dxa"/>
              <w:right w:w="15" w:type="dxa"/>
            </w:tcMar>
            <w:vAlign w:val="bottom"/>
            <w:hideMark/>
          </w:tcPr>
          <w:p w14:paraId="4795E48D"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3,629</w:t>
            </w:r>
          </w:p>
        </w:tc>
        <w:tc>
          <w:tcPr>
            <w:tcW w:w="50" w:type="pct"/>
            <w:shd w:val="clear" w:color="auto" w:fill="FFFFFF"/>
            <w:noWrap/>
            <w:tcMar>
              <w:top w:w="15" w:type="dxa"/>
              <w:left w:w="0" w:type="dxa"/>
              <w:bottom w:w="0" w:type="dxa"/>
              <w:right w:w="15" w:type="dxa"/>
            </w:tcMar>
            <w:vAlign w:val="bottom"/>
            <w:hideMark/>
          </w:tcPr>
          <w:p w14:paraId="5C6DD4AE"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left w:w="0" w:type="dxa"/>
              <w:bottom w:w="0" w:type="dxa"/>
              <w:right w:w="15" w:type="dxa"/>
            </w:tcMar>
            <w:vAlign w:val="bottom"/>
            <w:hideMark/>
          </w:tcPr>
          <w:p w14:paraId="7C8500C8"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157BF63D"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396" w:type="pct"/>
            <w:shd w:val="clear" w:color="auto" w:fill="FFFFFF"/>
            <w:noWrap/>
            <w:tcMar>
              <w:top w:w="15" w:type="dxa"/>
              <w:left w:w="0" w:type="dxa"/>
              <w:bottom w:w="0" w:type="dxa"/>
              <w:right w:w="15" w:type="dxa"/>
            </w:tcMar>
            <w:vAlign w:val="bottom"/>
            <w:hideMark/>
          </w:tcPr>
          <w:p w14:paraId="4FA2461F"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4,088</w:t>
            </w:r>
          </w:p>
        </w:tc>
        <w:tc>
          <w:tcPr>
            <w:tcW w:w="50" w:type="pct"/>
            <w:shd w:val="clear" w:color="auto" w:fill="FFFFFF"/>
            <w:noWrap/>
            <w:tcMar>
              <w:top w:w="15" w:type="dxa"/>
              <w:left w:w="0" w:type="dxa"/>
              <w:bottom w:w="0" w:type="dxa"/>
              <w:right w:w="15" w:type="dxa"/>
            </w:tcMar>
            <w:vAlign w:val="bottom"/>
            <w:hideMark/>
          </w:tcPr>
          <w:p w14:paraId="1F68E370"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r>
      <w:tr w:rsidR="00251D72" w14:paraId="20F7E7FD" w14:textId="77777777">
        <w:trPr>
          <w:divId w:val="1416518288"/>
          <w:jc w:val="center"/>
        </w:trPr>
        <w:tc>
          <w:tcPr>
            <w:tcW w:w="3273" w:type="pct"/>
            <w:shd w:val="clear" w:color="auto" w:fill="CFF0FC"/>
            <w:tcMar>
              <w:top w:w="15" w:type="dxa"/>
              <w:left w:w="0" w:type="dxa"/>
              <w:bottom w:w="0" w:type="dxa"/>
              <w:right w:w="15" w:type="dxa"/>
            </w:tcMar>
            <w:hideMark/>
          </w:tcPr>
          <w:p w14:paraId="4D2D8C64"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Impact of the Tax Act of 2017:</w:t>
            </w:r>
          </w:p>
        </w:tc>
        <w:tc>
          <w:tcPr>
            <w:tcW w:w="79" w:type="pct"/>
            <w:shd w:val="clear" w:color="auto" w:fill="CFF0FC"/>
            <w:tcMar>
              <w:top w:w="15" w:type="dxa"/>
              <w:left w:w="0" w:type="dxa"/>
              <w:bottom w:w="0" w:type="dxa"/>
              <w:right w:w="15" w:type="dxa"/>
            </w:tcMar>
            <w:vAlign w:val="bottom"/>
            <w:hideMark/>
          </w:tcPr>
          <w:p w14:paraId="676FC2F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4596D05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45C2D725"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5EC47BD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left w:w="0" w:type="dxa"/>
              <w:bottom w:w="0" w:type="dxa"/>
              <w:right w:w="15" w:type="dxa"/>
            </w:tcMar>
            <w:vAlign w:val="bottom"/>
            <w:hideMark/>
          </w:tcPr>
          <w:p w14:paraId="32D08376"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045005D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0CFD810C"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744C5EB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left w:w="0" w:type="dxa"/>
              <w:bottom w:w="0" w:type="dxa"/>
              <w:right w:w="15" w:type="dxa"/>
            </w:tcMar>
            <w:vAlign w:val="bottom"/>
            <w:hideMark/>
          </w:tcPr>
          <w:p w14:paraId="30DA2C2F"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3CDDC63D"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230AF0B9"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75C1A58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r>
      <w:tr w:rsidR="00251D72" w14:paraId="5150D6E2" w14:textId="77777777">
        <w:trPr>
          <w:divId w:val="1416518288"/>
          <w:jc w:val="center"/>
        </w:trPr>
        <w:tc>
          <w:tcPr>
            <w:tcW w:w="3273" w:type="pct"/>
            <w:shd w:val="clear" w:color="auto" w:fill="FFFFFF"/>
            <w:tcMar>
              <w:top w:w="15" w:type="dxa"/>
              <w:left w:w="0" w:type="dxa"/>
              <w:bottom w:w="0" w:type="dxa"/>
              <w:right w:w="15" w:type="dxa"/>
            </w:tcMar>
            <w:hideMark/>
          </w:tcPr>
          <w:p w14:paraId="618B945F" w14:textId="77777777" w:rsidR="00251D72" w:rsidRDefault="00251D72">
            <w:pPr>
              <w:pStyle w:val="a3"/>
              <w:spacing w:before="0" w:beforeAutospacing="0" w:after="0" w:afterAutospacing="0"/>
              <w:ind w:left="137"/>
              <w:rPr>
                <w:rFonts w:ascii="Calibri" w:hAnsi="Calibri" w:cs="Calibri"/>
                <w:color w:val="000000"/>
                <w:sz w:val="19"/>
                <w:szCs w:val="19"/>
              </w:rPr>
            </w:pPr>
            <w:r>
              <w:rPr>
                <w:rFonts w:ascii="Calibri" w:hAnsi="Calibri" w:cs="Calibri"/>
                <w:color w:val="000000"/>
                <w:sz w:val="19"/>
                <w:szCs w:val="19"/>
              </w:rPr>
              <w:t>One-time transition tax</w:t>
            </w:r>
          </w:p>
        </w:tc>
        <w:tc>
          <w:tcPr>
            <w:tcW w:w="79" w:type="pct"/>
            <w:shd w:val="clear" w:color="auto" w:fill="FFFFFF"/>
            <w:tcMar>
              <w:top w:w="15" w:type="dxa"/>
              <w:left w:w="0" w:type="dxa"/>
              <w:bottom w:w="0" w:type="dxa"/>
              <w:right w:w="15" w:type="dxa"/>
            </w:tcMar>
            <w:vAlign w:val="bottom"/>
            <w:hideMark/>
          </w:tcPr>
          <w:p w14:paraId="42C7FAF2"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0CF2E81D"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5DBF5DFA"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(529</w:t>
            </w:r>
          </w:p>
        </w:tc>
        <w:tc>
          <w:tcPr>
            <w:tcW w:w="50" w:type="pct"/>
            <w:shd w:val="clear" w:color="auto" w:fill="FFFFFF"/>
            <w:noWrap/>
            <w:tcMar>
              <w:top w:w="15" w:type="dxa"/>
              <w:left w:w="0" w:type="dxa"/>
              <w:bottom w:w="0" w:type="dxa"/>
              <w:right w:w="15" w:type="dxa"/>
            </w:tcMar>
            <w:vAlign w:val="bottom"/>
            <w:hideMark/>
          </w:tcPr>
          <w:p w14:paraId="11851791"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left w:w="0" w:type="dxa"/>
              <w:bottom w:w="0" w:type="dxa"/>
              <w:right w:w="15" w:type="dxa"/>
            </w:tcMar>
            <w:vAlign w:val="bottom"/>
            <w:hideMark/>
          </w:tcPr>
          <w:p w14:paraId="39E5BDB0"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3DAAE2A1"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5FC4FE39"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7,781</w:t>
            </w:r>
          </w:p>
        </w:tc>
        <w:tc>
          <w:tcPr>
            <w:tcW w:w="50" w:type="pct"/>
            <w:shd w:val="clear" w:color="auto" w:fill="FFFFFF"/>
            <w:noWrap/>
            <w:tcMar>
              <w:top w:w="15" w:type="dxa"/>
              <w:left w:w="0" w:type="dxa"/>
              <w:bottom w:w="0" w:type="dxa"/>
              <w:right w:w="15" w:type="dxa"/>
            </w:tcMar>
            <w:vAlign w:val="bottom"/>
            <w:hideMark/>
          </w:tcPr>
          <w:p w14:paraId="2359B257"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left w:w="0" w:type="dxa"/>
              <w:bottom w:w="0" w:type="dxa"/>
              <w:right w:w="15" w:type="dxa"/>
            </w:tcMar>
            <w:vAlign w:val="bottom"/>
            <w:hideMark/>
          </w:tcPr>
          <w:p w14:paraId="431B811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1133D56E"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0C8F856D"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w:t>
            </w:r>
          </w:p>
        </w:tc>
        <w:tc>
          <w:tcPr>
            <w:tcW w:w="50" w:type="pct"/>
            <w:shd w:val="clear" w:color="auto" w:fill="FFFFFF"/>
            <w:noWrap/>
            <w:tcMar>
              <w:top w:w="15" w:type="dxa"/>
              <w:left w:w="0" w:type="dxa"/>
              <w:bottom w:w="0" w:type="dxa"/>
              <w:right w:w="15" w:type="dxa"/>
            </w:tcMar>
            <w:vAlign w:val="bottom"/>
            <w:hideMark/>
          </w:tcPr>
          <w:p w14:paraId="78FE5D5E"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r>
      <w:tr w:rsidR="00251D72" w14:paraId="532A3D7B" w14:textId="77777777">
        <w:trPr>
          <w:divId w:val="1416518288"/>
          <w:jc w:val="center"/>
        </w:trPr>
        <w:tc>
          <w:tcPr>
            <w:tcW w:w="3273" w:type="pct"/>
            <w:shd w:val="clear" w:color="auto" w:fill="CFF0FC"/>
            <w:tcMar>
              <w:top w:w="15" w:type="dxa"/>
              <w:left w:w="0" w:type="dxa"/>
              <w:bottom w:w="0" w:type="dxa"/>
              <w:right w:w="15" w:type="dxa"/>
            </w:tcMar>
            <w:hideMark/>
          </w:tcPr>
          <w:p w14:paraId="25508022" w14:textId="77777777" w:rsidR="00251D72" w:rsidRDefault="00251D72">
            <w:pPr>
              <w:pStyle w:val="a3"/>
              <w:spacing w:before="0" w:beforeAutospacing="0" w:after="0" w:afterAutospacing="0"/>
              <w:ind w:left="137"/>
              <w:rPr>
                <w:rFonts w:ascii="Calibri" w:hAnsi="Calibri" w:cs="Calibri"/>
                <w:color w:val="000000"/>
                <w:sz w:val="19"/>
                <w:szCs w:val="19"/>
              </w:rPr>
            </w:pPr>
            <w:r>
              <w:rPr>
                <w:rFonts w:ascii="Calibri" w:hAnsi="Calibri" w:cs="Calibri"/>
                <w:color w:val="000000"/>
                <w:sz w:val="19"/>
                <w:szCs w:val="19"/>
              </w:rPr>
              <w:t>Deferred tax effects</w:t>
            </w:r>
          </w:p>
        </w:tc>
        <w:tc>
          <w:tcPr>
            <w:tcW w:w="79" w:type="pct"/>
            <w:shd w:val="clear" w:color="auto" w:fill="CFF0FC"/>
            <w:tcMar>
              <w:top w:w="15" w:type="dxa"/>
              <w:left w:w="0" w:type="dxa"/>
              <w:bottom w:w="0" w:type="dxa"/>
              <w:right w:w="15" w:type="dxa"/>
            </w:tcMar>
            <w:vAlign w:val="bottom"/>
            <w:hideMark/>
          </w:tcPr>
          <w:p w14:paraId="1C505EA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524B553A"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2F116CE2"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140</w:t>
            </w:r>
          </w:p>
        </w:tc>
        <w:tc>
          <w:tcPr>
            <w:tcW w:w="50" w:type="pct"/>
            <w:shd w:val="clear" w:color="auto" w:fill="CFF0FC"/>
            <w:noWrap/>
            <w:tcMar>
              <w:top w:w="15" w:type="dxa"/>
              <w:left w:w="0" w:type="dxa"/>
              <w:bottom w:w="0" w:type="dxa"/>
              <w:right w:w="15" w:type="dxa"/>
            </w:tcMar>
            <w:vAlign w:val="bottom"/>
            <w:hideMark/>
          </w:tcPr>
          <w:p w14:paraId="4A8AF9A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left w:w="0" w:type="dxa"/>
              <w:bottom w:w="0" w:type="dxa"/>
              <w:right w:w="15" w:type="dxa"/>
            </w:tcMar>
            <w:vAlign w:val="bottom"/>
            <w:hideMark/>
          </w:tcPr>
          <w:p w14:paraId="5097AC6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65BD71C9"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2FC316B8"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(911</w:t>
            </w:r>
          </w:p>
        </w:tc>
        <w:tc>
          <w:tcPr>
            <w:tcW w:w="50" w:type="pct"/>
            <w:shd w:val="clear" w:color="auto" w:fill="CFF0FC"/>
            <w:noWrap/>
            <w:tcMar>
              <w:top w:w="15" w:type="dxa"/>
              <w:left w:w="0" w:type="dxa"/>
              <w:bottom w:w="0" w:type="dxa"/>
              <w:right w:w="15" w:type="dxa"/>
            </w:tcMar>
            <w:vAlign w:val="bottom"/>
            <w:hideMark/>
          </w:tcPr>
          <w:p w14:paraId="6A4B5D7E"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CFF0FC"/>
            <w:tcMar>
              <w:top w:w="15" w:type="dxa"/>
              <w:left w:w="0" w:type="dxa"/>
              <w:bottom w:w="0" w:type="dxa"/>
              <w:right w:w="15" w:type="dxa"/>
            </w:tcMar>
            <w:vAlign w:val="bottom"/>
            <w:hideMark/>
          </w:tcPr>
          <w:p w14:paraId="684EA401"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2BF6B68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32C4E555"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w:t>
            </w:r>
          </w:p>
        </w:tc>
        <w:tc>
          <w:tcPr>
            <w:tcW w:w="50" w:type="pct"/>
            <w:shd w:val="clear" w:color="auto" w:fill="CFF0FC"/>
            <w:noWrap/>
            <w:tcMar>
              <w:top w:w="15" w:type="dxa"/>
              <w:left w:w="0" w:type="dxa"/>
              <w:bottom w:w="0" w:type="dxa"/>
              <w:right w:w="15" w:type="dxa"/>
            </w:tcMar>
            <w:vAlign w:val="bottom"/>
            <w:hideMark/>
          </w:tcPr>
          <w:p w14:paraId="469EBFA0"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r>
      <w:tr w:rsidR="00251D72" w14:paraId="69284150" w14:textId="77777777">
        <w:trPr>
          <w:divId w:val="1416518288"/>
          <w:jc w:val="center"/>
        </w:trPr>
        <w:tc>
          <w:tcPr>
            <w:tcW w:w="3273" w:type="pct"/>
            <w:shd w:val="clear" w:color="auto" w:fill="FFFFFF"/>
            <w:tcMar>
              <w:top w:w="15" w:type="dxa"/>
              <w:left w:w="0" w:type="dxa"/>
              <w:bottom w:w="0" w:type="dxa"/>
              <w:right w:w="15" w:type="dxa"/>
            </w:tcMar>
            <w:hideMark/>
          </w:tcPr>
          <w:p w14:paraId="16858827"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Foreign earnings at other than United States rates</w:t>
            </w:r>
          </w:p>
        </w:tc>
        <w:tc>
          <w:tcPr>
            <w:tcW w:w="79" w:type="pct"/>
            <w:shd w:val="clear" w:color="auto" w:fill="FFFFFF"/>
            <w:tcMar>
              <w:top w:w="15" w:type="dxa"/>
              <w:left w:w="0" w:type="dxa"/>
              <w:bottom w:w="0" w:type="dxa"/>
              <w:right w:w="15" w:type="dxa"/>
            </w:tcMar>
            <w:vAlign w:val="bottom"/>
            <w:hideMark/>
          </w:tcPr>
          <w:p w14:paraId="1BC50C4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71758810"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44F1C074"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(789</w:t>
            </w:r>
          </w:p>
        </w:tc>
        <w:tc>
          <w:tcPr>
            <w:tcW w:w="50" w:type="pct"/>
            <w:shd w:val="clear" w:color="auto" w:fill="FFFFFF"/>
            <w:noWrap/>
            <w:tcMar>
              <w:top w:w="15" w:type="dxa"/>
              <w:left w:w="0" w:type="dxa"/>
              <w:bottom w:w="0" w:type="dxa"/>
              <w:right w:w="15" w:type="dxa"/>
            </w:tcMar>
            <w:vAlign w:val="bottom"/>
            <w:hideMark/>
          </w:tcPr>
          <w:p w14:paraId="0970F8B0"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left w:w="0" w:type="dxa"/>
              <w:bottom w:w="0" w:type="dxa"/>
              <w:right w:w="15" w:type="dxa"/>
            </w:tcMar>
            <w:vAlign w:val="bottom"/>
            <w:hideMark/>
          </w:tcPr>
          <w:p w14:paraId="4E01238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1CBD80C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2D017695"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(995</w:t>
            </w:r>
          </w:p>
        </w:tc>
        <w:tc>
          <w:tcPr>
            <w:tcW w:w="50" w:type="pct"/>
            <w:shd w:val="clear" w:color="auto" w:fill="FFFFFF"/>
            <w:noWrap/>
            <w:tcMar>
              <w:top w:w="15" w:type="dxa"/>
              <w:left w:w="0" w:type="dxa"/>
              <w:bottom w:w="0" w:type="dxa"/>
              <w:right w:w="15" w:type="dxa"/>
            </w:tcMar>
            <w:vAlign w:val="bottom"/>
            <w:hideMark/>
          </w:tcPr>
          <w:p w14:paraId="2C2EFF62"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left w:w="0" w:type="dxa"/>
              <w:bottom w:w="0" w:type="dxa"/>
              <w:right w:w="15" w:type="dxa"/>
            </w:tcMar>
            <w:vAlign w:val="bottom"/>
            <w:hideMark/>
          </w:tcPr>
          <w:p w14:paraId="2208107F"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2A6D8CF6"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47C59561"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(1,312</w:t>
            </w:r>
          </w:p>
        </w:tc>
        <w:tc>
          <w:tcPr>
            <w:tcW w:w="50" w:type="pct"/>
            <w:shd w:val="clear" w:color="auto" w:fill="FFFFFF"/>
            <w:noWrap/>
            <w:tcMar>
              <w:top w:w="15" w:type="dxa"/>
              <w:left w:w="0" w:type="dxa"/>
              <w:bottom w:w="0" w:type="dxa"/>
              <w:right w:w="15" w:type="dxa"/>
            </w:tcMar>
            <w:vAlign w:val="bottom"/>
            <w:hideMark/>
          </w:tcPr>
          <w:p w14:paraId="0200862E"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r>
      <w:tr w:rsidR="00251D72" w14:paraId="5EE05DEC" w14:textId="77777777">
        <w:trPr>
          <w:divId w:val="1416518288"/>
          <w:jc w:val="center"/>
        </w:trPr>
        <w:tc>
          <w:tcPr>
            <w:tcW w:w="3273" w:type="pct"/>
            <w:shd w:val="clear" w:color="auto" w:fill="CFF0FC"/>
            <w:tcMar>
              <w:top w:w="15" w:type="dxa"/>
              <w:left w:w="0" w:type="dxa"/>
              <w:bottom w:w="0" w:type="dxa"/>
              <w:right w:w="15" w:type="dxa"/>
            </w:tcMar>
            <w:hideMark/>
          </w:tcPr>
          <w:p w14:paraId="485E998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State tax expense, net of federal benefit</w:t>
            </w:r>
          </w:p>
        </w:tc>
        <w:tc>
          <w:tcPr>
            <w:tcW w:w="79" w:type="pct"/>
            <w:shd w:val="clear" w:color="auto" w:fill="CFF0FC"/>
            <w:tcMar>
              <w:top w:w="15" w:type="dxa"/>
              <w:left w:w="0" w:type="dxa"/>
              <w:bottom w:w="0" w:type="dxa"/>
              <w:right w:w="15" w:type="dxa"/>
            </w:tcMar>
            <w:vAlign w:val="bottom"/>
            <w:hideMark/>
          </w:tcPr>
          <w:p w14:paraId="70344CAB"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216E35A8"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1C0D397D"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197</w:t>
            </w:r>
          </w:p>
        </w:tc>
        <w:tc>
          <w:tcPr>
            <w:tcW w:w="50" w:type="pct"/>
            <w:shd w:val="clear" w:color="auto" w:fill="CFF0FC"/>
            <w:noWrap/>
            <w:tcMar>
              <w:top w:w="15" w:type="dxa"/>
              <w:left w:w="0" w:type="dxa"/>
              <w:bottom w:w="0" w:type="dxa"/>
              <w:right w:w="15" w:type="dxa"/>
            </w:tcMar>
            <w:vAlign w:val="bottom"/>
            <w:hideMark/>
          </w:tcPr>
          <w:p w14:paraId="42632084"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left w:w="0" w:type="dxa"/>
              <w:bottom w:w="0" w:type="dxa"/>
              <w:right w:w="15" w:type="dxa"/>
            </w:tcMar>
            <w:vAlign w:val="bottom"/>
            <w:hideMark/>
          </w:tcPr>
          <w:p w14:paraId="6FE332F4"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7A26B40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39D52DE9"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142</w:t>
            </w:r>
          </w:p>
        </w:tc>
        <w:tc>
          <w:tcPr>
            <w:tcW w:w="50" w:type="pct"/>
            <w:shd w:val="clear" w:color="auto" w:fill="CFF0FC"/>
            <w:noWrap/>
            <w:tcMar>
              <w:top w:w="15" w:type="dxa"/>
              <w:left w:w="0" w:type="dxa"/>
              <w:bottom w:w="0" w:type="dxa"/>
              <w:right w:w="15" w:type="dxa"/>
            </w:tcMar>
            <w:vAlign w:val="bottom"/>
            <w:hideMark/>
          </w:tcPr>
          <w:p w14:paraId="424F147E"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left w:w="0" w:type="dxa"/>
              <w:bottom w:w="0" w:type="dxa"/>
              <w:right w:w="15" w:type="dxa"/>
            </w:tcMar>
            <w:vAlign w:val="bottom"/>
            <w:hideMark/>
          </w:tcPr>
          <w:p w14:paraId="6ED1FF3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09399C5B"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023016C5"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150</w:t>
            </w:r>
          </w:p>
        </w:tc>
        <w:tc>
          <w:tcPr>
            <w:tcW w:w="50" w:type="pct"/>
            <w:shd w:val="clear" w:color="auto" w:fill="CFF0FC"/>
            <w:noWrap/>
            <w:tcMar>
              <w:top w:w="15" w:type="dxa"/>
              <w:left w:w="0" w:type="dxa"/>
              <w:bottom w:w="0" w:type="dxa"/>
              <w:right w:w="15" w:type="dxa"/>
            </w:tcMar>
            <w:vAlign w:val="bottom"/>
            <w:hideMark/>
          </w:tcPr>
          <w:p w14:paraId="09E63087"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r>
      <w:tr w:rsidR="00251D72" w14:paraId="2F35CA87" w14:textId="77777777">
        <w:trPr>
          <w:divId w:val="1416518288"/>
          <w:jc w:val="center"/>
        </w:trPr>
        <w:tc>
          <w:tcPr>
            <w:tcW w:w="3273" w:type="pct"/>
            <w:shd w:val="clear" w:color="auto" w:fill="FFFFFF"/>
            <w:tcMar>
              <w:top w:w="15" w:type="dxa"/>
              <w:left w:w="0" w:type="dxa"/>
              <w:bottom w:w="0" w:type="dxa"/>
              <w:right w:w="15" w:type="dxa"/>
            </w:tcMar>
            <w:hideMark/>
          </w:tcPr>
          <w:p w14:paraId="607FFE04" w14:textId="77777777" w:rsidR="00251D72" w:rsidRDefault="00251D72">
            <w:pPr>
              <w:pStyle w:val="a3"/>
              <w:spacing w:before="0" w:beforeAutospacing="0" w:after="0" w:afterAutospacing="0"/>
              <w:ind w:left="144" w:hanging="144"/>
              <w:rPr>
                <w:rFonts w:ascii="Calibri" w:hAnsi="Calibri" w:cs="Calibri"/>
                <w:color w:val="000000"/>
                <w:sz w:val="19"/>
                <w:szCs w:val="19"/>
              </w:rPr>
            </w:pPr>
            <w:r>
              <w:rPr>
                <w:rFonts w:ascii="Calibri" w:hAnsi="Calibri" w:cs="Calibri"/>
                <w:color w:val="000000"/>
                <w:sz w:val="19"/>
                <w:szCs w:val="19"/>
              </w:rPr>
              <w:t>Settlements and releases from judicial decisions and statute expirations, net</w:t>
            </w:r>
          </w:p>
        </w:tc>
        <w:tc>
          <w:tcPr>
            <w:tcW w:w="79" w:type="pct"/>
            <w:shd w:val="clear" w:color="auto" w:fill="FFFFFF"/>
            <w:tcMar>
              <w:top w:w="15" w:type="dxa"/>
              <w:left w:w="0" w:type="dxa"/>
              <w:bottom w:w="0" w:type="dxa"/>
              <w:right w:w="15" w:type="dxa"/>
            </w:tcMar>
            <w:vAlign w:val="bottom"/>
            <w:hideMark/>
          </w:tcPr>
          <w:p w14:paraId="2940C176"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344A95D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2C627DD8"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(132</w:t>
            </w:r>
          </w:p>
        </w:tc>
        <w:tc>
          <w:tcPr>
            <w:tcW w:w="50" w:type="pct"/>
            <w:shd w:val="clear" w:color="auto" w:fill="FFFFFF"/>
            <w:noWrap/>
            <w:tcMar>
              <w:top w:w="15" w:type="dxa"/>
              <w:left w:w="0" w:type="dxa"/>
              <w:bottom w:w="0" w:type="dxa"/>
              <w:right w:w="15" w:type="dxa"/>
            </w:tcMar>
            <w:vAlign w:val="bottom"/>
            <w:hideMark/>
          </w:tcPr>
          <w:p w14:paraId="5982982A"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left w:w="0" w:type="dxa"/>
              <w:bottom w:w="0" w:type="dxa"/>
              <w:right w:w="15" w:type="dxa"/>
            </w:tcMar>
            <w:vAlign w:val="bottom"/>
            <w:hideMark/>
          </w:tcPr>
          <w:p w14:paraId="02147527"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65DF103D"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397EE169"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(252</w:t>
            </w:r>
          </w:p>
        </w:tc>
        <w:tc>
          <w:tcPr>
            <w:tcW w:w="50" w:type="pct"/>
            <w:shd w:val="clear" w:color="auto" w:fill="FFFFFF"/>
            <w:noWrap/>
            <w:tcMar>
              <w:top w:w="15" w:type="dxa"/>
              <w:left w:w="0" w:type="dxa"/>
              <w:bottom w:w="0" w:type="dxa"/>
              <w:right w:w="15" w:type="dxa"/>
            </w:tcMar>
            <w:vAlign w:val="bottom"/>
            <w:hideMark/>
          </w:tcPr>
          <w:p w14:paraId="539A3D2E"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left w:w="0" w:type="dxa"/>
              <w:bottom w:w="0" w:type="dxa"/>
              <w:right w:w="15" w:type="dxa"/>
            </w:tcMar>
            <w:vAlign w:val="bottom"/>
            <w:hideMark/>
          </w:tcPr>
          <w:p w14:paraId="5F29E4DA"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653D628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7EFA8F83"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(189</w:t>
            </w:r>
          </w:p>
        </w:tc>
        <w:tc>
          <w:tcPr>
            <w:tcW w:w="50" w:type="pct"/>
            <w:shd w:val="clear" w:color="auto" w:fill="FFFFFF"/>
            <w:noWrap/>
            <w:tcMar>
              <w:top w:w="15" w:type="dxa"/>
              <w:left w:w="0" w:type="dxa"/>
              <w:bottom w:w="0" w:type="dxa"/>
              <w:right w:w="15" w:type="dxa"/>
            </w:tcMar>
            <w:vAlign w:val="bottom"/>
            <w:hideMark/>
          </w:tcPr>
          <w:p w14:paraId="6D60A20D"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r>
      <w:tr w:rsidR="00251D72" w14:paraId="3C0DB91D" w14:textId="77777777">
        <w:trPr>
          <w:divId w:val="1416518288"/>
          <w:jc w:val="center"/>
        </w:trPr>
        <w:tc>
          <w:tcPr>
            <w:tcW w:w="3273" w:type="pct"/>
            <w:shd w:val="clear" w:color="auto" w:fill="CFF0FC"/>
            <w:tcMar>
              <w:top w:w="15" w:type="dxa"/>
              <w:left w:w="0" w:type="dxa"/>
              <w:bottom w:w="0" w:type="dxa"/>
              <w:right w:w="15" w:type="dxa"/>
            </w:tcMar>
            <w:hideMark/>
          </w:tcPr>
          <w:p w14:paraId="3DA775F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Domestic production activity deduction</w:t>
            </w:r>
          </w:p>
        </w:tc>
        <w:tc>
          <w:tcPr>
            <w:tcW w:w="79" w:type="pct"/>
            <w:shd w:val="clear" w:color="auto" w:fill="CFF0FC"/>
            <w:tcMar>
              <w:top w:w="15" w:type="dxa"/>
              <w:left w:w="0" w:type="dxa"/>
              <w:bottom w:w="0" w:type="dxa"/>
              <w:right w:w="15" w:type="dxa"/>
            </w:tcMar>
            <w:vAlign w:val="bottom"/>
            <w:hideMark/>
          </w:tcPr>
          <w:p w14:paraId="5C660F5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5266C7A1"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4C055B95"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w:t>
            </w:r>
          </w:p>
        </w:tc>
        <w:tc>
          <w:tcPr>
            <w:tcW w:w="50" w:type="pct"/>
            <w:shd w:val="clear" w:color="auto" w:fill="CFF0FC"/>
            <w:noWrap/>
            <w:tcMar>
              <w:top w:w="15" w:type="dxa"/>
              <w:left w:w="0" w:type="dxa"/>
              <w:bottom w:w="0" w:type="dxa"/>
              <w:right w:w="15" w:type="dxa"/>
            </w:tcMar>
            <w:vAlign w:val="bottom"/>
            <w:hideMark/>
          </w:tcPr>
          <w:p w14:paraId="049732C8"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left w:w="0" w:type="dxa"/>
              <w:bottom w:w="0" w:type="dxa"/>
              <w:right w:w="15" w:type="dxa"/>
            </w:tcMar>
            <w:vAlign w:val="bottom"/>
            <w:hideMark/>
          </w:tcPr>
          <w:p w14:paraId="3783D95B"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58364276"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34A090DE"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(87</w:t>
            </w:r>
          </w:p>
        </w:tc>
        <w:tc>
          <w:tcPr>
            <w:tcW w:w="50" w:type="pct"/>
            <w:shd w:val="clear" w:color="auto" w:fill="CFF0FC"/>
            <w:noWrap/>
            <w:tcMar>
              <w:top w:w="15" w:type="dxa"/>
              <w:left w:w="0" w:type="dxa"/>
              <w:bottom w:w="0" w:type="dxa"/>
              <w:right w:w="15" w:type="dxa"/>
            </w:tcMar>
            <w:vAlign w:val="bottom"/>
            <w:hideMark/>
          </w:tcPr>
          <w:p w14:paraId="0EE272FD"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CFF0FC"/>
            <w:tcMar>
              <w:top w:w="15" w:type="dxa"/>
              <w:left w:w="0" w:type="dxa"/>
              <w:bottom w:w="0" w:type="dxa"/>
              <w:right w:w="15" w:type="dxa"/>
            </w:tcMar>
            <w:vAlign w:val="bottom"/>
            <w:hideMark/>
          </w:tcPr>
          <w:p w14:paraId="2061FB5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69F3677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39D4D835"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(119</w:t>
            </w:r>
          </w:p>
        </w:tc>
        <w:tc>
          <w:tcPr>
            <w:tcW w:w="50" w:type="pct"/>
            <w:shd w:val="clear" w:color="auto" w:fill="CFF0FC"/>
            <w:noWrap/>
            <w:tcMar>
              <w:top w:w="15" w:type="dxa"/>
              <w:left w:w="0" w:type="dxa"/>
              <w:bottom w:w="0" w:type="dxa"/>
              <w:right w:w="15" w:type="dxa"/>
            </w:tcMar>
            <w:vAlign w:val="bottom"/>
            <w:hideMark/>
          </w:tcPr>
          <w:p w14:paraId="357747E4"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r>
      <w:tr w:rsidR="00251D72" w14:paraId="7F98E16B" w14:textId="77777777">
        <w:trPr>
          <w:divId w:val="1416518288"/>
          <w:jc w:val="center"/>
        </w:trPr>
        <w:tc>
          <w:tcPr>
            <w:tcW w:w="3273" w:type="pct"/>
            <w:shd w:val="clear" w:color="auto" w:fill="FFFFFF"/>
            <w:tcMar>
              <w:top w:w="15" w:type="dxa"/>
              <w:left w:w="0" w:type="dxa"/>
              <w:bottom w:w="0" w:type="dxa"/>
              <w:right w:w="15" w:type="dxa"/>
            </w:tcMar>
            <w:hideMark/>
          </w:tcPr>
          <w:p w14:paraId="75836BB8"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Federal research and development credit</w:t>
            </w:r>
          </w:p>
        </w:tc>
        <w:tc>
          <w:tcPr>
            <w:tcW w:w="79" w:type="pct"/>
            <w:shd w:val="clear" w:color="auto" w:fill="FFFFFF"/>
            <w:tcMar>
              <w:top w:w="15" w:type="dxa"/>
              <w:left w:w="0" w:type="dxa"/>
              <w:bottom w:w="0" w:type="dxa"/>
              <w:right w:w="15" w:type="dxa"/>
            </w:tcMar>
            <w:vAlign w:val="bottom"/>
            <w:hideMark/>
          </w:tcPr>
          <w:p w14:paraId="4DC8580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19E694E9"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3DEB6C3C"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(158</w:t>
            </w:r>
          </w:p>
        </w:tc>
        <w:tc>
          <w:tcPr>
            <w:tcW w:w="50" w:type="pct"/>
            <w:shd w:val="clear" w:color="auto" w:fill="FFFFFF"/>
            <w:noWrap/>
            <w:tcMar>
              <w:top w:w="15" w:type="dxa"/>
              <w:left w:w="0" w:type="dxa"/>
              <w:bottom w:w="0" w:type="dxa"/>
              <w:right w:w="15" w:type="dxa"/>
            </w:tcMar>
            <w:vAlign w:val="bottom"/>
            <w:hideMark/>
          </w:tcPr>
          <w:p w14:paraId="0BA41F7A"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left w:w="0" w:type="dxa"/>
              <w:bottom w:w="0" w:type="dxa"/>
              <w:right w:w="15" w:type="dxa"/>
            </w:tcMar>
            <w:vAlign w:val="bottom"/>
            <w:hideMark/>
          </w:tcPr>
          <w:p w14:paraId="32585174"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0139A99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1C2B75D3"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(174</w:t>
            </w:r>
          </w:p>
        </w:tc>
        <w:tc>
          <w:tcPr>
            <w:tcW w:w="50" w:type="pct"/>
            <w:shd w:val="clear" w:color="auto" w:fill="FFFFFF"/>
            <w:noWrap/>
            <w:tcMar>
              <w:top w:w="15" w:type="dxa"/>
              <w:left w:w="0" w:type="dxa"/>
              <w:bottom w:w="0" w:type="dxa"/>
              <w:right w:w="15" w:type="dxa"/>
            </w:tcMar>
            <w:vAlign w:val="bottom"/>
            <w:hideMark/>
          </w:tcPr>
          <w:p w14:paraId="4A53D81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left w:w="0" w:type="dxa"/>
              <w:bottom w:w="0" w:type="dxa"/>
              <w:right w:w="15" w:type="dxa"/>
            </w:tcMar>
            <w:vAlign w:val="bottom"/>
            <w:hideMark/>
          </w:tcPr>
          <w:p w14:paraId="0D952DA1"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left w:w="0" w:type="dxa"/>
              <w:bottom w:w="0" w:type="dxa"/>
              <w:right w:w="15" w:type="dxa"/>
            </w:tcMar>
            <w:vAlign w:val="bottom"/>
            <w:hideMark/>
          </w:tcPr>
          <w:p w14:paraId="2F0437AE"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FFFFFF"/>
            <w:noWrap/>
            <w:tcMar>
              <w:top w:w="15" w:type="dxa"/>
              <w:left w:w="0" w:type="dxa"/>
              <w:bottom w:w="0" w:type="dxa"/>
              <w:right w:w="15" w:type="dxa"/>
            </w:tcMar>
            <w:vAlign w:val="bottom"/>
            <w:hideMark/>
          </w:tcPr>
          <w:p w14:paraId="4FD8DEE8"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(127</w:t>
            </w:r>
          </w:p>
        </w:tc>
        <w:tc>
          <w:tcPr>
            <w:tcW w:w="50" w:type="pct"/>
            <w:shd w:val="clear" w:color="auto" w:fill="FFFFFF"/>
            <w:noWrap/>
            <w:tcMar>
              <w:top w:w="15" w:type="dxa"/>
              <w:left w:w="0" w:type="dxa"/>
              <w:bottom w:w="0" w:type="dxa"/>
              <w:right w:w="15" w:type="dxa"/>
            </w:tcMar>
            <w:vAlign w:val="bottom"/>
            <w:hideMark/>
          </w:tcPr>
          <w:p w14:paraId="4DEC5C2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r>
      <w:tr w:rsidR="00251D72" w14:paraId="203DF67D" w14:textId="77777777">
        <w:trPr>
          <w:divId w:val="1416518288"/>
          <w:jc w:val="center"/>
        </w:trPr>
        <w:tc>
          <w:tcPr>
            <w:tcW w:w="3273" w:type="pct"/>
            <w:shd w:val="clear" w:color="auto" w:fill="CFF0FC"/>
            <w:tcMar>
              <w:top w:w="15" w:type="dxa"/>
              <w:left w:w="0" w:type="dxa"/>
              <w:bottom w:w="0" w:type="dxa"/>
              <w:right w:w="15" w:type="dxa"/>
            </w:tcMar>
            <w:hideMark/>
          </w:tcPr>
          <w:p w14:paraId="270CB31E"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Stock-based compensation</w:t>
            </w:r>
          </w:p>
        </w:tc>
        <w:tc>
          <w:tcPr>
            <w:tcW w:w="79" w:type="pct"/>
            <w:shd w:val="clear" w:color="auto" w:fill="CFF0FC"/>
            <w:tcMar>
              <w:top w:w="15" w:type="dxa"/>
              <w:left w:w="0" w:type="dxa"/>
              <w:bottom w:w="0" w:type="dxa"/>
              <w:right w:w="15" w:type="dxa"/>
            </w:tcMar>
            <w:vAlign w:val="bottom"/>
            <w:hideMark/>
          </w:tcPr>
          <w:p w14:paraId="2D405972"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18B4323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53F68274"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(201</w:t>
            </w:r>
          </w:p>
        </w:tc>
        <w:tc>
          <w:tcPr>
            <w:tcW w:w="50" w:type="pct"/>
            <w:shd w:val="clear" w:color="auto" w:fill="CFF0FC"/>
            <w:noWrap/>
            <w:tcMar>
              <w:top w:w="15" w:type="dxa"/>
              <w:left w:w="0" w:type="dxa"/>
              <w:bottom w:w="0" w:type="dxa"/>
              <w:right w:w="15" w:type="dxa"/>
            </w:tcMar>
            <w:vAlign w:val="bottom"/>
            <w:hideMark/>
          </w:tcPr>
          <w:p w14:paraId="32F7714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CFF0FC"/>
            <w:tcMar>
              <w:top w:w="15" w:type="dxa"/>
              <w:left w:w="0" w:type="dxa"/>
              <w:bottom w:w="0" w:type="dxa"/>
              <w:right w:w="15" w:type="dxa"/>
            </w:tcMar>
            <w:vAlign w:val="bottom"/>
            <w:hideMark/>
          </w:tcPr>
          <w:p w14:paraId="59C0D800"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562B6ED6"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5B47E4BA"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(302</w:t>
            </w:r>
          </w:p>
        </w:tc>
        <w:tc>
          <w:tcPr>
            <w:tcW w:w="50" w:type="pct"/>
            <w:shd w:val="clear" w:color="auto" w:fill="CFF0FC"/>
            <w:noWrap/>
            <w:tcMar>
              <w:top w:w="15" w:type="dxa"/>
              <w:left w:w="0" w:type="dxa"/>
              <w:bottom w:w="0" w:type="dxa"/>
              <w:right w:w="15" w:type="dxa"/>
            </w:tcMar>
            <w:vAlign w:val="bottom"/>
            <w:hideMark/>
          </w:tcPr>
          <w:p w14:paraId="701E9D5E"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CFF0FC"/>
            <w:tcMar>
              <w:top w:w="15" w:type="dxa"/>
              <w:left w:w="0" w:type="dxa"/>
              <w:bottom w:w="0" w:type="dxa"/>
              <w:right w:w="15" w:type="dxa"/>
            </w:tcMar>
            <w:vAlign w:val="bottom"/>
            <w:hideMark/>
          </w:tcPr>
          <w:p w14:paraId="61880B4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left w:w="0" w:type="dxa"/>
              <w:bottom w:w="0" w:type="dxa"/>
              <w:right w:w="15" w:type="dxa"/>
            </w:tcMar>
            <w:vAlign w:val="bottom"/>
            <w:hideMark/>
          </w:tcPr>
          <w:p w14:paraId="3B25341A"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shd w:val="clear" w:color="auto" w:fill="CFF0FC"/>
            <w:noWrap/>
            <w:tcMar>
              <w:top w:w="15" w:type="dxa"/>
              <w:left w:w="0" w:type="dxa"/>
              <w:bottom w:w="0" w:type="dxa"/>
              <w:right w:w="15" w:type="dxa"/>
            </w:tcMar>
            <w:vAlign w:val="bottom"/>
            <w:hideMark/>
          </w:tcPr>
          <w:p w14:paraId="1D4CA1B7"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(149</w:t>
            </w:r>
          </w:p>
        </w:tc>
        <w:tc>
          <w:tcPr>
            <w:tcW w:w="50" w:type="pct"/>
            <w:shd w:val="clear" w:color="auto" w:fill="CFF0FC"/>
            <w:noWrap/>
            <w:tcMar>
              <w:top w:w="15" w:type="dxa"/>
              <w:left w:w="0" w:type="dxa"/>
              <w:bottom w:w="0" w:type="dxa"/>
              <w:right w:w="15" w:type="dxa"/>
            </w:tcMar>
            <w:vAlign w:val="bottom"/>
            <w:hideMark/>
          </w:tcPr>
          <w:p w14:paraId="1FE49BE9"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r>
      <w:tr w:rsidR="00251D72" w14:paraId="794DDDA8" w14:textId="77777777">
        <w:trPr>
          <w:divId w:val="1416518288"/>
          <w:jc w:val="center"/>
        </w:trPr>
        <w:tc>
          <w:tcPr>
            <w:tcW w:w="3273" w:type="pct"/>
            <w:shd w:val="clear" w:color="auto" w:fill="FFFFFF"/>
            <w:tcMar>
              <w:top w:w="15" w:type="dxa"/>
              <w:left w:w="0" w:type="dxa"/>
              <w:bottom w:w="0" w:type="dxa"/>
              <w:right w:w="15" w:type="dxa"/>
            </w:tcMar>
            <w:hideMark/>
          </w:tcPr>
          <w:p w14:paraId="0425DFC6"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Other, net</w:t>
            </w:r>
          </w:p>
        </w:tc>
        <w:tc>
          <w:tcPr>
            <w:tcW w:w="79" w:type="pct"/>
            <w:shd w:val="clear" w:color="auto" w:fill="FFFFFF"/>
            <w:tcMar>
              <w:top w:w="15" w:type="dxa"/>
              <w:left w:w="0" w:type="dxa"/>
              <w:bottom w:w="0" w:type="dxa"/>
              <w:right w:w="15" w:type="dxa"/>
            </w:tcMar>
            <w:vAlign w:val="bottom"/>
            <w:hideMark/>
          </w:tcPr>
          <w:p w14:paraId="3C06518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733E8D"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35338722"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81</w:t>
            </w:r>
          </w:p>
        </w:tc>
        <w:tc>
          <w:tcPr>
            <w:tcW w:w="50" w:type="pct"/>
            <w:shd w:val="clear" w:color="auto" w:fill="FFFFFF"/>
            <w:noWrap/>
            <w:tcMar>
              <w:top w:w="15" w:type="dxa"/>
              <w:left w:w="0" w:type="dxa"/>
              <w:bottom w:w="0" w:type="dxa"/>
              <w:right w:w="15" w:type="dxa"/>
            </w:tcMar>
            <w:vAlign w:val="bottom"/>
            <w:hideMark/>
          </w:tcPr>
          <w:p w14:paraId="14D3EA03"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left w:w="0" w:type="dxa"/>
              <w:bottom w:w="0" w:type="dxa"/>
              <w:right w:w="15" w:type="dxa"/>
            </w:tcMar>
            <w:vAlign w:val="bottom"/>
            <w:hideMark/>
          </w:tcPr>
          <w:p w14:paraId="20C5339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858A156"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0B3241A7"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6</w:t>
            </w:r>
          </w:p>
        </w:tc>
        <w:tc>
          <w:tcPr>
            <w:tcW w:w="50" w:type="pct"/>
            <w:shd w:val="clear" w:color="auto" w:fill="FFFFFF"/>
            <w:noWrap/>
            <w:tcMar>
              <w:top w:w="15" w:type="dxa"/>
              <w:left w:w="0" w:type="dxa"/>
              <w:bottom w:w="0" w:type="dxa"/>
              <w:right w:w="15" w:type="dxa"/>
            </w:tcMar>
            <w:vAlign w:val="bottom"/>
            <w:hideMark/>
          </w:tcPr>
          <w:p w14:paraId="220D5C3E"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left w:w="0" w:type="dxa"/>
              <w:bottom w:w="0" w:type="dxa"/>
              <w:right w:w="15" w:type="dxa"/>
            </w:tcMar>
            <w:vAlign w:val="bottom"/>
            <w:hideMark/>
          </w:tcPr>
          <w:p w14:paraId="75986F51"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3F36A7D"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5C49252F"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(114</w:t>
            </w:r>
          </w:p>
        </w:tc>
        <w:tc>
          <w:tcPr>
            <w:tcW w:w="50" w:type="pct"/>
            <w:shd w:val="clear" w:color="auto" w:fill="FFFFFF"/>
            <w:noWrap/>
            <w:tcMar>
              <w:top w:w="15" w:type="dxa"/>
              <w:left w:w="0" w:type="dxa"/>
              <w:bottom w:w="0" w:type="dxa"/>
              <w:right w:w="15" w:type="dxa"/>
            </w:tcMar>
            <w:vAlign w:val="bottom"/>
            <w:hideMark/>
          </w:tcPr>
          <w:p w14:paraId="7D246BF0"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r>
      <w:tr w:rsidR="00251D72" w14:paraId="799FFC9A" w14:textId="77777777">
        <w:trPr>
          <w:divId w:val="1416518288"/>
          <w:jc w:val="center"/>
        </w:trPr>
        <w:tc>
          <w:tcPr>
            <w:tcW w:w="3273" w:type="pct"/>
            <w:shd w:val="clear" w:color="auto" w:fill="CFF0FC"/>
            <w:tcMar>
              <w:top w:w="15" w:type="dxa"/>
              <w:left w:w="0" w:type="dxa"/>
              <w:bottom w:w="0" w:type="dxa"/>
              <w:right w:w="15" w:type="dxa"/>
            </w:tcMar>
            <w:hideMark/>
          </w:tcPr>
          <w:p w14:paraId="3B3D5F75" w14:textId="77777777" w:rsidR="00251D72" w:rsidRDefault="00251D72">
            <w:pPr>
              <w:pStyle w:val="a3"/>
              <w:spacing w:before="0" w:beforeAutospacing="0" w:after="0" w:afterAutospacing="0"/>
              <w:ind w:left="274"/>
              <w:rPr>
                <w:rFonts w:ascii="Calibri" w:hAnsi="Calibri" w:cs="Calibri"/>
                <w:color w:val="000000"/>
                <w:sz w:val="19"/>
                <w:szCs w:val="19"/>
              </w:rPr>
            </w:pPr>
            <w:r>
              <w:rPr>
                <w:rFonts w:ascii="Calibri" w:hAnsi="Calibri" w:cs="Calibri"/>
                <w:color w:val="000000"/>
                <w:sz w:val="19"/>
                <w:szCs w:val="19"/>
              </w:rPr>
              <w:t>Total provision for income taxes</w:t>
            </w:r>
          </w:p>
        </w:tc>
        <w:tc>
          <w:tcPr>
            <w:tcW w:w="79" w:type="pct"/>
            <w:shd w:val="clear" w:color="auto" w:fill="CFF0FC"/>
            <w:tcMar>
              <w:top w:w="15" w:type="dxa"/>
              <w:left w:w="0" w:type="dxa"/>
              <w:bottom w:w="0" w:type="dxa"/>
              <w:right w:w="15" w:type="dxa"/>
            </w:tcMar>
            <w:vAlign w:val="bottom"/>
            <w:hideMark/>
          </w:tcPr>
          <w:p w14:paraId="3C83D4D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89CF18"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DA9705"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1,185</w:t>
            </w:r>
          </w:p>
        </w:tc>
        <w:tc>
          <w:tcPr>
            <w:tcW w:w="50" w:type="pct"/>
            <w:shd w:val="clear" w:color="auto" w:fill="CFF0FC"/>
            <w:noWrap/>
            <w:tcMar>
              <w:top w:w="15" w:type="dxa"/>
              <w:left w:w="0" w:type="dxa"/>
              <w:bottom w:w="0" w:type="dxa"/>
              <w:right w:w="15" w:type="dxa"/>
            </w:tcMar>
            <w:vAlign w:val="bottom"/>
            <w:hideMark/>
          </w:tcPr>
          <w:p w14:paraId="61E089B5"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left w:w="0" w:type="dxa"/>
              <w:bottom w:w="0" w:type="dxa"/>
              <w:right w:w="15" w:type="dxa"/>
            </w:tcMar>
            <w:vAlign w:val="bottom"/>
            <w:hideMark/>
          </w:tcPr>
          <w:p w14:paraId="7E0FDE5C"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1D2680F"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EECC02"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8,837</w:t>
            </w:r>
          </w:p>
        </w:tc>
        <w:tc>
          <w:tcPr>
            <w:tcW w:w="50" w:type="pct"/>
            <w:shd w:val="clear" w:color="auto" w:fill="CFF0FC"/>
            <w:noWrap/>
            <w:tcMar>
              <w:top w:w="15" w:type="dxa"/>
              <w:left w:w="0" w:type="dxa"/>
              <w:bottom w:w="0" w:type="dxa"/>
              <w:right w:w="15" w:type="dxa"/>
            </w:tcMar>
            <w:vAlign w:val="bottom"/>
            <w:hideMark/>
          </w:tcPr>
          <w:p w14:paraId="47154A48"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left w:w="0" w:type="dxa"/>
              <w:bottom w:w="0" w:type="dxa"/>
              <w:right w:w="15" w:type="dxa"/>
            </w:tcMar>
            <w:vAlign w:val="bottom"/>
            <w:hideMark/>
          </w:tcPr>
          <w:p w14:paraId="16CF9908"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2E7876" w14:textId="77777777" w:rsidR="00251D72" w:rsidRDefault="00251D72">
            <w:pPr>
              <w:pStyle w:val="a3"/>
              <w:spacing w:before="0" w:beforeAutospacing="0" w:after="0" w:afterAutospacing="0"/>
              <w:rPr>
                <w:rFonts w:ascii="Calibri" w:hAnsi="Calibri" w:cs="Calibri"/>
                <w:color w:val="000000"/>
                <w:sz w:val="19"/>
                <w:szCs w:val="19"/>
              </w:rPr>
            </w:pPr>
            <w:r>
              <w:rPr>
                <w:rFonts w:ascii="Calibri" w:hAnsi="Calibri" w:cs="Calibri"/>
                <w:color w:val="000000"/>
                <w:sz w:val="19"/>
                <w:szCs w:val="19"/>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D01551" w14:textId="77777777" w:rsidR="00251D72" w:rsidRDefault="00251D72">
            <w:pPr>
              <w:pStyle w:val="a3"/>
              <w:spacing w:before="0" w:beforeAutospacing="0" w:after="0" w:afterAutospacing="0"/>
              <w:jc w:val="right"/>
              <w:rPr>
                <w:rFonts w:ascii="Calibri" w:hAnsi="Calibri" w:cs="Calibri"/>
                <w:color w:val="000000"/>
                <w:sz w:val="19"/>
                <w:szCs w:val="19"/>
              </w:rPr>
            </w:pPr>
            <w:r>
              <w:rPr>
                <w:rFonts w:ascii="Calibri" w:hAnsi="Calibri" w:cs="Calibri"/>
                <w:color w:val="000000"/>
                <w:sz w:val="19"/>
                <w:szCs w:val="19"/>
              </w:rPr>
              <w:t>2,228</w:t>
            </w:r>
          </w:p>
        </w:tc>
        <w:tc>
          <w:tcPr>
            <w:tcW w:w="50" w:type="pct"/>
            <w:shd w:val="clear" w:color="auto" w:fill="CFF0FC"/>
            <w:noWrap/>
            <w:tcMar>
              <w:top w:w="15" w:type="dxa"/>
              <w:left w:w="0" w:type="dxa"/>
              <w:bottom w:w="0" w:type="dxa"/>
              <w:right w:w="15" w:type="dxa"/>
            </w:tcMar>
            <w:vAlign w:val="bottom"/>
            <w:hideMark/>
          </w:tcPr>
          <w:p w14:paraId="13CEA516"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9AAA852" w14:textId="77777777" w:rsidR="00251D72" w:rsidRDefault="00251D72">
      <w:pPr>
        <w:pStyle w:val="a3"/>
        <w:spacing w:before="0" w:beforeAutospacing="0" w:after="0" w:afterAutospacing="0"/>
        <w:rPr>
          <w:sz w:val="12"/>
          <w:szCs w:val="12"/>
        </w:rPr>
      </w:pPr>
      <w:r>
        <w:rPr>
          <w:sz w:val="12"/>
          <w:szCs w:val="12"/>
        </w:rPr>
        <w:t> </w:t>
      </w:r>
    </w:p>
    <w:p w14:paraId="7307F561"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107</w:t>
      </w:r>
    </w:p>
    <w:p w14:paraId="135D6ECC" w14:textId="77777777" w:rsidR="00251D72" w:rsidRDefault="00251D72">
      <w:pPr>
        <w:rPr>
          <w:rFonts w:ascii="Times New Roman" w:eastAsia="Times New Roman" w:hAnsi="Times New Roman" w:cs="Times New Roman"/>
          <w:sz w:val="24"/>
          <w:szCs w:val="24"/>
        </w:rPr>
      </w:pPr>
      <w:r>
        <w:rPr>
          <w:rFonts w:eastAsia="Times New Roman"/>
        </w:rPr>
        <w:pict w14:anchorId="64266FA2">
          <v:rect id="_x0000_i1133" style="width:415.3pt;height:1.5pt" o:hralign="center" o:hrstd="t" o:hr="t" fillcolor="#a0a0a0" stroked="f"/>
        </w:pict>
      </w:r>
    </w:p>
    <w:p w14:paraId="02703299"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2551CAAF"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4DD970C5"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9C81434"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7BBBD22C"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6F7AE688" w14:textId="77777777" w:rsidR="00251D72" w:rsidRDefault="00251D72">
      <w:pPr>
        <w:pStyle w:val="a3"/>
        <w:spacing w:before="0" w:beforeAutospacing="0" w:after="0" w:afterAutospacing="0"/>
        <w:rPr>
          <w:sz w:val="20"/>
          <w:szCs w:val="20"/>
        </w:rPr>
      </w:pPr>
      <w:r>
        <w:rPr>
          <w:sz w:val="20"/>
          <w:szCs w:val="20"/>
        </w:rPr>
        <w:t> </w:t>
      </w:r>
    </w:p>
    <w:p w14:paraId="58EAD5AF" w14:textId="77777777" w:rsidR="00251D72" w:rsidRDefault="00251D72">
      <w:pPr>
        <w:pStyle w:val="a3"/>
        <w:spacing w:before="0" w:beforeAutospacing="0" w:after="0" w:afterAutospacing="0"/>
        <w:jc w:val="both"/>
        <w:rPr>
          <w:rFonts w:ascii="Calibri" w:hAnsi="Calibri" w:cs="Calibri"/>
          <w:sz w:val="20"/>
          <w:szCs w:val="20"/>
        </w:rPr>
      </w:pPr>
      <w:bookmarkStart w:id="150" w:name="_AEIOULastRenderedPageBreakAEIOU110"/>
      <w:bookmarkEnd w:id="150"/>
      <w:r>
        <w:rPr>
          <w:rFonts w:ascii="Calibri" w:hAnsi="Calibri" w:cs="Calibri"/>
          <w:sz w:val="20"/>
          <w:szCs w:val="20"/>
        </w:rPr>
        <w:t>The components of our deferred tax assets and liabilities were as follows:</w:t>
      </w:r>
    </w:p>
    <w:p w14:paraId="4414722A"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554"/>
        <w:gridCol w:w="124"/>
        <w:gridCol w:w="117"/>
        <w:gridCol w:w="1060"/>
        <w:gridCol w:w="76"/>
        <w:gridCol w:w="122"/>
        <w:gridCol w:w="117"/>
        <w:gridCol w:w="1060"/>
        <w:gridCol w:w="76"/>
      </w:tblGrid>
      <w:tr w:rsidR="00251D72" w14:paraId="77D9BBF1" w14:textId="77777777">
        <w:trPr>
          <w:divId w:val="875772021"/>
          <w:jc w:val="center"/>
        </w:trPr>
        <w:tc>
          <w:tcPr>
            <w:tcW w:w="3349" w:type="pct"/>
            <w:shd w:val="clear" w:color="auto" w:fill="FFFFFF"/>
            <w:tcMar>
              <w:top w:w="15" w:type="dxa"/>
              <w:left w:w="0" w:type="dxa"/>
              <w:bottom w:w="0" w:type="dxa"/>
              <w:right w:w="15" w:type="dxa"/>
            </w:tcMar>
            <w:vAlign w:val="bottom"/>
            <w:hideMark/>
          </w:tcPr>
          <w:p w14:paraId="5F6C9C0F" w14:textId="77777777" w:rsidR="00251D72" w:rsidRDefault="00251D72">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64ABCD6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2DF2EB9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left w:w="0" w:type="dxa"/>
              <w:bottom w:w="0" w:type="dxa"/>
              <w:right w:w="15" w:type="dxa"/>
            </w:tcMar>
            <w:vAlign w:val="bottom"/>
            <w:hideMark/>
          </w:tcPr>
          <w:p w14:paraId="5B44C22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0A4E685" w14:textId="77777777">
        <w:trPr>
          <w:divId w:val="875772021"/>
          <w:jc w:val="center"/>
        </w:trPr>
        <w:tc>
          <w:tcPr>
            <w:tcW w:w="3349" w:type="pct"/>
            <w:tcBorders>
              <w:bottom w:val="single" w:sz="6" w:space="0" w:color="000000"/>
            </w:tcBorders>
            <w:shd w:val="clear" w:color="auto" w:fill="FFFFFF"/>
            <w:tcMar>
              <w:top w:w="15" w:type="dxa"/>
              <w:left w:w="0" w:type="dxa"/>
              <w:bottom w:w="0" w:type="dxa"/>
              <w:right w:w="15" w:type="dxa"/>
            </w:tcMar>
            <w:vAlign w:val="bottom"/>
            <w:hideMark/>
          </w:tcPr>
          <w:p w14:paraId="770C01F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left w:w="0" w:type="dxa"/>
              <w:bottom w:w="0" w:type="dxa"/>
              <w:right w:w="15" w:type="dxa"/>
            </w:tcMar>
            <w:vAlign w:val="bottom"/>
            <w:hideMark/>
          </w:tcPr>
          <w:p w14:paraId="22B42C7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1B5D1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5CF6FE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7205F45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7CC47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289EF0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BC846AB" w14:textId="77777777">
        <w:trPr>
          <w:divId w:val="875772021"/>
          <w:jc w:val="center"/>
        </w:trPr>
        <w:tc>
          <w:tcPr>
            <w:tcW w:w="3349" w:type="pct"/>
            <w:tcBorders>
              <w:top w:val="single" w:sz="6" w:space="0" w:color="000000"/>
            </w:tcBorders>
            <w:shd w:val="clear" w:color="auto" w:fill="CFF0FC"/>
            <w:tcMar>
              <w:top w:w="15" w:type="dxa"/>
              <w:left w:w="0" w:type="dxa"/>
              <w:bottom w:w="0" w:type="dxa"/>
              <w:right w:w="15" w:type="dxa"/>
            </w:tcMar>
            <w:hideMark/>
          </w:tcPr>
          <w:p w14:paraId="412C4E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Deferred tax assets:</w:t>
            </w:r>
          </w:p>
        </w:tc>
        <w:tc>
          <w:tcPr>
            <w:tcW w:w="81" w:type="pct"/>
            <w:shd w:val="clear" w:color="auto" w:fill="CFF0FC"/>
            <w:tcMar>
              <w:top w:w="15" w:type="dxa"/>
              <w:left w:w="0" w:type="dxa"/>
              <w:bottom w:w="0" w:type="dxa"/>
              <w:right w:w="15" w:type="dxa"/>
            </w:tcMar>
            <w:vAlign w:val="bottom"/>
            <w:hideMark/>
          </w:tcPr>
          <w:p w14:paraId="5BD29B2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9965D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882D61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5C9C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31EAF5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DD4E2B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0B0A0A6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B3CEFC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4B6DDB60" w14:textId="77777777">
        <w:trPr>
          <w:divId w:val="875772021"/>
          <w:jc w:val="center"/>
        </w:trPr>
        <w:tc>
          <w:tcPr>
            <w:tcW w:w="3349" w:type="pct"/>
            <w:shd w:val="clear" w:color="auto" w:fill="FFFFFF"/>
            <w:tcMar>
              <w:top w:w="15" w:type="dxa"/>
              <w:left w:w="0" w:type="dxa"/>
              <w:bottom w:w="0" w:type="dxa"/>
              <w:right w:w="15" w:type="dxa"/>
            </w:tcMar>
            <w:hideMark/>
          </w:tcPr>
          <w:p w14:paraId="1D4BD4A2"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Accruals and allowances</w:t>
            </w:r>
          </w:p>
        </w:tc>
        <w:tc>
          <w:tcPr>
            <w:tcW w:w="81" w:type="pct"/>
            <w:shd w:val="clear" w:color="auto" w:fill="FFFFFF"/>
            <w:tcMar>
              <w:top w:w="15" w:type="dxa"/>
              <w:left w:w="0" w:type="dxa"/>
              <w:bottom w:w="0" w:type="dxa"/>
              <w:right w:w="15" w:type="dxa"/>
            </w:tcMar>
            <w:vAlign w:val="bottom"/>
            <w:hideMark/>
          </w:tcPr>
          <w:p w14:paraId="0128FB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41933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1ABA1F1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541</w:t>
            </w:r>
          </w:p>
        </w:tc>
        <w:tc>
          <w:tcPr>
            <w:tcW w:w="50" w:type="pct"/>
            <w:shd w:val="clear" w:color="auto" w:fill="FFFFFF"/>
            <w:noWrap/>
            <w:tcMar>
              <w:top w:w="15" w:type="dxa"/>
              <w:left w:w="0" w:type="dxa"/>
              <w:bottom w:w="0" w:type="dxa"/>
              <w:right w:w="15" w:type="dxa"/>
            </w:tcMar>
            <w:vAlign w:val="bottom"/>
            <w:hideMark/>
          </w:tcPr>
          <w:p w14:paraId="7147A6D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14:paraId="64D82A0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D165A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23365F7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567</w:t>
            </w:r>
          </w:p>
        </w:tc>
        <w:tc>
          <w:tcPr>
            <w:tcW w:w="50" w:type="pct"/>
            <w:shd w:val="clear" w:color="auto" w:fill="FFFFFF"/>
            <w:noWrap/>
            <w:tcMar>
              <w:top w:w="15" w:type="dxa"/>
              <w:left w:w="0" w:type="dxa"/>
              <w:bottom w:w="0" w:type="dxa"/>
              <w:right w:w="15" w:type="dxa"/>
            </w:tcMar>
            <w:vAlign w:val="bottom"/>
            <w:hideMark/>
          </w:tcPr>
          <w:p w14:paraId="77F9F66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884BA8D" w14:textId="77777777">
        <w:trPr>
          <w:divId w:val="875772021"/>
          <w:jc w:val="center"/>
        </w:trPr>
        <w:tc>
          <w:tcPr>
            <w:tcW w:w="3349" w:type="pct"/>
            <w:shd w:val="clear" w:color="auto" w:fill="CFF0FC"/>
            <w:tcMar>
              <w:top w:w="15" w:type="dxa"/>
              <w:left w:w="0" w:type="dxa"/>
              <w:bottom w:w="0" w:type="dxa"/>
              <w:right w:w="15" w:type="dxa"/>
            </w:tcMar>
            <w:hideMark/>
          </w:tcPr>
          <w:p w14:paraId="5085E0B1"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Employee compensation and benefits</w:t>
            </w:r>
          </w:p>
        </w:tc>
        <w:tc>
          <w:tcPr>
            <w:tcW w:w="81" w:type="pct"/>
            <w:shd w:val="clear" w:color="auto" w:fill="CFF0FC"/>
            <w:tcMar>
              <w:top w:w="15" w:type="dxa"/>
              <w:left w:w="0" w:type="dxa"/>
              <w:bottom w:w="0" w:type="dxa"/>
              <w:right w:w="15" w:type="dxa"/>
            </w:tcMar>
            <w:vAlign w:val="bottom"/>
            <w:hideMark/>
          </w:tcPr>
          <w:p w14:paraId="3B09D8F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D46B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73DE6F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646</w:t>
            </w:r>
          </w:p>
        </w:tc>
        <w:tc>
          <w:tcPr>
            <w:tcW w:w="50" w:type="pct"/>
            <w:shd w:val="clear" w:color="auto" w:fill="CFF0FC"/>
            <w:noWrap/>
            <w:tcMar>
              <w:top w:w="15" w:type="dxa"/>
              <w:left w:w="0" w:type="dxa"/>
              <w:bottom w:w="0" w:type="dxa"/>
              <w:right w:w="15" w:type="dxa"/>
            </w:tcMar>
            <w:vAlign w:val="bottom"/>
            <w:hideMark/>
          </w:tcPr>
          <w:p w14:paraId="6CD1CF6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480F1F3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72DC88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2723EA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664</w:t>
            </w:r>
          </w:p>
        </w:tc>
        <w:tc>
          <w:tcPr>
            <w:tcW w:w="50" w:type="pct"/>
            <w:shd w:val="clear" w:color="auto" w:fill="CFF0FC"/>
            <w:noWrap/>
            <w:tcMar>
              <w:top w:w="15" w:type="dxa"/>
              <w:left w:w="0" w:type="dxa"/>
              <w:bottom w:w="0" w:type="dxa"/>
              <w:right w:w="15" w:type="dxa"/>
            </w:tcMar>
            <w:vAlign w:val="bottom"/>
            <w:hideMark/>
          </w:tcPr>
          <w:p w14:paraId="73D975A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6BE8889" w14:textId="77777777">
        <w:trPr>
          <w:divId w:val="875772021"/>
          <w:jc w:val="center"/>
        </w:trPr>
        <w:tc>
          <w:tcPr>
            <w:tcW w:w="3349" w:type="pct"/>
            <w:shd w:val="clear" w:color="auto" w:fill="FFFFFF"/>
            <w:tcMar>
              <w:top w:w="15" w:type="dxa"/>
              <w:left w:w="0" w:type="dxa"/>
              <w:bottom w:w="0" w:type="dxa"/>
              <w:right w:w="15" w:type="dxa"/>
            </w:tcMar>
            <w:hideMark/>
          </w:tcPr>
          <w:p w14:paraId="16F5AD6F"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Differences in timing of revenue recognition</w:t>
            </w:r>
          </w:p>
        </w:tc>
        <w:tc>
          <w:tcPr>
            <w:tcW w:w="81" w:type="pct"/>
            <w:shd w:val="clear" w:color="auto" w:fill="FFFFFF"/>
            <w:tcMar>
              <w:top w:w="15" w:type="dxa"/>
              <w:left w:w="0" w:type="dxa"/>
              <w:bottom w:w="0" w:type="dxa"/>
              <w:right w:w="15" w:type="dxa"/>
            </w:tcMar>
            <w:vAlign w:val="bottom"/>
            <w:hideMark/>
          </w:tcPr>
          <w:p w14:paraId="6A0B38B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8AAF1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26B3E6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322</w:t>
            </w:r>
          </w:p>
        </w:tc>
        <w:tc>
          <w:tcPr>
            <w:tcW w:w="50" w:type="pct"/>
            <w:shd w:val="clear" w:color="auto" w:fill="FFFFFF"/>
            <w:noWrap/>
            <w:tcMar>
              <w:top w:w="15" w:type="dxa"/>
              <w:left w:w="0" w:type="dxa"/>
              <w:bottom w:w="0" w:type="dxa"/>
              <w:right w:w="15" w:type="dxa"/>
            </w:tcMar>
            <w:vAlign w:val="bottom"/>
            <w:hideMark/>
          </w:tcPr>
          <w:p w14:paraId="0745A85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14:paraId="16590BC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25547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0253EA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338</w:t>
            </w:r>
          </w:p>
        </w:tc>
        <w:tc>
          <w:tcPr>
            <w:tcW w:w="50" w:type="pct"/>
            <w:shd w:val="clear" w:color="auto" w:fill="FFFFFF"/>
            <w:noWrap/>
            <w:tcMar>
              <w:top w:w="15" w:type="dxa"/>
              <w:left w:w="0" w:type="dxa"/>
              <w:bottom w:w="0" w:type="dxa"/>
              <w:right w:w="15" w:type="dxa"/>
            </w:tcMar>
            <w:vAlign w:val="bottom"/>
            <w:hideMark/>
          </w:tcPr>
          <w:p w14:paraId="6FE1712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48CC531" w14:textId="77777777">
        <w:trPr>
          <w:divId w:val="875772021"/>
          <w:jc w:val="center"/>
        </w:trPr>
        <w:tc>
          <w:tcPr>
            <w:tcW w:w="3349" w:type="pct"/>
            <w:shd w:val="clear" w:color="auto" w:fill="CFF0FC"/>
            <w:tcMar>
              <w:top w:w="15" w:type="dxa"/>
              <w:left w:w="0" w:type="dxa"/>
              <w:bottom w:w="0" w:type="dxa"/>
              <w:right w:w="15" w:type="dxa"/>
            </w:tcMar>
            <w:hideMark/>
          </w:tcPr>
          <w:p w14:paraId="4688BF6B"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Basis of property, plant and equipment and intangible assets</w:t>
            </w:r>
          </w:p>
        </w:tc>
        <w:tc>
          <w:tcPr>
            <w:tcW w:w="81" w:type="pct"/>
            <w:shd w:val="clear" w:color="auto" w:fill="CFF0FC"/>
            <w:tcMar>
              <w:top w:w="15" w:type="dxa"/>
              <w:left w:w="0" w:type="dxa"/>
              <w:bottom w:w="0" w:type="dxa"/>
              <w:right w:w="15" w:type="dxa"/>
            </w:tcMar>
            <w:vAlign w:val="bottom"/>
            <w:hideMark/>
          </w:tcPr>
          <w:p w14:paraId="072448F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60EC33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F64701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1,238</w:t>
            </w:r>
          </w:p>
        </w:tc>
        <w:tc>
          <w:tcPr>
            <w:tcW w:w="50" w:type="pct"/>
            <w:shd w:val="clear" w:color="auto" w:fill="CFF0FC"/>
            <w:noWrap/>
            <w:tcMar>
              <w:top w:w="15" w:type="dxa"/>
              <w:left w:w="0" w:type="dxa"/>
              <w:bottom w:w="0" w:type="dxa"/>
              <w:right w:w="15" w:type="dxa"/>
            </w:tcMar>
            <w:vAlign w:val="bottom"/>
            <w:hideMark/>
          </w:tcPr>
          <w:p w14:paraId="5B2C40D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4BC19F2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E03637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30BFDA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E0F1B0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A081254" w14:textId="77777777">
        <w:trPr>
          <w:divId w:val="875772021"/>
          <w:jc w:val="center"/>
        </w:trPr>
        <w:tc>
          <w:tcPr>
            <w:tcW w:w="3349" w:type="pct"/>
            <w:shd w:val="clear" w:color="auto" w:fill="FFFFFF"/>
            <w:tcMar>
              <w:top w:w="15" w:type="dxa"/>
              <w:left w:w="0" w:type="dxa"/>
              <w:bottom w:w="0" w:type="dxa"/>
              <w:right w:w="15" w:type="dxa"/>
            </w:tcMar>
            <w:hideMark/>
          </w:tcPr>
          <w:p w14:paraId="0775C6FD"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Tax credit and net operating loss carryforwards</w:t>
            </w:r>
          </w:p>
        </w:tc>
        <w:tc>
          <w:tcPr>
            <w:tcW w:w="81" w:type="pct"/>
            <w:shd w:val="clear" w:color="auto" w:fill="FFFFFF"/>
            <w:tcMar>
              <w:top w:w="15" w:type="dxa"/>
              <w:left w:w="0" w:type="dxa"/>
              <w:bottom w:w="0" w:type="dxa"/>
              <w:right w:w="15" w:type="dxa"/>
            </w:tcMar>
            <w:vAlign w:val="bottom"/>
            <w:hideMark/>
          </w:tcPr>
          <w:p w14:paraId="4C5F97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A4D714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5800549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3,717</w:t>
            </w:r>
          </w:p>
        </w:tc>
        <w:tc>
          <w:tcPr>
            <w:tcW w:w="50" w:type="pct"/>
            <w:shd w:val="clear" w:color="auto" w:fill="FFFFFF"/>
            <w:noWrap/>
            <w:tcMar>
              <w:top w:w="15" w:type="dxa"/>
              <w:left w:w="0" w:type="dxa"/>
              <w:bottom w:w="0" w:type="dxa"/>
              <w:right w:w="15" w:type="dxa"/>
            </w:tcMar>
            <w:vAlign w:val="bottom"/>
            <w:hideMark/>
          </w:tcPr>
          <w:p w14:paraId="1FB8FDF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14:paraId="16F4BF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65FD33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6536EE6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2,614</w:t>
            </w:r>
          </w:p>
        </w:tc>
        <w:tc>
          <w:tcPr>
            <w:tcW w:w="50" w:type="pct"/>
            <w:shd w:val="clear" w:color="auto" w:fill="FFFFFF"/>
            <w:noWrap/>
            <w:tcMar>
              <w:top w:w="15" w:type="dxa"/>
              <w:left w:w="0" w:type="dxa"/>
              <w:bottom w:w="0" w:type="dxa"/>
              <w:right w:w="15" w:type="dxa"/>
            </w:tcMar>
            <w:vAlign w:val="bottom"/>
            <w:hideMark/>
          </w:tcPr>
          <w:p w14:paraId="07649DD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B6F7C48" w14:textId="77777777">
        <w:trPr>
          <w:divId w:val="875772021"/>
          <w:jc w:val="center"/>
        </w:trPr>
        <w:tc>
          <w:tcPr>
            <w:tcW w:w="3349" w:type="pct"/>
            <w:shd w:val="clear" w:color="auto" w:fill="CFF0FC"/>
            <w:tcMar>
              <w:top w:w="15" w:type="dxa"/>
              <w:left w:w="0" w:type="dxa"/>
              <w:bottom w:w="0" w:type="dxa"/>
              <w:right w:w="15" w:type="dxa"/>
            </w:tcMar>
            <w:hideMark/>
          </w:tcPr>
          <w:p w14:paraId="62B3F675" w14:textId="77777777" w:rsidR="00251D72" w:rsidRDefault="00251D72">
            <w:pPr>
              <w:pStyle w:val="a3"/>
              <w:spacing w:before="0" w:beforeAutospacing="0" w:after="0" w:afterAutospacing="0"/>
              <w:ind w:left="547"/>
              <w:rPr>
                <w:rFonts w:ascii="Calibri" w:hAnsi="Calibri" w:cs="Calibri"/>
                <w:color w:val="000000"/>
                <w:sz w:val="20"/>
                <w:szCs w:val="20"/>
              </w:rPr>
            </w:pPr>
            <w:r>
              <w:rPr>
                <w:rFonts w:ascii="Calibri" w:hAnsi="Calibri" w:cs="Calibri"/>
                <w:color w:val="000000"/>
                <w:sz w:val="20"/>
                <w:szCs w:val="20"/>
              </w:rPr>
              <w:t>Total deferred tax assets</w:t>
            </w:r>
          </w:p>
        </w:tc>
        <w:tc>
          <w:tcPr>
            <w:tcW w:w="81" w:type="pct"/>
            <w:shd w:val="clear" w:color="auto" w:fill="CFF0FC"/>
            <w:tcMar>
              <w:top w:w="15" w:type="dxa"/>
              <w:left w:w="0" w:type="dxa"/>
              <w:bottom w:w="0" w:type="dxa"/>
              <w:right w:w="15" w:type="dxa"/>
            </w:tcMar>
            <w:vAlign w:val="bottom"/>
            <w:hideMark/>
          </w:tcPr>
          <w:p w14:paraId="2D02CD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F90CB0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0C8ECD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6,464</w:t>
            </w:r>
          </w:p>
        </w:tc>
        <w:tc>
          <w:tcPr>
            <w:tcW w:w="50" w:type="pct"/>
            <w:shd w:val="clear" w:color="auto" w:fill="CFF0FC"/>
            <w:noWrap/>
            <w:tcMar>
              <w:top w:w="15" w:type="dxa"/>
              <w:left w:w="0" w:type="dxa"/>
              <w:bottom w:w="0" w:type="dxa"/>
              <w:right w:w="15" w:type="dxa"/>
            </w:tcMar>
            <w:vAlign w:val="bottom"/>
            <w:hideMark/>
          </w:tcPr>
          <w:p w14:paraId="473290C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79E9F81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FE0631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E46ABF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4,183</w:t>
            </w:r>
          </w:p>
        </w:tc>
        <w:tc>
          <w:tcPr>
            <w:tcW w:w="50" w:type="pct"/>
            <w:shd w:val="clear" w:color="auto" w:fill="CFF0FC"/>
            <w:noWrap/>
            <w:tcMar>
              <w:top w:w="15" w:type="dxa"/>
              <w:left w:w="0" w:type="dxa"/>
              <w:bottom w:w="0" w:type="dxa"/>
              <w:right w:w="15" w:type="dxa"/>
            </w:tcMar>
            <w:vAlign w:val="bottom"/>
            <w:hideMark/>
          </w:tcPr>
          <w:p w14:paraId="783F320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35EAF92" w14:textId="77777777">
        <w:trPr>
          <w:divId w:val="875772021"/>
          <w:jc w:val="center"/>
        </w:trPr>
        <w:tc>
          <w:tcPr>
            <w:tcW w:w="3349" w:type="pct"/>
            <w:shd w:val="clear" w:color="auto" w:fill="FFFFFF"/>
            <w:tcMar>
              <w:top w:w="15" w:type="dxa"/>
              <w:left w:w="0" w:type="dxa"/>
              <w:bottom w:w="0" w:type="dxa"/>
              <w:right w:w="15" w:type="dxa"/>
            </w:tcMar>
            <w:hideMark/>
          </w:tcPr>
          <w:p w14:paraId="6EFF971E"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Valuation allowance</w:t>
            </w:r>
          </w:p>
        </w:tc>
        <w:tc>
          <w:tcPr>
            <w:tcW w:w="81" w:type="pct"/>
            <w:shd w:val="clear" w:color="auto" w:fill="FFFFFF"/>
            <w:tcMar>
              <w:top w:w="15" w:type="dxa"/>
              <w:left w:w="0" w:type="dxa"/>
              <w:bottom w:w="0" w:type="dxa"/>
              <w:right w:w="15" w:type="dxa"/>
            </w:tcMar>
            <w:vAlign w:val="bottom"/>
            <w:hideMark/>
          </w:tcPr>
          <w:p w14:paraId="5E55463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874AB8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EE5A00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(1,266</w:t>
            </w:r>
          </w:p>
        </w:tc>
        <w:tc>
          <w:tcPr>
            <w:tcW w:w="50" w:type="pct"/>
            <w:shd w:val="clear" w:color="auto" w:fill="FFFFFF"/>
            <w:noWrap/>
            <w:tcMar>
              <w:top w:w="15" w:type="dxa"/>
              <w:left w:w="0" w:type="dxa"/>
              <w:bottom w:w="0" w:type="dxa"/>
              <w:right w:w="15" w:type="dxa"/>
            </w:tcMar>
            <w:vAlign w:val="bottom"/>
            <w:hideMark/>
          </w:tcPr>
          <w:p w14:paraId="4A381C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left w:w="0" w:type="dxa"/>
              <w:bottom w:w="0" w:type="dxa"/>
              <w:right w:w="15" w:type="dxa"/>
            </w:tcMar>
            <w:vAlign w:val="bottom"/>
            <w:hideMark/>
          </w:tcPr>
          <w:p w14:paraId="659D03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A0C3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977FB8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(1,308</w:t>
            </w:r>
          </w:p>
        </w:tc>
        <w:tc>
          <w:tcPr>
            <w:tcW w:w="50" w:type="pct"/>
            <w:shd w:val="clear" w:color="auto" w:fill="FFFFFF"/>
            <w:noWrap/>
            <w:tcMar>
              <w:top w:w="15" w:type="dxa"/>
              <w:left w:w="0" w:type="dxa"/>
              <w:bottom w:w="0" w:type="dxa"/>
              <w:right w:w="15" w:type="dxa"/>
            </w:tcMar>
            <w:vAlign w:val="bottom"/>
            <w:hideMark/>
          </w:tcPr>
          <w:p w14:paraId="6AFA676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59D73A66" w14:textId="77777777">
        <w:trPr>
          <w:divId w:val="875772021"/>
          <w:jc w:val="center"/>
        </w:trPr>
        <w:tc>
          <w:tcPr>
            <w:tcW w:w="3349" w:type="pct"/>
            <w:shd w:val="clear" w:color="auto" w:fill="CFF0FC"/>
            <w:tcMar>
              <w:top w:w="15" w:type="dxa"/>
              <w:left w:w="0" w:type="dxa"/>
              <w:bottom w:w="0" w:type="dxa"/>
              <w:right w:w="15" w:type="dxa"/>
            </w:tcMar>
            <w:hideMark/>
          </w:tcPr>
          <w:p w14:paraId="028227F8" w14:textId="77777777" w:rsidR="00251D72" w:rsidRDefault="00251D72">
            <w:pPr>
              <w:pStyle w:val="a3"/>
              <w:spacing w:before="0" w:beforeAutospacing="0" w:after="0" w:afterAutospacing="0"/>
              <w:ind w:left="547"/>
              <w:rPr>
                <w:rFonts w:ascii="Calibri" w:hAnsi="Calibri" w:cs="Calibri"/>
                <w:color w:val="000000"/>
                <w:sz w:val="20"/>
                <w:szCs w:val="20"/>
              </w:rPr>
            </w:pPr>
            <w:r>
              <w:rPr>
                <w:rFonts w:ascii="Calibri" w:hAnsi="Calibri" w:cs="Calibri"/>
                <w:color w:val="000000"/>
                <w:sz w:val="20"/>
                <w:szCs w:val="20"/>
              </w:rPr>
              <w:t>Total deferred tax assets, net</w:t>
            </w:r>
          </w:p>
        </w:tc>
        <w:tc>
          <w:tcPr>
            <w:tcW w:w="81" w:type="pct"/>
            <w:shd w:val="clear" w:color="auto" w:fill="CFF0FC"/>
            <w:tcMar>
              <w:top w:w="15" w:type="dxa"/>
              <w:left w:w="0" w:type="dxa"/>
              <w:bottom w:w="0" w:type="dxa"/>
              <w:right w:w="15" w:type="dxa"/>
            </w:tcMar>
            <w:vAlign w:val="bottom"/>
            <w:hideMark/>
          </w:tcPr>
          <w:p w14:paraId="564403D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A5482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72D196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5,198</w:t>
            </w:r>
          </w:p>
        </w:tc>
        <w:tc>
          <w:tcPr>
            <w:tcW w:w="50" w:type="pct"/>
            <w:shd w:val="clear" w:color="auto" w:fill="CFF0FC"/>
            <w:noWrap/>
            <w:tcMar>
              <w:top w:w="15" w:type="dxa"/>
              <w:left w:w="0" w:type="dxa"/>
              <w:bottom w:w="0" w:type="dxa"/>
              <w:right w:w="15" w:type="dxa"/>
            </w:tcMar>
            <w:vAlign w:val="bottom"/>
            <w:hideMark/>
          </w:tcPr>
          <w:p w14:paraId="483431F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156E081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938D35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40F7B0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2,875</w:t>
            </w:r>
          </w:p>
        </w:tc>
        <w:tc>
          <w:tcPr>
            <w:tcW w:w="50" w:type="pct"/>
            <w:shd w:val="clear" w:color="auto" w:fill="CFF0FC"/>
            <w:noWrap/>
            <w:tcMar>
              <w:top w:w="15" w:type="dxa"/>
              <w:left w:w="0" w:type="dxa"/>
              <w:bottom w:w="0" w:type="dxa"/>
              <w:right w:w="15" w:type="dxa"/>
            </w:tcMar>
            <w:vAlign w:val="bottom"/>
            <w:hideMark/>
          </w:tcPr>
          <w:p w14:paraId="70F09D8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5BD505C" w14:textId="77777777">
        <w:trPr>
          <w:divId w:val="875772021"/>
          <w:jc w:val="center"/>
        </w:trPr>
        <w:tc>
          <w:tcPr>
            <w:tcW w:w="3349" w:type="pct"/>
            <w:shd w:val="clear" w:color="auto" w:fill="FFFFFF"/>
            <w:tcMar>
              <w:top w:w="15" w:type="dxa"/>
              <w:left w:w="0" w:type="dxa"/>
              <w:bottom w:w="0" w:type="dxa"/>
              <w:right w:w="15" w:type="dxa"/>
            </w:tcMar>
            <w:hideMark/>
          </w:tcPr>
          <w:p w14:paraId="30E8417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Deferred tax liabilities:</w:t>
            </w:r>
          </w:p>
        </w:tc>
        <w:tc>
          <w:tcPr>
            <w:tcW w:w="81" w:type="pct"/>
            <w:shd w:val="clear" w:color="auto" w:fill="FFFFFF"/>
            <w:tcMar>
              <w:top w:w="15" w:type="dxa"/>
              <w:left w:w="0" w:type="dxa"/>
              <w:bottom w:w="0" w:type="dxa"/>
              <w:right w:w="15" w:type="dxa"/>
            </w:tcMar>
            <w:vAlign w:val="bottom"/>
            <w:hideMark/>
          </w:tcPr>
          <w:p w14:paraId="5924F12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943A34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32DCCE2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DCF6A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14:paraId="46EF01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A115C8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6718AA4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490E7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EF8D566" w14:textId="77777777">
        <w:trPr>
          <w:divId w:val="875772021"/>
          <w:jc w:val="center"/>
        </w:trPr>
        <w:tc>
          <w:tcPr>
            <w:tcW w:w="3349" w:type="pct"/>
            <w:shd w:val="clear" w:color="auto" w:fill="CFF0FC"/>
            <w:tcMar>
              <w:top w:w="15" w:type="dxa"/>
              <w:left w:w="0" w:type="dxa"/>
              <w:bottom w:w="0" w:type="dxa"/>
              <w:right w:w="15" w:type="dxa"/>
            </w:tcMar>
            <w:hideMark/>
          </w:tcPr>
          <w:p w14:paraId="2AC0C4CC"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Unrealized gain on stock</w:t>
            </w:r>
          </w:p>
        </w:tc>
        <w:tc>
          <w:tcPr>
            <w:tcW w:w="81" w:type="pct"/>
            <w:shd w:val="clear" w:color="auto" w:fill="CFF0FC"/>
            <w:tcMar>
              <w:top w:w="15" w:type="dxa"/>
              <w:left w:w="0" w:type="dxa"/>
              <w:bottom w:w="0" w:type="dxa"/>
              <w:right w:w="15" w:type="dxa"/>
            </w:tcMar>
            <w:vAlign w:val="bottom"/>
            <w:hideMark/>
          </w:tcPr>
          <w:p w14:paraId="404A84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D38DE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FF7635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(78</w:t>
            </w:r>
          </w:p>
        </w:tc>
        <w:tc>
          <w:tcPr>
            <w:tcW w:w="50" w:type="pct"/>
            <w:shd w:val="clear" w:color="auto" w:fill="CFF0FC"/>
            <w:noWrap/>
            <w:tcMar>
              <w:top w:w="15" w:type="dxa"/>
              <w:left w:w="0" w:type="dxa"/>
              <w:bottom w:w="0" w:type="dxa"/>
              <w:right w:w="15" w:type="dxa"/>
            </w:tcMar>
            <w:vAlign w:val="bottom"/>
            <w:hideMark/>
          </w:tcPr>
          <w:p w14:paraId="70AB79B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left w:w="0" w:type="dxa"/>
              <w:bottom w:w="0" w:type="dxa"/>
              <w:right w:w="15" w:type="dxa"/>
            </w:tcMar>
            <w:vAlign w:val="bottom"/>
            <w:hideMark/>
          </w:tcPr>
          <w:p w14:paraId="7D6A462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119DE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BE49EF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(78</w:t>
            </w:r>
          </w:p>
        </w:tc>
        <w:tc>
          <w:tcPr>
            <w:tcW w:w="50" w:type="pct"/>
            <w:shd w:val="clear" w:color="auto" w:fill="CFF0FC"/>
            <w:noWrap/>
            <w:tcMar>
              <w:top w:w="15" w:type="dxa"/>
              <w:left w:w="0" w:type="dxa"/>
              <w:bottom w:w="0" w:type="dxa"/>
              <w:right w:w="15" w:type="dxa"/>
            </w:tcMar>
            <w:vAlign w:val="bottom"/>
            <w:hideMark/>
          </w:tcPr>
          <w:p w14:paraId="1CB3F63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360B91D2" w14:textId="77777777">
        <w:trPr>
          <w:divId w:val="875772021"/>
          <w:jc w:val="center"/>
        </w:trPr>
        <w:tc>
          <w:tcPr>
            <w:tcW w:w="3349" w:type="pct"/>
            <w:shd w:val="clear" w:color="auto" w:fill="FFFFFF"/>
            <w:tcMar>
              <w:top w:w="15" w:type="dxa"/>
              <w:left w:w="0" w:type="dxa"/>
              <w:bottom w:w="0" w:type="dxa"/>
              <w:right w:w="15" w:type="dxa"/>
            </w:tcMar>
            <w:hideMark/>
          </w:tcPr>
          <w:p w14:paraId="6B1F7FD8"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Acquired intangible assets</w:t>
            </w:r>
          </w:p>
        </w:tc>
        <w:tc>
          <w:tcPr>
            <w:tcW w:w="81" w:type="pct"/>
            <w:shd w:val="clear" w:color="auto" w:fill="FFFFFF"/>
            <w:tcMar>
              <w:top w:w="15" w:type="dxa"/>
              <w:left w:w="0" w:type="dxa"/>
              <w:bottom w:w="0" w:type="dxa"/>
              <w:right w:w="15" w:type="dxa"/>
            </w:tcMar>
            <w:vAlign w:val="bottom"/>
            <w:hideMark/>
          </w:tcPr>
          <w:p w14:paraId="327880D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F3D69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C7BCC1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(973</w:t>
            </w:r>
          </w:p>
        </w:tc>
        <w:tc>
          <w:tcPr>
            <w:tcW w:w="50" w:type="pct"/>
            <w:shd w:val="clear" w:color="auto" w:fill="FFFFFF"/>
            <w:noWrap/>
            <w:tcMar>
              <w:top w:w="15" w:type="dxa"/>
              <w:left w:w="0" w:type="dxa"/>
              <w:bottom w:w="0" w:type="dxa"/>
              <w:right w:w="15" w:type="dxa"/>
            </w:tcMar>
            <w:vAlign w:val="bottom"/>
            <w:hideMark/>
          </w:tcPr>
          <w:p w14:paraId="4452B1B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left w:w="0" w:type="dxa"/>
              <w:bottom w:w="0" w:type="dxa"/>
              <w:right w:w="15" w:type="dxa"/>
            </w:tcMar>
            <w:vAlign w:val="bottom"/>
            <w:hideMark/>
          </w:tcPr>
          <w:p w14:paraId="33791F1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A9714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76B305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(1,254</w:t>
            </w:r>
          </w:p>
        </w:tc>
        <w:tc>
          <w:tcPr>
            <w:tcW w:w="50" w:type="pct"/>
            <w:shd w:val="clear" w:color="auto" w:fill="FFFFFF"/>
            <w:noWrap/>
            <w:tcMar>
              <w:top w:w="15" w:type="dxa"/>
              <w:left w:w="0" w:type="dxa"/>
              <w:bottom w:w="0" w:type="dxa"/>
              <w:right w:w="15" w:type="dxa"/>
            </w:tcMar>
            <w:vAlign w:val="bottom"/>
            <w:hideMark/>
          </w:tcPr>
          <w:p w14:paraId="562A765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05491886" w14:textId="77777777">
        <w:trPr>
          <w:divId w:val="875772021"/>
          <w:jc w:val="center"/>
        </w:trPr>
        <w:tc>
          <w:tcPr>
            <w:tcW w:w="3349" w:type="pct"/>
            <w:shd w:val="clear" w:color="auto" w:fill="CFF0FC"/>
            <w:tcMar>
              <w:top w:w="15" w:type="dxa"/>
              <w:left w:w="0" w:type="dxa"/>
              <w:bottom w:w="0" w:type="dxa"/>
              <w:right w:w="15" w:type="dxa"/>
            </w:tcMar>
            <w:hideMark/>
          </w:tcPr>
          <w:p w14:paraId="74E5FC6E"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GILTI deferred</w:t>
            </w:r>
          </w:p>
        </w:tc>
        <w:tc>
          <w:tcPr>
            <w:tcW w:w="81" w:type="pct"/>
            <w:shd w:val="clear" w:color="auto" w:fill="CFF0FC"/>
            <w:tcMar>
              <w:top w:w="15" w:type="dxa"/>
              <w:left w:w="0" w:type="dxa"/>
              <w:bottom w:w="0" w:type="dxa"/>
              <w:right w:w="15" w:type="dxa"/>
            </w:tcMar>
            <w:vAlign w:val="bottom"/>
            <w:hideMark/>
          </w:tcPr>
          <w:p w14:paraId="3611EB5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7D56D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B7A77B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(1,515</w:t>
            </w:r>
          </w:p>
        </w:tc>
        <w:tc>
          <w:tcPr>
            <w:tcW w:w="50" w:type="pct"/>
            <w:shd w:val="clear" w:color="auto" w:fill="CFF0FC"/>
            <w:noWrap/>
            <w:tcMar>
              <w:top w:w="15" w:type="dxa"/>
              <w:left w:w="0" w:type="dxa"/>
              <w:bottom w:w="0" w:type="dxa"/>
              <w:right w:w="15" w:type="dxa"/>
            </w:tcMar>
            <w:vAlign w:val="bottom"/>
            <w:hideMark/>
          </w:tcPr>
          <w:p w14:paraId="144E6A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left w:w="0" w:type="dxa"/>
              <w:bottom w:w="0" w:type="dxa"/>
              <w:right w:w="15" w:type="dxa"/>
            </w:tcMar>
            <w:vAlign w:val="bottom"/>
            <w:hideMark/>
          </w:tcPr>
          <w:p w14:paraId="1F4A9A5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0F6BA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6A17EB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C863FC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CC9E17D" w14:textId="77777777">
        <w:trPr>
          <w:divId w:val="875772021"/>
          <w:jc w:val="center"/>
        </w:trPr>
        <w:tc>
          <w:tcPr>
            <w:tcW w:w="3349" w:type="pct"/>
            <w:shd w:val="clear" w:color="auto" w:fill="FFFFFF"/>
            <w:tcMar>
              <w:top w:w="15" w:type="dxa"/>
              <w:left w:w="0" w:type="dxa"/>
              <w:bottom w:w="0" w:type="dxa"/>
              <w:right w:w="15" w:type="dxa"/>
            </w:tcMar>
            <w:hideMark/>
          </w:tcPr>
          <w:p w14:paraId="603E89BF"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Basis of property, plant and equipment and intangible assets</w:t>
            </w:r>
          </w:p>
        </w:tc>
        <w:tc>
          <w:tcPr>
            <w:tcW w:w="81" w:type="pct"/>
            <w:shd w:val="clear" w:color="auto" w:fill="FFFFFF"/>
            <w:tcMar>
              <w:top w:w="15" w:type="dxa"/>
              <w:left w:w="0" w:type="dxa"/>
              <w:bottom w:w="0" w:type="dxa"/>
              <w:right w:w="15" w:type="dxa"/>
            </w:tcMar>
            <w:vAlign w:val="bottom"/>
            <w:hideMark/>
          </w:tcPr>
          <w:p w14:paraId="5A373FA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91A6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2A5165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256B69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14:paraId="53A76E0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361FE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C7395D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(158</w:t>
            </w:r>
          </w:p>
        </w:tc>
        <w:tc>
          <w:tcPr>
            <w:tcW w:w="50" w:type="pct"/>
            <w:shd w:val="clear" w:color="auto" w:fill="FFFFFF"/>
            <w:noWrap/>
            <w:tcMar>
              <w:top w:w="15" w:type="dxa"/>
              <w:left w:w="0" w:type="dxa"/>
              <w:bottom w:w="0" w:type="dxa"/>
              <w:right w:w="15" w:type="dxa"/>
            </w:tcMar>
            <w:vAlign w:val="bottom"/>
            <w:hideMark/>
          </w:tcPr>
          <w:p w14:paraId="49487C0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77A37AA9" w14:textId="77777777">
        <w:trPr>
          <w:divId w:val="875772021"/>
          <w:jc w:val="center"/>
        </w:trPr>
        <w:tc>
          <w:tcPr>
            <w:tcW w:w="3349" w:type="pct"/>
            <w:shd w:val="clear" w:color="auto" w:fill="CFF0FC"/>
            <w:tcMar>
              <w:top w:w="15" w:type="dxa"/>
              <w:left w:w="0" w:type="dxa"/>
              <w:bottom w:w="0" w:type="dxa"/>
              <w:right w:w="15" w:type="dxa"/>
            </w:tcMar>
            <w:hideMark/>
          </w:tcPr>
          <w:p w14:paraId="67DC8247"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Other</w:t>
            </w:r>
          </w:p>
        </w:tc>
        <w:tc>
          <w:tcPr>
            <w:tcW w:w="81" w:type="pct"/>
            <w:shd w:val="clear" w:color="auto" w:fill="CFF0FC"/>
            <w:tcMar>
              <w:top w:w="15" w:type="dxa"/>
              <w:left w:w="0" w:type="dxa"/>
              <w:bottom w:w="0" w:type="dxa"/>
              <w:right w:w="15" w:type="dxa"/>
            </w:tcMar>
            <w:vAlign w:val="bottom"/>
            <w:hideMark/>
          </w:tcPr>
          <w:p w14:paraId="117EC00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699850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0A91A8D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(200</w:t>
            </w:r>
          </w:p>
        </w:tc>
        <w:tc>
          <w:tcPr>
            <w:tcW w:w="50" w:type="pct"/>
            <w:shd w:val="clear" w:color="auto" w:fill="CFF0FC"/>
            <w:noWrap/>
            <w:tcMar>
              <w:top w:w="15" w:type="dxa"/>
              <w:left w:w="0" w:type="dxa"/>
              <w:bottom w:w="0" w:type="dxa"/>
              <w:right w:w="15" w:type="dxa"/>
            </w:tcMar>
            <w:vAlign w:val="bottom"/>
            <w:hideMark/>
          </w:tcPr>
          <w:p w14:paraId="110678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left w:w="0" w:type="dxa"/>
              <w:bottom w:w="0" w:type="dxa"/>
              <w:right w:w="15" w:type="dxa"/>
            </w:tcMar>
            <w:vAlign w:val="bottom"/>
            <w:hideMark/>
          </w:tcPr>
          <w:p w14:paraId="4048A14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D60338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2EA4A85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CFF0FC"/>
            <w:noWrap/>
            <w:tcMar>
              <w:top w:w="15" w:type="dxa"/>
              <w:left w:w="0" w:type="dxa"/>
              <w:bottom w:w="0" w:type="dxa"/>
              <w:right w:w="15" w:type="dxa"/>
            </w:tcMar>
            <w:vAlign w:val="bottom"/>
            <w:hideMark/>
          </w:tcPr>
          <w:p w14:paraId="7DDBE31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06D6F4AD" w14:textId="77777777">
        <w:trPr>
          <w:divId w:val="875772021"/>
          <w:jc w:val="center"/>
        </w:trPr>
        <w:tc>
          <w:tcPr>
            <w:tcW w:w="3349" w:type="pct"/>
            <w:shd w:val="clear" w:color="auto" w:fill="FFFFFF"/>
            <w:tcMar>
              <w:top w:w="15" w:type="dxa"/>
              <w:left w:w="0" w:type="dxa"/>
              <w:bottom w:w="0" w:type="dxa"/>
              <w:right w:w="15" w:type="dxa"/>
            </w:tcMar>
            <w:hideMark/>
          </w:tcPr>
          <w:p w14:paraId="55A5A419" w14:textId="77777777" w:rsidR="00251D72" w:rsidRDefault="00251D72">
            <w:pPr>
              <w:pStyle w:val="a3"/>
              <w:spacing w:before="0" w:beforeAutospacing="0" w:after="0" w:afterAutospacing="0"/>
              <w:ind w:left="547"/>
              <w:rPr>
                <w:rFonts w:ascii="Calibri" w:hAnsi="Calibri" w:cs="Calibri"/>
                <w:color w:val="000000"/>
                <w:sz w:val="20"/>
                <w:szCs w:val="20"/>
              </w:rPr>
            </w:pPr>
            <w:r>
              <w:rPr>
                <w:rFonts w:ascii="Calibri" w:hAnsi="Calibri" w:cs="Calibri"/>
                <w:color w:val="000000"/>
                <w:sz w:val="20"/>
                <w:szCs w:val="20"/>
              </w:rPr>
              <w:t>Total deferred tax liabilities</w:t>
            </w:r>
          </w:p>
        </w:tc>
        <w:tc>
          <w:tcPr>
            <w:tcW w:w="81" w:type="pct"/>
            <w:shd w:val="clear" w:color="auto" w:fill="FFFFFF"/>
            <w:tcMar>
              <w:top w:w="15" w:type="dxa"/>
              <w:left w:w="0" w:type="dxa"/>
              <w:bottom w:w="0" w:type="dxa"/>
              <w:right w:w="15" w:type="dxa"/>
            </w:tcMar>
            <w:vAlign w:val="bottom"/>
            <w:hideMark/>
          </w:tcPr>
          <w:p w14:paraId="4E9532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CCF210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134256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(2,766</w:t>
            </w:r>
          </w:p>
        </w:tc>
        <w:tc>
          <w:tcPr>
            <w:tcW w:w="50" w:type="pct"/>
            <w:shd w:val="clear" w:color="auto" w:fill="FFFFFF"/>
            <w:noWrap/>
            <w:tcMar>
              <w:top w:w="15" w:type="dxa"/>
              <w:left w:w="0" w:type="dxa"/>
              <w:bottom w:w="0" w:type="dxa"/>
              <w:right w:w="15" w:type="dxa"/>
            </w:tcMar>
            <w:vAlign w:val="bottom"/>
            <w:hideMark/>
          </w:tcPr>
          <w:p w14:paraId="088C8C6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left w:w="0" w:type="dxa"/>
              <w:bottom w:w="0" w:type="dxa"/>
              <w:right w:w="15" w:type="dxa"/>
            </w:tcMar>
            <w:vAlign w:val="bottom"/>
            <w:hideMark/>
          </w:tcPr>
          <w:p w14:paraId="12F43CE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ED0C40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9FC37A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(1,538</w:t>
            </w:r>
          </w:p>
        </w:tc>
        <w:tc>
          <w:tcPr>
            <w:tcW w:w="50" w:type="pct"/>
            <w:shd w:val="clear" w:color="auto" w:fill="FFFFFF"/>
            <w:noWrap/>
            <w:tcMar>
              <w:top w:w="15" w:type="dxa"/>
              <w:left w:w="0" w:type="dxa"/>
              <w:bottom w:w="0" w:type="dxa"/>
              <w:right w:w="15" w:type="dxa"/>
            </w:tcMar>
            <w:vAlign w:val="bottom"/>
            <w:hideMark/>
          </w:tcPr>
          <w:p w14:paraId="0BEFBA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00378DC9" w14:textId="77777777">
        <w:trPr>
          <w:divId w:val="875772021"/>
          <w:jc w:val="center"/>
        </w:trPr>
        <w:tc>
          <w:tcPr>
            <w:tcW w:w="3349" w:type="pct"/>
            <w:shd w:val="clear" w:color="auto" w:fill="CFF0FC"/>
            <w:tcMar>
              <w:top w:w="15" w:type="dxa"/>
              <w:left w:w="0" w:type="dxa"/>
              <w:bottom w:w="0" w:type="dxa"/>
              <w:right w:w="15" w:type="dxa"/>
            </w:tcMar>
            <w:hideMark/>
          </w:tcPr>
          <w:p w14:paraId="7F7549F1" w14:textId="77777777" w:rsidR="00251D72" w:rsidRDefault="00251D72">
            <w:pPr>
              <w:pStyle w:val="a3"/>
              <w:spacing w:before="0" w:beforeAutospacing="0" w:after="0" w:afterAutospacing="0"/>
              <w:ind w:left="547"/>
              <w:rPr>
                <w:rFonts w:ascii="Calibri" w:hAnsi="Calibri" w:cs="Calibri"/>
                <w:color w:val="000000"/>
                <w:sz w:val="20"/>
                <w:szCs w:val="20"/>
              </w:rPr>
            </w:pPr>
            <w:r>
              <w:rPr>
                <w:rFonts w:ascii="Calibri" w:hAnsi="Calibri" w:cs="Calibri"/>
                <w:color w:val="000000"/>
                <w:sz w:val="20"/>
                <w:szCs w:val="20"/>
              </w:rPr>
              <w:t>Net deferred tax assets</w:t>
            </w:r>
          </w:p>
        </w:tc>
        <w:tc>
          <w:tcPr>
            <w:tcW w:w="81" w:type="pct"/>
            <w:shd w:val="clear" w:color="auto" w:fill="CFF0FC"/>
            <w:tcMar>
              <w:top w:w="15" w:type="dxa"/>
              <w:left w:w="0" w:type="dxa"/>
              <w:bottom w:w="0" w:type="dxa"/>
              <w:right w:w="15" w:type="dxa"/>
            </w:tcMar>
            <w:vAlign w:val="bottom"/>
            <w:hideMark/>
          </w:tcPr>
          <w:p w14:paraId="51A28C2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3E67E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9FC84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2,432</w:t>
            </w:r>
          </w:p>
        </w:tc>
        <w:tc>
          <w:tcPr>
            <w:tcW w:w="50" w:type="pct"/>
            <w:shd w:val="clear" w:color="auto" w:fill="CFF0FC"/>
            <w:noWrap/>
            <w:tcMar>
              <w:top w:w="15" w:type="dxa"/>
              <w:left w:w="0" w:type="dxa"/>
              <w:bottom w:w="0" w:type="dxa"/>
              <w:right w:w="15" w:type="dxa"/>
            </w:tcMar>
            <w:vAlign w:val="bottom"/>
            <w:hideMark/>
          </w:tcPr>
          <w:p w14:paraId="38D3FE0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37C5140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9E474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922515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1,337</w:t>
            </w:r>
          </w:p>
        </w:tc>
        <w:tc>
          <w:tcPr>
            <w:tcW w:w="50" w:type="pct"/>
            <w:shd w:val="clear" w:color="auto" w:fill="CFF0FC"/>
            <w:noWrap/>
            <w:tcMar>
              <w:top w:w="15" w:type="dxa"/>
              <w:left w:w="0" w:type="dxa"/>
              <w:bottom w:w="0" w:type="dxa"/>
              <w:right w:w="15" w:type="dxa"/>
            </w:tcMar>
            <w:vAlign w:val="bottom"/>
            <w:hideMark/>
          </w:tcPr>
          <w:p w14:paraId="7497D79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7641C5D" w14:textId="77777777">
        <w:trPr>
          <w:divId w:val="875772021"/>
          <w:jc w:val="center"/>
        </w:trPr>
        <w:tc>
          <w:tcPr>
            <w:tcW w:w="3349" w:type="pct"/>
            <w:shd w:val="clear" w:color="auto" w:fill="FFFFFF"/>
            <w:tcMar>
              <w:top w:w="15" w:type="dxa"/>
              <w:left w:w="0" w:type="dxa"/>
              <w:bottom w:w="0" w:type="dxa"/>
              <w:right w:w="15" w:type="dxa"/>
            </w:tcMar>
            <w:hideMark/>
          </w:tcPr>
          <w:p w14:paraId="6E47134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Recorded as:</w:t>
            </w:r>
          </w:p>
        </w:tc>
        <w:tc>
          <w:tcPr>
            <w:tcW w:w="81" w:type="pct"/>
            <w:shd w:val="clear" w:color="auto" w:fill="FFFFFF"/>
            <w:tcMar>
              <w:top w:w="15" w:type="dxa"/>
              <w:left w:w="0" w:type="dxa"/>
              <w:bottom w:w="0" w:type="dxa"/>
              <w:right w:w="15" w:type="dxa"/>
            </w:tcMar>
            <w:vAlign w:val="bottom"/>
            <w:hideMark/>
          </w:tcPr>
          <w:p w14:paraId="37BBCB5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A75699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4561295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7BB3C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14:paraId="13AC32C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024EE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33E0BDD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E09FE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42B0196" w14:textId="77777777">
        <w:trPr>
          <w:divId w:val="875772021"/>
          <w:jc w:val="center"/>
        </w:trPr>
        <w:tc>
          <w:tcPr>
            <w:tcW w:w="3349" w:type="pct"/>
            <w:shd w:val="clear" w:color="auto" w:fill="CFF0FC"/>
            <w:tcMar>
              <w:top w:w="15" w:type="dxa"/>
              <w:left w:w="0" w:type="dxa"/>
              <w:bottom w:w="0" w:type="dxa"/>
              <w:right w:w="15" w:type="dxa"/>
            </w:tcMar>
            <w:hideMark/>
          </w:tcPr>
          <w:p w14:paraId="56A110BF"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Non-current deferred tax assets</w:t>
            </w:r>
          </w:p>
        </w:tc>
        <w:tc>
          <w:tcPr>
            <w:tcW w:w="81" w:type="pct"/>
            <w:shd w:val="clear" w:color="auto" w:fill="CFF0FC"/>
            <w:tcMar>
              <w:top w:w="15" w:type="dxa"/>
              <w:left w:w="0" w:type="dxa"/>
              <w:bottom w:w="0" w:type="dxa"/>
              <w:right w:w="15" w:type="dxa"/>
            </w:tcMar>
            <w:vAlign w:val="bottom"/>
            <w:hideMark/>
          </w:tcPr>
          <w:p w14:paraId="7C0C5E0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8123C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5246DB0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2,696</w:t>
            </w:r>
          </w:p>
        </w:tc>
        <w:tc>
          <w:tcPr>
            <w:tcW w:w="50" w:type="pct"/>
            <w:shd w:val="clear" w:color="auto" w:fill="CFF0FC"/>
            <w:noWrap/>
            <w:tcMar>
              <w:top w:w="15" w:type="dxa"/>
              <w:left w:w="0" w:type="dxa"/>
              <w:bottom w:w="0" w:type="dxa"/>
              <w:right w:w="15" w:type="dxa"/>
            </w:tcMar>
            <w:vAlign w:val="bottom"/>
            <w:hideMark/>
          </w:tcPr>
          <w:p w14:paraId="034D121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3EBC591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B2CBE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18455A2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1,395</w:t>
            </w:r>
          </w:p>
        </w:tc>
        <w:tc>
          <w:tcPr>
            <w:tcW w:w="50" w:type="pct"/>
            <w:shd w:val="clear" w:color="auto" w:fill="CFF0FC"/>
            <w:noWrap/>
            <w:tcMar>
              <w:top w:w="15" w:type="dxa"/>
              <w:left w:w="0" w:type="dxa"/>
              <w:bottom w:w="0" w:type="dxa"/>
              <w:right w:w="15" w:type="dxa"/>
            </w:tcMar>
            <w:vAlign w:val="bottom"/>
            <w:hideMark/>
          </w:tcPr>
          <w:p w14:paraId="379F451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8644A21" w14:textId="77777777">
        <w:trPr>
          <w:divId w:val="875772021"/>
          <w:jc w:val="center"/>
        </w:trPr>
        <w:tc>
          <w:tcPr>
            <w:tcW w:w="3349" w:type="pct"/>
            <w:shd w:val="clear" w:color="auto" w:fill="FFFFFF"/>
            <w:tcMar>
              <w:top w:w="15" w:type="dxa"/>
              <w:left w:w="0" w:type="dxa"/>
              <w:bottom w:w="0" w:type="dxa"/>
              <w:right w:w="15" w:type="dxa"/>
            </w:tcMar>
            <w:hideMark/>
          </w:tcPr>
          <w:p w14:paraId="30E8BD19" w14:textId="77777777" w:rsidR="00251D72" w:rsidRDefault="00251D72">
            <w:pPr>
              <w:pStyle w:val="a3"/>
              <w:spacing w:before="0" w:beforeAutospacing="0" w:after="0" w:afterAutospacing="0"/>
              <w:ind w:left="418" w:hanging="144"/>
              <w:rPr>
                <w:rFonts w:ascii="Calibri" w:hAnsi="Calibri" w:cs="Calibri"/>
                <w:color w:val="000000"/>
                <w:sz w:val="20"/>
                <w:szCs w:val="20"/>
              </w:rPr>
            </w:pPr>
            <w:r>
              <w:rPr>
                <w:rFonts w:ascii="Calibri" w:hAnsi="Calibri" w:cs="Calibri"/>
                <w:color w:val="000000"/>
                <w:sz w:val="20"/>
                <w:szCs w:val="20"/>
              </w:rPr>
              <w:t>Non-current deferred tax liabilities (in other non-current liabilities)</w:t>
            </w:r>
          </w:p>
        </w:tc>
        <w:tc>
          <w:tcPr>
            <w:tcW w:w="81" w:type="pct"/>
            <w:shd w:val="clear" w:color="auto" w:fill="FFFFFF"/>
            <w:tcMar>
              <w:top w:w="15" w:type="dxa"/>
              <w:left w:w="0" w:type="dxa"/>
              <w:bottom w:w="0" w:type="dxa"/>
              <w:right w:w="15" w:type="dxa"/>
            </w:tcMar>
            <w:vAlign w:val="bottom"/>
            <w:hideMark/>
          </w:tcPr>
          <w:p w14:paraId="6BAB273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00D7A7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401F4A3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(264</w:t>
            </w:r>
          </w:p>
        </w:tc>
        <w:tc>
          <w:tcPr>
            <w:tcW w:w="50" w:type="pct"/>
            <w:shd w:val="clear" w:color="auto" w:fill="FFFFFF"/>
            <w:noWrap/>
            <w:tcMar>
              <w:top w:w="15" w:type="dxa"/>
              <w:left w:w="0" w:type="dxa"/>
              <w:bottom w:w="0" w:type="dxa"/>
              <w:right w:w="15" w:type="dxa"/>
            </w:tcMar>
            <w:vAlign w:val="bottom"/>
            <w:hideMark/>
          </w:tcPr>
          <w:p w14:paraId="0B701CC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left w:w="0" w:type="dxa"/>
              <w:bottom w:w="0" w:type="dxa"/>
              <w:right w:w="15" w:type="dxa"/>
            </w:tcMar>
            <w:vAlign w:val="bottom"/>
            <w:hideMark/>
          </w:tcPr>
          <w:p w14:paraId="670C68C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21CE23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091EB00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(58</w:t>
            </w:r>
          </w:p>
        </w:tc>
        <w:tc>
          <w:tcPr>
            <w:tcW w:w="50" w:type="pct"/>
            <w:shd w:val="clear" w:color="auto" w:fill="FFFFFF"/>
            <w:noWrap/>
            <w:tcMar>
              <w:top w:w="15" w:type="dxa"/>
              <w:left w:w="0" w:type="dxa"/>
              <w:bottom w:w="0" w:type="dxa"/>
              <w:right w:w="15" w:type="dxa"/>
            </w:tcMar>
            <w:vAlign w:val="bottom"/>
            <w:hideMark/>
          </w:tcPr>
          <w:p w14:paraId="795476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2D8DEF4B" w14:textId="77777777">
        <w:trPr>
          <w:divId w:val="875772021"/>
          <w:jc w:val="center"/>
        </w:trPr>
        <w:tc>
          <w:tcPr>
            <w:tcW w:w="3349" w:type="pct"/>
            <w:shd w:val="clear" w:color="auto" w:fill="CFF0FC"/>
            <w:tcMar>
              <w:top w:w="15" w:type="dxa"/>
              <w:left w:w="0" w:type="dxa"/>
              <w:bottom w:w="0" w:type="dxa"/>
              <w:right w:w="15" w:type="dxa"/>
            </w:tcMar>
            <w:hideMark/>
          </w:tcPr>
          <w:p w14:paraId="7A7CA595" w14:textId="77777777" w:rsidR="00251D72" w:rsidRDefault="00251D72">
            <w:pPr>
              <w:pStyle w:val="a3"/>
              <w:spacing w:before="0" w:beforeAutospacing="0" w:after="0" w:afterAutospacing="0"/>
              <w:ind w:left="547"/>
              <w:rPr>
                <w:rFonts w:ascii="Calibri" w:hAnsi="Calibri" w:cs="Calibri"/>
                <w:color w:val="000000"/>
                <w:sz w:val="20"/>
                <w:szCs w:val="20"/>
              </w:rPr>
            </w:pPr>
            <w:r>
              <w:rPr>
                <w:rFonts w:ascii="Calibri" w:hAnsi="Calibri" w:cs="Calibri"/>
                <w:color w:val="000000"/>
                <w:sz w:val="20"/>
                <w:szCs w:val="20"/>
              </w:rPr>
              <w:t>Net deferred tax assets</w:t>
            </w:r>
          </w:p>
        </w:tc>
        <w:tc>
          <w:tcPr>
            <w:tcW w:w="81" w:type="pct"/>
            <w:shd w:val="clear" w:color="auto" w:fill="CFF0FC"/>
            <w:tcMar>
              <w:top w:w="15" w:type="dxa"/>
              <w:left w:w="0" w:type="dxa"/>
              <w:bottom w:w="0" w:type="dxa"/>
              <w:right w:w="15" w:type="dxa"/>
            </w:tcMar>
            <w:vAlign w:val="bottom"/>
            <w:hideMark/>
          </w:tcPr>
          <w:p w14:paraId="1AE93DE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F90C5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5BCA6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2,432</w:t>
            </w:r>
          </w:p>
        </w:tc>
        <w:tc>
          <w:tcPr>
            <w:tcW w:w="50" w:type="pct"/>
            <w:shd w:val="clear" w:color="auto" w:fill="CFF0FC"/>
            <w:noWrap/>
            <w:tcMar>
              <w:top w:w="15" w:type="dxa"/>
              <w:left w:w="0" w:type="dxa"/>
              <w:bottom w:w="0" w:type="dxa"/>
              <w:right w:w="15" w:type="dxa"/>
            </w:tcMar>
            <w:vAlign w:val="bottom"/>
            <w:hideMark/>
          </w:tcPr>
          <w:p w14:paraId="7571FA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3097DE2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D333CF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1B78B2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1,337</w:t>
            </w:r>
          </w:p>
        </w:tc>
        <w:tc>
          <w:tcPr>
            <w:tcW w:w="50" w:type="pct"/>
            <w:shd w:val="clear" w:color="auto" w:fill="CFF0FC"/>
            <w:noWrap/>
            <w:tcMar>
              <w:top w:w="15" w:type="dxa"/>
              <w:left w:w="0" w:type="dxa"/>
              <w:bottom w:w="0" w:type="dxa"/>
              <w:right w:w="15" w:type="dxa"/>
            </w:tcMar>
            <w:vAlign w:val="bottom"/>
            <w:hideMark/>
          </w:tcPr>
          <w:p w14:paraId="39633250"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921EDFB" w14:textId="77777777" w:rsidR="00251D72" w:rsidRDefault="00251D72">
      <w:pPr>
        <w:pStyle w:val="a3"/>
        <w:spacing w:before="0" w:beforeAutospacing="0" w:after="0" w:afterAutospacing="0"/>
        <w:rPr>
          <w:sz w:val="12"/>
          <w:szCs w:val="12"/>
        </w:rPr>
      </w:pPr>
      <w:r>
        <w:rPr>
          <w:sz w:val="12"/>
          <w:szCs w:val="12"/>
        </w:rPr>
        <w:t> </w:t>
      </w:r>
    </w:p>
    <w:p w14:paraId="65B398F0"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We provide for taxes on the undistributed earnings of foreign subsidiaries. We do not provide for taxes on other outside basis temporary differences of foreign subsidiaries as they are considered indefinitely reinvested outside the U.S. At May 31, 2019, the amount of temporary differences related to other outside basis temporary differences of investments in foreign subsidiaries upon which U.S. income taxes have not been provided was approximately $7.9 billion. If the other outside basis differences were recognized in a taxable transaction, they would generate foreign tax credits that would reduce the federal tax liability associated with the foreign dividend or the otherwise taxable transaction. At May 31, 2019, assuming a full utilization of the foreign tax credits, the potential net deferred tax liability associated with these other outside basis temporary differences would be approximately $1.5 billion.</w:t>
      </w:r>
    </w:p>
    <w:p w14:paraId="35FF1876"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net deferred tax assets were $2.4 billion and $1.3 billion as of May 31, 2019 and 2018, respectively. We believe that it is more likely than not that the net deferred tax assets will be realized in the foreseeable future. Realization of our net deferred tax assets is dependent upon our generation of sufficient taxable income in future years in appropriate tax jurisdictions to obtain benefit from the reversal of temporary differences, net operating loss carryforwards and tax credit carryforwards. The amount of net deferred tax assets considered realizable is subject to adjustment in future periods if estimates of future taxable income change. </w:t>
      </w:r>
    </w:p>
    <w:p w14:paraId="165A489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The valuation allowance was $1.3 billion at each of May 31, 2019 and 2018. Substantially all of the valuation allowances as of May 31, 2019 and 2018 related to tax assets established in purchase accounting and other tax credits. Any subsequent reduction of that portion of the valuation allowance and the recognition of the associated tax benefits associated with our acquisitions will be recorded to our provision for income taxes subsequent to our final determination of the valuation allowance or the conclusion of the measurement period (as defined above), whichever comes first.</w:t>
      </w:r>
    </w:p>
    <w:p w14:paraId="209F03D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108</w:t>
      </w:r>
    </w:p>
    <w:p w14:paraId="0F636A83" w14:textId="77777777" w:rsidR="00251D72" w:rsidRDefault="00251D72">
      <w:pPr>
        <w:rPr>
          <w:rFonts w:ascii="Times New Roman" w:eastAsia="Times New Roman" w:hAnsi="Times New Roman" w:cs="Times New Roman"/>
          <w:sz w:val="24"/>
          <w:szCs w:val="24"/>
        </w:rPr>
      </w:pPr>
      <w:r>
        <w:rPr>
          <w:rFonts w:eastAsia="Times New Roman"/>
        </w:rPr>
        <w:pict w14:anchorId="31957C3C">
          <v:rect id="_x0000_i1134" style="width:415.3pt;height:1.5pt" o:hralign="center" o:hrstd="t" o:hr="t" fillcolor="#a0a0a0" stroked="f"/>
        </w:pict>
      </w:r>
    </w:p>
    <w:p w14:paraId="73F9CC6C"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51244B36"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86639BF"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04C23A25"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2A3D4455"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0B732EC6" w14:textId="77777777" w:rsidR="00251D72" w:rsidRDefault="00251D72">
      <w:pPr>
        <w:pStyle w:val="a3"/>
        <w:spacing w:before="0" w:beforeAutospacing="0" w:after="0" w:afterAutospacing="0"/>
        <w:rPr>
          <w:sz w:val="20"/>
          <w:szCs w:val="20"/>
        </w:rPr>
      </w:pPr>
      <w:r>
        <w:rPr>
          <w:sz w:val="20"/>
          <w:szCs w:val="20"/>
        </w:rPr>
        <w:t> </w:t>
      </w:r>
    </w:p>
    <w:p w14:paraId="5CD616C1" w14:textId="77777777" w:rsidR="00251D72" w:rsidRDefault="00251D72">
      <w:pPr>
        <w:pStyle w:val="a3"/>
        <w:spacing w:before="120" w:beforeAutospacing="0" w:after="0" w:afterAutospacing="0"/>
        <w:jc w:val="both"/>
        <w:rPr>
          <w:rFonts w:ascii="Calibri" w:hAnsi="Calibri" w:cs="Calibri"/>
          <w:sz w:val="20"/>
          <w:szCs w:val="20"/>
        </w:rPr>
      </w:pPr>
      <w:bookmarkStart w:id="151" w:name="_AEIOULastRenderedPageBreakAEIOU111"/>
      <w:bookmarkEnd w:id="151"/>
      <w:r>
        <w:rPr>
          <w:rFonts w:ascii="Calibri" w:hAnsi="Calibri" w:cs="Calibri"/>
          <w:sz w:val="20"/>
          <w:szCs w:val="20"/>
        </w:rPr>
        <w:t>At May 31, 2019, we had federal net operating loss carryforwards of approximately $732 million, which are subject to limitation on their utilization.</w:t>
      </w:r>
      <w:r>
        <w:rPr>
          <w:sz w:val="20"/>
          <w:szCs w:val="20"/>
        </w:rPr>
        <w:t xml:space="preserve"> </w:t>
      </w:r>
      <w:r>
        <w:rPr>
          <w:rFonts w:ascii="Calibri" w:hAnsi="Calibri" w:cs="Calibri"/>
          <w:sz w:val="20"/>
          <w:szCs w:val="20"/>
        </w:rPr>
        <w:t>Approximately $690 million of these federal net operating losses expire in various years between fiscal 2020 and fiscal 2038. Approximately $42 million of these federal net operating losses are not currently subject to expiration dates. We had state net operating loss carryforwards of approximately $2.2 billion at May 31, 2019, which expire between fiscal 2020 and fiscal 2038 and are subject to limitations on their utilization. We had total foreign net operating loss carryforwards of approximately $2.0 billion at May 31, 2019, which are subject to limitations on their utilization. Approximately $1.9 billion of these foreign net operating losses are not currently subject to expiration dates. The remainder of the foreign net operating losses, approximately $100 million, expire between fiscal 2020 and fiscal 2039. We had tax credit carryforwards of approximately $1.1 billion at May 31, 2019, which are subject to limitations on their utilization. Approximately $734 million of these tax credit carryforwards are not currently subject to expiration dates. The remainder of the tax credit carryforwards, approximately $387 million, expire in various years between fiscal 2020 and fiscal 2039.</w:t>
      </w:r>
    </w:p>
    <w:p w14:paraId="1C33C62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classify our unrecognized tax benefits as either current or non-current income taxes payable in the accompanying consolidated balance sheets. The aggregate changes in the balance of our gross unrecognized tax benefits, including acquisitions, were as follows:</w:t>
      </w:r>
    </w:p>
    <w:p w14:paraId="09449591"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428"/>
        <w:gridCol w:w="120"/>
        <w:gridCol w:w="117"/>
        <w:gridCol w:w="647"/>
        <w:gridCol w:w="76"/>
        <w:gridCol w:w="118"/>
        <w:gridCol w:w="117"/>
        <w:gridCol w:w="648"/>
        <w:gridCol w:w="76"/>
        <w:gridCol w:w="118"/>
        <w:gridCol w:w="117"/>
        <w:gridCol w:w="648"/>
        <w:gridCol w:w="76"/>
      </w:tblGrid>
      <w:tr w:rsidR="00251D72" w14:paraId="2B352F8E" w14:textId="77777777">
        <w:trPr>
          <w:divId w:val="1799179390"/>
          <w:jc w:val="center"/>
        </w:trPr>
        <w:tc>
          <w:tcPr>
            <w:tcW w:w="3273" w:type="pct"/>
            <w:shd w:val="clear" w:color="auto" w:fill="FFFFFF"/>
            <w:tcMar>
              <w:top w:w="15" w:type="dxa"/>
              <w:left w:w="0" w:type="dxa"/>
              <w:bottom w:w="0" w:type="dxa"/>
              <w:right w:w="15" w:type="dxa"/>
            </w:tcMar>
            <w:vAlign w:val="bottom"/>
            <w:hideMark/>
          </w:tcPr>
          <w:p w14:paraId="272A8A48" w14:textId="77777777" w:rsidR="00251D72" w:rsidRDefault="00251D72">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2607C53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6" w:type="pct"/>
            <w:gridSpan w:val="10"/>
            <w:tcBorders>
              <w:bottom w:val="single" w:sz="6" w:space="0" w:color="000000"/>
            </w:tcBorders>
            <w:shd w:val="clear" w:color="auto" w:fill="FFFFFF"/>
            <w:tcMar>
              <w:top w:w="15" w:type="dxa"/>
              <w:left w:w="0" w:type="dxa"/>
              <w:bottom w:w="0" w:type="dxa"/>
              <w:right w:w="15" w:type="dxa"/>
            </w:tcMar>
            <w:vAlign w:val="bottom"/>
            <w:hideMark/>
          </w:tcPr>
          <w:p w14:paraId="1326DA9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549D222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7159CB70" w14:textId="77777777">
        <w:trPr>
          <w:divId w:val="1799179390"/>
          <w:jc w:val="center"/>
        </w:trPr>
        <w:tc>
          <w:tcPr>
            <w:tcW w:w="3273" w:type="pct"/>
            <w:tcBorders>
              <w:bottom w:val="single" w:sz="6" w:space="0" w:color="000000"/>
            </w:tcBorders>
            <w:shd w:val="clear" w:color="auto" w:fill="FFFFFF"/>
            <w:tcMar>
              <w:top w:w="15" w:type="dxa"/>
              <w:left w:w="0" w:type="dxa"/>
              <w:bottom w:w="0" w:type="dxa"/>
              <w:right w:w="15" w:type="dxa"/>
            </w:tcMar>
            <w:vAlign w:val="bottom"/>
            <w:hideMark/>
          </w:tcPr>
          <w:p w14:paraId="326E233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left w:w="0" w:type="dxa"/>
              <w:bottom w:w="0" w:type="dxa"/>
              <w:right w:w="15" w:type="dxa"/>
            </w:tcMar>
            <w:vAlign w:val="bottom"/>
            <w:hideMark/>
          </w:tcPr>
          <w:p w14:paraId="4648E90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200C9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6905B1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2B0377F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1E2D2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3B7E72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412B617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45EE3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6DD0765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42A2BB0A" w14:textId="77777777">
        <w:trPr>
          <w:divId w:val="1799179390"/>
          <w:jc w:val="center"/>
        </w:trPr>
        <w:tc>
          <w:tcPr>
            <w:tcW w:w="3273" w:type="pct"/>
            <w:tcBorders>
              <w:top w:val="single" w:sz="6" w:space="0" w:color="000000"/>
            </w:tcBorders>
            <w:shd w:val="clear" w:color="auto" w:fill="CFF0FC"/>
            <w:tcMar>
              <w:top w:w="15" w:type="dxa"/>
              <w:left w:w="0" w:type="dxa"/>
              <w:bottom w:w="0" w:type="dxa"/>
              <w:right w:w="15" w:type="dxa"/>
            </w:tcMar>
            <w:hideMark/>
          </w:tcPr>
          <w:p w14:paraId="1CDE790E"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Gross unrecognized tax benefits as of June 1</w:t>
            </w:r>
          </w:p>
        </w:tc>
        <w:tc>
          <w:tcPr>
            <w:tcW w:w="79" w:type="pct"/>
            <w:shd w:val="clear" w:color="auto" w:fill="CFF0FC"/>
            <w:tcMar>
              <w:top w:w="15" w:type="dxa"/>
              <w:left w:w="0" w:type="dxa"/>
              <w:bottom w:w="0" w:type="dxa"/>
              <w:right w:w="15" w:type="dxa"/>
            </w:tcMar>
            <w:vAlign w:val="bottom"/>
            <w:hideMark/>
          </w:tcPr>
          <w:p w14:paraId="1DD6E1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898C6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52DC64C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5,592</w:t>
            </w:r>
          </w:p>
        </w:tc>
        <w:tc>
          <w:tcPr>
            <w:tcW w:w="50" w:type="pct"/>
            <w:shd w:val="clear" w:color="auto" w:fill="CFF0FC"/>
            <w:noWrap/>
            <w:tcMar>
              <w:top w:w="15" w:type="dxa"/>
              <w:left w:w="0" w:type="dxa"/>
              <w:bottom w:w="0" w:type="dxa"/>
              <w:right w:w="15" w:type="dxa"/>
            </w:tcMar>
            <w:vAlign w:val="bottom"/>
            <w:hideMark/>
          </w:tcPr>
          <w:p w14:paraId="6C13B8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4BAC4A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BC531E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4718905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4,919</w:t>
            </w:r>
          </w:p>
        </w:tc>
        <w:tc>
          <w:tcPr>
            <w:tcW w:w="50" w:type="pct"/>
            <w:shd w:val="clear" w:color="auto" w:fill="CFF0FC"/>
            <w:noWrap/>
            <w:tcMar>
              <w:top w:w="15" w:type="dxa"/>
              <w:left w:w="0" w:type="dxa"/>
              <w:bottom w:w="0" w:type="dxa"/>
              <w:right w:w="15" w:type="dxa"/>
            </w:tcMar>
            <w:vAlign w:val="bottom"/>
            <w:hideMark/>
          </w:tcPr>
          <w:p w14:paraId="1466F5A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4CEB1ED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0C3F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37FF5A6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4,561</w:t>
            </w:r>
          </w:p>
        </w:tc>
        <w:tc>
          <w:tcPr>
            <w:tcW w:w="50" w:type="pct"/>
            <w:shd w:val="clear" w:color="auto" w:fill="CFF0FC"/>
            <w:noWrap/>
            <w:tcMar>
              <w:top w:w="15" w:type="dxa"/>
              <w:left w:w="0" w:type="dxa"/>
              <w:bottom w:w="0" w:type="dxa"/>
              <w:right w:w="15" w:type="dxa"/>
            </w:tcMar>
            <w:vAlign w:val="bottom"/>
            <w:hideMark/>
          </w:tcPr>
          <w:p w14:paraId="5A3BC93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28CFE94" w14:textId="77777777">
        <w:trPr>
          <w:divId w:val="1799179390"/>
          <w:jc w:val="center"/>
        </w:trPr>
        <w:tc>
          <w:tcPr>
            <w:tcW w:w="3273" w:type="pct"/>
            <w:shd w:val="clear" w:color="auto" w:fill="FFFFFF"/>
            <w:tcMar>
              <w:top w:w="15" w:type="dxa"/>
              <w:left w:w="0" w:type="dxa"/>
              <w:bottom w:w="0" w:type="dxa"/>
              <w:right w:w="15" w:type="dxa"/>
            </w:tcMar>
            <w:hideMark/>
          </w:tcPr>
          <w:p w14:paraId="77EE3EBA"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Increases related to tax positions from prior fiscal years</w:t>
            </w:r>
          </w:p>
        </w:tc>
        <w:tc>
          <w:tcPr>
            <w:tcW w:w="79" w:type="pct"/>
            <w:shd w:val="clear" w:color="auto" w:fill="FFFFFF"/>
            <w:tcMar>
              <w:top w:w="15" w:type="dxa"/>
              <w:left w:w="0" w:type="dxa"/>
              <w:bottom w:w="0" w:type="dxa"/>
              <w:right w:w="15" w:type="dxa"/>
            </w:tcMar>
            <w:vAlign w:val="bottom"/>
            <w:hideMark/>
          </w:tcPr>
          <w:p w14:paraId="09E96C7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F203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116D739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772</w:t>
            </w:r>
          </w:p>
        </w:tc>
        <w:tc>
          <w:tcPr>
            <w:tcW w:w="50" w:type="pct"/>
            <w:shd w:val="clear" w:color="auto" w:fill="FFFFFF"/>
            <w:noWrap/>
            <w:tcMar>
              <w:top w:w="15" w:type="dxa"/>
              <w:left w:w="0" w:type="dxa"/>
              <w:bottom w:w="0" w:type="dxa"/>
              <w:right w:w="15" w:type="dxa"/>
            </w:tcMar>
            <w:vAlign w:val="bottom"/>
            <w:hideMark/>
          </w:tcPr>
          <w:p w14:paraId="2EF8CA8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197DEF3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4DD7F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3863A65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200</w:t>
            </w:r>
          </w:p>
        </w:tc>
        <w:tc>
          <w:tcPr>
            <w:tcW w:w="50" w:type="pct"/>
            <w:shd w:val="clear" w:color="auto" w:fill="FFFFFF"/>
            <w:noWrap/>
            <w:tcMar>
              <w:top w:w="15" w:type="dxa"/>
              <w:left w:w="0" w:type="dxa"/>
              <w:bottom w:w="0" w:type="dxa"/>
              <w:right w:w="15" w:type="dxa"/>
            </w:tcMar>
            <w:vAlign w:val="bottom"/>
            <w:hideMark/>
          </w:tcPr>
          <w:p w14:paraId="61F0BEC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6BD4B9F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EEAC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1162ECA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128</w:t>
            </w:r>
          </w:p>
        </w:tc>
        <w:tc>
          <w:tcPr>
            <w:tcW w:w="50" w:type="pct"/>
            <w:shd w:val="clear" w:color="auto" w:fill="FFFFFF"/>
            <w:noWrap/>
            <w:tcMar>
              <w:top w:w="15" w:type="dxa"/>
              <w:left w:w="0" w:type="dxa"/>
              <w:bottom w:w="0" w:type="dxa"/>
              <w:right w:w="15" w:type="dxa"/>
            </w:tcMar>
            <w:vAlign w:val="bottom"/>
            <w:hideMark/>
          </w:tcPr>
          <w:p w14:paraId="1B1E401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14D7BC0" w14:textId="77777777">
        <w:trPr>
          <w:divId w:val="1799179390"/>
          <w:jc w:val="center"/>
        </w:trPr>
        <w:tc>
          <w:tcPr>
            <w:tcW w:w="3273" w:type="pct"/>
            <w:shd w:val="clear" w:color="auto" w:fill="CFF0FC"/>
            <w:tcMar>
              <w:top w:w="15" w:type="dxa"/>
              <w:left w:w="0" w:type="dxa"/>
              <w:bottom w:w="0" w:type="dxa"/>
              <w:right w:w="15" w:type="dxa"/>
            </w:tcMar>
            <w:hideMark/>
          </w:tcPr>
          <w:p w14:paraId="260F6044"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Decreases related to tax positions from prior fiscal years</w:t>
            </w:r>
          </w:p>
        </w:tc>
        <w:tc>
          <w:tcPr>
            <w:tcW w:w="79" w:type="pct"/>
            <w:shd w:val="clear" w:color="auto" w:fill="CFF0FC"/>
            <w:tcMar>
              <w:top w:w="15" w:type="dxa"/>
              <w:left w:w="0" w:type="dxa"/>
              <w:bottom w:w="0" w:type="dxa"/>
              <w:right w:w="15" w:type="dxa"/>
            </w:tcMar>
            <w:vAlign w:val="bottom"/>
            <w:hideMark/>
          </w:tcPr>
          <w:p w14:paraId="36ECC4C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45E95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7915DA1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(135</w:t>
            </w:r>
          </w:p>
        </w:tc>
        <w:tc>
          <w:tcPr>
            <w:tcW w:w="50" w:type="pct"/>
            <w:shd w:val="clear" w:color="auto" w:fill="CFF0FC"/>
            <w:noWrap/>
            <w:tcMar>
              <w:top w:w="15" w:type="dxa"/>
              <w:left w:w="0" w:type="dxa"/>
              <w:bottom w:w="0" w:type="dxa"/>
              <w:right w:w="15" w:type="dxa"/>
            </w:tcMar>
            <w:vAlign w:val="bottom"/>
            <w:hideMark/>
          </w:tcPr>
          <w:p w14:paraId="565D821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5C55B53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1572D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54E391F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w:t>
            </w:r>
          </w:p>
        </w:tc>
        <w:tc>
          <w:tcPr>
            <w:tcW w:w="50" w:type="pct"/>
            <w:shd w:val="clear" w:color="auto" w:fill="CFF0FC"/>
            <w:noWrap/>
            <w:tcMar>
              <w:top w:w="15" w:type="dxa"/>
              <w:left w:w="0" w:type="dxa"/>
              <w:bottom w:w="0" w:type="dxa"/>
              <w:right w:w="15" w:type="dxa"/>
            </w:tcMar>
            <w:vAlign w:val="bottom"/>
            <w:hideMark/>
          </w:tcPr>
          <w:p w14:paraId="3963DE9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475E23B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8DD2F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38E233C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(218</w:t>
            </w:r>
          </w:p>
        </w:tc>
        <w:tc>
          <w:tcPr>
            <w:tcW w:w="50" w:type="pct"/>
            <w:shd w:val="clear" w:color="auto" w:fill="CFF0FC"/>
            <w:noWrap/>
            <w:tcMar>
              <w:top w:w="15" w:type="dxa"/>
              <w:left w:w="0" w:type="dxa"/>
              <w:bottom w:w="0" w:type="dxa"/>
              <w:right w:w="15" w:type="dxa"/>
            </w:tcMar>
            <w:vAlign w:val="bottom"/>
            <w:hideMark/>
          </w:tcPr>
          <w:p w14:paraId="58E8428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571FAEDC" w14:textId="77777777">
        <w:trPr>
          <w:divId w:val="1799179390"/>
          <w:jc w:val="center"/>
        </w:trPr>
        <w:tc>
          <w:tcPr>
            <w:tcW w:w="3273" w:type="pct"/>
            <w:shd w:val="clear" w:color="auto" w:fill="FFFFFF"/>
            <w:tcMar>
              <w:top w:w="15" w:type="dxa"/>
              <w:left w:w="0" w:type="dxa"/>
              <w:bottom w:w="0" w:type="dxa"/>
              <w:right w:w="15" w:type="dxa"/>
            </w:tcMar>
            <w:hideMark/>
          </w:tcPr>
          <w:p w14:paraId="749169DC"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Increases related to tax positions taken during current fiscal year</w:t>
            </w:r>
          </w:p>
        </w:tc>
        <w:tc>
          <w:tcPr>
            <w:tcW w:w="79" w:type="pct"/>
            <w:shd w:val="clear" w:color="auto" w:fill="FFFFFF"/>
            <w:tcMar>
              <w:top w:w="15" w:type="dxa"/>
              <w:left w:w="0" w:type="dxa"/>
              <w:bottom w:w="0" w:type="dxa"/>
              <w:right w:w="15" w:type="dxa"/>
            </w:tcMar>
            <w:vAlign w:val="bottom"/>
            <w:hideMark/>
          </w:tcPr>
          <w:p w14:paraId="099719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B84CC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2D66861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540</w:t>
            </w:r>
          </w:p>
        </w:tc>
        <w:tc>
          <w:tcPr>
            <w:tcW w:w="50" w:type="pct"/>
            <w:shd w:val="clear" w:color="auto" w:fill="FFFFFF"/>
            <w:noWrap/>
            <w:tcMar>
              <w:top w:w="15" w:type="dxa"/>
              <w:left w:w="0" w:type="dxa"/>
              <w:bottom w:w="0" w:type="dxa"/>
              <w:right w:w="15" w:type="dxa"/>
            </w:tcMar>
            <w:vAlign w:val="bottom"/>
            <w:hideMark/>
          </w:tcPr>
          <w:p w14:paraId="5133471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373A5D2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144B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06B29E9E"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840</w:t>
            </w:r>
          </w:p>
        </w:tc>
        <w:tc>
          <w:tcPr>
            <w:tcW w:w="50" w:type="pct"/>
            <w:shd w:val="clear" w:color="auto" w:fill="FFFFFF"/>
            <w:noWrap/>
            <w:tcMar>
              <w:top w:w="15" w:type="dxa"/>
              <w:left w:w="0" w:type="dxa"/>
              <w:bottom w:w="0" w:type="dxa"/>
              <w:right w:w="15" w:type="dxa"/>
            </w:tcMar>
            <w:vAlign w:val="bottom"/>
            <w:hideMark/>
          </w:tcPr>
          <w:p w14:paraId="0D7BD81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631E734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3A35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2E272C9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595</w:t>
            </w:r>
          </w:p>
        </w:tc>
        <w:tc>
          <w:tcPr>
            <w:tcW w:w="50" w:type="pct"/>
            <w:shd w:val="clear" w:color="auto" w:fill="FFFFFF"/>
            <w:noWrap/>
            <w:tcMar>
              <w:top w:w="15" w:type="dxa"/>
              <w:left w:w="0" w:type="dxa"/>
              <w:bottom w:w="0" w:type="dxa"/>
              <w:right w:w="15" w:type="dxa"/>
            </w:tcMar>
            <w:vAlign w:val="bottom"/>
            <w:hideMark/>
          </w:tcPr>
          <w:p w14:paraId="2FE74A7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7EECA9F9" w14:textId="77777777">
        <w:trPr>
          <w:divId w:val="1799179390"/>
          <w:jc w:val="center"/>
        </w:trPr>
        <w:tc>
          <w:tcPr>
            <w:tcW w:w="3273" w:type="pct"/>
            <w:shd w:val="clear" w:color="auto" w:fill="CFF0FC"/>
            <w:tcMar>
              <w:top w:w="15" w:type="dxa"/>
              <w:left w:w="0" w:type="dxa"/>
              <w:bottom w:w="0" w:type="dxa"/>
              <w:right w:w="15" w:type="dxa"/>
            </w:tcMar>
            <w:hideMark/>
          </w:tcPr>
          <w:p w14:paraId="758417A5"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Settlements with tax authorities</w:t>
            </w:r>
          </w:p>
        </w:tc>
        <w:tc>
          <w:tcPr>
            <w:tcW w:w="79" w:type="pct"/>
            <w:shd w:val="clear" w:color="auto" w:fill="CFF0FC"/>
            <w:tcMar>
              <w:top w:w="15" w:type="dxa"/>
              <w:left w:w="0" w:type="dxa"/>
              <w:bottom w:w="0" w:type="dxa"/>
              <w:right w:w="15" w:type="dxa"/>
            </w:tcMar>
            <w:vAlign w:val="bottom"/>
            <w:hideMark/>
          </w:tcPr>
          <w:p w14:paraId="678BFA1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0064CF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0CC2E52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(153</w:t>
            </w:r>
          </w:p>
        </w:tc>
        <w:tc>
          <w:tcPr>
            <w:tcW w:w="50" w:type="pct"/>
            <w:shd w:val="clear" w:color="auto" w:fill="CFF0FC"/>
            <w:noWrap/>
            <w:tcMar>
              <w:top w:w="15" w:type="dxa"/>
              <w:left w:w="0" w:type="dxa"/>
              <w:bottom w:w="0" w:type="dxa"/>
              <w:right w:w="15" w:type="dxa"/>
            </w:tcMar>
            <w:vAlign w:val="bottom"/>
            <w:hideMark/>
          </w:tcPr>
          <w:p w14:paraId="2BDD47E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631C6EC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D1EA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1411E18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CFF0FC"/>
            <w:noWrap/>
            <w:tcMar>
              <w:top w:w="15" w:type="dxa"/>
              <w:left w:w="0" w:type="dxa"/>
              <w:bottom w:w="0" w:type="dxa"/>
              <w:right w:w="15" w:type="dxa"/>
            </w:tcMar>
            <w:vAlign w:val="bottom"/>
            <w:hideMark/>
          </w:tcPr>
          <w:p w14:paraId="0D0579F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2625D47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54FF9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CFF0FC"/>
            <w:noWrap/>
            <w:tcMar>
              <w:top w:w="15" w:type="dxa"/>
              <w:left w:w="0" w:type="dxa"/>
              <w:bottom w:w="0" w:type="dxa"/>
              <w:right w:w="15" w:type="dxa"/>
            </w:tcMar>
            <w:vAlign w:val="bottom"/>
            <w:hideMark/>
          </w:tcPr>
          <w:p w14:paraId="1BDD672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(85</w:t>
            </w:r>
          </w:p>
        </w:tc>
        <w:tc>
          <w:tcPr>
            <w:tcW w:w="50" w:type="pct"/>
            <w:shd w:val="clear" w:color="auto" w:fill="CFF0FC"/>
            <w:noWrap/>
            <w:tcMar>
              <w:top w:w="15" w:type="dxa"/>
              <w:left w:w="0" w:type="dxa"/>
              <w:bottom w:w="0" w:type="dxa"/>
              <w:right w:w="15" w:type="dxa"/>
            </w:tcMar>
            <w:vAlign w:val="bottom"/>
            <w:hideMark/>
          </w:tcPr>
          <w:p w14:paraId="17CBC26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3292A165" w14:textId="77777777">
        <w:trPr>
          <w:divId w:val="1799179390"/>
          <w:jc w:val="center"/>
        </w:trPr>
        <w:tc>
          <w:tcPr>
            <w:tcW w:w="3273" w:type="pct"/>
            <w:shd w:val="clear" w:color="auto" w:fill="FFFFFF"/>
            <w:tcMar>
              <w:top w:w="15" w:type="dxa"/>
              <w:left w:w="0" w:type="dxa"/>
              <w:bottom w:w="0" w:type="dxa"/>
              <w:right w:w="15" w:type="dxa"/>
            </w:tcMar>
            <w:hideMark/>
          </w:tcPr>
          <w:p w14:paraId="5841B223"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Lapses of statutes of limitation</w:t>
            </w:r>
          </w:p>
        </w:tc>
        <w:tc>
          <w:tcPr>
            <w:tcW w:w="79" w:type="pct"/>
            <w:shd w:val="clear" w:color="auto" w:fill="FFFFFF"/>
            <w:tcMar>
              <w:top w:w="15" w:type="dxa"/>
              <w:left w:w="0" w:type="dxa"/>
              <w:bottom w:w="0" w:type="dxa"/>
              <w:right w:w="15" w:type="dxa"/>
            </w:tcMar>
            <w:vAlign w:val="bottom"/>
            <w:hideMark/>
          </w:tcPr>
          <w:p w14:paraId="6B5BCC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B382B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70AA168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(202</w:t>
            </w:r>
          </w:p>
        </w:tc>
        <w:tc>
          <w:tcPr>
            <w:tcW w:w="50" w:type="pct"/>
            <w:shd w:val="clear" w:color="auto" w:fill="FFFFFF"/>
            <w:noWrap/>
            <w:tcMar>
              <w:top w:w="15" w:type="dxa"/>
              <w:left w:w="0" w:type="dxa"/>
              <w:bottom w:w="0" w:type="dxa"/>
              <w:right w:w="15" w:type="dxa"/>
            </w:tcMar>
            <w:vAlign w:val="bottom"/>
            <w:hideMark/>
          </w:tcPr>
          <w:p w14:paraId="482ED21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left w:w="0" w:type="dxa"/>
              <w:bottom w:w="0" w:type="dxa"/>
              <w:right w:w="15" w:type="dxa"/>
            </w:tcMar>
            <w:vAlign w:val="bottom"/>
            <w:hideMark/>
          </w:tcPr>
          <w:p w14:paraId="473DC9C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732EA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65D0FE6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(273</w:t>
            </w:r>
          </w:p>
        </w:tc>
        <w:tc>
          <w:tcPr>
            <w:tcW w:w="50" w:type="pct"/>
            <w:shd w:val="clear" w:color="auto" w:fill="FFFFFF"/>
            <w:noWrap/>
            <w:tcMar>
              <w:top w:w="15" w:type="dxa"/>
              <w:left w:w="0" w:type="dxa"/>
              <w:bottom w:w="0" w:type="dxa"/>
              <w:right w:w="15" w:type="dxa"/>
            </w:tcMar>
            <w:vAlign w:val="bottom"/>
            <w:hideMark/>
          </w:tcPr>
          <w:p w14:paraId="1DBC916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left w:w="0" w:type="dxa"/>
              <w:bottom w:w="0" w:type="dxa"/>
              <w:right w:w="15" w:type="dxa"/>
            </w:tcMar>
            <w:vAlign w:val="bottom"/>
            <w:hideMark/>
          </w:tcPr>
          <w:p w14:paraId="662404E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DCC08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45D2ADC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left w:w="0" w:type="dxa"/>
              <w:bottom w:w="0" w:type="dxa"/>
              <w:right w:w="15" w:type="dxa"/>
            </w:tcMar>
            <w:vAlign w:val="bottom"/>
            <w:hideMark/>
          </w:tcPr>
          <w:p w14:paraId="3E61374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5DA48092" w14:textId="77777777">
        <w:trPr>
          <w:divId w:val="1799179390"/>
          <w:jc w:val="center"/>
        </w:trPr>
        <w:tc>
          <w:tcPr>
            <w:tcW w:w="3273" w:type="pct"/>
            <w:shd w:val="clear" w:color="auto" w:fill="CFF0FC"/>
            <w:tcMar>
              <w:top w:w="15" w:type="dxa"/>
              <w:left w:w="0" w:type="dxa"/>
              <w:bottom w:w="0" w:type="dxa"/>
              <w:right w:w="15" w:type="dxa"/>
            </w:tcMar>
            <w:hideMark/>
          </w:tcPr>
          <w:p w14:paraId="3E466A2C" w14:textId="77777777" w:rsidR="00251D72" w:rsidRDefault="00251D72">
            <w:pPr>
              <w:pStyle w:val="a3"/>
              <w:spacing w:before="0" w:beforeAutospacing="0" w:after="0" w:afterAutospacing="0"/>
              <w:ind w:left="144" w:hanging="144"/>
              <w:rPr>
                <w:rFonts w:ascii="Calibri" w:hAnsi="Calibri" w:cs="Calibri"/>
                <w:color w:val="000000"/>
                <w:sz w:val="20"/>
                <w:szCs w:val="20"/>
              </w:rPr>
            </w:pPr>
            <w:r>
              <w:rPr>
                <w:rFonts w:ascii="Calibri" w:hAnsi="Calibri" w:cs="Calibri"/>
                <w:color w:val="000000"/>
                <w:sz w:val="20"/>
                <w:szCs w:val="20"/>
              </w:rPr>
              <w:t>Cumulative translation adjustments and other, net</w:t>
            </w:r>
          </w:p>
        </w:tc>
        <w:tc>
          <w:tcPr>
            <w:tcW w:w="79" w:type="pct"/>
            <w:shd w:val="clear" w:color="auto" w:fill="CFF0FC"/>
            <w:tcMar>
              <w:top w:w="15" w:type="dxa"/>
              <w:left w:w="0" w:type="dxa"/>
              <w:bottom w:w="0" w:type="dxa"/>
              <w:right w:w="15" w:type="dxa"/>
            </w:tcMar>
            <w:vAlign w:val="bottom"/>
            <w:hideMark/>
          </w:tcPr>
          <w:p w14:paraId="2E63E29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8F8951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037BA1B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CFF0FC"/>
            <w:noWrap/>
            <w:tcMar>
              <w:top w:w="15" w:type="dxa"/>
              <w:left w:w="0" w:type="dxa"/>
              <w:bottom w:w="0" w:type="dxa"/>
              <w:right w:w="15" w:type="dxa"/>
            </w:tcMar>
            <w:vAlign w:val="bottom"/>
            <w:hideMark/>
          </w:tcPr>
          <w:p w14:paraId="38F6C81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left w:w="0" w:type="dxa"/>
              <w:bottom w:w="0" w:type="dxa"/>
              <w:right w:w="15" w:type="dxa"/>
            </w:tcMar>
            <w:vAlign w:val="bottom"/>
            <w:hideMark/>
          </w:tcPr>
          <w:p w14:paraId="6E66C4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77D86D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25ABA454"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left w:w="0" w:type="dxa"/>
              <w:bottom w:w="0" w:type="dxa"/>
              <w:right w:w="15" w:type="dxa"/>
            </w:tcMar>
            <w:vAlign w:val="bottom"/>
            <w:hideMark/>
          </w:tcPr>
          <w:p w14:paraId="44CBEE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5E888E7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7CF5F4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2985EE2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CFF0FC"/>
            <w:noWrap/>
            <w:tcMar>
              <w:top w:w="15" w:type="dxa"/>
              <w:left w:w="0" w:type="dxa"/>
              <w:bottom w:w="0" w:type="dxa"/>
              <w:right w:w="15" w:type="dxa"/>
            </w:tcMar>
            <w:vAlign w:val="bottom"/>
            <w:hideMark/>
          </w:tcPr>
          <w:p w14:paraId="120ED23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251D72" w14:paraId="0CA24E7D" w14:textId="77777777">
        <w:trPr>
          <w:divId w:val="1799179390"/>
          <w:jc w:val="center"/>
        </w:trPr>
        <w:tc>
          <w:tcPr>
            <w:tcW w:w="3273" w:type="pct"/>
            <w:shd w:val="clear" w:color="auto" w:fill="FFFFFF"/>
            <w:tcMar>
              <w:top w:w="15" w:type="dxa"/>
              <w:left w:w="0" w:type="dxa"/>
              <w:bottom w:w="0" w:type="dxa"/>
              <w:right w:w="15" w:type="dxa"/>
            </w:tcMar>
            <w:hideMark/>
          </w:tcPr>
          <w:p w14:paraId="0AE53809" w14:textId="77777777" w:rsidR="00251D72" w:rsidRDefault="00251D72">
            <w:pPr>
              <w:pStyle w:val="a3"/>
              <w:spacing w:before="0" w:beforeAutospacing="0" w:after="0" w:afterAutospacing="0"/>
              <w:ind w:left="274"/>
              <w:rPr>
                <w:rFonts w:ascii="Calibri" w:hAnsi="Calibri" w:cs="Calibri"/>
                <w:color w:val="000000"/>
                <w:sz w:val="20"/>
                <w:szCs w:val="20"/>
              </w:rPr>
            </w:pPr>
            <w:r>
              <w:rPr>
                <w:rFonts w:ascii="Calibri" w:hAnsi="Calibri" w:cs="Calibri"/>
                <w:color w:val="000000"/>
                <w:sz w:val="20"/>
                <w:szCs w:val="20"/>
              </w:rPr>
              <w:t>Total gross unrecognized tax benefits as of May 31</w:t>
            </w:r>
          </w:p>
        </w:tc>
        <w:tc>
          <w:tcPr>
            <w:tcW w:w="79" w:type="pct"/>
            <w:shd w:val="clear" w:color="auto" w:fill="FFFFFF"/>
            <w:tcMar>
              <w:top w:w="15" w:type="dxa"/>
              <w:left w:w="0" w:type="dxa"/>
              <w:bottom w:w="0" w:type="dxa"/>
              <w:right w:w="15" w:type="dxa"/>
            </w:tcMar>
            <w:vAlign w:val="bottom"/>
            <w:hideMark/>
          </w:tcPr>
          <w:p w14:paraId="16A3605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B32CB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C6424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6,348</w:t>
            </w:r>
          </w:p>
        </w:tc>
        <w:tc>
          <w:tcPr>
            <w:tcW w:w="50" w:type="pct"/>
            <w:shd w:val="clear" w:color="auto" w:fill="FFFFFF"/>
            <w:noWrap/>
            <w:tcMar>
              <w:top w:w="15" w:type="dxa"/>
              <w:left w:w="0" w:type="dxa"/>
              <w:bottom w:w="0" w:type="dxa"/>
              <w:right w:w="15" w:type="dxa"/>
            </w:tcMar>
            <w:vAlign w:val="bottom"/>
            <w:hideMark/>
          </w:tcPr>
          <w:p w14:paraId="28E9EF5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3190C4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DD125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15C5C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5,592</w:t>
            </w:r>
          </w:p>
        </w:tc>
        <w:tc>
          <w:tcPr>
            <w:tcW w:w="50" w:type="pct"/>
            <w:shd w:val="clear" w:color="auto" w:fill="FFFFFF"/>
            <w:noWrap/>
            <w:tcMar>
              <w:top w:w="15" w:type="dxa"/>
              <w:left w:w="0" w:type="dxa"/>
              <w:bottom w:w="0" w:type="dxa"/>
              <w:right w:w="15" w:type="dxa"/>
            </w:tcMar>
            <w:vAlign w:val="bottom"/>
            <w:hideMark/>
          </w:tcPr>
          <w:p w14:paraId="4B51879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11CC52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84CDE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DB66D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4,919</w:t>
            </w:r>
          </w:p>
        </w:tc>
        <w:tc>
          <w:tcPr>
            <w:tcW w:w="50" w:type="pct"/>
            <w:shd w:val="clear" w:color="auto" w:fill="FFFFFF"/>
            <w:noWrap/>
            <w:tcMar>
              <w:top w:w="15" w:type="dxa"/>
              <w:left w:w="0" w:type="dxa"/>
              <w:bottom w:w="0" w:type="dxa"/>
              <w:right w:w="15" w:type="dxa"/>
            </w:tcMar>
            <w:vAlign w:val="bottom"/>
            <w:hideMark/>
          </w:tcPr>
          <w:p w14:paraId="6F04223C"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49A9BA19" w14:textId="77777777" w:rsidR="00251D72" w:rsidRDefault="00251D72">
      <w:pPr>
        <w:pStyle w:val="a3"/>
        <w:spacing w:before="0" w:beforeAutospacing="0" w:after="0" w:afterAutospacing="0"/>
        <w:rPr>
          <w:sz w:val="12"/>
          <w:szCs w:val="12"/>
        </w:rPr>
      </w:pPr>
      <w:r>
        <w:rPr>
          <w:sz w:val="12"/>
          <w:szCs w:val="12"/>
        </w:rPr>
        <w:t> </w:t>
      </w:r>
    </w:p>
    <w:p w14:paraId="0F551CC3" w14:textId="77777777" w:rsidR="00251D72" w:rsidRDefault="00251D72">
      <w:pPr>
        <w:pStyle w:val="a3"/>
        <w:spacing w:before="0" w:beforeAutospacing="0" w:after="0" w:afterAutospacing="0"/>
        <w:jc w:val="both"/>
        <w:rPr>
          <w:rFonts w:ascii="Calibri" w:hAnsi="Calibri" w:cs="Calibri"/>
          <w:sz w:val="20"/>
          <w:szCs w:val="20"/>
        </w:rPr>
      </w:pPr>
      <w:r>
        <w:rPr>
          <w:rFonts w:ascii="Calibri" w:hAnsi="Calibri" w:cs="Calibri"/>
          <w:sz w:val="20"/>
          <w:szCs w:val="20"/>
        </w:rPr>
        <w:t>As of May 31, 2019, 2018 and 2017, $4.2 billion, $4.2 billion and $3.4 billion, respectively, of unrecognized tax benefits would affect our effective tax rate if recognized. We recognized interest and penalties related to uncertain tax positions in our provision for income taxes line of our consolidated statements of operations of $312 million, $127 million and $125 million during fiscal 2019, 2018 and 2017, respectively. Interest and penalties accrued as of May 31, 2019 and 2018 were $1.3 billion and $992 million, respectively.</w:t>
      </w:r>
    </w:p>
    <w:p w14:paraId="4F3D29D9"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Domestically, U.S. federal and state taxing authorities are currently examining income tax returns of Oracle and various acquired entities for years through fiscal 2017. Many issues are at an advanced stage in the examination process, the most significant of which include the deductibility of certain royalty payments, transfer pricing, extraterritorial income exemptions, domestic production activity, foreign tax credits, and research and development credits taken. With all of these domestic audit issues considered in the aggregate, we believe that it was reasonably possible that, as of May 31, 2019, the gross unrecognized tax benefits related to these audits could decrease (whether by payment, release, or a combination of both) in the next 12 months by as much as $516 million ($357 million net of offsetting tax benefits). Our U.S. federal income tax returns have been examined for all years prior to fiscal 2010 and we are no longer subject to audit for those periods. Our U.S. state income tax returns, with some exceptions, have been examined for all years prior to fiscal 2007 and we are no longer subject to audit for those periods.</w:t>
      </w:r>
    </w:p>
    <w:p w14:paraId="787B4ED5" w14:textId="77777777" w:rsidR="00251D72" w:rsidRDefault="00251D72">
      <w:pPr>
        <w:pStyle w:val="a3"/>
        <w:spacing w:before="120" w:beforeAutospacing="0" w:after="0" w:afterAutospacing="0"/>
        <w:jc w:val="both"/>
        <w:rPr>
          <w:rFonts w:ascii="Calibri" w:hAnsi="Calibri" w:cs="Calibri"/>
          <w:sz w:val="20"/>
          <w:szCs w:val="20"/>
        </w:rPr>
      </w:pPr>
      <w:bookmarkStart w:id="152" w:name="_AEIOULastRenderedPageBreakAEIOU112"/>
      <w:bookmarkEnd w:id="152"/>
      <w:r>
        <w:rPr>
          <w:rFonts w:ascii="Calibri" w:hAnsi="Calibri" w:cs="Calibri"/>
          <w:sz w:val="20"/>
          <w:szCs w:val="20"/>
        </w:rPr>
        <w:t xml:space="preserve">Internationally, tax authorities for numerous non-U.S. jurisdictions are also examining returns affecting our unrecognized tax benefits. We believe that it was reasonably possible that, as of May 31, 2019, the gross unrecognized tax benefits could decrease (whether by payment, release, or a combination of both) by as much as $186 million ($87 million net of offsetting tax benefits) in the next 12 months related primarily to transfer pricing. </w:t>
      </w:r>
    </w:p>
    <w:p w14:paraId="2D8C3BE3"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109</w:t>
      </w:r>
    </w:p>
    <w:p w14:paraId="77E24CB4" w14:textId="77777777" w:rsidR="00251D72" w:rsidRDefault="00251D72">
      <w:pPr>
        <w:rPr>
          <w:rFonts w:ascii="Times New Roman" w:eastAsia="Times New Roman" w:hAnsi="Times New Roman" w:cs="Times New Roman"/>
          <w:sz w:val="24"/>
          <w:szCs w:val="24"/>
        </w:rPr>
      </w:pPr>
      <w:r>
        <w:rPr>
          <w:rFonts w:eastAsia="Times New Roman"/>
        </w:rPr>
        <w:pict w14:anchorId="4ECBD03B">
          <v:rect id="_x0000_i1135" style="width:415.3pt;height:1.5pt" o:hralign="center" o:hrstd="t" o:hr="t" fillcolor="#a0a0a0" stroked="f"/>
        </w:pict>
      </w:r>
    </w:p>
    <w:p w14:paraId="3FA57C0B"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4A948624"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EEAEC3E"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5575E635"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270D575F"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45DDA25D" w14:textId="77777777" w:rsidR="00251D72" w:rsidRDefault="00251D72">
      <w:pPr>
        <w:pStyle w:val="a3"/>
        <w:spacing w:before="0" w:beforeAutospacing="0" w:after="0" w:afterAutospacing="0"/>
        <w:rPr>
          <w:sz w:val="20"/>
          <w:szCs w:val="20"/>
        </w:rPr>
      </w:pPr>
      <w:r>
        <w:rPr>
          <w:sz w:val="20"/>
          <w:szCs w:val="20"/>
        </w:rPr>
        <w:t> </w:t>
      </w:r>
    </w:p>
    <w:p w14:paraId="62AAB53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With some exceptions, we are generally no longer subject to tax examinations in non-U.S. jurisdictions for years prior to fiscal 1997.</w:t>
      </w:r>
    </w:p>
    <w:p w14:paraId="49F78468"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believe that we have adequately provided under GAAP for outcomes related to our tax audits. However, there can be no assurances as to the possible outcomes or any related financial statement effect thereof. On June 7, 2019, the Ninth Circuit Court of Appeals, reversing a previous decision of the U.S. Tax Court, held that the U.S. Treasury Department’s regulations requiring the inclusion of stock-based compensation expense in a taxpayer’s cost-sharing calculations were valid. Our financial statements have been prepared consistent with this outcome, but we will continue to monitor any ongoing developments, including the possibility of rehearing or appeal to the U.S. Supreme Court, to determine if future changes are required.</w:t>
      </w:r>
    </w:p>
    <w:p w14:paraId="379F59C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are under audit by the IRS and various other domestic and foreign tax authorities with regards to income tax and indirect tax matters and are involved in various challenges and litigation in a number of countries, including, in particular, Australia, Brazil, Canada, India, Indonesia, South Korea, Mexico, Pakistan and Spain, where the amounts under controversy are significant. In some, although not all cases, we have reserved for potential adjustments to our provision for income taxes and accrual of indirect taxes that may result from examinations by, or any negotiated agreements with, these tax authorities or final outcomes in judicial proceedings, and we believe that the final outcome of these examinations, agreements or judicial proceedings will not have a material effect on our results of operations. If events occur which indicate payment of these amounts is unnecessary, the reversal of the liabilities would result in the recognition of benefits in the period we determine the liabilities are no longer necessary. If our estimates of the federal, state, and foreign income tax liabilities and indirect tax liabilities are less than the ultimate assessment, it could result in a further charge to expense.</w:t>
      </w:r>
    </w:p>
    <w:p w14:paraId="77450D5F"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110</w:t>
      </w:r>
    </w:p>
    <w:p w14:paraId="2F1EF80A" w14:textId="77777777" w:rsidR="00251D72" w:rsidRDefault="00251D72">
      <w:pPr>
        <w:rPr>
          <w:rFonts w:ascii="Times New Roman" w:eastAsia="Times New Roman" w:hAnsi="Times New Roman" w:cs="Times New Roman"/>
          <w:sz w:val="24"/>
          <w:szCs w:val="24"/>
        </w:rPr>
      </w:pPr>
      <w:r>
        <w:rPr>
          <w:rFonts w:eastAsia="Times New Roman"/>
        </w:rPr>
        <w:pict w14:anchorId="7C003761">
          <v:rect id="_x0000_i1136" style="width:415.3pt;height:1.5pt" o:hralign="center" o:hrstd="t" o:hr="t" fillcolor="#a0a0a0" stroked="f"/>
        </w:pict>
      </w:r>
    </w:p>
    <w:p w14:paraId="521E5B4B"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1A126E8"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4E5E8A3E"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1BEA3F06"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04807C23"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5026EB9C" w14:textId="77777777" w:rsidR="00251D72" w:rsidRDefault="00251D7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251D72" w14:paraId="79FBC845" w14:textId="77777777">
        <w:tc>
          <w:tcPr>
            <w:tcW w:w="262" w:type="pct"/>
            <w:noWrap/>
            <w:hideMark/>
          </w:tcPr>
          <w:p w14:paraId="00298F8D"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15.</w:t>
            </w:r>
          </w:p>
        </w:tc>
        <w:tc>
          <w:tcPr>
            <w:tcW w:w="0" w:type="auto"/>
            <w:hideMark/>
          </w:tcPr>
          <w:p w14:paraId="5574B976" w14:textId="77777777" w:rsidR="00251D72" w:rsidRDefault="00251D72">
            <w:pPr>
              <w:pStyle w:val="a3"/>
              <w:spacing w:before="240" w:beforeAutospacing="0" w:after="0" w:afterAutospacing="0"/>
              <w:jc w:val="both"/>
              <w:rPr>
                <w:rFonts w:ascii="Calibri" w:hAnsi="Calibri" w:cs="Calibri"/>
                <w:b/>
                <w:bCs/>
                <w:sz w:val="20"/>
                <w:szCs w:val="20"/>
              </w:rPr>
            </w:pPr>
            <w:bookmarkStart w:id="153" w:name="_AEIOULastRenderedPageBreakAEIOU113"/>
            <w:bookmarkEnd w:id="153"/>
            <w:r>
              <w:rPr>
                <w:rFonts w:ascii="Calibri" w:hAnsi="Calibri" w:cs="Calibri"/>
                <w:b/>
                <w:bCs/>
                <w:sz w:val="20"/>
                <w:szCs w:val="20"/>
              </w:rPr>
              <w:t xml:space="preserve">SEGMENT INFORMATION </w:t>
            </w:r>
          </w:p>
        </w:tc>
      </w:tr>
    </w:tbl>
    <w:p w14:paraId="4B3EF69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Segment Reporting</w:t>
      </w:r>
      <w:r>
        <w:rPr>
          <w:rFonts w:ascii="Calibri" w:hAnsi="Calibri" w:cs="Calibri"/>
          <w:sz w:val="20"/>
          <w:szCs w:val="20"/>
        </w:rPr>
        <w:t xml:space="preserve">, establishes standards for reporting information about operating segments. Operating segments are defined as components of an enterprise about which separate financial information is available that is evaluated regularly by the chief operating decision maker, or decision-making group, in deciding how to allocate resources and in assessing performance. Our chief operating decision makers (CODMs) are our Chief Executive Officers and Chief Technology Officer. We are organized by line of business and geographically. While our CODMs evaluate results in a number of different ways, the line of business management structure is the primary basis for which the allocation of resources and financial results are assessed. The footnote information below presents the financial information provided to our CODMs for their review and assists our CODMs with evaluating the company’s performance and allocating company resources. </w:t>
      </w:r>
    </w:p>
    <w:p w14:paraId="49865AD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three businesses—cloud and license, hardware and services—each of which is comprised of a single operating segment. All three of our businesses market and sell our offerings globally to businesses of many sizes, government agencies, educational institutions and resellers with a worldwide sales force positioned to offer the combinations that best meet customer needs.</w:t>
      </w:r>
    </w:p>
    <w:p w14:paraId="4256CF9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cloud and license business engages in the sale, marketing and delivery of our applications and infrastructure technologies through cloud and on-premise deployment models including our cloud services and license support offerings; and our cloud license and on-premise license offerings. Cloud services and license support revenues are generated from offerings that are typically contracted with customers directly, billed to customers in advance, delivered to customers over time with our revenue recognition occurring over the contractual terms, and renewed by customers upon completion of the contractual terms. Cloud services and license support contracts provide customers with access to the latest updates to the applications and infrastructure technologies as they become available and for which the customer contracted and also include related technical support services over the contractual term. Cloud license and on-premise license revenues represent fees earned from granting customers licenses, generally on a perpetual basis, to use our database and middleware and our applications software products within cloud and on-premise IT environments. We generally recognize revenues at the point in time the software is made available to the customer to download and use, which typically is immediately upon signature of the license contract. In each fiscal year, our cloud and license business’ contractual activities are typically highest in our fourth fiscal quarter and the related cash flows are typically highest in the following quarter (i.e., in the first fiscal quarter of the next fiscal year) as we receive payments from these contracts. </w:t>
      </w:r>
    </w:p>
    <w:p w14:paraId="17673252"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hardware business provides Oracle Engineered Systems, servers, storage, industry-specific hardware, operating systems, virtualization, management and other hardware-related software to support diverse IT environments. Our hardware business also includes hardware support, which provides customers with software updates for the software components that are essential to the functionality of the hardware products, such as Oracle Solaris and certain other software, and can include product repairs, maintenance services and technical support services.</w:t>
      </w:r>
      <w:r>
        <w:rPr>
          <w:rFonts w:ascii="Calibri" w:hAnsi="Calibri" w:cs="Calibri"/>
          <w:color w:val="000000"/>
          <w:sz w:val="20"/>
          <w:szCs w:val="20"/>
        </w:rPr>
        <w:t xml:space="preserve"> </w:t>
      </w:r>
    </w:p>
    <w:p w14:paraId="6D02326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Our services business provides services to customers and partners to help maximize the performance of their investments in Oracle applications and infrastructure technologies.</w:t>
      </w:r>
    </w:p>
    <w:p w14:paraId="08557A1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do not track our assets for each business. Consequently, it is not practical to show assets by operating segment.</w:t>
      </w:r>
    </w:p>
    <w:p w14:paraId="523A370C"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111</w:t>
      </w:r>
    </w:p>
    <w:p w14:paraId="1E5EAE03" w14:textId="77777777" w:rsidR="00251D72" w:rsidRDefault="00251D72">
      <w:pPr>
        <w:rPr>
          <w:rFonts w:ascii="Times New Roman" w:eastAsia="Times New Roman" w:hAnsi="Times New Roman" w:cs="Times New Roman"/>
          <w:sz w:val="24"/>
          <w:szCs w:val="24"/>
        </w:rPr>
      </w:pPr>
      <w:r>
        <w:rPr>
          <w:rFonts w:eastAsia="Times New Roman"/>
        </w:rPr>
        <w:pict w14:anchorId="2F597D2D">
          <v:rect id="_x0000_i1137" style="width:415.3pt;height:1.5pt" o:hralign="center" o:hrstd="t" o:hr="t" fillcolor="#a0a0a0" stroked="f"/>
        </w:pict>
      </w:r>
    </w:p>
    <w:p w14:paraId="31467D16"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8398038"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50F8CC45"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73C14A81"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59543617"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0EABFAAF" w14:textId="77777777" w:rsidR="00251D72" w:rsidRDefault="00251D72">
      <w:pPr>
        <w:pStyle w:val="a3"/>
        <w:spacing w:before="0" w:beforeAutospacing="0" w:after="0" w:afterAutospacing="0"/>
        <w:rPr>
          <w:sz w:val="20"/>
          <w:szCs w:val="20"/>
        </w:rPr>
      </w:pPr>
      <w:r>
        <w:rPr>
          <w:sz w:val="20"/>
          <w:szCs w:val="20"/>
        </w:rPr>
        <w:t> </w:t>
      </w:r>
    </w:p>
    <w:p w14:paraId="76BCB562" w14:textId="77777777" w:rsidR="00251D72" w:rsidRDefault="00251D72">
      <w:pPr>
        <w:pStyle w:val="a3"/>
        <w:spacing w:before="120" w:beforeAutospacing="0" w:after="0" w:afterAutospacing="0"/>
        <w:jc w:val="both"/>
        <w:rPr>
          <w:rFonts w:ascii="Calibri" w:hAnsi="Calibri" w:cs="Calibri"/>
          <w:sz w:val="20"/>
          <w:szCs w:val="20"/>
        </w:rPr>
      </w:pPr>
      <w:bookmarkStart w:id="154" w:name="_AEIOULastRenderedPageBreakAEIOU114"/>
      <w:bookmarkEnd w:id="154"/>
      <w:r>
        <w:rPr>
          <w:rFonts w:ascii="Calibri" w:hAnsi="Calibri" w:cs="Calibri"/>
          <w:sz w:val="20"/>
          <w:szCs w:val="20"/>
        </w:rPr>
        <w:t xml:space="preserve">The following table presents summary results for each of our three businesses for each of fiscal 2019, 2018 and 2017: </w:t>
      </w:r>
    </w:p>
    <w:p w14:paraId="40875814"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432"/>
        <w:gridCol w:w="124"/>
        <w:gridCol w:w="107"/>
        <w:gridCol w:w="651"/>
        <w:gridCol w:w="76"/>
        <w:gridCol w:w="124"/>
        <w:gridCol w:w="107"/>
        <w:gridCol w:w="651"/>
        <w:gridCol w:w="76"/>
        <w:gridCol w:w="124"/>
        <w:gridCol w:w="107"/>
        <w:gridCol w:w="651"/>
        <w:gridCol w:w="76"/>
      </w:tblGrid>
      <w:tr w:rsidR="00251D72" w14:paraId="3E6943F6" w14:textId="77777777">
        <w:trPr>
          <w:divId w:val="1407992881"/>
          <w:jc w:val="center"/>
        </w:trPr>
        <w:tc>
          <w:tcPr>
            <w:tcW w:w="3273" w:type="pct"/>
            <w:shd w:val="clear" w:color="auto" w:fill="FFFFFF"/>
            <w:tcMar>
              <w:top w:w="15" w:type="dxa"/>
              <w:left w:w="0" w:type="dxa"/>
              <w:bottom w:w="0" w:type="dxa"/>
              <w:right w:w="15" w:type="dxa"/>
            </w:tcMar>
            <w:vAlign w:val="bottom"/>
            <w:hideMark/>
          </w:tcPr>
          <w:p w14:paraId="234ACB43" w14:textId="77777777" w:rsidR="00251D72" w:rsidRDefault="00251D72">
            <w:pPr>
              <w:pStyle w:val="a3"/>
              <w:spacing w:before="0" w:beforeAutospacing="0" w:after="0" w:afterAutospacing="0"/>
              <w:rPr>
                <w:sz w:val="15"/>
                <w:szCs w:val="15"/>
              </w:rPr>
            </w:pPr>
            <w:r>
              <w:rPr>
                <w:sz w:val="15"/>
                <w:szCs w:val="15"/>
              </w:rPr>
              <w:t> </w:t>
            </w:r>
          </w:p>
        </w:tc>
        <w:tc>
          <w:tcPr>
            <w:tcW w:w="79" w:type="pct"/>
            <w:shd w:val="clear" w:color="auto" w:fill="FFFFFF"/>
            <w:tcMar>
              <w:top w:w="15" w:type="dxa"/>
              <w:left w:w="0" w:type="dxa"/>
              <w:bottom w:w="0" w:type="dxa"/>
              <w:right w:w="15" w:type="dxa"/>
            </w:tcMar>
            <w:vAlign w:val="bottom"/>
            <w:hideMark/>
          </w:tcPr>
          <w:p w14:paraId="0764949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6" w:type="pct"/>
            <w:gridSpan w:val="10"/>
            <w:tcBorders>
              <w:bottom w:val="single" w:sz="6" w:space="0" w:color="000000"/>
            </w:tcBorders>
            <w:shd w:val="clear" w:color="auto" w:fill="FFFFFF"/>
            <w:tcMar>
              <w:top w:w="15" w:type="dxa"/>
              <w:left w:w="0" w:type="dxa"/>
              <w:bottom w:w="0" w:type="dxa"/>
              <w:right w:w="15" w:type="dxa"/>
            </w:tcMar>
            <w:vAlign w:val="bottom"/>
            <w:hideMark/>
          </w:tcPr>
          <w:p w14:paraId="38A4669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1600F95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D76552F" w14:textId="77777777">
        <w:trPr>
          <w:divId w:val="1407992881"/>
          <w:jc w:val="center"/>
        </w:trPr>
        <w:tc>
          <w:tcPr>
            <w:tcW w:w="3273" w:type="pct"/>
            <w:tcBorders>
              <w:bottom w:val="single" w:sz="6" w:space="0" w:color="000000"/>
            </w:tcBorders>
            <w:shd w:val="clear" w:color="auto" w:fill="FFFFFF"/>
            <w:tcMar>
              <w:top w:w="15" w:type="dxa"/>
              <w:left w:w="0" w:type="dxa"/>
              <w:bottom w:w="0" w:type="dxa"/>
              <w:right w:w="15" w:type="dxa"/>
            </w:tcMar>
            <w:vAlign w:val="bottom"/>
            <w:hideMark/>
          </w:tcPr>
          <w:p w14:paraId="6760FC4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left w:w="0" w:type="dxa"/>
              <w:bottom w:w="0" w:type="dxa"/>
              <w:right w:w="15" w:type="dxa"/>
            </w:tcMar>
            <w:vAlign w:val="bottom"/>
            <w:hideMark/>
          </w:tcPr>
          <w:p w14:paraId="0EBBD7D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53F99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B9C0A2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3C3F29C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32916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5502168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4C26422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C3E213"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5FC4D6E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AF49090" w14:textId="77777777">
        <w:trPr>
          <w:divId w:val="1407992881"/>
          <w:jc w:val="center"/>
        </w:trPr>
        <w:tc>
          <w:tcPr>
            <w:tcW w:w="3273" w:type="pct"/>
            <w:tcBorders>
              <w:top w:val="single" w:sz="6" w:space="0" w:color="000000"/>
            </w:tcBorders>
            <w:shd w:val="clear" w:color="auto" w:fill="CFF0FC"/>
            <w:tcMar>
              <w:top w:w="15" w:type="dxa"/>
              <w:left w:w="0" w:type="dxa"/>
              <w:bottom w:w="0" w:type="dxa"/>
              <w:right w:w="15" w:type="dxa"/>
            </w:tcMar>
            <w:hideMark/>
          </w:tcPr>
          <w:p w14:paraId="5FAEB50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and license:</w:t>
            </w:r>
          </w:p>
        </w:tc>
        <w:tc>
          <w:tcPr>
            <w:tcW w:w="79" w:type="pct"/>
            <w:shd w:val="clear" w:color="auto" w:fill="CFF0FC"/>
            <w:tcMar>
              <w:top w:w="15" w:type="dxa"/>
              <w:left w:w="0" w:type="dxa"/>
              <w:bottom w:w="0" w:type="dxa"/>
              <w:right w:w="15" w:type="dxa"/>
            </w:tcMar>
            <w:vAlign w:val="bottom"/>
            <w:hideMark/>
          </w:tcPr>
          <w:p w14:paraId="4C64B0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DEA2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71016B8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E87BEB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18AC38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0D59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751F77A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33F547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3F98DFB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6CAE13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102FF41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AB41E2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7512DC7" w14:textId="77777777">
        <w:trPr>
          <w:divId w:val="1407992881"/>
          <w:jc w:val="center"/>
        </w:trPr>
        <w:tc>
          <w:tcPr>
            <w:tcW w:w="3273" w:type="pct"/>
            <w:shd w:val="clear" w:color="auto" w:fill="FFFFFF"/>
            <w:tcMar>
              <w:top w:w="15" w:type="dxa"/>
              <w:left w:w="0" w:type="dxa"/>
              <w:bottom w:w="0" w:type="dxa"/>
              <w:right w:w="15" w:type="dxa"/>
            </w:tcMar>
            <w:hideMark/>
          </w:tcPr>
          <w:p w14:paraId="635A9D1B"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Revenues</w:t>
            </w:r>
            <w:r>
              <w:rPr>
                <w:rFonts w:ascii="Calibri" w:hAnsi="Calibri" w:cs="Calibri"/>
                <w:color w:val="000000"/>
                <w:sz w:val="15"/>
                <w:szCs w:val="15"/>
                <w:vertAlign w:val="superscript"/>
              </w:rPr>
              <w:t>(1)</w:t>
            </w:r>
          </w:p>
        </w:tc>
        <w:tc>
          <w:tcPr>
            <w:tcW w:w="79" w:type="pct"/>
            <w:shd w:val="clear" w:color="auto" w:fill="FFFFFF"/>
            <w:tcMar>
              <w:top w:w="15" w:type="dxa"/>
              <w:left w:w="0" w:type="dxa"/>
              <w:bottom w:w="0" w:type="dxa"/>
              <w:right w:w="15" w:type="dxa"/>
            </w:tcMar>
            <w:vAlign w:val="bottom"/>
            <w:hideMark/>
          </w:tcPr>
          <w:p w14:paraId="264A08E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1433AB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0B3040F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32,582</w:t>
            </w:r>
          </w:p>
        </w:tc>
        <w:tc>
          <w:tcPr>
            <w:tcW w:w="50" w:type="pct"/>
            <w:shd w:val="clear" w:color="auto" w:fill="FFFFFF"/>
            <w:noWrap/>
            <w:tcMar>
              <w:top w:w="15" w:type="dxa"/>
              <w:left w:w="0" w:type="dxa"/>
              <w:bottom w:w="0" w:type="dxa"/>
              <w:right w:w="15" w:type="dxa"/>
            </w:tcMar>
            <w:vAlign w:val="bottom"/>
            <w:hideMark/>
          </w:tcPr>
          <w:p w14:paraId="55383BD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695B6CD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36C821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24C8DAA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32,041</w:t>
            </w:r>
          </w:p>
        </w:tc>
        <w:tc>
          <w:tcPr>
            <w:tcW w:w="50" w:type="pct"/>
            <w:shd w:val="clear" w:color="auto" w:fill="FFFFFF"/>
            <w:noWrap/>
            <w:tcMar>
              <w:top w:w="15" w:type="dxa"/>
              <w:left w:w="0" w:type="dxa"/>
              <w:bottom w:w="0" w:type="dxa"/>
              <w:right w:w="15" w:type="dxa"/>
            </w:tcMar>
            <w:vAlign w:val="bottom"/>
            <w:hideMark/>
          </w:tcPr>
          <w:p w14:paraId="4879B2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7FB8432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AF5EDD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27B2188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30,452</w:t>
            </w:r>
          </w:p>
        </w:tc>
        <w:tc>
          <w:tcPr>
            <w:tcW w:w="50" w:type="pct"/>
            <w:shd w:val="clear" w:color="auto" w:fill="FFFFFF"/>
            <w:noWrap/>
            <w:tcMar>
              <w:top w:w="15" w:type="dxa"/>
              <w:left w:w="0" w:type="dxa"/>
              <w:bottom w:w="0" w:type="dxa"/>
              <w:right w:w="15" w:type="dxa"/>
            </w:tcMar>
            <w:vAlign w:val="bottom"/>
            <w:hideMark/>
          </w:tcPr>
          <w:p w14:paraId="7663376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5950C1F" w14:textId="77777777">
        <w:trPr>
          <w:divId w:val="1407992881"/>
          <w:jc w:val="center"/>
        </w:trPr>
        <w:tc>
          <w:tcPr>
            <w:tcW w:w="3273" w:type="pct"/>
            <w:shd w:val="clear" w:color="auto" w:fill="CFF0FC"/>
            <w:tcMar>
              <w:top w:w="15" w:type="dxa"/>
              <w:left w:w="0" w:type="dxa"/>
              <w:bottom w:w="0" w:type="dxa"/>
              <w:right w:w="15" w:type="dxa"/>
            </w:tcMar>
            <w:hideMark/>
          </w:tcPr>
          <w:p w14:paraId="60561085"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Cloud services and license support expenses</w:t>
            </w:r>
          </w:p>
        </w:tc>
        <w:tc>
          <w:tcPr>
            <w:tcW w:w="79" w:type="pct"/>
            <w:shd w:val="clear" w:color="auto" w:fill="CFF0FC"/>
            <w:tcMar>
              <w:top w:w="15" w:type="dxa"/>
              <w:left w:w="0" w:type="dxa"/>
              <w:bottom w:w="0" w:type="dxa"/>
              <w:right w:w="15" w:type="dxa"/>
            </w:tcMar>
            <w:vAlign w:val="bottom"/>
            <w:hideMark/>
          </w:tcPr>
          <w:p w14:paraId="60C4A75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3558D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3433841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3,597</w:t>
            </w:r>
          </w:p>
        </w:tc>
        <w:tc>
          <w:tcPr>
            <w:tcW w:w="50" w:type="pct"/>
            <w:shd w:val="clear" w:color="auto" w:fill="CFF0FC"/>
            <w:noWrap/>
            <w:tcMar>
              <w:top w:w="15" w:type="dxa"/>
              <w:left w:w="0" w:type="dxa"/>
              <w:bottom w:w="0" w:type="dxa"/>
              <w:right w:w="15" w:type="dxa"/>
            </w:tcMar>
            <w:vAlign w:val="bottom"/>
            <w:hideMark/>
          </w:tcPr>
          <w:p w14:paraId="375F0D8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549767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6140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60E2C38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3,441</w:t>
            </w:r>
          </w:p>
        </w:tc>
        <w:tc>
          <w:tcPr>
            <w:tcW w:w="50" w:type="pct"/>
            <w:shd w:val="clear" w:color="auto" w:fill="CFF0FC"/>
            <w:noWrap/>
            <w:tcMar>
              <w:top w:w="15" w:type="dxa"/>
              <w:left w:w="0" w:type="dxa"/>
              <w:bottom w:w="0" w:type="dxa"/>
              <w:right w:w="15" w:type="dxa"/>
            </w:tcMar>
            <w:vAlign w:val="bottom"/>
            <w:hideMark/>
          </w:tcPr>
          <w:p w14:paraId="7673201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39A26E8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77784D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2F30FF3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2,881</w:t>
            </w:r>
          </w:p>
        </w:tc>
        <w:tc>
          <w:tcPr>
            <w:tcW w:w="50" w:type="pct"/>
            <w:shd w:val="clear" w:color="auto" w:fill="CFF0FC"/>
            <w:noWrap/>
            <w:tcMar>
              <w:top w:w="15" w:type="dxa"/>
              <w:left w:w="0" w:type="dxa"/>
              <w:bottom w:w="0" w:type="dxa"/>
              <w:right w:w="15" w:type="dxa"/>
            </w:tcMar>
            <w:vAlign w:val="bottom"/>
            <w:hideMark/>
          </w:tcPr>
          <w:p w14:paraId="05BC58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8490290" w14:textId="77777777">
        <w:trPr>
          <w:divId w:val="1407992881"/>
          <w:jc w:val="center"/>
        </w:trPr>
        <w:tc>
          <w:tcPr>
            <w:tcW w:w="3273" w:type="pct"/>
            <w:shd w:val="clear" w:color="auto" w:fill="FFFFFF"/>
            <w:tcMar>
              <w:top w:w="15" w:type="dxa"/>
              <w:left w:w="0" w:type="dxa"/>
              <w:bottom w:w="0" w:type="dxa"/>
              <w:right w:w="15" w:type="dxa"/>
            </w:tcMar>
            <w:hideMark/>
          </w:tcPr>
          <w:p w14:paraId="61FEBBEE"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Sales and marketing expenses</w:t>
            </w:r>
          </w:p>
        </w:tc>
        <w:tc>
          <w:tcPr>
            <w:tcW w:w="79" w:type="pct"/>
            <w:shd w:val="clear" w:color="auto" w:fill="FFFFFF"/>
            <w:tcMar>
              <w:top w:w="15" w:type="dxa"/>
              <w:left w:w="0" w:type="dxa"/>
              <w:bottom w:w="0" w:type="dxa"/>
              <w:right w:w="15" w:type="dxa"/>
            </w:tcMar>
            <w:vAlign w:val="bottom"/>
            <w:hideMark/>
          </w:tcPr>
          <w:p w14:paraId="047C7BE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6AAB3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4DBF7EC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7,398</w:t>
            </w:r>
          </w:p>
        </w:tc>
        <w:tc>
          <w:tcPr>
            <w:tcW w:w="50" w:type="pct"/>
            <w:shd w:val="clear" w:color="auto" w:fill="FFFFFF"/>
            <w:noWrap/>
            <w:tcMar>
              <w:top w:w="15" w:type="dxa"/>
              <w:left w:w="0" w:type="dxa"/>
              <w:bottom w:w="0" w:type="dxa"/>
              <w:right w:w="15" w:type="dxa"/>
            </w:tcMar>
            <w:vAlign w:val="bottom"/>
            <w:hideMark/>
          </w:tcPr>
          <w:p w14:paraId="466EAB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1EB32AF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A854D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46FC2C8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7,213</w:t>
            </w:r>
          </w:p>
        </w:tc>
        <w:tc>
          <w:tcPr>
            <w:tcW w:w="50" w:type="pct"/>
            <w:shd w:val="clear" w:color="auto" w:fill="FFFFFF"/>
            <w:noWrap/>
            <w:tcMar>
              <w:top w:w="15" w:type="dxa"/>
              <w:left w:w="0" w:type="dxa"/>
              <w:bottom w:w="0" w:type="dxa"/>
              <w:right w:w="15" w:type="dxa"/>
            </w:tcMar>
            <w:vAlign w:val="bottom"/>
            <w:hideMark/>
          </w:tcPr>
          <w:p w14:paraId="534513E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1C187A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22433F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71E9A81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6,770</w:t>
            </w:r>
          </w:p>
        </w:tc>
        <w:tc>
          <w:tcPr>
            <w:tcW w:w="50" w:type="pct"/>
            <w:shd w:val="clear" w:color="auto" w:fill="FFFFFF"/>
            <w:noWrap/>
            <w:tcMar>
              <w:top w:w="15" w:type="dxa"/>
              <w:left w:w="0" w:type="dxa"/>
              <w:bottom w:w="0" w:type="dxa"/>
              <w:right w:w="15" w:type="dxa"/>
            </w:tcMar>
            <w:vAlign w:val="bottom"/>
            <w:hideMark/>
          </w:tcPr>
          <w:p w14:paraId="2BE3ABF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873DCA8" w14:textId="77777777">
        <w:trPr>
          <w:divId w:val="1407992881"/>
          <w:jc w:val="center"/>
        </w:trPr>
        <w:tc>
          <w:tcPr>
            <w:tcW w:w="3273" w:type="pct"/>
            <w:shd w:val="clear" w:color="auto" w:fill="CFF0FC"/>
            <w:tcMar>
              <w:top w:w="15" w:type="dxa"/>
              <w:left w:w="0" w:type="dxa"/>
              <w:bottom w:w="0" w:type="dxa"/>
              <w:right w:w="15" w:type="dxa"/>
            </w:tcMar>
            <w:hideMark/>
          </w:tcPr>
          <w:p w14:paraId="03F4345E"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vertAlign w:val="superscript"/>
              </w:rPr>
              <w:t>(2)</w:t>
            </w:r>
          </w:p>
        </w:tc>
        <w:tc>
          <w:tcPr>
            <w:tcW w:w="79" w:type="pct"/>
            <w:shd w:val="clear" w:color="auto" w:fill="CFF0FC"/>
            <w:tcMar>
              <w:top w:w="15" w:type="dxa"/>
              <w:left w:w="0" w:type="dxa"/>
              <w:bottom w:w="0" w:type="dxa"/>
              <w:right w:w="15" w:type="dxa"/>
            </w:tcMar>
            <w:vAlign w:val="bottom"/>
            <w:hideMark/>
          </w:tcPr>
          <w:p w14:paraId="4A89BCC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11B4AA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0C8D6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21,587</w:t>
            </w:r>
          </w:p>
        </w:tc>
        <w:tc>
          <w:tcPr>
            <w:tcW w:w="50" w:type="pct"/>
            <w:shd w:val="clear" w:color="auto" w:fill="CFF0FC"/>
            <w:noWrap/>
            <w:tcMar>
              <w:top w:w="15" w:type="dxa"/>
              <w:left w:w="0" w:type="dxa"/>
              <w:bottom w:w="0" w:type="dxa"/>
              <w:right w:w="15" w:type="dxa"/>
            </w:tcMar>
            <w:vAlign w:val="bottom"/>
            <w:hideMark/>
          </w:tcPr>
          <w:p w14:paraId="0F99E8B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1E805E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DC3FD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2D69C1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21,387</w:t>
            </w:r>
          </w:p>
        </w:tc>
        <w:tc>
          <w:tcPr>
            <w:tcW w:w="50" w:type="pct"/>
            <w:shd w:val="clear" w:color="auto" w:fill="CFF0FC"/>
            <w:noWrap/>
            <w:tcMar>
              <w:top w:w="15" w:type="dxa"/>
              <w:left w:w="0" w:type="dxa"/>
              <w:bottom w:w="0" w:type="dxa"/>
              <w:right w:w="15" w:type="dxa"/>
            </w:tcMar>
            <w:vAlign w:val="bottom"/>
            <w:hideMark/>
          </w:tcPr>
          <w:p w14:paraId="1E2E3E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6F0D493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BE73D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46E9CB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20,801</w:t>
            </w:r>
          </w:p>
        </w:tc>
        <w:tc>
          <w:tcPr>
            <w:tcW w:w="50" w:type="pct"/>
            <w:shd w:val="clear" w:color="auto" w:fill="CFF0FC"/>
            <w:noWrap/>
            <w:tcMar>
              <w:top w:w="15" w:type="dxa"/>
              <w:left w:w="0" w:type="dxa"/>
              <w:bottom w:w="0" w:type="dxa"/>
              <w:right w:w="15" w:type="dxa"/>
            </w:tcMar>
            <w:vAlign w:val="bottom"/>
            <w:hideMark/>
          </w:tcPr>
          <w:p w14:paraId="227E75A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9D0EC68" w14:textId="77777777">
        <w:trPr>
          <w:divId w:val="1407992881"/>
          <w:jc w:val="center"/>
        </w:trPr>
        <w:tc>
          <w:tcPr>
            <w:tcW w:w="3273" w:type="pct"/>
            <w:shd w:val="clear" w:color="auto" w:fill="FFFFFF"/>
            <w:tcMar>
              <w:top w:w="15" w:type="dxa"/>
              <w:left w:w="0" w:type="dxa"/>
              <w:bottom w:w="0" w:type="dxa"/>
              <w:right w:w="15" w:type="dxa"/>
            </w:tcMar>
            <w:hideMark/>
          </w:tcPr>
          <w:p w14:paraId="3FE50F3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Hardware:</w:t>
            </w:r>
          </w:p>
        </w:tc>
        <w:tc>
          <w:tcPr>
            <w:tcW w:w="79" w:type="pct"/>
            <w:shd w:val="clear" w:color="auto" w:fill="FFFFFF"/>
            <w:tcMar>
              <w:top w:w="15" w:type="dxa"/>
              <w:left w:w="0" w:type="dxa"/>
              <w:bottom w:w="0" w:type="dxa"/>
              <w:right w:w="15" w:type="dxa"/>
            </w:tcMar>
            <w:vAlign w:val="bottom"/>
            <w:hideMark/>
          </w:tcPr>
          <w:p w14:paraId="5184B5C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B3F3BA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FFFFFF"/>
            <w:noWrap/>
            <w:tcMar>
              <w:top w:w="15" w:type="dxa"/>
              <w:left w:w="0" w:type="dxa"/>
              <w:bottom w:w="0" w:type="dxa"/>
              <w:right w:w="15" w:type="dxa"/>
            </w:tcMar>
            <w:vAlign w:val="bottom"/>
            <w:hideMark/>
          </w:tcPr>
          <w:p w14:paraId="73DF9E9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4D451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40431BE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9925E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FFFFFF"/>
            <w:noWrap/>
            <w:tcMar>
              <w:top w:w="15" w:type="dxa"/>
              <w:left w:w="0" w:type="dxa"/>
              <w:bottom w:w="0" w:type="dxa"/>
              <w:right w:w="15" w:type="dxa"/>
            </w:tcMar>
            <w:vAlign w:val="bottom"/>
            <w:hideMark/>
          </w:tcPr>
          <w:p w14:paraId="2F2F49E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433F93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18EB9C7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1DDC4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FFFFFF"/>
            <w:noWrap/>
            <w:tcMar>
              <w:top w:w="15" w:type="dxa"/>
              <w:left w:w="0" w:type="dxa"/>
              <w:bottom w:w="0" w:type="dxa"/>
              <w:right w:w="15" w:type="dxa"/>
            </w:tcMar>
            <w:vAlign w:val="bottom"/>
            <w:hideMark/>
          </w:tcPr>
          <w:p w14:paraId="53D5368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599013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2DDB572" w14:textId="77777777">
        <w:trPr>
          <w:divId w:val="1407992881"/>
          <w:jc w:val="center"/>
        </w:trPr>
        <w:tc>
          <w:tcPr>
            <w:tcW w:w="3273" w:type="pct"/>
            <w:shd w:val="clear" w:color="auto" w:fill="CFF0FC"/>
            <w:tcMar>
              <w:top w:w="15" w:type="dxa"/>
              <w:left w:w="0" w:type="dxa"/>
              <w:bottom w:w="0" w:type="dxa"/>
              <w:right w:w="15" w:type="dxa"/>
            </w:tcMar>
            <w:hideMark/>
          </w:tcPr>
          <w:p w14:paraId="6F0A1F8E"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Revenues</w:t>
            </w:r>
          </w:p>
        </w:tc>
        <w:tc>
          <w:tcPr>
            <w:tcW w:w="79" w:type="pct"/>
            <w:shd w:val="clear" w:color="auto" w:fill="CFF0FC"/>
            <w:tcMar>
              <w:top w:w="15" w:type="dxa"/>
              <w:left w:w="0" w:type="dxa"/>
              <w:bottom w:w="0" w:type="dxa"/>
              <w:right w:w="15" w:type="dxa"/>
            </w:tcMar>
            <w:vAlign w:val="bottom"/>
            <w:hideMark/>
          </w:tcPr>
          <w:p w14:paraId="726979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35D97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CFF0FC"/>
            <w:noWrap/>
            <w:tcMar>
              <w:top w:w="15" w:type="dxa"/>
              <w:left w:w="0" w:type="dxa"/>
              <w:bottom w:w="0" w:type="dxa"/>
              <w:right w:w="15" w:type="dxa"/>
            </w:tcMar>
            <w:vAlign w:val="bottom"/>
            <w:hideMark/>
          </w:tcPr>
          <w:p w14:paraId="4885BD0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3,704</w:t>
            </w:r>
          </w:p>
        </w:tc>
        <w:tc>
          <w:tcPr>
            <w:tcW w:w="50" w:type="pct"/>
            <w:shd w:val="clear" w:color="auto" w:fill="CFF0FC"/>
            <w:noWrap/>
            <w:tcMar>
              <w:top w:w="15" w:type="dxa"/>
              <w:left w:w="0" w:type="dxa"/>
              <w:bottom w:w="0" w:type="dxa"/>
              <w:right w:w="15" w:type="dxa"/>
            </w:tcMar>
            <w:vAlign w:val="bottom"/>
            <w:hideMark/>
          </w:tcPr>
          <w:p w14:paraId="4DB0BBD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1023C15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6BDC97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CFF0FC"/>
            <w:noWrap/>
            <w:tcMar>
              <w:top w:w="15" w:type="dxa"/>
              <w:left w:w="0" w:type="dxa"/>
              <w:bottom w:w="0" w:type="dxa"/>
              <w:right w:w="15" w:type="dxa"/>
            </w:tcMar>
            <w:vAlign w:val="bottom"/>
            <w:hideMark/>
          </w:tcPr>
          <w:p w14:paraId="79E72C1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3,994</w:t>
            </w:r>
          </w:p>
        </w:tc>
        <w:tc>
          <w:tcPr>
            <w:tcW w:w="50" w:type="pct"/>
            <w:shd w:val="clear" w:color="auto" w:fill="CFF0FC"/>
            <w:noWrap/>
            <w:tcMar>
              <w:top w:w="15" w:type="dxa"/>
              <w:left w:w="0" w:type="dxa"/>
              <w:bottom w:w="0" w:type="dxa"/>
              <w:right w:w="15" w:type="dxa"/>
            </w:tcMar>
            <w:vAlign w:val="bottom"/>
            <w:hideMark/>
          </w:tcPr>
          <w:p w14:paraId="3493D90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26F9DDD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AC0B4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CFF0FC"/>
            <w:noWrap/>
            <w:tcMar>
              <w:top w:w="15" w:type="dxa"/>
              <w:left w:w="0" w:type="dxa"/>
              <w:bottom w:w="0" w:type="dxa"/>
              <w:right w:w="15" w:type="dxa"/>
            </w:tcMar>
            <w:vAlign w:val="bottom"/>
            <w:hideMark/>
          </w:tcPr>
          <w:p w14:paraId="2DE44C8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4,152</w:t>
            </w:r>
          </w:p>
        </w:tc>
        <w:tc>
          <w:tcPr>
            <w:tcW w:w="50" w:type="pct"/>
            <w:shd w:val="clear" w:color="auto" w:fill="CFF0FC"/>
            <w:noWrap/>
            <w:tcMar>
              <w:top w:w="15" w:type="dxa"/>
              <w:left w:w="0" w:type="dxa"/>
              <w:bottom w:w="0" w:type="dxa"/>
              <w:right w:w="15" w:type="dxa"/>
            </w:tcMar>
            <w:vAlign w:val="bottom"/>
            <w:hideMark/>
          </w:tcPr>
          <w:p w14:paraId="2A5891C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52BF21E" w14:textId="77777777">
        <w:trPr>
          <w:divId w:val="1407992881"/>
          <w:jc w:val="center"/>
        </w:trPr>
        <w:tc>
          <w:tcPr>
            <w:tcW w:w="3273" w:type="pct"/>
            <w:shd w:val="clear" w:color="auto" w:fill="FFFFFF"/>
            <w:tcMar>
              <w:top w:w="15" w:type="dxa"/>
              <w:left w:w="0" w:type="dxa"/>
              <w:bottom w:w="0" w:type="dxa"/>
              <w:right w:w="15" w:type="dxa"/>
            </w:tcMar>
            <w:hideMark/>
          </w:tcPr>
          <w:p w14:paraId="2E869FB2"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Hardware products and support expenses</w:t>
            </w:r>
          </w:p>
        </w:tc>
        <w:tc>
          <w:tcPr>
            <w:tcW w:w="79" w:type="pct"/>
            <w:shd w:val="clear" w:color="auto" w:fill="FFFFFF"/>
            <w:tcMar>
              <w:top w:w="15" w:type="dxa"/>
              <w:left w:w="0" w:type="dxa"/>
              <w:bottom w:w="0" w:type="dxa"/>
              <w:right w:w="15" w:type="dxa"/>
            </w:tcMar>
            <w:vAlign w:val="bottom"/>
            <w:hideMark/>
          </w:tcPr>
          <w:p w14:paraId="7DA93B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06A83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7133380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1,327</w:t>
            </w:r>
          </w:p>
        </w:tc>
        <w:tc>
          <w:tcPr>
            <w:tcW w:w="50" w:type="pct"/>
            <w:shd w:val="clear" w:color="auto" w:fill="FFFFFF"/>
            <w:noWrap/>
            <w:tcMar>
              <w:top w:w="15" w:type="dxa"/>
              <w:left w:w="0" w:type="dxa"/>
              <w:bottom w:w="0" w:type="dxa"/>
              <w:right w:w="15" w:type="dxa"/>
            </w:tcMar>
            <w:vAlign w:val="bottom"/>
            <w:hideMark/>
          </w:tcPr>
          <w:p w14:paraId="54FA6E3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26631B0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0FEC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54E53D8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1,547</w:t>
            </w:r>
          </w:p>
        </w:tc>
        <w:tc>
          <w:tcPr>
            <w:tcW w:w="50" w:type="pct"/>
            <w:shd w:val="clear" w:color="auto" w:fill="FFFFFF"/>
            <w:noWrap/>
            <w:tcMar>
              <w:top w:w="15" w:type="dxa"/>
              <w:left w:w="0" w:type="dxa"/>
              <w:bottom w:w="0" w:type="dxa"/>
              <w:right w:w="15" w:type="dxa"/>
            </w:tcMar>
            <w:vAlign w:val="bottom"/>
            <w:hideMark/>
          </w:tcPr>
          <w:p w14:paraId="7975B46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339626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23FF80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0B1AFCD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1,618</w:t>
            </w:r>
          </w:p>
        </w:tc>
        <w:tc>
          <w:tcPr>
            <w:tcW w:w="50" w:type="pct"/>
            <w:shd w:val="clear" w:color="auto" w:fill="FFFFFF"/>
            <w:noWrap/>
            <w:tcMar>
              <w:top w:w="15" w:type="dxa"/>
              <w:left w:w="0" w:type="dxa"/>
              <w:bottom w:w="0" w:type="dxa"/>
              <w:right w:w="15" w:type="dxa"/>
            </w:tcMar>
            <w:vAlign w:val="bottom"/>
            <w:hideMark/>
          </w:tcPr>
          <w:p w14:paraId="256169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E698267" w14:textId="77777777">
        <w:trPr>
          <w:divId w:val="1407992881"/>
          <w:jc w:val="center"/>
        </w:trPr>
        <w:tc>
          <w:tcPr>
            <w:tcW w:w="3273" w:type="pct"/>
            <w:shd w:val="clear" w:color="auto" w:fill="CFF0FC"/>
            <w:tcMar>
              <w:top w:w="15" w:type="dxa"/>
              <w:left w:w="0" w:type="dxa"/>
              <w:bottom w:w="0" w:type="dxa"/>
              <w:right w:w="15" w:type="dxa"/>
            </w:tcMar>
            <w:hideMark/>
          </w:tcPr>
          <w:p w14:paraId="21F42F42"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Sales and marketing expenses</w:t>
            </w:r>
          </w:p>
        </w:tc>
        <w:tc>
          <w:tcPr>
            <w:tcW w:w="79" w:type="pct"/>
            <w:shd w:val="clear" w:color="auto" w:fill="CFF0FC"/>
            <w:tcMar>
              <w:top w:w="15" w:type="dxa"/>
              <w:left w:w="0" w:type="dxa"/>
              <w:bottom w:w="0" w:type="dxa"/>
              <w:right w:w="15" w:type="dxa"/>
            </w:tcMar>
            <w:vAlign w:val="bottom"/>
            <w:hideMark/>
          </w:tcPr>
          <w:p w14:paraId="2FC5BFF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61F0B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585BBC9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520</w:t>
            </w:r>
          </w:p>
        </w:tc>
        <w:tc>
          <w:tcPr>
            <w:tcW w:w="50" w:type="pct"/>
            <w:shd w:val="clear" w:color="auto" w:fill="CFF0FC"/>
            <w:noWrap/>
            <w:tcMar>
              <w:top w:w="15" w:type="dxa"/>
              <w:left w:w="0" w:type="dxa"/>
              <w:bottom w:w="0" w:type="dxa"/>
              <w:right w:w="15" w:type="dxa"/>
            </w:tcMar>
            <w:vAlign w:val="bottom"/>
            <w:hideMark/>
          </w:tcPr>
          <w:p w14:paraId="525E1A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7F1A964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A04F48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6B2659F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643</w:t>
            </w:r>
          </w:p>
        </w:tc>
        <w:tc>
          <w:tcPr>
            <w:tcW w:w="50" w:type="pct"/>
            <w:shd w:val="clear" w:color="auto" w:fill="CFF0FC"/>
            <w:noWrap/>
            <w:tcMar>
              <w:top w:w="15" w:type="dxa"/>
              <w:left w:w="0" w:type="dxa"/>
              <w:bottom w:w="0" w:type="dxa"/>
              <w:right w:w="15" w:type="dxa"/>
            </w:tcMar>
            <w:vAlign w:val="bottom"/>
            <w:hideMark/>
          </w:tcPr>
          <w:p w14:paraId="3956B1B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4DECE13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389FBF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2F93F08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825</w:t>
            </w:r>
          </w:p>
        </w:tc>
        <w:tc>
          <w:tcPr>
            <w:tcW w:w="50" w:type="pct"/>
            <w:shd w:val="clear" w:color="auto" w:fill="CFF0FC"/>
            <w:noWrap/>
            <w:tcMar>
              <w:top w:w="15" w:type="dxa"/>
              <w:left w:w="0" w:type="dxa"/>
              <w:bottom w:w="0" w:type="dxa"/>
              <w:right w:w="15" w:type="dxa"/>
            </w:tcMar>
            <w:vAlign w:val="bottom"/>
            <w:hideMark/>
          </w:tcPr>
          <w:p w14:paraId="597FFF1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0B6C464" w14:textId="77777777">
        <w:trPr>
          <w:divId w:val="1407992881"/>
          <w:jc w:val="center"/>
        </w:trPr>
        <w:tc>
          <w:tcPr>
            <w:tcW w:w="3273" w:type="pct"/>
            <w:shd w:val="clear" w:color="auto" w:fill="FFFFFF"/>
            <w:tcMar>
              <w:top w:w="15" w:type="dxa"/>
              <w:left w:w="0" w:type="dxa"/>
              <w:bottom w:w="0" w:type="dxa"/>
              <w:right w:w="15" w:type="dxa"/>
            </w:tcMar>
            <w:hideMark/>
          </w:tcPr>
          <w:p w14:paraId="50BC5E9E"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vertAlign w:val="superscript"/>
              </w:rPr>
              <w:t>(2)</w:t>
            </w:r>
          </w:p>
        </w:tc>
        <w:tc>
          <w:tcPr>
            <w:tcW w:w="79" w:type="pct"/>
            <w:shd w:val="clear" w:color="auto" w:fill="FFFFFF"/>
            <w:tcMar>
              <w:top w:w="15" w:type="dxa"/>
              <w:left w:w="0" w:type="dxa"/>
              <w:bottom w:w="0" w:type="dxa"/>
              <w:right w:w="15" w:type="dxa"/>
            </w:tcMar>
            <w:vAlign w:val="bottom"/>
            <w:hideMark/>
          </w:tcPr>
          <w:p w14:paraId="6586ABE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A7D112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B0828B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1,857</w:t>
            </w:r>
          </w:p>
        </w:tc>
        <w:tc>
          <w:tcPr>
            <w:tcW w:w="50" w:type="pct"/>
            <w:shd w:val="clear" w:color="auto" w:fill="FFFFFF"/>
            <w:noWrap/>
            <w:tcMar>
              <w:top w:w="15" w:type="dxa"/>
              <w:left w:w="0" w:type="dxa"/>
              <w:bottom w:w="0" w:type="dxa"/>
              <w:right w:w="15" w:type="dxa"/>
            </w:tcMar>
            <w:vAlign w:val="bottom"/>
            <w:hideMark/>
          </w:tcPr>
          <w:p w14:paraId="730FA23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39CF03B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5CED8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B49105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1,804</w:t>
            </w:r>
          </w:p>
        </w:tc>
        <w:tc>
          <w:tcPr>
            <w:tcW w:w="50" w:type="pct"/>
            <w:shd w:val="clear" w:color="auto" w:fill="FFFFFF"/>
            <w:noWrap/>
            <w:tcMar>
              <w:top w:w="15" w:type="dxa"/>
              <w:left w:w="0" w:type="dxa"/>
              <w:bottom w:w="0" w:type="dxa"/>
              <w:right w:w="15" w:type="dxa"/>
            </w:tcMar>
            <w:vAlign w:val="bottom"/>
            <w:hideMark/>
          </w:tcPr>
          <w:p w14:paraId="3D05B8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1F94EA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F0111A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70F9A5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1,709</w:t>
            </w:r>
          </w:p>
        </w:tc>
        <w:tc>
          <w:tcPr>
            <w:tcW w:w="50" w:type="pct"/>
            <w:shd w:val="clear" w:color="auto" w:fill="FFFFFF"/>
            <w:noWrap/>
            <w:tcMar>
              <w:top w:w="15" w:type="dxa"/>
              <w:left w:w="0" w:type="dxa"/>
              <w:bottom w:w="0" w:type="dxa"/>
              <w:right w:w="15" w:type="dxa"/>
            </w:tcMar>
            <w:vAlign w:val="bottom"/>
            <w:hideMark/>
          </w:tcPr>
          <w:p w14:paraId="0CA212C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A878014" w14:textId="77777777">
        <w:trPr>
          <w:divId w:val="1407992881"/>
          <w:jc w:val="center"/>
        </w:trPr>
        <w:tc>
          <w:tcPr>
            <w:tcW w:w="3273" w:type="pct"/>
            <w:shd w:val="clear" w:color="auto" w:fill="CFF0FC"/>
            <w:tcMar>
              <w:top w:w="15" w:type="dxa"/>
              <w:left w:w="0" w:type="dxa"/>
              <w:bottom w:w="0" w:type="dxa"/>
              <w:right w:w="15" w:type="dxa"/>
            </w:tcMar>
            <w:hideMark/>
          </w:tcPr>
          <w:p w14:paraId="3E990C5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Services:</w:t>
            </w:r>
          </w:p>
        </w:tc>
        <w:tc>
          <w:tcPr>
            <w:tcW w:w="79" w:type="pct"/>
            <w:shd w:val="clear" w:color="auto" w:fill="CFF0FC"/>
            <w:tcMar>
              <w:top w:w="15" w:type="dxa"/>
              <w:left w:w="0" w:type="dxa"/>
              <w:bottom w:w="0" w:type="dxa"/>
              <w:right w:w="15" w:type="dxa"/>
            </w:tcMar>
            <w:vAlign w:val="bottom"/>
            <w:hideMark/>
          </w:tcPr>
          <w:p w14:paraId="107B418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38E46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64321C5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1754E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3C5187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B8BB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2FEABE9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B9DE37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532D4DA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C0934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581D85A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F9DF9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70E11131" w14:textId="77777777">
        <w:trPr>
          <w:divId w:val="1407992881"/>
          <w:jc w:val="center"/>
        </w:trPr>
        <w:tc>
          <w:tcPr>
            <w:tcW w:w="3273" w:type="pct"/>
            <w:shd w:val="clear" w:color="auto" w:fill="FFFFFF"/>
            <w:tcMar>
              <w:top w:w="15" w:type="dxa"/>
              <w:left w:w="0" w:type="dxa"/>
              <w:bottom w:w="0" w:type="dxa"/>
              <w:right w:w="15" w:type="dxa"/>
            </w:tcMar>
            <w:hideMark/>
          </w:tcPr>
          <w:p w14:paraId="6B497593"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Revenues</w:t>
            </w:r>
          </w:p>
        </w:tc>
        <w:tc>
          <w:tcPr>
            <w:tcW w:w="79" w:type="pct"/>
            <w:shd w:val="clear" w:color="auto" w:fill="FFFFFF"/>
            <w:tcMar>
              <w:top w:w="15" w:type="dxa"/>
              <w:left w:w="0" w:type="dxa"/>
              <w:bottom w:w="0" w:type="dxa"/>
              <w:right w:w="15" w:type="dxa"/>
            </w:tcMar>
            <w:vAlign w:val="bottom"/>
            <w:hideMark/>
          </w:tcPr>
          <w:p w14:paraId="7C30815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BDEA0A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56C6DDF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3,240</w:t>
            </w:r>
          </w:p>
        </w:tc>
        <w:tc>
          <w:tcPr>
            <w:tcW w:w="50" w:type="pct"/>
            <w:shd w:val="clear" w:color="auto" w:fill="FFFFFF"/>
            <w:noWrap/>
            <w:tcMar>
              <w:top w:w="15" w:type="dxa"/>
              <w:left w:w="0" w:type="dxa"/>
              <w:bottom w:w="0" w:type="dxa"/>
              <w:right w:w="15" w:type="dxa"/>
            </w:tcMar>
            <w:vAlign w:val="bottom"/>
            <w:hideMark/>
          </w:tcPr>
          <w:p w14:paraId="263F4EB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65BA819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0B4F6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2FF22DC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3,395</w:t>
            </w:r>
          </w:p>
        </w:tc>
        <w:tc>
          <w:tcPr>
            <w:tcW w:w="50" w:type="pct"/>
            <w:shd w:val="clear" w:color="auto" w:fill="FFFFFF"/>
            <w:noWrap/>
            <w:tcMar>
              <w:top w:w="15" w:type="dxa"/>
              <w:left w:w="0" w:type="dxa"/>
              <w:bottom w:w="0" w:type="dxa"/>
              <w:right w:w="15" w:type="dxa"/>
            </w:tcMar>
            <w:vAlign w:val="bottom"/>
            <w:hideMark/>
          </w:tcPr>
          <w:p w14:paraId="78D34C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5D1DC0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96BCF1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17F3A53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3,359</w:t>
            </w:r>
          </w:p>
        </w:tc>
        <w:tc>
          <w:tcPr>
            <w:tcW w:w="50" w:type="pct"/>
            <w:shd w:val="clear" w:color="auto" w:fill="FFFFFF"/>
            <w:noWrap/>
            <w:tcMar>
              <w:top w:w="15" w:type="dxa"/>
              <w:left w:w="0" w:type="dxa"/>
              <w:bottom w:w="0" w:type="dxa"/>
              <w:right w:w="15" w:type="dxa"/>
            </w:tcMar>
            <w:vAlign w:val="bottom"/>
            <w:hideMark/>
          </w:tcPr>
          <w:p w14:paraId="79168B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03C6535" w14:textId="77777777">
        <w:trPr>
          <w:divId w:val="1407992881"/>
          <w:jc w:val="center"/>
        </w:trPr>
        <w:tc>
          <w:tcPr>
            <w:tcW w:w="3273" w:type="pct"/>
            <w:shd w:val="clear" w:color="auto" w:fill="CFF0FC"/>
            <w:tcMar>
              <w:top w:w="15" w:type="dxa"/>
              <w:left w:w="0" w:type="dxa"/>
              <w:bottom w:w="0" w:type="dxa"/>
              <w:right w:w="15" w:type="dxa"/>
            </w:tcMar>
            <w:hideMark/>
          </w:tcPr>
          <w:p w14:paraId="055D69BC"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Services expenses</w:t>
            </w:r>
          </w:p>
        </w:tc>
        <w:tc>
          <w:tcPr>
            <w:tcW w:w="79" w:type="pct"/>
            <w:shd w:val="clear" w:color="auto" w:fill="CFF0FC"/>
            <w:tcMar>
              <w:top w:w="15" w:type="dxa"/>
              <w:left w:w="0" w:type="dxa"/>
              <w:bottom w:w="0" w:type="dxa"/>
              <w:right w:w="15" w:type="dxa"/>
            </w:tcMar>
            <w:vAlign w:val="bottom"/>
            <w:hideMark/>
          </w:tcPr>
          <w:p w14:paraId="6BADF82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C17075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6A80FCD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2,703</w:t>
            </w:r>
          </w:p>
        </w:tc>
        <w:tc>
          <w:tcPr>
            <w:tcW w:w="50" w:type="pct"/>
            <w:shd w:val="clear" w:color="auto" w:fill="CFF0FC"/>
            <w:noWrap/>
            <w:tcMar>
              <w:top w:w="15" w:type="dxa"/>
              <w:left w:w="0" w:type="dxa"/>
              <w:bottom w:w="0" w:type="dxa"/>
              <w:right w:w="15" w:type="dxa"/>
            </w:tcMar>
            <w:vAlign w:val="bottom"/>
            <w:hideMark/>
          </w:tcPr>
          <w:p w14:paraId="7171212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1C115C2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108808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1E36D43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2,729</w:t>
            </w:r>
          </w:p>
        </w:tc>
        <w:tc>
          <w:tcPr>
            <w:tcW w:w="50" w:type="pct"/>
            <w:shd w:val="clear" w:color="auto" w:fill="CFF0FC"/>
            <w:noWrap/>
            <w:tcMar>
              <w:top w:w="15" w:type="dxa"/>
              <w:left w:w="0" w:type="dxa"/>
              <w:bottom w:w="0" w:type="dxa"/>
              <w:right w:w="15" w:type="dxa"/>
            </w:tcMar>
            <w:vAlign w:val="bottom"/>
            <w:hideMark/>
          </w:tcPr>
          <w:p w14:paraId="3879204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19D7D76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8703AB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5488D78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2,661</w:t>
            </w:r>
          </w:p>
        </w:tc>
        <w:tc>
          <w:tcPr>
            <w:tcW w:w="50" w:type="pct"/>
            <w:shd w:val="clear" w:color="auto" w:fill="CFF0FC"/>
            <w:noWrap/>
            <w:tcMar>
              <w:top w:w="15" w:type="dxa"/>
              <w:left w:w="0" w:type="dxa"/>
              <w:bottom w:w="0" w:type="dxa"/>
              <w:right w:w="15" w:type="dxa"/>
            </w:tcMar>
            <w:vAlign w:val="bottom"/>
            <w:hideMark/>
          </w:tcPr>
          <w:p w14:paraId="20C0D1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8CED526" w14:textId="77777777">
        <w:trPr>
          <w:divId w:val="1407992881"/>
          <w:jc w:val="center"/>
        </w:trPr>
        <w:tc>
          <w:tcPr>
            <w:tcW w:w="3273" w:type="pct"/>
            <w:shd w:val="clear" w:color="auto" w:fill="FFFFFF"/>
            <w:tcMar>
              <w:top w:w="15" w:type="dxa"/>
              <w:left w:w="0" w:type="dxa"/>
              <w:bottom w:w="0" w:type="dxa"/>
              <w:right w:w="15" w:type="dxa"/>
            </w:tcMar>
            <w:hideMark/>
          </w:tcPr>
          <w:p w14:paraId="480378A5"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vertAlign w:val="superscript"/>
              </w:rPr>
              <w:t>(2)</w:t>
            </w:r>
          </w:p>
        </w:tc>
        <w:tc>
          <w:tcPr>
            <w:tcW w:w="79" w:type="pct"/>
            <w:shd w:val="clear" w:color="auto" w:fill="FFFFFF"/>
            <w:tcMar>
              <w:top w:w="15" w:type="dxa"/>
              <w:left w:w="0" w:type="dxa"/>
              <w:bottom w:w="0" w:type="dxa"/>
              <w:right w:w="15" w:type="dxa"/>
            </w:tcMar>
            <w:vAlign w:val="bottom"/>
            <w:hideMark/>
          </w:tcPr>
          <w:p w14:paraId="48383C5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6FACC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742FEB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537</w:t>
            </w:r>
          </w:p>
        </w:tc>
        <w:tc>
          <w:tcPr>
            <w:tcW w:w="50" w:type="pct"/>
            <w:shd w:val="clear" w:color="auto" w:fill="FFFFFF"/>
            <w:noWrap/>
            <w:tcMar>
              <w:top w:w="15" w:type="dxa"/>
              <w:left w:w="0" w:type="dxa"/>
              <w:bottom w:w="0" w:type="dxa"/>
              <w:right w:w="15" w:type="dxa"/>
            </w:tcMar>
            <w:vAlign w:val="bottom"/>
            <w:hideMark/>
          </w:tcPr>
          <w:p w14:paraId="7033935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05A7718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3BB1F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CB3B0E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666</w:t>
            </w:r>
          </w:p>
        </w:tc>
        <w:tc>
          <w:tcPr>
            <w:tcW w:w="50" w:type="pct"/>
            <w:shd w:val="clear" w:color="auto" w:fill="FFFFFF"/>
            <w:noWrap/>
            <w:tcMar>
              <w:top w:w="15" w:type="dxa"/>
              <w:left w:w="0" w:type="dxa"/>
              <w:bottom w:w="0" w:type="dxa"/>
              <w:right w:w="15" w:type="dxa"/>
            </w:tcMar>
            <w:vAlign w:val="bottom"/>
            <w:hideMark/>
          </w:tcPr>
          <w:p w14:paraId="5496C4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37096E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FE1FA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B4FEE3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698</w:t>
            </w:r>
          </w:p>
        </w:tc>
        <w:tc>
          <w:tcPr>
            <w:tcW w:w="50" w:type="pct"/>
            <w:shd w:val="clear" w:color="auto" w:fill="FFFFFF"/>
            <w:noWrap/>
            <w:tcMar>
              <w:top w:w="15" w:type="dxa"/>
              <w:left w:w="0" w:type="dxa"/>
              <w:bottom w:w="0" w:type="dxa"/>
              <w:right w:w="15" w:type="dxa"/>
            </w:tcMar>
            <w:vAlign w:val="bottom"/>
            <w:hideMark/>
          </w:tcPr>
          <w:p w14:paraId="6472F28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C85DC06" w14:textId="77777777">
        <w:trPr>
          <w:divId w:val="1407992881"/>
          <w:jc w:val="center"/>
        </w:trPr>
        <w:tc>
          <w:tcPr>
            <w:tcW w:w="3273" w:type="pct"/>
            <w:shd w:val="clear" w:color="auto" w:fill="CFF0FC"/>
            <w:tcMar>
              <w:top w:w="15" w:type="dxa"/>
              <w:left w:w="0" w:type="dxa"/>
              <w:bottom w:w="0" w:type="dxa"/>
              <w:right w:w="15" w:type="dxa"/>
            </w:tcMar>
            <w:hideMark/>
          </w:tcPr>
          <w:p w14:paraId="21D3DDCF" w14:textId="77777777" w:rsidR="00251D72" w:rsidRDefault="00251D72">
            <w:pPr>
              <w:pStyle w:val="a3"/>
              <w:spacing w:before="0" w:beforeAutospacing="0" w:after="0" w:afterAutospacing="0"/>
              <w:ind w:left="821"/>
              <w:rPr>
                <w:rFonts w:ascii="Calibri" w:hAnsi="Calibri" w:cs="Calibri"/>
                <w:color w:val="000000"/>
                <w:sz w:val="18"/>
                <w:szCs w:val="18"/>
              </w:rPr>
            </w:pPr>
            <w:r>
              <w:rPr>
                <w:rFonts w:ascii="Calibri" w:hAnsi="Calibri" w:cs="Calibri"/>
                <w:color w:val="000000"/>
                <w:sz w:val="18"/>
                <w:szCs w:val="18"/>
              </w:rPr>
              <w:t>Totals:</w:t>
            </w:r>
          </w:p>
        </w:tc>
        <w:tc>
          <w:tcPr>
            <w:tcW w:w="79" w:type="pct"/>
            <w:shd w:val="clear" w:color="auto" w:fill="CFF0FC"/>
            <w:tcMar>
              <w:top w:w="15" w:type="dxa"/>
              <w:left w:w="0" w:type="dxa"/>
              <w:bottom w:w="0" w:type="dxa"/>
              <w:right w:w="15" w:type="dxa"/>
            </w:tcMar>
            <w:vAlign w:val="bottom"/>
            <w:hideMark/>
          </w:tcPr>
          <w:p w14:paraId="57F1213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9445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4B2ABAA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148515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0E65764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7795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37B9C32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C8114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2EF1B31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971224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543D916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8FF12E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9992B79" w14:textId="77777777">
        <w:trPr>
          <w:divId w:val="1407992881"/>
          <w:jc w:val="center"/>
        </w:trPr>
        <w:tc>
          <w:tcPr>
            <w:tcW w:w="3273" w:type="pct"/>
            <w:shd w:val="clear" w:color="auto" w:fill="FFFFFF"/>
            <w:tcMar>
              <w:top w:w="15" w:type="dxa"/>
              <w:left w:w="0" w:type="dxa"/>
              <w:bottom w:w="0" w:type="dxa"/>
              <w:right w:w="15" w:type="dxa"/>
            </w:tcMar>
            <w:hideMark/>
          </w:tcPr>
          <w:p w14:paraId="4656A86C" w14:textId="77777777" w:rsidR="00251D72" w:rsidRDefault="00251D72">
            <w:pPr>
              <w:pStyle w:val="a3"/>
              <w:spacing w:before="0" w:beforeAutospacing="0" w:after="0" w:afterAutospacing="0"/>
              <w:ind w:left="1231"/>
              <w:rPr>
                <w:rFonts w:ascii="Calibri" w:hAnsi="Calibri" w:cs="Calibri"/>
                <w:color w:val="000000"/>
                <w:sz w:val="18"/>
                <w:szCs w:val="18"/>
              </w:rPr>
            </w:pPr>
            <w:r>
              <w:rPr>
                <w:rFonts w:ascii="Calibri" w:hAnsi="Calibri" w:cs="Calibri"/>
                <w:color w:val="000000"/>
                <w:sz w:val="18"/>
                <w:szCs w:val="18"/>
              </w:rPr>
              <w:t>Revenues</w:t>
            </w:r>
            <w:r>
              <w:rPr>
                <w:rFonts w:ascii="Calibri" w:hAnsi="Calibri" w:cs="Calibri"/>
                <w:color w:val="000000"/>
                <w:sz w:val="15"/>
                <w:szCs w:val="15"/>
                <w:vertAlign w:val="superscript"/>
              </w:rPr>
              <w:t>(1)</w:t>
            </w:r>
          </w:p>
        </w:tc>
        <w:tc>
          <w:tcPr>
            <w:tcW w:w="79" w:type="pct"/>
            <w:shd w:val="clear" w:color="auto" w:fill="FFFFFF"/>
            <w:tcMar>
              <w:top w:w="15" w:type="dxa"/>
              <w:left w:w="0" w:type="dxa"/>
              <w:bottom w:w="0" w:type="dxa"/>
              <w:right w:w="15" w:type="dxa"/>
            </w:tcMar>
            <w:vAlign w:val="bottom"/>
            <w:hideMark/>
          </w:tcPr>
          <w:p w14:paraId="058813B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068730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521275F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39,526</w:t>
            </w:r>
          </w:p>
        </w:tc>
        <w:tc>
          <w:tcPr>
            <w:tcW w:w="50" w:type="pct"/>
            <w:shd w:val="clear" w:color="auto" w:fill="FFFFFF"/>
            <w:noWrap/>
            <w:tcMar>
              <w:top w:w="15" w:type="dxa"/>
              <w:left w:w="0" w:type="dxa"/>
              <w:bottom w:w="0" w:type="dxa"/>
              <w:right w:w="15" w:type="dxa"/>
            </w:tcMar>
            <w:vAlign w:val="bottom"/>
            <w:hideMark/>
          </w:tcPr>
          <w:p w14:paraId="294460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3F26562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C2DD5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1AB1688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39,430</w:t>
            </w:r>
          </w:p>
        </w:tc>
        <w:tc>
          <w:tcPr>
            <w:tcW w:w="50" w:type="pct"/>
            <w:shd w:val="clear" w:color="auto" w:fill="FFFFFF"/>
            <w:noWrap/>
            <w:tcMar>
              <w:top w:w="15" w:type="dxa"/>
              <w:left w:w="0" w:type="dxa"/>
              <w:bottom w:w="0" w:type="dxa"/>
              <w:right w:w="15" w:type="dxa"/>
            </w:tcMar>
            <w:vAlign w:val="bottom"/>
            <w:hideMark/>
          </w:tcPr>
          <w:p w14:paraId="230315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4853F44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7CFE79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5DF47FD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37,963</w:t>
            </w:r>
          </w:p>
        </w:tc>
        <w:tc>
          <w:tcPr>
            <w:tcW w:w="50" w:type="pct"/>
            <w:shd w:val="clear" w:color="auto" w:fill="FFFFFF"/>
            <w:noWrap/>
            <w:tcMar>
              <w:top w:w="15" w:type="dxa"/>
              <w:left w:w="0" w:type="dxa"/>
              <w:bottom w:w="0" w:type="dxa"/>
              <w:right w:w="15" w:type="dxa"/>
            </w:tcMar>
            <w:vAlign w:val="bottom"/>
            <w:hideMark/>
          </w:tcPr>
          <w:p w14:paraId="07D9623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84F34C4" w14:textId="77777777">
        <w:trPr>
          <w:divId w:val="1407992881"/>
          <w:jc w:val="center"/>
        </w:trPr>
        <w:tc>
          <w:tcPr>
            <w:tcW w:w="3273" w:type="pct"/>
            <w:shd w:val="clear" w:color="auto" w:fill="CFF0FC"/>
            <w:tcMar>
              <w:top w:w="15" w:type="dxa"/>
              <w:left w:w="0" w:type="dxa"/>
              <w:bottom w:w="0" w:type="dxa"/>
              <w:right w:w="15" w:type="dxa"/>
            </w:tcMar>
            <w:hideMark/>
          </w:tcPr>
          <w:p w14:paraId="44259ED8" w14:textId="77777777" w:rsidR="00251D72" w:rsidRDefault="00251D72">
            <w:pPr>
              <w:pStyle w:val="a3"/>
              <w:spacing w:before="0" w:beforeAutospacing="0" w:after="0" w:afterAutospacing="0"/>
              <w:ind w:left="1231"/>
              <w:rPr>
                <w:rFonts w:ascii="Calibri" w:hAnsi="Calibri" w:cs="Calibri"/>
                <w:color w:val="000000"/>
                <w:sz w:val="18"/>
                <w:szCs w:val="18"/>
              </w:rPr>
            </w:pPr>
            <w:r>
              <w:rPr>
                <w:rFonts w:ascii="Calibri" w:hAnsi="Calibri" w:cs="Calibri"/>
                <w:color w:val="000000"/>
                <w:sz w:val="18"/>
                <w:szCs w:val="18"/>
              </w:rPr>
              <w:t>Expenses</w:t>
            </w:r>
          </w:p>
        </w:tc>
        <w:tc>
          <w:tcPr>
            <w:tcW w:w="79" w:type="pct"/>
            <w:shd w:val="clear" w:color="auto" w:fill="CFF0FC"/>
            <w:tcMar>
              <w:top w:w="15" w:type="dxa"/>
              <w:left w:w="0" w:type="dxa"/>
              <w:bottom w:w="0" w:type="dxa"/>
              <w:right w:w="15" w:type="dxa"/>
            </w:tcMar>
            <w:vAlign w:val="bottom"/>
            <w:hideMark/>
          </w:tcPr>
          <w:p w14:paraId="724B8EC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7B2092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64158C9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15,545</w:t>
            </w:r>
          </w:p>
        </w:tc>
        <w:tc>
          <w:tcPr>
            <w:tcW w:w="50" w:type="pct"/>
            <w:shd w:val="clear" w:color="auto" w:fill="CFF0FC"/>
            <w:noWrap/>
            <w:tcMar>
              <w:top w:w="15" w:type="dxa"/>
              <w:left w:w="0" w:type="dxa"/>
              <w:bottom w:w="0" w:type="dxa"/>
              <w:right w:w="15" w:type="dxa"/>
            </w:tcMar>
            <w:vAlign w:val="bottom"/>
            <w:hideMark/>
          </w:tcPr>
          <w:p w14:paraId="29C011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485A9AB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EDBEB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79BA255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15,573</w:t>
            </w:r>
          </w:p>
        </w:tc>
        <w:tc>
          <w:tcPr>
            <w:tcW w:w="50" w:type="pct"/>
            <w:shd w:val="clear" w:color="auto" w:fill="CFF0FC"/>
            <w:noWrap/>
            <w:tcMar>
              <w:top w:w="15" w:type="dxa"/>
              <w:left w:w="0" w:type="dxa"/>
              <w:bottom w:w="0" w:type="dxa"/>
              <w:right w:w="15" w:type="dxa"/>
            </w:tcMar>
            <w:vAlign w:val="bottom"/>
            <w:hideMark/>
          </w:tcPr>
          <w:p w14:paraId="7537FAB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7F99EC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099F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3F3BD77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14,755</w:t>
            </w:r>
          </w:p>
        </w:tc>
        <w:tc>
          <w:tcPr>
            <w:tcW w:w="50" w:type="pct"/>
            <w:shd w:val="clear" w:color="auto" w:fill="CFF0FC"/>
            <w:noWrap/>
            <w:tcMar>
              <w:top w:w="15" w:type="dxa"/>
              <w:left w:w="0" w:type="dxa"/>
              <w:bottom w:w="0" w:type="dxa"/>
              <w:right w:w="15" w:type="dxa"/>
            </w:tcMar>
            <w:vAlign w:val="bottom"/>
            <w:hideMark/>
          </w:tcPr>
          <w:p w14:paraId="75C6D7B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8295E60" w14:textId="77777777">
        <w:trPr>
          <w:divId w:val="1407992881"/>
          <w:jc w:val="center"/>
        </w:trPr>
        <w:tc>
          <w:tcPr>
            <w:tcW w:w="3273" w:type="pct"/>
            <w:shd w:val="clear" w:color="auto" w:fill="FFFFFF"/>
            <w:tcMar>
              <w:top w:w="15" w:type="dxa"/>
              <w:left w:w="0" w:type="dxa"/>
              <w:bottom w:w="0" w:type="dxa"/>
              <w:right w:w="15" w:type="dxa"/>
            </w:tcMar>
            <w:hideMark/>
          </w:tcPr>
          <w:p w14:paraId="41A82B94" w14:textId="77777777" w:rsidR="00251D72" w:rsidRDefault="00251D72">
            <w:pPr>
              <w:pStyle w:val="a3"/>
              <w:spacing w:before="0" w:beforeAutospacing="0" w:after="0" w:afterAutospacing="0"/>
              <w:ind w:left="1231"/>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vertAlign w:val="superscript"/>
              </w:rPr>
              <w:t>(2)</w:t>
            </w:r>
          </w:p>
        </w:tc>
        <w:tc>
          <w:tcPr>
            <w:tcW w:w="79" w:type="pct"/>
            <w:shd w:val="clear" w:color="auto" w:fill="FFFFFF"/>
            <w:tcMar>
              <w:top w:w="15" w:type="dxa"/>
              <w:left w:w="0" w:type="dxa"/>
              <w:bottom w:w="0" w:type="dxa"/>
              <w:right w:w="15" w:type="dxa"/>
            </w:tcMar>
            <w:vAlign w:val="bottom"/>
            <w:hideMark/>
          </w:tcPr>
          <w:p w14:paraId="6B9CA7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D5B84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0C2C3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23,981</w:t>
            </w:r>
          </w:p>
        </w:tc>
        <w:tc>
          <w:tcPr>
            <w:tcW w:w="50" w:type="pct"/>
            <w:shd w:val="clear" w:color="auto" w:fill="FFFFFF"/>
            <w:noWrap/>
            <w:tcMar>
              <w:top w:w="15" w:type="dxa"/>
              <w:left w:w="0" w:type="dxa"/>
              <w:bottom w:w="0" w:type="dxa"/>
              <w:right w:w="15" w:type="dxa"/>
            </w:tcMar>
            <w:vAlign w:val="bottom"/>
            <w:hideMark/>
          </w:tcPr>
          <w:p w14:paraId="1309873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6F94E9C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DA266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FF270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23,857</w:t>
            </w:r>
          </w:p>
        </w:tc>
        <w:tc>
          <w:tcPr>
            <w:tcW w:w="50" w:type="pct"/>
            <w:shd w:val="clear" w:color="auto" w:fill="FFFFFF"/>
            <w:noWrap/>
            <w:tcMar>
              <w:top w:w="15" w:type="dxa"/>
              <w:left w:w="0" w:type="dxa"/>
              <w:bottom w:w="0" w:type="dxa"/>
              <w:right w:w="15" w:type="dxa"/>
            </w:tcMar>
            <w:vAlign w:val="bottom"/>
            <w:hideMark/>
          </w:tcPr>
          <w:p w14:paraId="44896F4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677E6C3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80AD5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B9B09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23,208</w:t>
            </w:r>
          </w:p>
        </w:tc>
        <w:tc>
          <w:tcPr>
            <w:tcW w:w="50" w:type="pct"/>
            <w:shd w:val="clear" w:color="auto" w:fill="FFFFFF"/>
            <w:noWrap/>
            <w:tcMar>
              <w:top w:w="15" w:type="dxa"/>
              <w:left w:w="0" w:type="dxa"/>
              <w:bottom w:w="0" w:type="dxa"/>
              <w:right w:w="15" w:type="dxa"/>
            </w:tcMar>
            <w:vAlign w:val="bottom"/>
            <w:hideMark/>
          </w:tcPr>
          <w:p w14:paraId="38B80F22"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616463E" w14:textId="77777777" w:rsidR="00251D72" w:rsidRDefault="00251D72">
      <w:pPr>
        <w:pStyle w:val="a3"/>
        <w:pBdr>
          <w:bottom w:val="single" w:sz="6" w:space="1" w:color="auto"/>
        </w:pBdr>
        <w:spacing w:before="0" w:beforeAutospacing="0" w:after="0" w:afterAutospacing="0"/>
        <w:ind w:right="10953"/>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6D4A141F" w14:textId="77777777">
        <w:tc>
          <w:tcPr>
            <w:tcW w:w="192" w:type="pct"/>
            <w:noWrap/>
            <w:hideMark/>
          </w:tcPr>
          <w:p w14:paraId="0F91894D"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5D4CFB1B"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color w:val="000000"/>
                <w:sz w:val="15"/>
                <w:szCs w:val="15"/>
              </w:rPr>
              <w:t>Cloud and license revenues presented for management reporting included revenues related to cloud and license obligations that would have otherwise been recorded by the acquired businesses as independent entities but were not recognized in our consolidated statements of operations for the periods presented due to business combination accounting requirements. See Note 9 for an explanation of these adjustments and the table below for a reconciliation of our total operating segment revenues to our total consolidated revenues as reported in our consolidated statements of operations</w:t>
            </w:r>
            <w:r>
              <w:rPr>
                <w:rFonts w:ascii="Calibri" w:hAnsi="Calibri" w:cs="Calibri"/>
                <w:sz w:val="15"/>
                <w:szCs w:val="15"/>
              </w:rPr>
              <w:t>.</w:t>
            </w:r>
          </w:p>
        </w:tc>
      </w:tr>
    </w:tbl>
    <w:p w14:paraId="4DF2D6E2"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5FBE7AAD" w14:textId="77777777">
        <w:tc>
          <w:tcPr>
            <w:tcW w:w="192" w:type="pct"/>
            <w:noWrap/>
            <w:hideMark/>
          </w:tcPr>
          <w:p w14:paraId="782A6C0C"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0E80014C" w14:textId="77777777" w:rsidR="00251D72" w:rsidRDefault="00251D72">
            <w:pPr>
              <w:pStyle w:val="a3"/>
              <w:spacing w:before="120" w:beforeAutospacing="0" w:after="0" w:afterAutospacing="0"/>
              <w:jc w:val="both"/>
              <w:rPr>
                <w:rFonts w:ascii="Calibri" w:hAnsi="Calibri" w:cs="Calibri"/>
                <w:sz w:val="15"/>
                <w:szCs w:val="15"/>
              </w:rPr>
            </w:pPr>
            <w:r>
              <w:rPr>
                <w:rFonts w:ascii="Calibri" w:hAnsi="Calibri" w:cs="Calibri"/>
                <w:sz w:val="15"/>
                <w:szCs w:val="15"/>
              </w:rPr>
              <w:t>The margins reported reflect only the direct controllable costs of each line of business and do not include allocations of product development, general and administrative and certain other allocable expenses, net. Additionally, the margins reported above do not reflect amortization of intangible assets, acquisition related and other expenses, restructuring expenses, stock-based compensation, interest expense or non-operating income, net. Refer to the table below for a reconciliation of our total margin for operating segments to our income before provision for income taxes as reported per our consolidated statements of operations.</w:t>
            </w:r>
          </w:p>
        </w:tc>
      </w:tr>
    </w:tbl>
    <w:p w14:paraId="29753649"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112</w:t>
      </w:r>
    </w:p>
    <w:p w14:paraId="10B05687" w14:textId="77777777" w:rsidR="00251D72" w:rsidRDefault="00251D72">
      <w:pPr>
        <w:rPr>
          <w:rFonts w:ascii="Times New Roman" w:eastAsia="Times New Roman" w:hAnsi="Times New Roman" w:cs="Times New Roman"/>
          <w:sz w:val="24"/>
          <w:szCs w:val="24"/>
        </w:rPr>
      </w:pPr>
      <w:r>
        <w:rPr>
          <w:rFonts w:eastAsia="Times New Roman"/>
        </w:rPr>
        <w:pict w14:anchorId="1723E16B">
          <v:rect id="_x0000_i1138" style="width:415.3pt;height:1.5pt" o:hralign="center" o:hrstd="t" o:hr="t" fillcolor="#a0a0a0" stroked="f"/>
        </w:pict>
      </w:r>
    </w:p>
    <w:p w14:paraId="57F441DF"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508FF721"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E089524"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6A4E4BFC"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58C5EE71"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3C595478" w14:textId="77777777" w:rsidR="00251D72" w:rsidRDefault="00251D72">
      <w:pPr>
        <w:pStyle w:val="a3"/>
        <w:spacing w:before="0" w:beforeAutospacing="0" w:after="0" w:afterAutospacing="0"/>
        <w:rPr>
          <w:sz w:val="20"/>
          <w:szCs w:val="20"/>
        </w:rPr>
      </w:pPr>
      <w:r>
        <w:rPr>
          <w:sz w:val="20"/>
          <w:szCs w:val="20"/>
        </w:rPr>
        <w:t> </w:t>
      </w:r>
    </w:p>
    <w:p w14:paraId="4A0A5D41" w14:textId="77777777" w:rsidR="00251D72" w:rsidRDefault="00251D72">
      <w:pPr>
        <w:pStyle w:val="a3"/>
        <w:spacing w:before="120" w:beforeAutospacing="0" w:after="0" w:afterAutospacing="0"/>
        <w:jc w:val="both"/>
        <w:rPr>
          <w:rFonts w:ascii="Calibri" w:hAnsi="Calibri" w:cs="Calibri"/>
          <w:sz w:val="20"/>
          <w:szCs w:val="20"/>
        </w:rPr>
      </w:pPr>
      <w:bookmarkStart w:id="155" w:name="_AEIOULastRenderedPageBreakAEIOU115"/>
      <w:bookmarkEnd w:id="155"/>
      <w:r>
        <w:rPr>
          <w:rFonts w:ascii="Calibri" w:hAnsi="Calibri" w:cs="Calibri"/>
          <w:sz w:val="20"/>
          <w:szCs w:val="20"/>
        </w:rPr>
        <w:t>The following table reconciles total operating segment revenues to total revenues as well as total operating segment margin to income before provision for income taxes:</w:t>
      </w:r>
    </w:p>
    <w:p w14:paraId="0AA86267"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432"/>
        <w:gridCol w:w="124"/>
        <w:gridCol w:w="107"/>
        <w:gridCol w:w="651"/>
        <w:gridCol w:w="76"/>
        <w:gridCol w:w="124"/>
        <w:gridCol w:w="107"/>
        <w:gridCol w:w="651"/>
        <w:gridCol w:w="76"/>
        <w:gridCol w:w="124"/>
        <w:gridCol w:w="107"/>
        <w:gridCol w:w="651"/>
        <w:gridCol w:w="76"/>
      </w:tblGrid>
      <w:tr w:rsidR="00251D72" w14:paraId="2D9685BA" w14:textId="77777777">
        <w:trPr>
          <w:divId w:val="516040483"/>
          <w:jc w:val="center"/>
        </w:trPr>
        <w:tc>
          <w:tcPr>
            <w:tcW w:w="3273" w:type="pct"/>
            <w:shd w:val="clear" w:color="auto" w:fill="FFFFFF"/>
            <w:tcMar>
              <w:top w:w="15" w:type="dxa"/>
              <w:left w:w="0" w:type="dxa"/>
              <w:bottom w:w="0" w:type="dxa"/>
              <w:right w:w="15" w:type="dxa"/>
            </w:tcMar>
            <w:vAlign w:val="bottom"/>
            <w:hideMark/>
          </w:tcPr>
          <w:p w14:paraId="78D3D072" w14:textId="77777777" w:rsidR="00251D72" w:rsidRDefault="00251D72">
            <w:pPr>
              <w:pStyle w:val="a3"/>
              <w:spacing w:before="0" w:beforeAutospacing="0" w:after="0" w:afterAutospacing="0"/>
              <w:rPr>
                <w:sz w:val="15"/>
                <w:szCs w:val="15"/>
              </w:rPr>
            </w:pPr>
            <w:r>
              <w:rPr>
                <w:sz w:val="15"/>
                <w:szCs w:val="15"/>
              </w:rPr>
              <w:t> </w:t>
            </w:r>
          </w:p>
        </w:tc>
        <w:tc>
          <w:tcPr>
            <w:tcW w:w="79" w:type="pct"/>
            <w:shd w:val="clear" w:color="auto" w:fill="FFFFFF"/>
            <w:tcMar>
              <w:top w:w="15" w:type="dxa"/>
              <w:left w:w="0" w:type="dxa"/>
              <w:bottom w:w="0" w:type="dxa"/>
              <w:right w:w="15" w:type="dxa"/>
            </w:tcMar>
            <w:vAlign w:val="bottom"/>
            <w:hideMark/>
          </w:tcPr>
          <w:p w14:paraId="70F0AD1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6" w:type="pct"/>
            <w:gridSpan w:val="10"/>
            <w:tcBorders>
              <w:bottom w:val="single" w:sz="6" w:space="0" w:color="000000"/>
            </w:tcBorders>
            <w:shd w:val="clear" w:color="auto" w:fill="FFFFFF"/>
            <w:tcMar>
              <w:top w:w="15" w:type="dxa"/>
              <w:left w:w="0" w:type="dxa"/>
              <w:bottom w:w="0" w:type="dxa"/>
              <w:right w:w="15" w:type="dxa"/>
            </w:tcMar>
            <w:vAlign w:val="bottom"/>
            <w:hideMark/>
          </w:tcPr>
          <w:p w14:paraId="5C2DE33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677278F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D99DE45" w14:textId="77777777">
        <w:trPr>
          <w:divId w:val="516040483"/>
          <w:jc w:val="center"/>
        </w:trPr>
        <w:tc>
          <w:tcPr>
            <w:tcW w:w="3273" w:type="pct"/>
            <w:tcBorders>
              <w:bottom w:val="single" w:sz="6" w:space="0" w:color="000000"/>
            </w:tcBorders>
            <w:shd w:val="clear" w:color="auto" w:fill="FFFFFF"/>
            <w:tcMar>
              <w:top w:w="15" w:type="dxa"/>
              <w:left w:w="0" w:type="dxa"/>
              <w:bottom w:w="0" w:type="dxa"/>
              <w:right w:w="15" w:type="dxa"/>
            </w:tcMar>
            <w:vAlign w:val="bottom"/>
            <w:hideMark/>
          </w:tcPr>
          <w:p w14:paraId="0294F1B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left w:w="0" w:type="dxa"/>
              <w:bottom w:w="0" w:type="dxa"/>
              <w:right w:w="15" w:type="dxa"/>
            </w:tcMar>
            <w:vAlign w:val="bottom"/>
            <w:hideMark/>
          </w:tcPr>
          <w:p w14:paraId="27089A7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01BBE6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13642BB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04EEE5F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F8718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6527D7C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448DCCA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EF1EB7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71E29C7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637F6E19" w14:textId="77777777">
        <w:trPr>
          <w:divId w:val="516040483"/>
          <w:jc w:val="center"/>
        </w:trPr>
        <w:tc>
          <w:tcPr>
            <w:tcW w:w="3273" w:type="pct"/>
            <w:tcBorders>
              <w:top w:val="single" w:sz="6" w:space="0" w:color="000000"/>
            </w:tcBorders>
            <w:shd w:val="clear" w:color="auto" w:fill="CFF0FC"/>
            <w:tcMar>
              <w:top w:w="15" w:type="dxa"/>
              <w:left w:w="0" w:type="dxa"/>
              <w:bottom w:w="0" w:type="dxa"/>
              <w:right w:w="15" w:type="dxa"/>
            </w:tcMar>
            <w:vAlign w:val="bottom"/>
            <w:hideMark/>
          </w:tcPr>
          <w:p w14:paraId="32F0D0E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Total revenues for operating segments</w:t>
            </w:r>
          </w:p>
        </w:tc>
        <w:tc>
          <w:tcPr>
            <w:tcW w:w="79" w:type="pct"/>
            <w:shd w:val="clear" w:color="auto" w:fill="CFF0FC"/>
            <w:tcMar>
              <w:top w:w="15" w:type="dxa"/>
              <w:left w:w="0" w:type="dxa"/>
              <w:bottom w:w="0" w:type="dxa"/>
              <w:right w:w="15" w:type="dxa"/>
            </w:tcMar>
            <w:vAlign w:val="bottom"/>
            <w:hideMark/>
          </w:tcPr>
          <w:p w14:paraId="5B8B5E4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CAD79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76259DE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39,526</w:t>
            </w:r>
          </w:p>
        </w:tc>
        <w:tc>
          <w:tcPr>
            <w:tcW w:w="50" w:type="pct"/>
            <w:shd w:val="clear" w:color="auto" w:fill="CFF0FC"/>
            <w:noWrap/>
            <w:tcMar>
              <w:top w:w="15" w:type="dxa"/>
              <w:left w:w="0" w:type="dxa"/>
              <w:bottom w:w="0" w:type="dxa"/>
              <w:right w:w="15" w:type="dxa"/>
            </w:tcMar>
            <w:vAlign w:val="bottom"/>
            <w:hideMark/>
          </w:tcPr>
          <w:p w14:paraId="1C27CC9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3DE061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0358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6F63C67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39,430</w:t>
            </w:r>
          </w:p>
        </w:tc>
        <w:tc>
          <w:tcPr>
            <w:tcW w:w="50" w:type="pct"/>
            <w:shd w:val="clear" w:color="auto" w:fill="CFF0FC"/>
            <w:noWrap/>
            <w:tcMar>
              <w:top w:w="15" w:type="dxa"/>
              <w:left w:w="0" w:type="dxa"/>
              <w:bottom w:w="0" w:type="dxa"/>
              <w:right w:w="15" w:type="dxa"/>
            </w:tcMar>
            <w:vAlign w:val="bottom"/>
            <w:hideMark/>
          </w:tcPr>
          <w:p w14:paraId="61C22CB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7139F54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841A6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01F5F1C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37,963</w:t>
            </w:r>
          </w:p>
        </w:tc>
        <w:tc>
          <w:tcPr>
            <w:tcW w:w="50" w:type="pct"/>
            <w:shd w:val="clear" w:color="auto" w:fill="CFF0FC"/>
            <w:noWrap/>
            <w:tcMar>
              <w:top w:w="15" w:type="dxa"/>
              <w:left w:w="0" w:type="dxa"/>
              <w:bottom w:w="0" w:type="dxa"/>
              <w:right w:w="15" w:type="dxa"/>
            </w:tcMar>
            <w:vAlign w:val="bottom"/>
            <w:hideMark/>
          </w:tcPr>
          <w:p w14:paraId="534A46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0D725A8" w14:textId="77777777">
        <w:trPr>
          <w:divId w:val="516040483"/>
          <w:jc w:val="center"/>
        </w:trPr>
        <w:tc>
          <w:tcPr>
            <w:tcW w:w="3273" w:type="pct"/>
            <w:shd w:val="clear" w:color="auto" w:fill="FFFFFF"/>
            <w:tcMar>
              <w:top w:w="15" w:type="dxa"/>
              <w:left w:w="0" w:type="dxa"/>
              <w:bottom w:w="0" w:type="dxa"/>
              <w:right w:w="15" w:type="dxa"/>
            </w:tcMar>
            <w:vAlign w:val="bottom"/>
            <w:hideMark/>
          </w:tcPr>
          <w:p w14:paraId="2AAF9E8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and license revenues</w:t>
            </w:r>
            <w:r>
              <w:rPr>
                <w:rFonts w:ascii="Calibri" w:hAnsi="Calibri" w:cs="Calibri"/>
                <w:color w:val="000000"/>
                <w:sz w:val="15"/>
                <w:szCs w:val="15"/>
                <w:vertAlign w:val="superscript"/>
              </w:rPr>
              <w:t>(1)</w:t>
            </w:r>
          </w:p>
        </w:tc>
        <w:tc>
          <w:tcPr>
            <w:tcW w:w="79" w:type="pct"/>
            <w:shd w:val="clear" w:color="auto" w:fill="FFFFFF"/>
            <w:tcMar>
              <w:top w:w="15" w:type="dxa"/>
              <w:left w:w="0" w:type="dxa"/>
              <w:bottom w:w="0" w:type="dxa"/>
              <w:right w:w="15" w:type="dxa"/>
            </w:tcMar>
            <w:vAlign w:val="bottom"/>
            <w:hideMark/>
          </w:tcPr>
          <w:p w14:paraId="2E60AA8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D7A096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5DC8906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w:t>
            </w:r>
          </w:p>
        </w:tc>
        <w:tc>
          <w:tcPr>
            <w:tcW w:w="50" w:type="pct"/>
            <w:shd w:val="clear" w:color="auto" w:fill="FFFFFF"/>
            <w:noWrap/>
            <w:tcMar>
              <w:top w:w="15" w:type="dxa"/>
              <w:left w:w="0" w:type="dxa"/>
              <w:bottom w:w="0" w:type="dxa"/>
              <w:right w:w="15" w:type="dxa"/>
            </w:tcMar>
            <w:vAlign w:val="bottom"/>
            <w:hideMark/>
          </w:tcPr>
          <w:p w14:paraId="7257EE1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left w:w="0" w:type="dxa"/>
              <w:bottom w:w="0" w:type="dxa"/>
              <w:right w:w="15" w:type="dxa"/>
            </w:tcMar>
            <w:vAlign w:val="bottom"/>
            <w:hideMark/>
          </w:tcPr>
          <w:p w14:paraId="3256F20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C8FDD9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4633FA8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(47</w:t>
            </w:r>
          </w:p>
        </w:tc>
        <w:tc>
          <w:tcPr>
            <w:tcW w:w="50" w:type="pct"/>
            <w:shd w:val="clear" w:color="auto" w:fill="FFFFFF"/>
            <w:noWrap/>
            <w:tcMar>
              <w:top w:w="15" w:type="dxa"/>
              <w:left w:w="0" w:type="dxa"/>
              <w:bottom w:w="0" w:type="dxa"/>
              <w:right w:w="15" w:type="dxa"/>
            </w:tcMar>
            <w:vAlign w:val="bottom"/>
            <w:hideMark/>
          </w:tcPr>
          <w:p w14:paraId="531E50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left w:w="0" w:type="dxa"/>
              <w:bottom w:w="0" w:type="dxa"/>
              <w:right w:w="15" w:type="dxa"/>
            </w:tcMar>
            <w:vAlign w:val="bottom"/>
            <w:hideMark/>
          </w:tcPr>
          <w:p w14:paraId="4D0601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A68EDA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2671D74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(171</w:t>
            </w:r>
          </w:p>
        </w:tc>
        <w:tc>
          <w:tcPr>
            <w:tcW w:w="50" w:type="pct"/>
            <w:shd w:val="clear" w:color="auto" w:fill="FFFFFF"/>
            <w:noWrap/>
            <w:tcMar>
              <w:top w:w="15" w:type="dxa"/>
              <w:left w:w="0" w:type="dxa"/>
              <w:bottom w:w="0" w:type="dxa"/>
              <w:right w:w="15" w:type="dxa"/>
            </w:tcMar>
            <w:vAlign w:val="bottom"/>
            <w:hideMark/>
          </w:tcPr>
          <w:p w14:paraId="785C1D2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4FBA6716" w14:textId="77777777">
        <w:trPr>
          <w:divId w:val="516040483"/>
          <w:jc w:val="center"/>
        </w:trPr>
        <w:tc>
          <w:tcPr>
            <w:tcW w:w="3273" w:type="pct"/>
            <w:shd w:val="clear" w:color="auto" w:fill="CFF0FC"/>
            <w:tcMar>
              <w:top w:w="15" w:type="dxa"/>
              <w:left w:w="0" w:type="dxa"/>
              <w:bottom w:w="0" w:type="dxa"/>
              <w:right w:w="15" w:type="dxa"/>
            </w:tcMar>
            <w:vAlign w:val="bottom"/>
            <w:hideMark/>
          </w:tcPr>
          <w:p w14:paraId="58CC5268"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79" w:type="pct"/>
            <w:shd w:val="clear" w:color="auto" w:fill="CFF0FC"/>
            <w:tcMar>
              <w:top w:w="15" w:type="dxa"/>
              <w:left w:w="0" w:type="dxa"/>
              <w:bottom w:w="0" w:type="dxa"/>
              <w:right w:w="15" w:type="dxa"/>
            </w:tcMar>
            <w:vAlign w:val="bottom"/>
            <w:hideMark/>
          </w:tcPr>
          <w:p w14:paraId="3182385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B888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49F1C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CFF0FC"/>
            <w:noWrap/>
            <w:tcMar>
              <w:top w:w="15" w:type="dxa"/>
              <w:left w:w="0" w:type="dxa"/>
              <w:bottom w:w="0" w:type="dxa"/>
              <w:right w:w="15" w:type="dxa"/>
            </w:tcMar>
            <w:vAlign w:val="bottom"/>
            <w:hideMark/>
          </w:tcPr>
          <w:p w14:paraId="2CCD899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6424D42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EAC12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000630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39,383</w:t>
            </w:r>
          </w:p>
        </w:tc>
        <w:tc>
          <w:tcPr>
            <w:tcW w:w="50" w:type="pct"/>
            <w:shd w:val="clear" w:color="auto" w:fill="CFF0FC"/>
            <w:noWrap/>
            <w:tcMar>
              <w:top w:w="15" w:type="dxa"/>
              <w:left w:w="0" w:type="dxa"/>
              <w:bottom w:w="0" w:type="dxa"/>
              <w:right w:w="15" w:type="dxa"/>
            </w:tcMar>
            <w:vAlign w:val="bottom"/>
            <w:hideMark/>
          </w:tcPr>
          <w:p w14:paraId="79E42BE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417542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8E366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C932C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37,792</w:t>
            </w:r>
          </w:p>
        </w:tc>
        <w:tc>
          <w:tcPr>
            <w:tcW w:w="50" w:type="pct"/>
            <w:shd w:val="clear" w:color="auto" w:fill="CFF0FC"/>
            <w:noWrap/>
            <w:tcMar>
              <w:top w:w="15" w:type="dxa"/>
              <w:left w:w="0" w:type="dxa"/>
              <w:bottom w:w="0" w:type="dxa"/>
              <w:right w:w="15" w:type="dxa"/>
            </w:tcMar>
            <w:vAlign w:val="bottom"/>
            <w:hideMark/>
          </w:tcPr>
          <w:p w14:paraId="5DACF831"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D11976D" w14:textId="77777777" w:rsidR="00251D72" w:rsidRDefault="00251D72">
      <w:pPr>
        <w:pStyle w:val="a3"/>
        <w:spacing w:before="0" w:beforeAutospacing="0" w:after="0" w:afterAutospacing="0"/>
        <w:jc w:val="both"/>
        <w:rPr>
          <w:sz w:val="6"/>
          <w:szCs w:val="6"/>
        </w:rPr>
      </w:pPr>
      <w:r>
        <w:rPr>
          <w:sz w:val="6"/>
          <w:szCs w:val="6"/>
        </w:rPr>
        <w:t> </w:t>
      </w:r>
    </w:p>
    <w:tbl>
      <w:tblPr>
        <w:tblW w:w="5000" w:type="pct"/>
        <w:jc w:val="center"/>
        <w:tblCellMar>
          <w:left w:w="0" w:type="dxa"/>
          <w:right w:w="0" w:type="dxa"/>
        </w:tblCellMar>
        <w:tblLook w:val="04A0" w:firstRow="1" w:lastRow="0" w:firstColumn="1" w:lastColumn="0" w:noHBand="0" w:noVBand="1"/>
      </w:tblPr>
      <w:tblGrid>
        <w:gridCol w:w="5432"/>
        <w:gridCol w:w="124"/>
        <w:gridCol w:w="107"/>
        <w:gridCol w:w="651"/>
        <w:gridCol w:w="76"/>
        <w:gridCol w:w="124"/>
        <w:gridCol w:w="107"/>
        <w:gridCol w:w="651"/>
        <w:gridCol w:w="76"/>
        <w:gridCol w:w="124"/>
        <w:gridCol w:w="107"/>
        <w:gridCol w:w="651"/>
        <w:gridCol w:w="76"/>
      </w:tblGrid>
      <w:tr w:rsidR="00251D72" w14:paraId="1F8EA806" w14:textId="77777777">
        <w:trPr>
          <w:divId w:val="1819489669"/>
          <w:jc w:val="center"/>
        </w:trPr>
        <w:tc>
          <w:tcPr>
            <w:tcW w:w="3273" w:type="pct"/>
            <w:shd w:val="clear" w:color="auto" w:fill="FFFFFF"/>
            <w:tcMar>
              <w:top w:w="15" w:type="dxa"/>
              <w:left w:w="0" w:type="dxa"/>
              <w:bottom w:w="0" w:type="dxa"/>
              <w:right w:w="15" w:type="dxa"/>
            </w:tcMar>
            <w:vAlign w:val="bottom"/>
            <w:hideMark/>
          </w:tcPr>
          <w:p w14:paraId="66EB01A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Total margin for operating segments</w:t>
            </w:r>
          </w:p>
        </w:tc>
        <w:tc>
          <w:tcPr>
            <w:tcW w:w="79" w:type="pct"/>
            <w:shd w:val="clear" w:color="auto" w:fill="FFFFFF"/>
            <w:tcMar>
              <w:top w:w="15" w:type="dxa"/>
              <w:left w:w="0" w:type="dxa"/>
              <w:bottom w:w="0" w:type="dxa"/>
              <w:right w:w="15" w:type="dxa"/>
            </w:tcMar>
            <w:vAlign w:val="bottom"/>
            <w:hideMark/>
          </w:tcPr>
          <w:p w14:paraId="60ABEB7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E76099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515B481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23,981</w:t>
            </w:r>
          </w:p>
        </w:tc>
        <w:tc>
          <w:tcPr>
            <w:tcW w:w="50" w:type="pct"/>
            <w:shd w:val="clear" w:color="auto" w:fill="FFFFFF"/>
            <w:noWrap/>
            <w:tcMar>
              <w:top w:w="15" w:type="dxa"/>
              <w:left w:w="0" w:type="dxa"/>
              <w:bottom w:w="0" w:type="dxa"/>
              <w:right w:w="15" w:type="dxa"/>
            </w:tcMar>
            <w:vAlign w:val="bottom"/>
            <w:hideMark/>
          </w:tcPr>
          <w:p w14:paraId="35E875F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32024AA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CF63B1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2D46909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23,857</w:t>
            </w:r>
          </w:p>
        </w:tc>
        <w:tc>
          <w:tcPr>
            <w:tcW w:w="50" w:type="pct"/>
            <w:shd w:val="clear" w:color="auto" w:fill="FFFFFF"/>
            <w:noWrap/>
            <w:tcMar>
              <w:top w:w="15" w:type="dxa"/>
              <w:left w:w="0" w:type="dxa"/>
              <w:bottom w:w="0" w:type="dxa"/>
              <w:right w:w="15" w:type="dxa"/>
            </w:tcMar>
            <w:vAlign w:val="bottom"/>
            <w:hideMark/>
          </w:tcPr>
          <w:p w14:paraId="0725CE8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507079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5FB35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shd w:val="clear" w:color="auto" w:fill="FFFFFF"/>
            <w:noWrap/>
            <w:tcMar>
              <w:top w:w="15" w:type="dxa"/>
              <w:left w:w="0" w:type="dxa"/>
              <w:bottom w:w="0" w:type="dxa"/>
              <w:right w:w="15" w:type="dxa"/>
            </w:tcMar>
            <w:vAlign w:val="bottom"/>
            <w:hideMark/>
          </w:tcPr>
          <w:p w14:paraId="112F3B6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23,208</w:t>
            </w:r>
          </w:p>
        </w:tc>
        <w:tc>
          <w:tcPr>
            <w:tcW w:w="50" w:type="pct"/>
            <w:shd w:val="clear" w:color="auto" w:fill="FFFFFF"/>
            <w:noWrap/>
            <w:tcMar>
              <w:top w:w="15" w:type="dxa"/>
              <w:left w:w="0" w:type="dxa"/>
              <w:bottom w:w="0" w:type="dxa"/>
              <w:right w:w="15" w:type="dxa"/>
            </w:tcMar>
            <w:vAlign w:val="bottom"/>
            <w:hideMark/>
          </w:tcPr>
          <w:p w14:paraId="5C074FD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97E8867" w14:textId="77777777">
        <w:trPr>
          <w:divId w:val="1819489669"/>
          <w:jc w:val="center"/>
        </w:trPr>
        <w:tc>
          <w:tcPr>
            <w:tcW w:w="3273" w:type="pct"/>
            <w:shd w:val="clear" w:color="auto" w:fill="CFF0FC"/>
            <w:tcMar>
              <w:top w:w="15" w:type="dxa"/>
              <w:left w:w="0" w:type="dxa"/>
              <w:bottom w:w="0" w:type="dxa"/>
              <w:right w:w="15" w:type="dxa"/>
            </w:tcMar>
            <w:vAlign w:val="bottom"/>
            <w:hideMark/>
          </w:tcPr>
          <w:p w14:paraId="3ED0BB8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and license revenues</w:t>
            </w:r>
            <w:r>
              <w:rPr>
                <w:rFonts w:ascii="Calibri" w:hAnsi="Calibri" w:cs="Calibri"/>
                <w:color w:val="000000"/>
                <w:sz w:val="15"/>
                <w:szCs w:val="15"/>
                <w:vertAlign w:val="superscript"/>
              </w:rPr>
              <w:t>(1)</w:t>
            </w:r>
          </w:p>
        </w:tc>
        <w:tc>
          <w:tcPr>
            <w:tcW w:w="79" w:type="pct"/>
            <w:shd w:val="clear" w:color="auto" w:fill="CFF0FC"/>
            <w:tcMar>
              <w:top w:w="15" w:type="dxa"/>
              <w:left w:w="0" w:type="dxa"/>
              <w:bottom w:w="0" w:type="dxa"/>
              <w:right w:w="15" w:type="dxa"/>
            </w:tcMar>
            <w:vAlign w:val="bottom"/>
            <w:hideMark/>
          </w:tcPr>
          <w:p w14:paraId="68B62F1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03936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1DDBB9D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w:t>
            </w:r>
          </w:p>
        </w:tc>
        <w:tc>
          <w:tcPr>
            <w:tcW w:w="50" w:type="pct"/>
            <w:shd w:val="clear" w:color="auto" w:fill="CFF0FC"/>
            <w:noWrap/>
            <w:tcMar>
              <w:top w:w="15" w:type="dxa"/>
              <w:left w:w="0" w:type="dxa"/>
              <w:bottom w:w="0" w:type="dxa"/>
              <w:right w:w="15" w:type="dxa"/>
            </w:tcMar>
            <w:vAlign w:val="bottom"/>
            <w:hideMark/>
          </w:tcPr>
          <w:p w14:paraId="11751F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left w:w="0" w:type="dxa"/>
              <w:bottom w:w="0" w:type="dxa"/>
              <w:right w:w="15" w:type="dxa"/>
            </w:tcMar>
            <w:vAlign w:val="bottom"/>
            <w:hideMark/>
          </w:tcPr>
          <w:p w14:paraId="553928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CA46F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471052A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(47</w:t>
            </w:r>
          </w:p>
        </w:tc>
        <w:tc>
          <w:tcPr>
            <w:tcW w:w="50" w:type="pct"/>
            <w:shd w:val="clear" w:color="auto" w:fill="CFF0FC"/>
            <w:noWrap/>
            <w:tcMar>
              <w:top w:w="15" w:type="dxa"/>
              <w:left w:w="0" w:type="dxa"/>
              <w:bottom w:w="0" w:type="dxa"/>
              <w:right w:w="15" w:type="dxa"/>
            </w:tcMar>
            <w:vAlign w:val="bottom"/>
            <w:hideMark/>
          </w:tcPr>
          <w:p w14:paraId="583FDF5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left w:w="0" w:type="dxa"/>
              <w:bottom w:w="0" w:type="dxa"/>
              <w:right w:w="15" w:type="dxa"/>
            </w:tcMar>
            <w:vAlign w:val="bottom"/>
            <w:hideMark/>
          </w:tcPr>
          <w:p w14:paraId="256793B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19B03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02EFFF1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(171</w:t>
            </w:r>
          </w:p>
        </w:tc>
        <w:tc>
          <w:tcPr>
            <w:tcW w:w="50" w:type="pct"/>
            <w:shd w:val="clear" w:color="auto" w:fill="CFF0FC"/>
            <w:noWrap/>
            <w:tcMar>
              <w:top w:w="15" w:type="dxa"/>
              <w:left w:w="0" w:type="dxa"/>
              <w:bottom w:w="0" w:type="dxa"/>
              <w:right w:w="15" w:type="dxa"/>
            </w:tcMar>
            <w:vAlign w:val="bottom"/>
            <w:hideMark/>
          </w:tcPr>
          <w:p w14:paraId="4C19EBF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7B85F333" w14:textId="77777777">
        <w:trPr>
          <w:divId w:val="1819489669"/>
          <w:jc w:val="center"/>
        </w:trPr>
        <w:tc>
          <w:tcPr>
            <w:tcW w:w="3273" w:type="pct"/>
            <w:shd w:val="clear" w:color="auto" w:fill="FFFFFF"/>
            <w:tcMar>
              <w:top w:w="15" w:type="dxa"/>
              <w:left w:w="0" w:type="dxa"/>
              <w:bottom w:w="0" w:type="dxa"/>
              <w:right w:w="15" w:type="dxa"/>
            </w:tcMar>
            <w:vAlign w:val="bottom"/>
            <w:hideMark/>
          </w:tcPr>
          <w:p w14:paraId="264392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Research and development</w:t>
            </w:r>
          </w:p>
        </w:tc>
        <w:tc>
          <w:tcPr>
            <w:tcW w:w="79" w:type="pct"/>
            <w:shd w:val="clear" w:color="auto" w:fill="FFFFFF"/>
            <w:tcMar>
              <w:top w:w="15" w:type="dxa"/>
              <w:left w:w="0" w:type="dxa"/>
              <w:bottom w:w="0" w:type="dxa"/>
              <w:right w:w="15" w:type="dxa"/>
            </w:tcMar>
            <w:vAlign w:val="bottom"/>
            <w:hideMark/>
          </w:tcPr>
          <w:p w14:paraId="0964F7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16A841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6E5A0F9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(6,026</w:t>
            </w:r>
          </w:p>
        </w:tc>
        <w:tc>
          <w:tcPr>
            <w:tcW w:w="50" w:type="pct"/>
            <w:shd w:val="clear" w:color="auto" w:fill="FFFFFF"/>
            <w:noWrap/>
            <w:tcMar>
              <w:top w:w="15" w:type="dxa"/>
              <w:left w:w="0" w:type="dxa"/>
              <w:bottom w:w="0" w:type="dxa"/>
              <w:right w:w="15" w:type="dxa"/>
            </w:tcMar>
            <w:vAlign w:val="bottom"/>
            <w:hideMark/>
          </w:tcPr>
          <w:p w14:paraId="101403C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left w:w="0" w:type="dxa"/>
              <w:bottom w:w="0" w:type="dxa"/>
              <w:right w:w="15" w:type="dxa"/>
            </w:tcMar>
            <w:vAlign w:val="bottom"/>
            <w:hideMark/>
          </w:tcPr>
          <w:p w14:paraId="6AE176B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693C4E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4DF6F43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(6,084</w:t>
            </w:r>
          </w:p>
        </w:tc>
        <w:tc>
          <w:tcPr>
            <w:tcW w:w="50" w:type="pct"/>
            <w:shd w:val="clear" w:color="auto" w:fill="FFFFFF"/>
            <w:noWrap/>
            <w:tcMar>
              <w:top w:w="15" w:type="dxa"/>
              <w:left w:w="0" w:type="dxa"/>
              <w:bottom w:w="0" w:type="dxa"/>
              <w:right w:w="15" w:type="dxa"/>
            </w:tcMar>
            <w:vAlign w:val="bottom"/>
            <w:hideMark/>
          </w:tcPr>
          <w:p w14:paraId="1604CC3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left w:w="0" w:type="dxa"/>
              <w:bottom w:w="0" w:type="dxa"/>
              <w:right w:w="15" w:type="dxa"/>
            </w:tcMar>
            <w:vAlign w:val="bottom"/>
            <w:hideMark/>
          </w:tcPr>
          <w:p w14:paraId="511A02D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DEC9F5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29A8C7C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(6,153</w:t>
            </w:r>
          </w:p>
        </w:tc>
        <w:tc>
          <w:tcPr>
            <w:tcW w:w="50" w:type="pct"/>
            <w:shd w:val="clear" w:color="auto" w:fill="FFFFFF"/>
            <w:noWrap/>
            <w:tcMar>
              <w:top w:w="15" w:type="dxa"/>
              <w:left w:w="0" w:type="dxa"/>
              <w:bottom w:w="0" w:type="dxa"/>
              <w:right w:w="15" w:type="dxa"/>
            </w:tcMar>
            <w:vAlign w:val="bottom"/>
            <w:hideMark/>
          </w:tcPr>
          <w:p w14:paraId="4B0435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5353179F" w14:textId="77777777">
        <w:trPr>
          <w:divId w:val="1819489669"/>
          <w:jc w:val="center"/>
        </w:trPr>
        <w:tc>
          <w:tcPr>
            <w:tcW w:w="3273" w:type="pct"/>
            <w:shd w:val="clear" w:color="auto" w:fill="CFF0FC"/>
            <w:tcMar>
              <w:top w:w="15" w:type="dxa"/>
              <w:left w:w="0" w:type="dxa"/>
              <w:bottom w:w="0" w:type="dxa"/>
              <w:right w:w="15" w:type="dxa"/>
            </w:tcMar>
            <w:vAlign w:val="bottom"/>
            <w:hideMark/>
          </w:tcPr>
          <w:p w14:paraId="5CCFDB1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General and administrative</w:t>
            </w:r>
          </w:p>
        </w:tc>
        <w:tc>
          <w:tcPr>
            <w:tcW w:w="79" w:type="pct"/>
            <w:shd w:val="clear" w:color="auto" w:fill="CFF0FC"/>
            <w:tcMar>
              <w:top w:w="15" w:type="dxa"/>
              <w:left w:w="0" w:type="dxa"/>
              <w:bottom w:w="0" w:type="dxa"/>
              <w:right w:w="15" w:type="dxa"/>
            </w:tcMar>
            <w:vAlign w:val="bottom"/>
            <w:hideMark/>
          </w:tcPr>
          <w:p w14:paraId="2D1513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C95BDD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37A0CB2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(1,265</w:t>
            </w:r>
          </w:p>
        </w:tc>
        <w:tc>
          <w:tcPr>
            <w:tcW w:w="50" w:type="pct"/>
            <w:shd w:val="clear" w:color="auto" w:fill="CFF0FC"/>
            <w:noWrap/>
            <w:tcMar>
              <w:top w:w="15" w:type="dxa"/>
              <w:left w:w="0" w:type="dxa"/>
              <w:bottom w:w="0" w:type="dxa"/>
              <w:right w:w="15" w:type="dxa"/>
            </w:tcMar>
            <w:vAlign w:val="bottom"/>
            <w:hideMark/>
          </w:tcPr>
          <w:p w14:paraId="2E9D8B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left w:w="0" w:type="dxa"/>
              <w:bottom w:w="0" w:type="dxa"/>
              <w:right w:w="15" w:type="dxa"/>
            </w:tcMar>
            <w:vAlign w:val="bottom"/>
            <w:hideMark/>
          </w:tcPr>
          <w:p w14:paraId="6D03574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4379E2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54BA03F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(1,282</w:t>
            </w:r>
          </w:p>
        </w:tc>
        <w:tc>
          <w:tcPr>
            <w:tcW w:w="50" w:type="pct"/>
            <w:shd w:val="clear" w:color="auto" w:fill="CFF0FC"/>
            <w:noWrap/>
            <w:tcMar>
              <w:top w:w="15" w:type="dxa"/>
              <w:left w:w="0" w:type="dxa"/>
              <w:bottom w:w="0" w:type="dxa"/>
              <w:right w:w="15" w:type="dxa"/>
            </w:tcMar>
            <w:vAlign w:val="bottom"/>
            <w:hideMark/>
          </w:tcPr>
          <w:p w14:paraId="7F3732D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left w:w="0" w:type="dxa"/>
              <w:bottom w:w="0" w:type="dxa"/>
              <w:right w:w="15" w:type="dxa"/>
            </w:tcMar>
            <w:vAlign w:val="bottom"/>
            <w:hideMark/>
          </w:tcPr>
          <w:p w14:paraId="03A60B3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40A18B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62634AD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(1,172</w:t>
            </w:r>
          </w:p>
        </w:tc>
        <w:tc>
          <w:tcPr>
            <w:tcW w:w="50" w:type="pct"/>
            <w:shd w:val="clear" w:color="auto" w:fill="CFF0FC"/>
            <w:noWrap/>
            <w:tcMar>
              <w:top w:w="15" w:type="dxa"/>
              <w:left w:w="0" w:type="dxa"/>
              <w:bottom w:w="0" w:type="dxa"/>
              <w:right w:w="15" w:type="dxa"/>
            </w:tcMar>
            <w:vAlign w:val="bottom"/>
            <w:hideMark/>
          </w:tcPr>
          <w:p w14:paraId="163A3D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15A425A0" w14:textId="77777777">
        <w:trPr>
          <w:divId w:val="1819489669"/>
          <w:jc w:val="center"/>
        </w:trPr>
        <w:tc>
          <w:tcPr>
            <w:tcW w:w="3273" w:type="pct"/>
            <w:shd w:val="clear" w:color="auto" w:fill="FFFFFF"/>
            <w:tcMar>
              <w:top w:w="15" w:type="dxa"/>
              <w:left w:w="0" w:type="dxa"/>
              <w:bottom w:w="0" w:type="dxa"/>
              <w:right w:w="15" w:type="dxa"/>
            </w:tcMar>
            <w:vAlign w:val="bottom"/>
            <w:hideMark/>
          </w:tcPr>
          <w:p w14:paraId="35BE223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Amortization of intangible assets</w:t>
            </w:r>
          </w:p>
        </w:tc>
        <w:tc>
          <w:tcPr>
            <w:tcW w:w="79" w:type="pct"/>
            <w:shd w:val="clear" w:color="auto" w:fill="FFFFFF"/>
            <w:tcMar>
              <w:top w:w="15" w:type="dxa"/>
              <w:left w:w="0" w:type="dxa"/>
              <w:bottom w:w="0" w:type="dxa"/>
              <w:right w:w="15" w:type="dxa"/>
            </w:tcMar>
            <w:vAlign w:val="bottom"/>
            <w:hideMark/>
          </w:tcPr>
          <w:p w14:paraId="5A33E16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35A766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107CDBF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(1,689</w:t>
            </w:r>
          </w:p>
        </w:tc>
        <w:tc>
          <w:tcPr>
            <w:tcW w:w="50" w:type="pct"/>
            <w:shd w:val="clear" w:color="auto" w:fill="FFFFFF"/>
            <w:noWrap/>
            <w:tcMar>
              <w:top w:w="15" w:type="dxa"/>
              <w:left w:w="0" w:type="dxa"/>
              <w:bottom w:w="0" w:type="dxa"/>
              <w:right w:w="15" w:type="dxa"/>
            </w:tcMar>
            <w:vAlign w:val="bottom"/>
            <w:hideMark/>
          </w:tcPr>
          <w:p w14:paraId="210F02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left w:w="0" w:type="dxa"/>
              <w:bottom w:w="0" w:type="dxa"/>
              <w:right w:w="15" w:type="dxa"/>
            </w:tcMar>
            <w:vAlign w:val="bottom"/>
            <w:hideMark/>
          </w:tcPr>
          <w:p w14:paraId="57E465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19B41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251F6BB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(1,620</w:t>
            </w:r>
          </w:p>
        </w:tc>
        <w:tc>
          <w:tcPr>
            <w:tcW w:w="50" w:type="pct"/>
            <w:shd w:val="clear" w:color="auto" w:fill="FFFFFF"/>
            <w:noWrap/>
            <w:tcMar>
              <w:top w:w="15" w:type="dxa"/>
              <w:left w:w="0" w:type="dxa"/>
              <w:bottom w:w="0" w:type="dxa"/>
              <w:right w:w="15" w:type="dxa"/>
            </w:tcMar>
            <w:vAlign w:val="bottom"/>
            <w:hideMark/>
          </w:tcPr>
          <w:p w14:paraId="41751C4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left w:w="0" w:type="dxa"/>
              <w:bottom w:w="0" w:type="dxa"/>
              <w:right w:w="15" w:type="dxa"/>
            </w:tcMar>
            <w:vAlign w:val="bottom"/>
            <w:hideMark/>
          </w:tcPr>
          <w:p w14:paraId="44CAE23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654BBE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6BB8A28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(1,451</w:t>
            </w:r>
          </w:p>
        </w:tc>
        <w:tc>
          <w:tcPr>
            <w:tcW w:w="50" w:type="pct"/>
            <w:shd w:val="clear" w:color="auto" w:fill="FFFFFF"/>
            <w:noWrap/>
            <w:tcMar>
              <w:top w:w="15" w:type="dxa"/>
              <w:left w:w="0" w:type="dxa"/>
              <w:bottom w:w="0" w:type="dxa"/>
              <w:right w:w="15" w:type="dxa"/>
            </w:tcMar>
            <w:vAlign w:val="bottom"/>
            <w:hideMark/>
          </w:tcPr>
          <w:p w14:paraId="253FA4D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6D4C56BD" w14:textId="77777777">
        <w:trPr>
          <w:divId w:val="1819489669"/>
          <w:jc w:val="center"/>
        </w:trPr>
        <w:tc>
          <w:tcPr>
            <w:tcW w:w="3273" w:type="pct"/>
            <w:shd w:val="clear" w:color="auto" w:fill="CFF0FC"/>
            <w:tcMar>
              <w:top w:w="15" w:type="dxa"/>
              <w:left w:w="0" w:type="dxa"/>
              <w:bottom w:w="0" w:type="dxa"/>
              <w:right w:w="15" w:type="dxa"/>
            </w:tcMar>
            <w:vAlign w:val="bottom"/>
            <w:hideMark/>
          </w:tcPr>
          <w:p w14:paraId="55442A3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Acquisition related and other</w:t>
            </w:r>
          </w:p>
        </w:tc>
        <w:tc>
          <w:tcPr>
            <w:tcW w:w="79" w:type="pct"/>
            <w:shd w:val="clear" w:color="auto" w:fill="CFF0FC"/>
            <w:tcMar>
              <w:top w:w="15" w:type="dxa"/>
              <w:left w:w="0" w:type="dxa"/>
              <w:bottom w:w="0" w:type="dxa"/>
              <w:right w:w="15" w:type="dxa"/>
            </w:tcMar>
            <w:vAlign w:val="bottom"/>
            <w:hideMark/>
          </w:tcPr>
          <w:p w14:paraId="331457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E7062D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288CB40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CFF0FC"/>
            <w:noWrap/>
            <w:tcMar>
              <w:top w:w="15" w:type="dxa"/>
              <w:left w:w="0" w:type="dxa"/>
              <w:bottom w:w="0" w:type="dxa"/>
              <w:right w:w="15" w:type="dxa"/>
            </w:tcMar>
            <w:vAlign w:val="bottom"/>
            <w:hideMark/>
          </w:tcPr>
          <w:p w14:paraId="38E3A69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left w:w="0" w:type="dxa"/>
              <w:bottom w:w="0" w:type="dxa"/>
              <w:right w:w="15" w:type="dxa"/>
            </w:tcMar>
            <w:vAlign w:val="bottom"/>
            <w:hideMark/>
          </w:tcPr>
          <w:p w14:paraId="107BE41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BE97D3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4775E91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w:t>
            </w:r>
          </w:p>
        </w:tc>
        <w:tc>
          <w:tcPr>
            <w:tcW w:w="50" w:type="pct"/>
            <w:shd w:val="clear" w:color="auto" w:fill="CFF0FC"/>
            <w:noWrap/>
            <w:tcMar>
              <w:top w:w="15" w:type="dxa"/>
              <w:left w:w="0" w:type="dxa"/>
              <w:bottom w:w="0" w:type="dxa"/>
              <w:right w:w="15" w:type="dxa"/>
            </w:tcMar>
            <w:vAlign w:val="bottom"/>
            <w:hideMark/>
          </w:tcPr>
          <w:p w14:paraId="117D160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left w:w="0" w:type="dxa"/>
              <w:bottom w:w="0" w:type="dxa"/>
              <w:right w:w="15" w:type="dxa"/>
            </w:tcMar>
            <w:vAlign w:val="bottom"/>
            <w:hideMark/>
          </w:tcPr>
          <w:p w14:paraId="06C2636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A6D53D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7F3659F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(103</w:t>
            </w:r>
          </w:p>
        </w:tc>
        <w:tc>
          <w:tcPr>
            <w:tcW w:w="50" w:type="pct"/>
            <w:shd w:val="clear" w:color="auto" w:fill="CFF0FC"/>
            <w:noWrap/>
            <w:tcMar>
              <w:top w:w="15" w:type="dxa"/>
              <w:left w:w="0" w:type="dxa"/>
              <w:bottom w:w="0" w:type="dxa"/>
              <w:right w:w="15" w:type="dxa"/>
            </w:tcMar>
            <w:vAlign w:val="bottom"/>
            <w:hideMark/>
          </w:tcPr>
          <w:p w14:paraId="6327148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02BFB0AD" w14:textId="77777777">
        <w:trPr>
          <w:divId w:val="1819489669"/>
          <w:jc w:val="center"/>
        </w:trPr>
        <w:tc>
          <w:tcPr>
            <w:tcW w:w="3273" w:type="pct"/>
            <w:shd w:val="clear" w:color="auto" w:fill="FFFFFF"/>
            <w:tcMar>
              <w:top w:w="15" w:type="dxa"/>
              <w:left w:w="0" w:type="dxa"/>
              <w:bottom w:w="0" w:type="dxa"/>
              <w:right w:w="15" w:type="dxa"/>
            </w:tcMar>
            <w:vAlign w:val="bottom"/>
            <w:hideMark/>
          </w:tcPr>
          <w:p w14:paraId="24A8719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Restructuring</w:t>
            </w:r>
          </w:p>
        </w:tc>
        <w:tc>
          <w:tcPr>
            <w:tcW w:w="79" w:type="pct"/>
            <w:shd w:val="clear" w:color="auto" w:fill="FFFFFF"/>
            <w:tcMar>
              <w:top w:w="15" w:type="dxa"/>
              <w:left w:w="0" w:type="dxa"/>
              <w:bottom w:w="0" w:type="dxa"/>
              <w:right w:w="15" w:type="dxa"/>
            </w:tcMar>
            <w:vAlign w:val="bottom"/>
            <w:hideMark/>
          </w:tcPr>
          <w:p w14:paraId="6D1B960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657B6B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7E09E74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(443</w:t>
            </w:r>
          </w:p>
        </w:tc>
        <w:tc>
          <w:tcPr>
            <w:tcW w:w="50" w:type="pct"/>
            <w:shd w:val="clear" w:color="auto" w:fill="FFFFFF"/>
            <w:noWrap/>
            <w:tcMar>
              <w:top w:w="15" w:type="dxa"/>
              <w:left w:w="0" w:type="dxa"/>
              <w:bottom w:w="0" w:type="dxa"/>
              <w:right w:w="15" w:type="dxa"/>
            </w:tcMar>
            <w:vAlign w:val="bottom"/>
            <w:hideMark/>
          </w:tcPr>
          <w:p w14:paraId="5CFB0D6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left w:w="0" w:type="dxa"/>
              <w:bottom w:w="0" w:type="dxa"/>
              <w:right w:w="15" w:type="dxa"/>
            </w:tcMar>
            <w:vAlign w:val="bottom"/>
            <w:hideMark/>
          </w:tcPr>
          <w:p w14:paraId="263DE44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F6BA36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4F67986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(588</w:t>
            </w:r>
          </w:p>
        </w:tc>
        <w:tc>
          <w:tcPr>
            <w:tcW w:w="50" w:type="pct"/>
            <w:shd w:val="clear" w:color="auto" w:fill="FFFFFF"/>
            <w:noWrap/>
            <w:tcMar>
              <w:top w:w="15" w:type="dxa"/>
              <w:left w:w="0" w:type="dxa"/>
              <w:bottom w:w="0" w:type="dxa"/>
              <w:right w:w="15" w:type="dxa"/>
            </w:tcMar>
            <w:vAlign w:val="bottom"/>
            <w:hideMark/>
          </w:tcPr>
          <w:p w14:paraId="544F85C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left w:w="0" w:type="dxa"/>
              <w:bottom w:w="0" w:type="dxa"/>
              <w:right w:w="15" w:type="dxa"/>
            </w:tcMar>
            <w:vAlign w:val="bottom"/>
            <w:hideMark/>
          </w:tcPr>
          <w:p w14:paraId="09CC30F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97FF9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3D94A2E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(463</w:t>
            </w:r>
          </w:p>
        </w:tc>
        <w:tc>
          <w:tcPr>
            <w:tcW w:w="50" w:type="pct"/>
            <w:shd w:val="clear" w:color="auto" w:fill="FFFFFF"/>
            <w:noWrap/>
            <w:tcMar>
              <w:top w:w="15" w:type="dxa"/>
              <w:left w:w="0" w:type="dxa"/>
              <w:bottom w:w="0" w:type="dxa"/>
              <w:right w:w="15" w:type="dxa"/>
            </w:tcMar>
            <w:vAlign w:val="bottom"/>
            <w:hideMark/>
          </w:tcPr>
          <w:p w14:paraId="0A3A89A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4C99F9E8" w14:textId="77777777">
        <w:trPr>
          <w:divId w:val="1819489669"/>
          <w:jc w:val="center"/>
        </w:trPr>
        <w:tc>
          <w:tcPr>
            <w:tcW w:w="3273" w:type="pct"/>
            <w:shd w:val="clear" w:color="auto" w:fill="CFF0FC"/>
            <w:tcMar>
              <w:top w:w="15" w:type="dxa"/>
              <w:left w:w="0" w:type="dxa"/>
              <w:bottom w:w="0" w:type="dxa"/>
              <w:right w:w="15" w:type="dxa"/>
            </w:tcMar>
            <w:vAlign w:val="bottom"/>
            <w:hideMark/>
          </w:tcPr>
          <w:p w14:paraId="0EE98AA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Stock-based compensation for operating segments</w:t>
            </w:r>
          </w:p>
        </w:tc>
        <w:tc>
          <w:tcPr>
            <w:tcW w:w="79" w:type="pct"/>
            <w:shd w:val="clear" w:color="auto" w:fill="CFF0FC"/>
            <w:tcMar>
              <w:top w:w="15" w:type="dxa"/>
              <w:left w:w="0" w:type="dxa"/>
              <w:bottom w:w="0" w:type="dxa"/>
              <w:right w:w="15" w:type="dxa"/>
            </w:tcMar>
            <w:vAlign w:val="bottom"/>
            <w:hideMark/>
          </w:tcPr>
          <w:p w14:paraId="30781BA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AC9CC5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7AB18E1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(518</w:t>
            </w:r>
          </w:p>
        </w:tc>
        <w:tc>
          <w:tcPr>
            <w:tcW w:w="50" w:type="pct"/>
            <w:shd w:val="clear" w:color="auto" w:fill="CFF0FC"/>
            <w:noWrap/>
            <w:tcMar>
              <w:top w:w="15" w:type="dxa"/>
              <w:left w:w="0" w:type="dxa"/>
              <w:bottom w:w="0" w:type="dxa"/>
              <w:right w:w="15" w:type="dxa"/>
            </w:tcMar>
            <w:vAlign w:val="bottom"/>
            <w:hideMark/>
          </w:tcPr>
          <w:p w14:paraId="08A593D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left w:w="0" w:type="dxa"/>
              <w:bottom w:w="0" w:type="dxa"/>
              <w:right w:w="15" w:type="dxa"/>
            </w:tcMar>
            <w:vAlign w:val="bottom"/>
            <w:hideMark/>
          </w:tcPr>
          <w:p w14:paraId="5325D75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C38AA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01AA5B1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(505</w:t>
            </w:r>
          </w:p>
        </w:tc>
        <w:tc>
          <w:tcPr>
            <w:tcW w:w="50" w:type="pct"/>
            <w:shd w:val="clear" w:color="auto" w:fill="CFF0FC"/>
            <w:noWrap/>
            <w:tcMar>
              <w:top w:w="15" w:type="dxa"/>
              <w:left w:w="0" w:type="dxa"/>
              <w:bottom w:w="0" w:type="dxa"/>
              <w:right w:w="15" w:type="dxa"/>
            </w:tcMar>
            <w:vAlign w:val="bottom"/>
            <w:hideMark/>
          </w:tcPr>
          <w:p w14:paraId="7F7667E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left w:w="0" w:type="dxa"/>
              <w:bottom w:w="0" w:type="dxa"/>
              <w:right w:w="15" w:type="dxa"/>
            </w:tcMar>
            <w:vAlign w:val="bottom"/>
            <w:hideMark/>
          </w:tcPr>
          <w:p w14:paraId="7C7C4F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7F2689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39A336D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(415</w:t>
            </w:r>
          </w:p>
        </w:tc>
        <w:tc>
          <w:tcPr>
            <w:tcW w:w="50" w:type="pct"/>
            <w:shd w:val="clear" w:color="auto" w:fill="CFF0FC"/>
            <w:noWrap/>
            <w:tcMar>
              <w:top w:w="15" w:type="dxa"/>
              <w:left w:w="0" w:type="dxa"/>
              <w:bottom w:w="0" w:type="dxa"/>
              <w:right w:w="15" w:type="dxa"/>
            </w:tcMar>
            <w:vAlign w:val="bottom"/>
            <w:hideMark/>
          </w:tcPr>
          <w:p w14:paraId="457C4CC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5961F7EF" w14:textId="77777777">
        <w:trPr>
          <w:divId w:val="1819489669"/>
          <w:jc w:val="center"/>
        </w:trPr>
        <w:tc>
          <w:tcPr>
            <w:tcW w:w="3273" w:type="pct"/>
            <w:shd w:val="clear" w:color="auto" w:fill="FFFFFF"/>
            <w:tcMar>
              <w:top w:w="15" w:type="dxa"/>
              <w:left w:w="0" w:type="dxa"/>
              <w:bottom w:w="0" w:type="dxa"/>
              <w:right w:w="15" w:type="dxa"/>
            </w:tcMar>
            <w:vAlign w:val="bottom"/>
            <w:hideMark/>
          </w:tcPr>
          <w:p w14:paraId="4A15190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Expense allocations and other, net</w:t>
            </w:r>
          </w:p>
        </w:tc>
        <w:tc>
          <w:tcPr>
            <w:tcW w:w="79" w:type="pct"/>
            <w:shd w:val="clear" w:color="auto" w:fill="FFFFFF"/>
            <w:tcMar>
              <w:top w:w="15" w:type="dxa"/>
              <w:left w:w="0" w:type="dxa"/>
              <w:bottom w:w="0" w:type="dxa"/>
              <w:right w:w="15" w:type="dxa"/>
            </w:tcMar>
            <w:vAlign w:val="bottom"/>
            <w:hideMark/>
          </w:tcPr>
          <w:p w14:paraId="266E73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65A20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7AA0933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(441</w:t>
            </w:r>
          </w:p>
        </w:tc>
        <w:tc>
          <w:tcPr>
            <w:tcW w:w="50" w:type="pct"/>
            <w:shd w:val="clear" w:color="auto" w:fill="FFFFFF"/>
            <w:noWrap/>
            <w:tcMar>
              <w:top w:w="15" w:type="dxa"/>
              <w:left w:w="0" w:type="dxa"/>
              <w:bottom w:w="0" w:type="dxa"/>
              <w:right w:w="15" w:type="dxa"/>
            </w:tcMar>
            <w:vAlign w:val="bottom"/>
            <w:hideMark/>
          </w:tcPr>
          <w:p w14:paraId="7D3CDA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left w:w="0" w:type="dxa"/>
              <w:bottom w:w="0" w:type="dxa"/>
              <w:right w:w="15" w:type="dxa"/>
            </w:tcMar>
            <w:vAlign w:val="bottom"/>
            <w:hideMark/>
          </w:tcPr>
          <w:p w14:paraId="228CF24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436AC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107D46D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(415</w:t>
            </w:r>
          </w:p>
        </w:tc>
        <w:tc>
          <w:tcPr>
            <w:tcW w:w="50" w:type="pct"/>
            <w:shd w:val="clear" w:color="auto" w:fill="FFFFFF"/>
            <w:noWrap/>
            <w:tcMar>
              <w:top w:w="15" w:type="dxa"/>
              <w:left w:w="0" w:type="dxa"/>
              <w:bottom w:w="0" w:type="dxa"/>
              <w:right w:w="15" w:type="dxa"/>
            </w:tcMar>
            <w:vAlign w:val="bottom"/>
            <w:hideMark/>
          </w:tcPr>
          <w:p w14:paraId="31136E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left w:w="0" w:type="dxa"/>
              <w:bottom w:w="0" w:type="dxa"/>
              <w:right w:w="15" w:type="dxa"/>
            </w:tcMar>
            <w:vAlign w:val="bottom"/>
            <w:hideMark/>
          </w:tcPr>
          <w:p w14:paraId="517F96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6CAE17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FFFFFF"/>
            <w:noWrap/>
            <w:tcMar>
              <w:top w:w="15" w:type="dxa"/>
              <w:left w:w="0" w:type="dxa"/>
              <w:bottom w:w="0" w:type="dxa"/>
              <w:right w:w="15" w:type="dxa"/>
            </w:tcMar>
            <w:vAlign w:val="bottom"/>
            <w:hideMark/>
          </w:tcPr>
          <w:p w14:paraId="50387BE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(367</w:t>
            </w:r>
          </w:p>
        </w:tc>
        <w:tc>
          <w:tcPr>
            <w:tcW w:w="50" w:type="pct"/>
            <w:shd w:val="clear" w:color="auto" w:fill="FFFFFF"/>
            <w:noWrap/>
            <w:tcMar>
              <w:top w:w="15" w:type="dxa"/>
              <w:left w:w="0" w:type="dxa"/>
              <w:bottom w:w="0" w:type="dxa"/>
              <w:right w:w="15" w:type="dxa"/>
            </w:tcMar>
            <w:vAlign w:val="bottom"/>
            <w:hideMark/>
          </w:tcPr>
          <w:p w14:paraId="21F544E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6FDFCACD" w14:textId="77777777">
        <w:trPr>
          <w:divId w:val="1819489669"/>
          <w:jc w:val="center"/>
        </w:trPr>
        <w:tc>
          <w:tcPr>
            <w:tcW w:w="3273" w:type="pct"/>
            <w:shd w:val="clear" w:color="auto" w:fill="CFF0FC"/>
            <w:tcMar>
              <w:top w:w="15" w:type="dxa"/>
              <w:left w:w="0" w:type="dxa"/>
              <w:bottom w:w="0" w:type="dxa"/>
              <w:right w:w="15" w:type="dxa"/>
            </w:tcMar>
            <w:vAlign w:val="bottom"/>
            <w:hideMark/>
          </w:tcPr>
          <w:p w14:paraId="1E7182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Interest expense</w:t>
            </w:r>
          </w:p>
        </w:tc>
        <w:tc>
          <w:tcPr>
            <w:tcW w:w="79" w:type="pct"/>
            <w:shd w:val="clear" w:color="auto" w:fill="CFF0FC"/>
            <w:tcMar>
              <w:top w:w="15" w:type="dxa"/>
              <w:left w:w="0" w:type="dxa"/>
              <w:bottom w:w="0" w:type="dxa"/>
              <w:right w:w="15" w:type="dxa"/>
            </w:tcMar>
            <w:vAlign w:val="bottom"/>
            <w:hideMark/>
          </w:tcPr>
          <w:p w14:paraId="03B14A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37A5EE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4898969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(2,082</w:t>
            </w:r>
          </w:p>
        </w:tc>
        <w:tc>
          <w:tcPr>
            <w:tcW w:w="50" w:type="pct"/>
            <w:shd w:val="clear" w:color="auto" w:fill="CFF0FC"/>
            <w:noWrap/>
            <w:tcMar>
              <w:top w:w="15" w:type="dxa"/>
              <w:left w:w="0" w:type="dxa"/>
              <w:bottom w:w="0" w:type="dxa"/>
              <w:right w:w="15" w:type="dxa"/>
            </w:tcMar>
            <w:vAlign w:val="bottom"/>
            <w:hideMark/>
          </w:tcPr>
          <w:p w14:paraId="20D61FA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left w:w="0" w:type="dxa"/>
              <w:bottom w:w="0" w:type="dxa"/>
              <w:right w:w="15" w:type="dxa"/>
            </w:tcMar>
            <w:vAlign w:val="bottom"/>
            <w:hideMark/>
          </w:tcPr>
          <w:p w14:paraId="518953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C4551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2A5F108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(2,025</w:t>
            </w:r>
          </w:p>
        </w:tc>
        <w:tc>
          <w:tcPr>
            <w:tcW w:w="50" w:type="pct"/>
            <w:shd w:val="clear" w:color="auto" w:fill="CFF0FC"/>
            <w:noWrap/>
            <w:tcMar>
              <w:top w:w="15" w:type="dxa"/>
              <w:left w:w="0" w:type="dxa"/>
              <w:bottom w:w="0" w:type="dxa"/>
              <w:right w:w="15" w:type="dxa"/>
            </w:tcMar>
            <w:vAlign w:val="bottom"/>
            <w:hideMark/>
          </w:tcPr>
          <w:p w14:paraId="1C096DE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left w:w="0" w:type="dxa"/>
              <w:bottom w:w="0" w:type="dxa"/>
              <w:right w:w="15" w:type="dxa"/>
            </w:tcMar>
            <w:vAlign w:val="bottom"/>
            <w:hideMark/>
          </w:tcPr>
          <w:p w14:paraId="30C9D1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96941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shd w:val="clear" w:color="auto" w:fill="CFF0FC"/>
            <w:noWrap/>
            <w:tcMar>
              <w:top w:w="15" w:type="dxa"/>
              <w:left w:w="0" w:type="dxa"/>
              <w:bottom w:w="0" w:type="dxa"/>
              <w:right w:w="15" w:type="dxa"/>
            </w:tcMar>
            <w:vAlign w:val="bottom"/>
            <w:hideMark/>
          </w:tcPr>
          <w:p w14:paraId="6613C20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(1,798</w:t>
            </w:r>
          </w:p>
        </w:tc>
        <w:tc>
          <w:tcPr>
            <w:tcW w:w="50" w:type="pct"/>
            <w:shd w:val="clear" w:color="auto" w:fill="CFF0FC"/>
            <w:noWrap/>
            <w:tcMar>
              <w:top w:w="15" w:type="dxa"/>
              <w:left w:w="0" w:type="dxa"/>
              <w:bottom w:w="0" w:type="dxa"/>
              <w:right w:w="15" w:type="dxa"/>
            </w:tcMar>
            <w:vAlign w:val="bottom"/>
            <w:hideMark/>
          </w:tcPr>
          <w:p w14:paraId="1F07233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251D72" w14:paraId="4E406577" w14:textId="77777777">
        <w:trPr>
          <w:divId w:val="1819489669"/>
          <w:jc w:val="center"/>
        </w:trPr>
        <w:tc>
          <w:tcPr>
            <w:tcW w:w="3273" w:type="pct"/>
            <w:shd w:val="clear" w:color="auto" w:fill="FFFFFF"/>
            <w:tcMar>
              <w:top w:w="15" w:type="dxa"/>
              <w:left w:w="0" w:type="dxa"/>
              <w:bottom w:w="0" w:type="dxa"/>
              <w:right w:w="15" w:type="dxa"/>
            </w:tcMar>
            <w:vAlign w:val="bottom"/>
            <w:hideMark/>
          </w:tcPr>
          <w:p w14:paraId="77740D0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Non-operating income, net</w:t>
            </w:r>
          </w:p>
        </w:tc>
        <w:tc>
          <w:tcPr>
            <w:tcW w:w="79" w:type="pct"/>
            <w:shd w:val="clear" w:color="auto" w:fill="FFFFFF"/>
            <w:tcMar>
              <w:top w:w="15" w:type="dxa"/>
              <w:left w:w="0" w:type="dxa"/>
              <w:bottom w:w="0" w:type="dxa"/>
              <w:right w:w="15" w:type="dxa"/>
            </w:tcMar>
            <w:vAlign w:val="bottom"/>
            <w:hideMark/>
          </w:tcPr>
          <w:p w14:paraId="3A25082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9B5CF8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0EE82DD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815</w:t>
            </w:r>
          </w:p>
        </w:tc>
        <w:tc>
          <w:tcPr>
            <w:tcW w:w="50" w:type="pct"/>
            <w:shd w:val="clear" w:color="auto" w:fill="FFFFFF"/>
            <w:noWrap/>
            <w:tcMar>
              <w:top w:w="15" w:type="dxa"/>
              <w:left w:w="0" w:type="dxa"/>
              <w:bottom w:w="0" w:type="dxa"/>
              <w:right w:w="15" w:type="dxa"/>
            </w:tcMar>
            <w:vAlign w:val="bottom"/>
            <w:hideMark/>
          </w:tcPr>
          <w:p w14:paraId="7C334DD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573F49C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1FDB17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6C8D936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1,185</w:t>
            </w:r>
          </w:p>
        </w:tc>
        <w:tc>
          <w:tcPr>
            <w:tcW w:w="50" w:type="pct"/>
            <w:shd w:val="clear" w:color="auto" w:fill="FFFFFF"/>
            <w:noWrap/>
            <w:tcMar>
              <w:top w:w="15" w:type="dxa"/>
              <w:left w:w="0" w:type="dxa"/>
              <w:bottom w:w="0" w:type="dxa"/>
              <w:right w:w="15" w:type="dxa"/>
            </w:tcMar>
            <w:vAlign w:val="bottom"/>
            <w:hideMark/>
          </w:tcPr>
          <w:p w14:paraId="0E5C64E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0996E7D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D486C8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5E797AC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565</w:t>
            </w:r>
          </w:p>
        </w:tc>
        <w:tc>
          <w:tcPr>
            <w:tcW w:w="50" w:type="pct"/>
            <w:shd w:val="clear" w:color="auto" w:fill="FFFFFF"/>
            <w:noWrap/>
            <w:tcMar>
              <w:top w:w="15" w:type="dxa"/>
              <w:left w:w="0" w:type="dxa"/>
              <w:bottom w:w="0" w:type="dxa"/>
              <w:right w:w="15" w:type="dxa"/>
            </w:tcMar>
            <w:vAlign w:val="bottom"/>
            <w:hideMark/>
          </w:tcPr>
          <w:p w14:paraId="7568BDA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16CC7690" w14:textId="77777777">
        <w:trPr>
          <w:divId w:val="1819489669"/>
          <w:jc w:val="center"/>
        </w:trPr>
        <w:tc>
          <w:tcPr>
            <w:tcW w:w="3273" w:type="pct"/>
            <w:shd w:val="clear" w:color="auto" w:fill="CFF0FC"/>
            <w:tcMar>
              <w:top w:w="15" w:type="dxa"/>
              <w:left w:w="0" w:type="dxa"/>
              <w:bottom w:w="0" w:type="dxa"/>
              <w:right w:w="15" w:type="dxa"/>
            </w:tcMar>
            <w:vAlign w:val="bottom"/>
            <w:hideMark/>
          </w:tcPr>
          <w:p w14:paraId="17817042"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Income before provision for income taxes</w:t>
            </w:r>
          </w:p>
        </w:tc>
        <w:tc>
          <w:tcPr>
            <w:tcW w:w="79" w:type="pct"/>
            <w:shd w:val="clear" w:color="auto" w:fill="CFF0FC"/>
            <w:tcMar>
              <w:top w:w="15" w:type="dxa"/>
              <w:left w:w="0" w:type="dxa"/>
              <w:bottom w:w="0" w:type="dxa"/>
              <w:right w:w="15" w:type="dxa"/>
            </w:tcMar>
            <w:vAlign w:val="bottom"/>
            <w:hideMark/>
          </w:tcPr>
          <w:p w14:paraId="5BBC48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2D9D6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FBD7C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12,268</w:t>
            </w:r>
          </w:p>
        </w:tc>
        <w:tc>
          <w:tcPr>
            <w:tcW w:w="50" w:type="pct"/>
            <w:shd w:val="clear" w:color="auto" w:fill="CFF0FC"/>
            <w:noWrap/>
            <w:tcMar>
              <w:top w:w="15" w:type="dxa"/>
              <w:left w:w="0" w:type="dxa"/>
              <w:bottom w:w="0" w:type="dxa"/>
              <w:right w:w="15" w:type="dxa"/>
            </w:tcMar>
            <w:vAlign w:val="bottom"/>
            <w:hideMark/>
          </w:tcPr>
          <w:p w14:paraId="3190B31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1733917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602B5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46C844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12,424</w:t>
            </w:r>
          </w:p>
        </w:tc>
        <w:tc>
          <w:tcPr>
            <w:tcW w:w="50" w:type="pct"/>
            <w:shd w:val="clear" w:color="auto" w:fill="CFF0FC"/>
            <w:noWrap/>
            <w:tcMar>
              <w:top w:w="15" w:type="dxa"/>
              <w:left w:w="0" w:type="dxa"/>
              <w:bottom w:w="0" w:type="dxa"/>
              <w:right w:w="15" w:type="dxa"/>
            </w:tcMar>
            <w:vAlign w:val="bottom"/>
            <w:hideMark/>
          </w:tcPr>
          <w:p w14:paraId="021B441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6B0F743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EAC16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0B097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11,680</w:t>
            </w:r>
          </w:p>
        </w:tc>
        <w:tc>
          <w:tcPr>
            <w:tcW w:w="50" w:type="pct"/>
            <w:shd w:val="clear" w:color="auto" w:fill="CFF0FC"/>
            <w:noWrap/>
            <w:tcMar>
              <w:top w:w="15" w:type="dxa"/>
              <w:left w:w="0" w:type="dxa"/>
              <w:bottom w:w="0" w:type="dxa"/>
              <w:right w:w="15" w:type="dxa"/>
            </w:tcMar>
            <w:vAlign w:val="bottom"/>
            <w:hideMark/>
          </w:tcPr>
          <w:p w14:paraId="617669FA"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CED2484"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31C1751A" w14:textId="77777777">
        <w:tc>
          <w:tcPr>
            <w:tcW w:w="192" w:type="pct"/>
            <w:noWrap/>
            <w:hideMark/>
          </w:tcPr>
          <w:p w14:paraId="709EAA40"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11F65256"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color w:val="000000"/>
                <w:sz w:val="15"/>
                <w:szCs w:val="15"/>
              </w:rPr>
              <w:t xml:space="preserve">Cloud and license revenues presented for management reporting included revenues related to cloud and license obligations that would have otherwise been recorded by the acquired businesses as independent entities but were not recognized in our consolidated statements of operations for the periods presented due to business combination accounting requirements. See Note 9 for an explanation of these adjustments and this table for a reconciliation of our total operating segment revenues to our total revenues as reported in our consolidated statements of operations. </w:t>
            </w:r>
          </w:p>
        </w:tc>
      </w:tr>
    </w:tbl>
    <w:p w14:paraId="65B62156" w14:textId="77777777" w:rsidR="00251D72" w:rsidRDefault="00251D72">
      <w:pPr>
        <w:pStyle w:val="a3"/>
        <w:spacing w:before="240" w:beforeAutospacing="0" w:after="120" w:afterAutospacing="0"/>
        <w:jc w:val="both"/>
        <w:rPr>
          <w:rFonts w:ascii="Calibri" w:hAnsi="Calibri" w:cs="Calibri"/>
          <w:b/>
          <w:bCs/>
          <w:color w:val="000000"/>
          <w:sz w:val="20"/>
          <w:szCs w:val="20"/>
        </w:rPr>
      </w:pPr>
      <w:r>
        <w:rPr>
          <w:rFonts w:ascii="Calibri" w:hAnsi="Calibri" w:cs="Calibri"/>
          <w:b/>
          <w:bCs/>
          <w:color w:val="000000"/>
          <w:sz w:val="20"/>
          <w:szCs w:val="20"/>
        </w:rPr>
        <w:t>Disaggregation of Revenues</w:t>
      </w:r>
    </w:p>
    <w:p w14:paraId="1729D79B" w14:textId="77777777" w:rsidR="00251D72" w:rsidRDefault="00251D72">
      <w:pPr>
        <w:pStyle w:val="a3"/>
        <w:spacing w:before="40" w:beforeAutospacing="0" w:after="120" w:afterAutospacing="0"/>
        <w:jc w:val="both"/>
        <w:rPr>
          <w:rFonts w:ascii="Calibri" w:hAnsi="Calibri" w:cs="Calibri"/>
          <w:color w:val="000000"/>
          <w:sz w:val="20"/>
          <w:szCs w:val="20"/>
        </w:rPr>
      </w:pPr>
      <w:r>
        <w:rPr>
          <w:rFonts w:ascii="Calibri" w:hAnsi="Calibri" w:cs="Calibri"/>
          <w:color w:val="000000"/>
          <w:sz w:val="20"/>
          <w:szCs w:val="20"/>
        </w:rPr>
        <w:t>We have considered information that is regularly reviewed by our CODMs in evaluating financial performance, and disclosures presented outside of our financial statements in our earnings releases and used in investor presentations to disaggregate revenues to depict how the nature, amount, timing and uncertainty of revenues and cash flows are affected by economic factors. The principal category we use to disaggregate revenues is the nature of our products and services as presented in our consolidated statements of operations.</w:t>
      </w:r>
    </w:p>
    <w:p w14:paraId="3B411659" w14:textId="77777777" w:rsidR="00251D72" w:rsidRDefault="00251D72">
      <w:pPr>
        <w:pStyle w:val="a3"/>
        <w:spacing w:before="40" w:beforeAutospacing="0" w:after="120" w:afterAutospacing="0"/>
        <w:jc w:val="both"/>
        <w:rPr>
          <w:rFonts w:ascii="Calibri" w:hAnsi="Calibri" w:cs="Calibri"/>
          <w:color w:val="000000"/>
          <w:sz w:val="20"/>
          <w:szCs w:val="20"/>
        </w:rPr>
      </w:pPr>
      <w:r>
        <w:rPr>
          <w:rFonts w:ascii="Calibri" w:hAnsi="Calibri" w:cs="Calibri"/>
          <w:color w:val="000000"/>
          <w:sz w:val="20"/>
          <w:szCs w:val="20"/>
        </w:rPr>
        <w:t>The following table is a summary of our total revenues by geographic region. The relative proportion of our total revenues between each geographic region as presented in the table below was materially consistent across each of our operating segments’ revenues for each of fiscal 2019, 2018 and 2017:</w:t>
      </w:r>
    </w:p>
    <w:tbl>
      <w:tblPr>
        <w:tblW w:w="5000" w:type="pct"/>
        <w:jc w:val="center"/>
        <w:tblCellMar>
          <w:left w:w="0" w:type="dxa"/>
          <w:right w:w="0" w:type="dxa"/>
        </w:tblCellMar>
        <w:tblLook w:val="04A0" w:firstRow="1" w:lastRow="0" w:firstColumn="1" w:lastColumn="0" w:noHBand="0" w:noVBand="1"/>
      </w:tblPr>
      <w:tblGrid>
        <w:gridCol w:w="5429"/>
        <w:gridCol w:w="121"/>
        <w:gridCol w:w="117"/>
        <w:gridCol w:w="648"/>
        <w:gridCol w:w="73"/>
        <w:gridCol w:w="121"/>
        <w:gridCol w:w="117"/>
        <w:gridCol w:w="648"/>
        <w:gridCol w:w="73"/>
        <w:gridCol w:w="121"/>
        <w:gridCol w:w="117"/>
        <w:gridCol w:w="648"/>
        <w:gridCol w:w="73"/>
      </w:tblGrid>
      <w:tr w:rsidR="00251D72" w14:paraId="2CF00127" w14:textId="77777777">
        <w:trPr>
          <w:divId w:val="1307130620"/>
          <w:jc w:val="center"/>
        </w:trPr>
        <w:tc>
          <w:tcPr>
            <w:tcW w:w="3273" w:type="pct"/>
            <w:shd w:val="clear" w:color="auto" w:fill="FFFFFF"/>
            <w:tcMar>
              <w:top w:w="15" w:type="dxa"/>
              <w:left w:w="0" w:type="dxa"/>
              <w:bottom w:w="0" w:type="dxa"/>
              <w:right w:w="15" w:type="dxa"/>
            </w:tcMar>
            <w:vAlign w:val="bottom"/>
            <w:hideMark/>
          </w:tcPr>
          <w:p w14:paraId="4B032148" w14:textId="77777777" w:rsidR="00251D72" w:rsidRDefault="00251D72">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5220B5E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6" w:type="pct"/>
            <w:gridSpan w:val="10"/>
            <w:tcBorders>
              <w:bottom w:val="single" w:sz="6" w:space="0" w:color="000000"/>
            </w:tcBorders>
            <w:shd w:val="clear" w:color="auto" w:fill="FFFFFF"/>
            <w:tcMar>
              <w:top w:w="15" w:type="dxa"/>
              <w:left w:w="0" w:type="dxa"/>
              <w:bottom w:w="0" w:type="dxa"/>
              <w:right w:w="15" w:type="dxa"/>
            </w:tcMar>
            <w:vAlign w:val="bottom"/>
            <w:hideMark/>
          </w:tcPr>
          <w:p w14:paraId="4BEF243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304D9F9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79E26579" w14:textId="77777777">
        <w:trPr>
          <w:divId w:val="1307130620"/>
          <w:jc w:val="center"/>
        </w:trPr>
        <w:tc>
          <w:tcPr>
            <w:tcW w:w="3273" w:type="pct"/>
            <w:tcBorders>
              <w:bottom w:val="single" w:sz="6" w:space="0" w:color="000000"/>
            </w:tcBorders>
            <w:shd w:val="clear" w:color="auto" w:fill="FFFFFF"/>
            <w:tcMar>
              <w:top w:w="15" w:type="dxa"/>
              <w:left w:w="0" w:type="dxa"/>
              <w:bottom w:w="0" w:type="dxa"/>
              <w:right w:w="15" w:type="dxa"/>
            </w:tcMar>
            <w:vAlign w:val="bottom"/>
            <w:hideMark/>
          </w:tcPr>
          <w:p w14:paraId="0E690FD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left w:w="0" w:type="dxa"/>
              <w:bottom w:w="0" w:type="dxa"/>
              <w:right w:w="15" w:type="dxa"/>
            </w:tcMar>
            <w:vAlign w:val="bottom"/>
            <w:hideMark/>
          </w:tcPr>
          <w:p w14:paraId="6F912FF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FEA5C3E"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CE188D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034C9E6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D6531D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E35612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00DC8BBB" w14:textId="77777777" w:rsidR="00251D72" w:rsidRDefault="00251D72">
            <w:pPr>
              <w:pStyle w:val="a3"/>
              <w:spacing w:before="0" w:beforeAutospacing="0" w:after="0" w:afterAutospacing="0"/>
              <w:rPr>
                <w:b/>
                <w:bCs/>
                <w:color w:val="000000"/>
                <w:sz w:val="15"/>
                <w:szCs w:val="15"/>
              </w:rPr>
            </w:pPr>
            <w:r>
              <w:rPr>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E93CC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39CC9E5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0504DEA" w14:textId="77777777">
        <w:trPr>
          <w:divId w:val="1307130620"/>
          <w:jc w:val="center"/>
        </w:trPr>
        <w:tc>
          <w:tcPr>
            <w:tcW w:w="3273" w:type="pct"/>
            <w:tcBorders>
              <w:top w:val="single" w:sz="6" w:space="0" w:color="000000"/>
            </w:tcBorders>
            <w:shd w:val="clear" w:color="auto" w:fill="CFF0FC"/>
            <w:tcMar>
              <w:top w:w="15" w:type="dxa"/>
              <w:left w:w="0" w:type="dxa"/>
              <w:bottom w:w="0" w:type="dxa"/>
              <w:right w:w="15" w:type="dxa"/>
            </w:tcMar>
            <w:hideMark/>
          </w:tcPr>
          <w:p w14:paraId="7D5BC59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79" w:type="pct"/>
            <w:shd w:val="clear" w:color="auto" w:fill="CFF0FC"/>
            <w:tcMar>
              <w:top w:w="15" w:type="dxa"/>
              <w:left w:w="0" w:type="dxa"/>
              <w:bottom w:w="0" w:type="dxa"/>
              <w:right w:w="15" w:type="dxa"/>
            </w:tcMar>
            <w:vAlign w:val="bottom"/>
            <w:hideMark/>
          </w:tcPr>
          <w:p w14:paraId="44B8552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EA67EA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0456625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21,856</w:t>
            </w:r>
          </w:p>
        </w:tc>
        <w:tc>
          <w:tcPr>
            <w:tcW w:w="50" w:type="pct"/>
            <w:shd w:val="clear" w:color="auto" w:fill="CFF0FC"/>
            <w:noWrap/>
            <w:tcMar>
              <w:top w:w="15" w:type="dxa"/>
              <w:left w:w="0" w:type="dxa"/>
              <w:bottom w:w="0" w:type="dxa"/>
              <w:right w:w="15" w:type="dxa"/>
            </w:tcMar>
            <w:vAlign w:val="bottom"/>
            <w:hideMark/>
          </w:tcPr>
          <w:p w14:paraId="0107F6D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2994FE9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F74C4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513552C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21,648</w:t>
            </w:r>
          </w:p>
        </w:tc>
        <w:tc>
          <w:tcPr>
            <w:tcW w:w="50" w:type="pct"/>
            <w:shd w:val="clear" w:color="auto" w:fill="CFF0FC"/>
            <w:noWrap/>
            <w:tcMar>
              <w:top w:w="15" w:type="dxa"/>
              <w:left w:w="0" w:type="dxa"/>
              <w:bottom w:w="0" w:type="dxa"/>
              <w:right w:w="15" w:type="dxa"/>
            </w:tcMar>
            <w:vAlign w:val="bottom"/>
            <w:hideMark/>
          </w:tcPr>
          <w:p w14:paraId="05B6B4A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4D3D4242" w14:textId="77777777" w:rsidR="00251D72" w:rsidRDefault="00251D7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23C4C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7140E83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21,121</w:t>
            </w:r>
          </w:p>
        </w:tc>
        <w:tc>
          <w:tcPr>
            <w:tcW w:w="50" w:type="pct"/>
            <w:shd w:val="clear" w:color="auto" w:fill="CFF0FC"/>
            <w:noWrap/>
            <w:tcMar>
              <w:top w:w="15" w:type="dxa"/>
              <w:left w:w="0" w:type="dxa"/>
              <w:bottom w:w="0" w:type="dxa"/>
              <w:right w:w="15" w:type="dxa"/>
            </w:tcMar>
            <w:vAlign w:val="bottom"/>
            <w:hideMark/>
          </w:tcPr>
          <w:p w14:paraId="6219BC0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3F1929FF" w14:textId="77777777">
        <w:trPr>
          <w:divId w:val="1307130620"/>
          <w:jc w:val="center"/>
        </w:trPr>
        <w:tc>
          <w:tcPr>
            <w:tcW w:w="3273" w:type="pct"/>
            <w:shd w:val="clear" w:color="auto" w:fill="FFFFFF"/>
            <w:tcMar>
              <w:top w:w="15" w:type="dxa"/>
              <w:left w:w="0" w:type="dxa"/>
              <w:bottom w:w="0" w:type="dxa"/>
              <w:right w:w="15" w:type="dxa"/>
            </w:tcMar>
            <w:hideMark/>
          </w:tcPr>
          <w:p w14:paraId="73C9C1E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vertAlign w:val="superscript"/>
              </w:rPr>
              <w:t>(1)</w:t>
            </w:r>
          </w:p>
        </w:tc>
        <w:tc>
          <w:tcPr>
            <w:tcW w:w="79" w:type="pct"/>
            <w:shd w:val="clear" w:color="auto" w:fill="FFFFFF"/>
            <w:tcMar>
              <w:top w:w="15" w:type="dxa"/>
              <w:left w:w="0" w:type="dxa"/>
              <w:bottom w:w="0" w:type="dxa"/>
              <w:right w:w="15" w:type="dxa"/>
            </w:tcMar>
            <w:vAlign w:val="bottom"/>
            <w:hideMark/>
          </w:tcPr>
          <w:p w14:paraId="1E20A81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DD46D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74F42ADA"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11,270</w:t>
            </w:r>
          </w:p>
        </w:tc>
        <w:tc>
          <w:tcPr>
            <w:tcW w:w="50" w:type="pct"/>
            <w:shd w:val="clear" w:color="auto" w:fill="FFFFFF"/>
            <w:noWrap/>
            <w:tcMar>
              <w:top w:w="15" w:type="dxa"/>
              <w:left w:w="0" w:type="dxa"/>
              <w:bottom w:w="0" w:type="dxa"/>
              <w:right w:w="15" w:type="dxa"/>
            </w:tcMar>
            <w:vAlign w:val="bottom"/>
            <w:hideMark/>
          </w:tcPr>
          <w:p w14:paraId="561CF19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2F6D2C8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A5349B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383F83D7"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11,409</w:t>
            </w:r>
          </w:p>
        </w:tc>
        <w:tc>
          <w:tcPr>
            <w:tcW w:w="50" w:type="pct"/>
            <w:shd w:val="clear" w:color="auto" w:fill="FFFFFF"/>
            <w:noWrap/>
            <w:tcMar>
              <w:top w:w="15" w:type="dxa"/>
              <w:left w:w="0" w:type="dxa"/>
              <w:bottom w:w="0" w:type="dxa"/>
              <w:right w:w="15" w:type="dxa"/>
            </w:tcMar>
            <w:vAlign w:val="bottom"/>
            <w:hideMark/>
          </w:tcPr>
          <w:p w14:paraId="77B195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72CE1E90" w14:textId="77777777" w:rsidR="00251D72" w:rsidRDefault="00251D7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7762D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shd w:val="clear" w:color="auto" w:fill="FFFFFF"/>
            <w:noWrap/>
            <w:tcMar>
              <w:top w:w="15" w:type="dxa"/>
              <w:left w:w="0" w:type="dxa"/>
              <w:bottom w:w="0" w:type="dxa"/>
              <w:right w:w="15" w:type="dxa"/>
            </w:tcMar>
            <w:vAlign w:val="bottom"/>
            <w:hideMark/>
          </w:tcPr>
          <w:p w14:paraId="4717949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10,614</w:t>
            </w:r>
          </w:p>
        </w:tc>
        <w:tc>
          <w:tcPr>
            <w:tcW w:w="50" w:type="pct"/>
            <w:shd w:val="clear" w:color="auto" w:fill="FFFFFF"/>
            <w:noWrap/>
            <w:tcMar>
              <w:top w:w="15" w:type="dxa"/>
              <w:left w:w="0" w:type="dxa"/>
              <w:bottom w:w="0" w:type="dxa"/>
              <w:right w:w="15" w:type="dxa"/>
            </w:tcMar>
            <w:vAlign w:val="bottom"/>
            <w:hideMark/>
          </w:tcPr>
          <w:p w14:paraId="6EAB5CE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5EF14BD" w14:textId="77777777">
        <w:trPr>
          <w:divId w:val="1307130620"/>
          <w:jc w:val="center"/>
        </w:trPr>
        <w:tc>
          <w:tcPr>
            <w:tcW w:w="3273" w:type="pct"/>
            <w:shd w:val="clear" w:color="auto" w:fill="CFF0FC"/>
            <w:tcMar>
              <w:top w:w="15" w:type="dxa"/>
              <w:left w:w="0" w:type="dxa"/>
              <w:bottom w:w="0" w:type="dxa"/>
              <w:right w:w="15" w:type="dxa"/>
            </w:tcMar>
            <w:hideMark/>
          </w:tcPr>
          <w:p w14:paraId="436CE82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p>
        </w:tc>
        <w:tc>
          <w:tcPr>
            <w:tcW w:w="79" w:type="pct"/>
            <w:shd w:val="clear" w:color="auto" w:fill="CFF0FC"/>
            <w:tcMar>
              <w:top w:w="15" w:type="dxa"/>
              <w:left w:w="0" w:type="dxa"/>
              <w:bottom w:w="0" w:type="dxa"/>
              <w:right w:w="15" w:type="dxa"/>
            </w:tcMar>
            <w:vAlign w:val="bottom"/>
            <w:hideMark/>
          </w:tcPr>
          <w:p w14:paraId="4412720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2ACBB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079392E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6,380</w:t>
            </w:r>
          </w:p>
        </w:tc>
        <w:tc>
          <w:tcPr>
            <w:tcW w:w="50" w:type="pct"/>
            <w:shd w:val="clear" w:color="auto" w:fill="CFF0FC"/>
            <w:noWrap/>
            <w:tcMar>
              <w:top w:w="15" w:type="dxa"/>
              <w:left w:w="0" w:type="dxa"/>
              <w:bottom w:w="0" w:type="dxa"/>
              <w:right w:w="15" w:type="dxa"/>
            </w:tcMar>
            <w:vAlign w:val="bottom"/>
            <w:hideMark/>
          </w:tcPr>
          <w:p w14:paraId="43770D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4952499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4DE85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17BABA1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6,326</w:t>
            </w:r>
          </w:p>
        </w:tc>
        <w:tc>
          <w:tcPr>
            <w:tcW w:w="50" w:type="pct"/>
            <w:shd w:val="clear" w:color="auto" w:fill="CFF0FC"/>
            <w:noWrap/>
            <w:tcMar>
              <w:top w:w="15" w:type="dxa"/>
              <w:left w:w="0" w:type="dxa"/>
              <w:bottom w:w="0" w:type="dxa"/>
              <w:right w:w="15" w:type="dxa"/>
            </w:tcMar>
            <w:vAlign w:val="bottom"/>
            <w:hideMark/>
          </w:tcPr>
          <w:p w14:paraId="71824E4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2F02345E" w14:textId="77777777" w:rsidR="00251D72" w:rsidRDefault="00251D7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29FB8B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14:paraId="447E11A8"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6,057</w:t>
            </w:r>
          </w:p>
        </w:tc>
        <w:tc>
          <w:tcPr>
            <w:tcW w:w="50" w:type="pct"/>
            <w:shd w:val="clear" w:color="auto" w:fill="CFF0FC"/>
            <w:noWrap/>
            <w:tcMar>
              <w:top w:w="15" w:type="dxa"/>
              <w:left w:w="0" w:type="dxa"/>
              <w:bottom w:w="0" w:type="dxa"/>
              <w:right w:w="15" w:type="dxa"/>
            </w:tcMar>
            <w:vAlign w:val="bottom"/>
            <w:hideMark/>
          </w:tcPr>
          <w:p w14:paraId="3378375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5F9BD8D5" w14:textId="77777777">
        <w:trPr>
          <w:divId w:val="1307130620"/>
          <w:jc w:val="center"/>
        </w:trPr>
        <w:tc>
          <w:tcPr>
            <w:tcW w:w="3273" w:type="pct"/>
            <w:shd w:val="clear" w:color="auto" w:fill="FFFFFF"/>
            <w:tcMar>
              <w:top w:w="15" w:type="dxa"/>
              <w:left w:w="0" w:type="dxa"/>
              <w:bottom w:w="0" w:type="dxa"/>
              <w:right w:w="15" w:type="dxa"/>
            </w:tcMar>
            <w:hideMark/>
          </w:tcPr>
          <w:p w14:paraId="5FFB693B" w14:textId="77777777" w:rsidR="00251D72" w:rsidRDefault="00251D72">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79" w:type="pct"/>
            <w:shd w:val="clear" w:color="auto" w:fill="FFFFFF"/>
            <w:tcMar>
              <w:top w:w="15" w:type="dxa"/>
              <w:left w:w="0" w:type="dxa"/>
              <w:bottom w:w="0" w:type="dxa"/>
              <w:right w:w="15" w:type="dxa"/>
            </w:tcMar>
            <w:vAlign w:val="bottom"/>
            <w:hideMark/>
          </w:tcPr>
          <w:p w14:paraId="4B00DCB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2041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F900A6F"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39,506</w:t>
            </w:r>
          </w:p>
        </w:tc>
        <w:tc>
          <w:tcPr>
            <w:tcW w:w="50" w:type="pct"/>
            <w:shd w:val="clear" w:color="auto" w:fill="FFFFFF"/>
            <w:noWrap/>
            <w:tcMar>
              <w:top w:w="15" w:type="dxa"/>
              <w:left w:w="0" w:type="dxa"/>
              <w:bottom w:w="0" w:type="dxa"/>
              <w:right w:w="15" w:type="dxa"/>
            </w:tcMar>
            <w:vAlign w:val="bottom"/>
            <w:hideMark/>
          </w:tcPr>
          <w:p w14:paraId="73ED0C7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6804A17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B29FC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A9725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39,383</w:t>
            </w:r>
          </w:p>
        </w:tc>
        <w:tc>
          <w:tcPr>
            <w:tcW w:w="50" w:type="pct"/>
            <w:shd w:val="clear" w:color="auto" w:fill="FFFFFF"/>
            <w:noWrap/>
            <w:tcMar>
              <w:top w:w="15" w:type="dxa"/>
              <w:left w:w="0" w:type="dxa"/>
              <w:bottom w:w="0" w:type="dxa"/>
              <w:right w:w="15" w:type="dxa"/>
            </w:tcMar>
            <w:vAlign w:val="bottom"/>
            <w:hideMark/>
          </w:tcPr>
          <w:p w14:paraId="36931DB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44E6AC5F" w14:textId="77777777" w:rsidR="00251D72" w:rsidRDefault="00251D7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6FA4A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0BB8D0"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37,792</w:t>
            </w:r>
          </w:p>
        </w:tc>
        <w:tc>
          <w:tcPr>
            <w:tcW w:w="50" w:type="pct"/>
            <w:shd w:val="clear" w:color="auto" w:fill="FFFFFF"/>
            <w:noWrap/>
            <w:tcMar>
              <w:top w:w="15" w:type="dxa"/>
              <w:left w:w="0" w:type="dxa"/>
              <w:bottom w:w="0" w:type="dxa"/>
              <w:right w:w="15" w:type="dxa"/>
            </w:tcMar>
            <w:vAlign w:val="bottom"/>
            <w:hideMark/>
          </w:tcPr>
          <w:p w14:paraId="7ABDD4DB"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8DA4635" w14:textId="77777777" w:rsidR="00251D72" w:rsidRDefault="00251D72">
      <w:pPr>
        <w:pStyle w:val="a3"/>
        <w:pBdr>
          <w:bottom w:val="single" w:sz="6" w:space="1" w:color="auto"/>
        </w:pBdr>
        <w:spacing w:before="0" w:beforeAutospacing="0" w:after="0" w:afterAutospacing="0"/>
        <w:ind w:right="10953"/>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533785C4" w14:textId="77777777">
        <w:tc>
          <w:tcPr>
            <w:tcW w:w="192" w:type="pct"/>
            <w:noWrap/>
            <w:hideMark/>
          </w:tcPr>
          <w:p w14:paraId="68C44F7F"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4E2A98DF" w14:textId="77777777" w:rsidR="00251D72" w:rsidRDefault="00251D72">
            <w:pPr>
              <w:pStyle w:val="a3"/>
              <w:spacing w:before="40" w:beforeAutospacing="0" w:after="0" w:afterAutospacing="0"/>
              <w:jc w:val="both"/>
              <w:rPr>
                <w:rFonts w:ascii="Calibri" w:hAnsi="Calibri" w:cs="Calibri"/>
                <w:sz w:val="15"/>
                <w:szCs w:val="15"/>
              </w:rPr>
            </w:pPr>
            <w:bookmarkStart w:id="156" w:name="_Hlk8052652"/>
            <w:bookmarkEnd w:id="156"/>
            <w:r>
              <w:rPr>
                <w:rFonts w:ascii="Calibri" w:hAnsi="Calibri" w:cs="Calibri"/>
                <w:color w:val="000000"/>
                <w:sz w:val="15"/>
                <w:szCs w:val="15"/>
              </w:rPr>
              <w:t>Comprised of Europe, the Middle East and Africa</w:t>
            </w:r>
            <w:r>
              <w:rPr>
                <w:rFonts w:ascii="Calibri" w:hAnsi="Calibri" w:cs="Calibri"/>
                <w:sz w:val="15"/>
                <w:szCs w:val="15"/>
              </w:rPr>
              <w:t>  </w:t>
            </w:r>
          </w:p>
        </w:tc>
      </w:tr>
    </w:tbl>
    <w:p w14:paraId="1413997B"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113</w:t>
      </w:r>
    </w:p>
    <w:p w14:paraId="4EF3BF07" w14:textId="77777777" w:rsidR="00251D72" w:rsidRDefault="00251D72">
      <w:pPr>
        <w:rPr>
          <w:rFonts w:ascii="Times New Roman" w:eastAsia="Times New Roman" w:hAnsi="Times New Roman" w:cs="Times New Roman"/>
          <w:sz w:val="24"/>
          <w:szCs w:val="24"/>
        </w:rPr>
      </w:pPr>
      <w:r>
        <w:rPr>
          <w:rFonts w:eastAsia="Times New Roman"/>
        </w:rPr>
        <w:pict w14:anchorId="568B96F1">
          <v:rect id="_x0000_i1139" style="width:415.3pt;height:1.5pt" o:hralign="center" o:hrstd="t" o:hr="t" fillcolor="#a0a0a0" stroked="f"/>
        </w:pict>
      </w:r>
    </w:p>
    <w:p w14:paraId="77F443FC"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0E10F95"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051FBCD8"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D9C6BBC"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64DDC6CA"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2B2015C4" w14:textId="77777777" w:rsidR="00251D72" w:rsidRDefault="00251D72">
      <w:pPr>
        <w:pStyle w:val="a3"/>
        <w:spacing w:before="0" w:beforeAutospacing="0" w:after="0" w:afterAutospacing="0"/>
        <w:rPr>
          <w:sz w:val="20"/>
          <w:szCs w:val="20"/>
        </w:rPr>
      </w:pPr>
      <w:r>
        <w:rPr>
          <w:sz w:val="20"/>
          <w:szCs w:val="20"/>
        </w:rPr>
        <w:t> </w:t>
      </w:r>
    </w:p>
    <w:p w14:paraId="08EFC6A4" w14:textId="77777777" w:rsidR="00251D72" w:rsidRDefault="00251D72">
      <w:pPr>
        <w:pStyle w:val="a3"/>
        <w:spacing w:before="120" w:beforeAutospacing="0" w:after="0" w:afterAutospacing="0"/>
        <w:jc w:val="both"/>
        <w:rPr>
          <w:rFonts w:ascii="Calibri" w:hAnsi="Calibri" w:cs="Calibri"/>
          <w:color w:val="000000"/>
          <w:sz w:val="20"/>
          <w:szCs w:val="20"/>
        </w:rPr>
      </w:pPr>
      <w:bookmarkStart w:id="157" w:name="_AEIOULastRenderedPageBreakAEIOU116"/>
      <w:bookmarkEnd w:id="157"/>
      <w:r>
        <w:rPr>
          <w:rFonts w:ascii="Calibri" w:hAnsi="Calibri" w:cs="Calibri"/>
          <w:color w:val="000000"/>
          <w:sz w:val="20"/>
          <w:szCs w:val="20"/>
        </w:rPr>
        <w:t>The following table presents a summary of our cloud and license business revenues by ecosystem.</w:t>
      </w:r>
      <w:r>
        <w:rPr>
          <w:color w:val="000000"/>
          <w:sz w:val="20"/>
          <w:szCs w:val="20"/>
        </w:rPr>
        <w:t> </w:t>
      </w:r>
      <w:r>
        <w:rPr>
          <w:rFonts w:ascii="Calibri" w:hAnsi="Calibri" w:cs="Calibri"/>
          <w:color w:val="000000"/>
          <w:sz w:val="20"/>
          <w:szCs w:val="20"/>
        </w:rPr>
        <w:t>Applications ecosystem revenues represent the sum of applications related cloud services and license support revenues; and applications related license revenues. Infrastructure ecosystem revenues represent the sum of infrastructure related cloud services and license support revenues; and infrastructure related license revenues.</w:t>
      </w:r>
    </w:p>
    <w:p w14:paraId="71A42B29" w14:textId="77777777" w:rsidR="00251D72" w:rsidRDefault="00251D72">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432"/>
        <w:gridCol w:w="124"/>
        <w:gridCol w:w="107"/>
        <w:gridCol w:w="651"/>
        <w:gridCol w:w="76"/>
        <w:gridCol w:w="124"/>
        <w:gridCol w:w="107"/>
        <w:gridCol w:w="651"/>
        <w:gridCol w:w="76"/>
        <w:gridCol w:w="124"/>
        <w:gridCol w:w="107"/>
        <w:gridCol w:w="651"/>
        <w:gridCol w:w="76"/>
      </w:tblGrid>
      <w:tr w:rsidR="00251D72" w14:paraId="78B97BB8" w14:textId="77777777">
        <w:trPr>
          <w:divId w:val="578253817"/>
          <w:jc w:val="center"/>
        </w:trPr>
        <w:tc>
          <w:tcPr>
            <w:tcW w:w="3273" w:type="pct"/>
            <w:shd w:val="clear" w:color="auto" w:fill="FFFFFF"/>
            <w:tcMar>
              <w:top w:w="15" w:type="dxa"/>
              <w:left w:w="0" w:type="dxa"/>
              <w:bottom w:w="0" w:type="dxa"/>
              <w:right w:w="15" w:type="dxa"/>
            </w:tcMar>
            <w:vAlign w:val="bottom"/>
            <w:hideMark/>
          </w:tcPr>
          <w:p w14:paraId="4218BCD4" w14:textId="77777777" w:rsidR="00251D72" w:rsidRDefault="00251D72">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4A10F17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96" w:type="pct"/>
            <w:gridSpan w:val="10"/>
            <w:tcBorders>
              <w:bottom w:val="single" w:sz="6" w:space="0" w:color="000000"/>
            </w:tcBorders>
            <w:shd w:val="clear" w:color="auto" w:fill="FFFFFF"/>
            <w:tcMar>
              <w:top w:w="15" w:type="dxa"/>
              <w:left w:w="0" w:type="dxa"/>
              <w:bottom w:w="0" w:type="dxa"/>
              <w:right w:w="15" w:type="dxa"/>
            </w:tcMar>
            <w:vAlign w:val="bottom"/>
            <w:hideMark/>
          </w:tcPr>
          <w:p w14:paraId="070B99D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631A083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4DD9FB6" w14:textId="77777777">
        <w:trPr>
          <w:divId w:val="578253817"/>
          <w:jc w:val="center"/>
        </w:trPr>
        <w:tc>
          <w:tcPr>
            <w:tcW w:w="3273" w:type="pct"/>
            <w:tcBorders>
              <w:bottom w:val="single" w:sz="6" w:space="0" w:color="000000"/>
            </w:tcBorders>
            <w:shd w:val="clear" w:color="auto" w:fill="FFFFFF"/>
            <w:tcMar>
              <w:top w:w="15" w:type="dxa"/>
              <w:left w:w="0" w:type="dxa"/>
              <w:bottom w:w="0" w:type="dxa"/>
              <w:right w:w="15" w:type="dxa"/>
            </w:tcMar>
            <w:vAlign w:val="bottom"/>
            <w:hideMark/>
          </w:tcPr>
          <w:p w14:paraId="7ECC30F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left w:w="0" w:type="dxa"/>
              <w:bottom w:w="0" w:type="dxa"/>
              <w:right w:w="15" w:type="dxa"/>
            </w:tcMar>
            <w:vAlign w:val="bottom"/>
            <w:hideMark/>
          </w:tcPr>
          <w:p w14:paraId="7A7F359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D37D52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1F9C17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457ED86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E40C4C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5C9EC9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2E85748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D54B6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21BB2DE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36568920" w14:textId="77777777">
        <w:trPr>
          <w:divId w:val="578253817"/>
          <w:jc w:val="center"/>
        </w:trPr>
        <w:tc>
          <w:tcPr>
            <w:tcW w:w="3273" w:type="pct"/>
            <w:tcBorders>
              <w:top w:val="single" w:sz="6" w:space="0" w:color="000000"/>
            </w:tcBorders>
            <w:shd w:val="clear" w:color="auto" w:fill="CFF0FC"/>
            <w:tcMar>
              <w:top w:w="15" w:type="dxa"/>
              <w:left w:w="0" w:type="dxa"/>
              <w:bottom w:w="0" w:type="dxa"/>
              <w:right w:w="15" w:type="dxa"/>
            </w:tcMar>
            <w:vAlign w:val="bottom"/>
            <w:hideMark/>
          </w:tcPr>
          <w:p w14:paraId="6544CEF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Applications revenues</w:t>
            </w:r>
          </w:p>
        </w:tc>
        <w:tc>
          <w:tcPr>
            <w:tcW w:w="79" w:type="pct"/>
            <w:shd w:val="clear" w:color="auto" w:fill="CFF0FC"/>
            <w:tcMar>
              <w:top w:w="15" w:type="dxa"/>
              <w:left w:w="0" w:type="dxa"/>
              <w:bottom w:w="0" w:type="dxa"/>
              <w:right w:w="15" w:type="dxa"/>
            </w:tcMar>
            <w:vAlign w:val="bottom"/>
            <w:hideMark/>
          </w:tcPr>
          <w:p w14:paraId="1BC4253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D42F6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3D2C6C3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11,491</w:t>
            </w:r>
          </w:p>
        </w:tc>
        <w:tc>
          <w:tcPr>
            <w:tcW w:w="50" w:type="pct"/>
            <w:shd w:val="clear" w:color="auto" w:fill="CFF0FC"/>
            <w:noWrap/>
            <w:tcMar>
              <w:top w:w="15" w:type="dxa"/>
              <w:left w:w="0" w:type="dxa"/>
              <w:bottom w:w="0" w:type="dxa"/>
              <w:right w:w="15" w:type="dxa"/>
            </w:tcMar>
            <w:vAlign w:val="bottom"/>
            <w:hideMark/>
          </w:tcPr>
          <w:p w14:paraId="6C418C3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29AC35C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98D90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58C9EBE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11,023</w:t>
            </w:r>
          </w:p>
        </w:tc>
        <w:tc>
          <w:tcPr>
            <w:tcW w:w="50" w:type="pct"/>
            <w:shd w:val="clear" w:color="auto" w:fill="CFF0FC"/>
            <w:noWrap/>
            <w:tcMar>
              <w:top w:w="15" w:type="dxa"/>
              <w:left w:w="0" w:type="dxa"/>
              <w:bottom w:w="0" w:type="dxa"/>
              <w:right w:w="15" w:type="dxa"/>
            </w:tcMar>
            <w:vAlign w:val="bottom"/>
            <w:hideMark/>
          </w:tcPr>
          <w:p w14:paraId="556BF66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29D7AB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DDF30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4AC232F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9,933</w:t>
            </w:r>
          </w:p>
        </w:tc>
        <w:tc>
          <w:tcPr>
            <w:tcW w:w="50" w:type="pct"/>
            <w:shd w:val="clear" w:color="auto" w:fill="CFF0FC"/>
            <w:noWrap/>
            <w:tcMar>
              <w:top w:w="15" w:type="dxa"/>
              <w:left w:w="0" w:type="dxa"/>
              <w:bottom w:w="0" w:type="dxa"/>
              <w:right w:w="15" w:type="dxa"/>
            </w:tcMar>
            <w:vAlign w:val="bottom"/>
            <w:hideMark/>
          </w:tcPr>
          <w:p w14:paraId="1729B6C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BFE4D9A" w14:textId="77777777">
        <w:trPr>
          <w:divId w:val="578253817"/>
          <w:jc w:val="center"/>
        </w:trPr>
        <w:tc>
          <w:tcPr>
            <w:tcW w:w="3273" w:type="pct"/>
            <w:shd w:val="clear" w:color="auto" w:fill="FFFFFF"/>
            <w:tcMar>
              <w:top w:w="15" w:type="dxa"/>
              <w:left w:w="0" w:type="dxa"/>
              <w:bottom w:w="0" w:type="dxa"/>
              <w:right w:w="15" w:type="dxa"/>
            </w:tcMar>
            <w:vAlign w:val="bottom"/>
            <w:hideMark/>
          </w:tcPr>
          <w:p w14:paraId="30D7625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Infrastructure revenues</w:t>
            </w:r>
          </w:p>
        </w:tc>
        <w:tc>
          <w:tcPr>
            <w:tcW w:w="79" w:type="pct"/>
            <w:shd w:val="clear" w:color="auto" w:fill="FFFFFF"/>
            <w:tcMar>
              <w:top w:w="15" w:type="dxa"/>
              <w:left w:w="0" w:type="dxa"/>
              <w:bottom w:w="0" w:type="dxa"/>
              <w:right w:w="15" w:type="dxa"/>
            </w:tcMar>
            <w:vAlign w:val="bottom"/>
            <w:hideMark/>
          </w:tcPr>
          <w:p w14:paraId="51E5B6D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4A5531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0572720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21,071</w:t>
            </w:r>
          </w:p>
        </w:tc>
        <w:tc>
          <w:tcPr>
            <w:tcW w:w="50" w:type="pct"/>
            <w:shd w:val="clear" w:color="auto" w:fill="FFFFFF"/>
            <w:noWrap/>
            <w:tcMar>
              <w:top w:w="15" w:type="dxa"/>
              <w:left w:w="0" w:type="dxa"/>
              <w:bottom w:w="0" w:type="dxa"/>
              <w:right w:w="15" w:type="dxa"/>
            </w:tcMar>
            <w:vAlign w:val="bottom"/>
            <w:hideMark/>
          </w:tcPr>
          <w:p w14:paraId="128D3F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4FB6AF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6F0D3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7559AE7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20,971</w:t>
            </w:r>
          </w:p>
        </w:tc>
        <w:tc>
          <w:tcPr>
            <w:tcW w:w="50" w:type="pct"/>
            <w:shd w:val="clear" w:color="auto" w:fill="FFFFFF"/>
            <w:noWrap/>
            <w:tcMar>
              <w:top w:w="15" w:type="dxa"/>
              <w:left w:w="0" w:type="dxa"/>
              <w:bottom w:w="0" w:type="dxa"/>
              <w:right w:w="15" w:type="dxa"/>
            </w:tcMar>
            <w:vAlign w:val="bottom"/>
            <w:hideMark/>
          </w:tcPr>
          <w:p w14:paraId="0C872F1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left w:w="0" w:type="dxa"/>
              <w:bottom w:w="0" w:type="dxa"/>
              <w:right w:w="15" w:type="dxa"/>
            </w:tcMar>
            <w:vAlign w:val="bottom"/>
            <w:hideMark/>
          </w:tcPr>
          <w:p w14:paraId="3926B58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D0E3DD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4667B72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20,348</w:t>
            </w:r>
          </w:p>
        </w:tc>
        <w:tc>
          <w:tcPr>
            <w:tcW w:w="50" w:type="pct"/>
            <w:shd w:val="clear" w:color="auto" w:fill="FFFFFF"/>
            <w:noWrap/>
            <w:tcMar>
              <w:top w:w="15" w:type="dxa"/>
              <w:left w:w="0" w:type="dxa"/>
              <w:bottom w:w="0" w:type="dxa"/>
              <w:right w:w="15" w:type="dxa"/>
            </w:tcMar>
            <w:vAlign w:val="bottom"/>
            <w:hideMark/>
          </w:tcPr>
          <w:p w14:paraId="13EB112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5AE7C71" w14:textId="77777777">
        <w:trPr>
          <w:divId w:val="578253817"/>
          <w:jc w:val="center"/>
        </w:trPr>
        <w:tc>
          <w:tcPr>
            <w:tcW w:w="3273" w:type="pct"/>
            <w:shd w:val="clear" w:color="auto" w:fill="CFF0FC"/>
            <w:tcMar>
              <w:top w:w="15" w:type="dxa"/>
              <w:left w:w="0" w:type="dxa"/>
              <w:bottom w:w="0" w:type="dxa"/>
              <w:right w:w="15" w:type="dxa"/>
            </w:tcMar>
            <w:vAlign w:val="bottom"/>
            <w:hideMark/>
          </w:tcPr>
          <w:p w14:paraId="25F3E284" w14:textId="77777777" w:rsidR="00251D72" w:rsidRDefault="00251D72">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 cloud and license revenues</w:t>
            </w:r>
          </w:p>
        </w:tc>
        <w:tc>
          <w:tcPr>
            <w:tcW w:w="79" w:type="pct"/>
            <w:shd w:val="clear" w:color="auto" w:fill="CFF0FC"/>
            <w:tcMar>
              <w:top w:w="15" w:type="dxa"/>
              <w:left w:w="0" w:type="dxa"/>
              <w:bottom w:w="0" w:type="dxa"/>
              <w:right w:w="15" w:type="dxa"/>
            </w:tcMar>
            <w:vAlign w:val="bottom"/>
            <w:hideMark/>
          </w:tcPr>
          <w:p w14:paraId="1845A61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30091E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EAE9F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32,562</w:t>
            </w:r>
          </w:p>
        </w:tc>
        <w:tc>
          <w:tcPr>
            <w:tcW w:w="50" w:type="pct"/>
            <w:shd w:val="clear" w:color="auto" w:fill="CFF0FC"/>
            <w:noWrap/>
            <w:tcMar>
              <w:top w:w="15" w:type="dxa"/>
              <w:left w:w="0" w:type="dxa"/>
              <w:bottom w:w="0" w:type="dxa"/>
              <w:right w:w="15" w:type="dxa"/>
            </w:tcMar>
            <w:vAlign w:val="bottom"/>
            <w:hideMark/>
          </w:tcPr>
          <w:p w14:paraId="5A1EA3C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647D536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6F619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A2CA24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31,994</w:t>
            </w:r>
          </w:p>
        </w:tc>
        <w:tc>
          <w:tcPr>
            <w:tcW w:w="50" w:type="pct"/>
            <w:shd w:val="clear" w:color="auto" w:fill="CFF0FC"/>
            <w:noWrap/>
            <w:tcMar>
              <w:top w:w="15" w:type="dxa"/>
              <w:left w:w="0" w:type="dxa"/>
              <w:bottom w:w="0" w:type="dxa"/>
              <w:right w:w="15" w:type="dxa"/>
            </w:tcMar>
            <w:vAlign w:val="bottom"/>
            <w:hideMark/>
          </w:tcPr>
          <w:p w14:paraId="3D5A565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left w:w="0" w:type="dxa"/>
              <w:bottom w:w="0" w:type="dxa"/>
              <w:right w:w="15" w:type="dxa"/>
            </w:tcMar>
            <w:vAlign w:val="bottom"/>
            <w:hideMark/>
          </w:tcPr>
          <w:p w14:paraId="4DAFD5B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A6ECE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DC2E5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30,281</w:t>
            </w:r>
          </w:p>
        </w:tc>
        <w:tc>
          <w:tcPr>
            <w:tcW w:w="50" w:type="pct"/>
            <w:shd w:val="clear" w:color="auto" w:fill="CFF0FC"/>
            <w:noWrap/>
            <w:tcMar>
              <w:top w:w="15" w:type="dxa"/>
              <w:left w:w="0" w:type="dxa"/>
              <w:bottom w:w="0" w:type="dxa"/>
              <w:right w:w="15" w:type="dxa"/>
            </w:tcMar>
            <w:vAlign w:val="bottom"/>
            <w:hideMark/>
          </w:tcPr>
          <w:p w14:paraId="14E9BAC3"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1E8DE54" w14:textId="77777777" w:rsidR="00251D72" w:rsidRDefault="00251D72">
      <w:pPr>
        <w:pStyle w:val="a3"/>
      </w:pPr>
      <w:r>
        <w:t> </w:t>
      </w:r>
    </w:p>
    <w:p w14:paraId="0DA63035" w14:textId="77777777" w:rsidR="00251D72" w:rsidRDefault="00251D72">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Geographic Information</w:t>
      </w:r>
    </w:p>
    <w:p w14:paraId="3B94261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Disclosed in the table below is geographic information for each country that comprised greater than three percent of our total revenues for any of fiscal 2019, 2018 or 2017.</w:t>
      </w:r>
    </w:p>
    <w:p w14:paraId="3D86FD9A" w14:textId="77777777" w:rsidR="00251D72" w:rsidRDefault="00251D72">
      <w:pPr>
        <w:pStyle w:val="a3"/>
        <w:spacing w:before="0" w:beforeAutospacing="0" w:after="0" w:afterAutospacing="0"/>
        <w:ind w:left="833" w:firstLine="941"/>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2755"/>
        <w:gridCol w:w="120"/>
        <w:gridCol w:w="107"/>
        <w:gridCol w:w="652"/>
        <w:gridCol w:w="72"/>
        <w:gridCol w:w="56"/>
        <w:gridCol w:w="107"/>
        <w:gridCol w:w="708"/>
        <w:gridCol w:w="72"/>
        <w:gridCol w:w="56"/>
        <w:gridCol w:w="107"/>
        <w:gridCol w:w="652"/>
        <w:gridCol w:w="73"/>
        <w:gridCol w:w="56"/>
        <w:gridCol w:w="107"/>
        <w:gridCol w:w="709"/>
        <w:gridCol w:w="73"/>
        <w:gridCol w:w="56"/>
        <w:gridCol w:w="107"/>
        <w:gridCol w:w="641"/>
        <w:gridCol w:w="73"/>
        <w:gridCol w:w="56"/>
        <w:gridCol w:w="107"/>
        <w:gridCol w:w="711"/>
        <w:gridCol w:w="73"/>
      </w:tblGrid>
      <w:tr w:rsidR="00251D72" w14:paraId="22162258" w14:textId="77777777">
        <w:trPr>
          <w:divId w:val="2000691291"/>
          <w:jc w:val="center"/>
        </w:trPr>
        <w:tc>
          <w:tcPr>
            <w:tcW w:w="1664" w:type="pct"/>
            <w:shd w:val="clear" w:color="auto" w:fill="FFFFFF"/>
            <w:tcMar>
              <w:top w:w="15" w:type="dxa"/>
              <w:left w:w="0" w:type="dxa"/>
              <w:bottom w:w="0" w:type="dxa"/>
              <w:right w:w="15" w:type="dxa"/>
            </w:tcMar>
            <w:vAlign w:val="bottom"/>
            <w:hideMark/>
          </w:tcPr>
          <w:p w14:paraId="7EBBD954" w14:textId="77777777" w:rsidR="00251D72" w:rsidRDefault="00251D72">
            <w:pPr>
              <w:pStyle w:val="a3"/>
              <w:spacing w:before="0" w:beforeAutospacing="0" w:after="0" w:afterAutospacing="0"/>
              <w:jc w:val="center"/>
              <w:rPr>
                <w:sz w:val="15"/>
                <w:szCs w:val="15"/>
              </w:rPr>
            </w:pPr>
            <w:r>
              <w:rPr>
                <w:sz w:val="15"/>
                <w:szCs w:val="15"/>
              </w:rPr>
              <w:t> </w:t>
            </w:r>
          </w:p>
        </w:tc>
        <w:tc>
          <w:tcPr>
            <w:tcW w:w="79" w:type="pct"/>
            <w:shd w:val="clear" w:color="auto" w:fill="FFFFFF"/>
            <w:tcMar>
              <w:top w:w="15" w:type="dxa"/>
              <w:left w:w="0" w:type="dxa"/>
              <w:bottom w:w="0" w:type="dxa"/>
              <w:right w:w="15" w:type="dxa"/>
            </w:tcMar>
            <w:vAlign w:val="bottom"/>
            <w:hideMark/>
          </w:tcPr>
          <w:p w14:paraId="078D6A4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205" w:type="pct"/>
            <w:gridSpan w:val="22"/>
            <w:tcBorders>
              <w:bottom w:val="single" w:sz="6" w:space="0" w:color="000000"/>
            </w:tcBorders>
            <w:shd w:val="clear" w:color="auto" w:fill="FFFFFF"/>
            <w:tcMar>
              <w:top w:w="15" w:type="dxa"/>
              <w:left w:w="0" w:type="dxa"/>
              <w:bottom w:w="0" w:type="dxa"/>
              <w:right w:w="15" w:type="dxa"/>
            </w:tcMar>
            <w:vAlign w:val="bottom"/>
            <w:hideMark/>
          </w:tcPr>
          <w:p w14:paraId="5733A5F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of and for the Year Ended May 31,</w:t>
            </w:r>
          </w:p>
        </w:tc>
        <w:tc>
          <w:tcPr>
            <w:tcW w:w="50" w:type="pct"/>
            <w:shd w:val="clear" w:color="auto" w:fill="FFFFFF"/>
            <w:noWrap/>
            <w:tcMar>
              <w:top w:w="15" w:type="dxa"/>
              <w:left w:w="0" w:type="dxa"/>
              <w:bottom w:w="0" w:type="dxa"/>
              <w:right w:w="15" w:type="dxa"/>
            </w:tcMar>
            <w:vAlign w:val="bottom"/>
            <w:hideMark/>
          </w:tcPr>
          <w:p w14:paraId="73731C6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F5927CA" w14:textId="77777777">
        <w:trPr>
          <w:divId w:val="2000691291"/>
          <w:jc w:val="center"/>
        </w:trPr>
        <w:tc>
          <w:tcPr>
            <w:tcW w:w="1664" w:type="pct"/>
            <w:shd w:val="clear" w:color="auto" w:fill="FFFFFF"/>
            <w:tcMar>
              <w:top w:w="15" w:type="dxa"/>
              <w:left w:w="0" w:type="dxa"/>
              <w:bottom w:w="0" w:type="dxa"/>
              <w:right w:w="15" w:type="dxa"/>
            </w:tcMar>
            <w:vAlign w:val="bottom"/>
            <w:hideMark/>
          </w:tcPr>
          <w:p w14:paraId="46304BF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9" w:type="pct"/>
            <w:shd w:val="clear" w:color="auto" w:fill="FFFFFF"/>
            <w:tcMar>
              <w:top w:w="15" w:type="dxa"/>
              <w:left w:w="0" w:type="dxa"/>
              <w:bottom w:w="0" w:type="dxa"/>
              <w:right w:w="15" w:type="dxa"/>
            </w:tcMar>
            <w:vAlign w:val="bottom"/>
            <w:hideMark/>
          </w:tcPr>
          <w:p w14:paraId="45DFB6F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27C342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1EA462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3" w:type="pct"/>
            <w:tcBorders>
              <w:top w:val="single" w:sz="6" w:space="0" w:color="000000"/>
            </w:tcBorders>
            <w:shd w:val="clear" w:color="auto" w:fill="FFFFFF"/>
            <w:tcMar>
              <w:top w:w="15" w:type="dxa"/>
              <w:left w:w="0" w:type="dxa"/>
              <w:bottom w:w="0" w:type="dxa"/>
              <w:right w:w="15" w:type="dxa"/>
            </w:tcMar>
            <w:vAlign w:val="bottom"/>
            <w:hideMark/>
          </w:tcPr>
          <w:p w14:paraId="73928C5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1F436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269465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3" w:type="pct"/>
            <w:tcBorders>
              <w:top w:val="single" w:sz="6" w:space="0" w:color="000000"/>
            </w:tcBorders>
            <w:shd w:val="clear" w:color="auto" w:fill="FFFFFF"/>
            <w:tcMar>
              <w:top w:w="15" w:type="dxa"/>
              <w:left w:w="0" w:type="dxa"/>
              <w:bottom w:w="0" w:type="dxa"/>
              <w:right w:w="15" w:type="dxa"/>
            </w:tcMar>
            <w:vAlign w:val="bottom"/>
            <w:hideMark/>
          </w:tcPr>
          <w:p w14:paraId="5BBC70D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08"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741BDE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601EF99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1F84288" w14:textId="77777777">
        <w:trPr>
          <w:divId w:val="2000691291"/>
          <w:jc w:val="center"/>
        </w:trPr>
        <w:tc>
          <w:tcPr>
            <w:tcW w:w="1664" w:type="pct"/>
            <w:tcBorders>
              <w:bottom w:val="single" w:sz="6" w:space="0" w:color="000000"/>
            </w:tcBorders>
            <w:shd w:val="clear" w:color="auto" w:fill="FFFFFF"/>
            <w:tcMar>
              <w:top w:w="15" w:type="dxa"/>
              <w:left w:w="0" w:type="dxa"/>
              <w:bottom w:w="0" w:type="dxa"/>
              <w:right w:w="15" w:type="dxa"/>
            </w:tcMar>
            <w:vAlign w:val="bottom"/>
            <w:hideMark/>
          </w:tcPr>
          <w:p w14:paraId="3A582A6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left w:w="0" w:type="dxa"/>
              <w:bottom w:w="0" w:type="dxa"/>
              <w:right w:w="15" w:type="dxa"/>
            </w:tcMar>
            <w:vAlign w:val="bottom"/>
            <w:hideMark/>
          </w:tcPr>
          <w:p w14:paraId="635E9557"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E941D1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Revenues</w:t>
            </w:r>
          </w:p>
        </w:tc>
        <w:tc>
          <w:tcPr>
            <w:tcW w:w="50" w:type="pct"/>
            <w:shd w:val="clear" w:color="auto" w:fill="FFFFFF"/>
            <w:noWrap/>
            <w:tcMar>
              <w:top w:w="15" w:type="dxa"/>
              <w:left w:w="0" w:type="dxa"/>
              <w:bottom w:w="0" w:type="dxa"/>
              <w:right w:w="15" w:type="dxa"/>
            </w:tcMar>
            <w:vAlign w:val="bottom"/>
            <w:hideMark/>
          </w:tcPr>
          <w:p w14:paraId="532D108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3" w:type="pct"/>
            <w:tcBorders>
              <w:top w:val="single" w:sz="6" w:space="0" w:color="000000"/>
            </w:tcBorders>
            <w:shd w:val="clear" w:color="auto" w:fill="FFFFFF"/>
            <w:tcMar>
              <w:top w:w="15" w:type="dxa"/>
              <w:left w:w="0" w:type="dxa"/>
              <w:bottom w:w="0" w:type="dxa"/>
              <w:right w:w="15" w:type="dxa"/>
            </w:tcMar>
            <w:vAlign w:val="bottom"/>
            <w:hideMark/>
          </w:tcPr>
          <w:p w14:paraId="02E04A6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93748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Long-Lived</w:t>
            </w:r>
          </w:p>
          <w:p w14:paraId="40EA962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Assets</w:t>
            </w:r>
            <w:r>
              <w:rPr>
                <w:rFonts w:ascii="Calibri" w:hAnsi="Calibri" w:cs="Calibri"/>
                <w:b/>
                <w:bCs/>
                <w:color w:val="000000"/>
                <w:sz w:val="13"/>
                <w:szCs w:val="13"/>
                <w:vertAlign w:val="superscript"/>
              </w:rPr>
              <w:t>(1)</w:t>
            </w:r>
          </w:p>
        </w:tc>
        <w:tc>
          <w:tcPr>
            <w:tcW w:w="50" w:type="pct"/>
            <w:shd w:val="clear" w:color="auto" w:fill="FFFFFF"/>
            <w:noWrap/>
            <w:tcMar>
              <w:top w:w="15" w:type="dxa"/>
              <w:left w:w="0" w:type="dxa"/>
              <w:bottom w:w="0" w:type="dxa"/>
              <w:right w:w="15" w:type="dxa"/>
            </w:tcMar>
            <w:vAlign w:val="bottom"/>
            <w:hideMark/>
          </w:tcPr>
          <w:p w14:paraId="028FDDD8" w14:textId="77777777" w:rsidR="00251D72" w:rsidRDefault="00251D72">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c>
          <w:tcPr>
            <w:tcW w:w="33" w:type="pct"/>
            <w:shd w:val="clear" w:color="auto" w:fill="FFFFFF"/>
            <w:tcMar>
              <w:top w:w="15" w:type="dxa"/>
              <w:left w:w="0" w:type="dxa"/>
              <w:bottom w:w="0" w:type="dxa"/>
              <w:right w:w="15" w:type="dxa"/>
            </w:tcMar>
            <w:vAlign w:val="bottom"/>
            <w:hideMark/>
          </w:tcPr>
          <w:p w14:paraId="643E625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8505AC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Revenues</w:t>
            </w:r>
          </w:p>
        </w:tc>
        <w:tc>
          <w:tcPr>
            <w:tcW w:w="50" w:type="pct"/>
            <w:shd w:val="clear" w:color="auto" w:fill="FFFFFF"/>
            <w:noWrap/>
            <w:tcMar>
              <w:top w:w="15" w:type="dxa"/>
              <w:left w:w="0" w:type="dxa"/>
              <w:bottom w:w="0" w:type="dxa"/>
              <w:right w:w="15" w:type="dxa"/>
            </w:tcMar>
            <w:vAlign w:val="bottom"/>
            <w:hideMark/>
          </w:tcPr>
          <w:p w14:paraId="4DB7A90F"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3" w:type="pct"/>
            <w:tcBorders>
              <w:top w:val="single" w:sz="6" w:space="0" w:color="000000"/>
            </w:tcBorders>
            <w:shd w:val="clear" w:color="auto" w:fill="FFFFFF"/>
            <w:tcMar>
              <w:top w:w="15" w:type="dxa"/>
              <w:left w:w="0" w:type="dxa"/>
              <w:bottom w:w="0" w:type="dxa"/>
              <w:right w:w="15" w:type="dxa"/>
            </w:tcMar>
            <w:vAlign w:val="bottom"/>
            <w:hideMark/>
          </w:tcPr>
          <w:p w14:paraId="19DD8EB3"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B8323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Long-Lived</w:t>
            </w:r>
          </w:p>
          <w:p w14:paraId="2C6BED0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Assets</w:t>
            </w:r>
            <w:r>
              <w:rPr>
                <w:rFonts w:ascii="Calibri" w:hAnsi="Calibri" w:cs="Calibri"/>
                <w:b/>
                <w:bCs/>
                <w:color w:val="000000"/>
                <w:sz w:val="13"/>
                <w:szCs w:val="13"/>
                <w:vertAlign w:val="superscript"/>
              </w:rPr>
              <w:t>(1)</w:t>
            </w:r>
          </w:p>
        </w:tc>
        <w:tc>
          <w:tcPr>
            <w:tcW w:w="50" w:type="pct"/>
            <w:shd w:val="clear" w:color="auto" w:fill="FFFFFF"/>
            <w:noWrap/>
            <w:tcMar>
              <w:top w:w="15" w:type="dxa"/>
              <w:left w:w="0" w:type="dxa"/>
              <w:bottom w:w="0" w:type="dxa"/>
              <w:right w:w="15" w:type="dxa"/>
            </w:tcMar>
            <w:vAlign w:val="bottom"/>
            <w:hideMark/>
          </w:tcPr>
          <w:p w14:paraId="43711F74" w14:textId="77777777" w:rsidR="00251D72" w:rsidRDefault="00251D72">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c>
          <w:tcPr>
            <w:tcW w:w="33" w:type="pct"/>
            <w:shd w:val="clear" w:color="auto" w:fill="FFFFFF"/>
            <w:tcMar>
              <w:top w:w="15" w:type="dxa"/>
              <w:left w:w="0" w:type="dxa"/>
              <w:bottom w:w="0" w:type="dxa"/>
              <w:right w:w="15" w:type="dxa"/>
            </w:tcMar>
            <w:vAlign w:val="bottom"/>
            <w:hideMark/>
          </w:tcPr>
          <w:p w14:paraId="65D06CEC"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7EF740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Revenues</w:t>
            </w:r>
          </w:p>
        </w:tc>
        <w:tc>
          <w:tcPr>
            <w:tcW w:w="50" w:type="pct"/>
            <w:shd w:val="clear" w:color="auto" w:fill="FFFFFF"/>
            <w:noWrap/>
            <w:tcMar>
              <w:top w:w="15" w:type="dxa"/>
              <w:left w:w="0" w:type="dxa"/>
              <w:bottom w:w="0" w:type="dxa"/>
              <w:right w:w="15" w:type="dxa"/>
            </w:tcMar>
            <w:vAlign w:val="bottom"/>
            <w:hideMark/>
          </w:tcPr>
          <w:p w14:paraId="0842DF4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3" w:type="pct"/>
            <w:tcBorders>
              <w:top w:val="single" w:sz="6" w:space="0" w:color="000000"/>
            </w:tcBorders>
            <w:shd w:val="clear" w:color="auto" w:fill="FFFFFF"/>
            <w:tcMar>
              <w:top w:w="15" w:type="dxa"/>
              <w:left w:w="0" w:type="dxa"/>
              <w:bottom w:w="0" w:type="dxa"/>
              <w:right w:w="15" w:type="dxa"/>
            </w:tcMar>
            <w:vAlign w:val="bottom"/>
            <w:hideMark/>
          </w:tcPr>
          <w:p w14:paraId="087D4DA4"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A1836B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Long-Lived</w:t>
            </w:r>
          </w:p>
          <w:p w14:paraId="1DF6DAE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Assets</w:t>
            </w:r>
            <w:r>
              <w:rPr>
                <w:rFonts w:ascii="Calibri" w:hAnsi="Calibri" w:cs="Calibri"/>
                <w:b/>
                <w:bCs/>
                <w:color w:val="000000"/>
                <w:sz w:val="13"/>
                <w:szCs w:val="13"/>
                <w:vertAlign w:val="superscript"/>
              </w:rPr>
              <w:t>(1)</w:t>
            </w:r>
          </w:p>
        </w:tc>
        <w:tc>
          <w:tcPr>
            <w:tcW w:w="50" w:type="pct"/>
            <w:shd w:val="clear" w:color="auto" w:fill="FFFFFF"/>
            <w:noWrap/>
            <w:tcMar>
              <w:top w:w="15" w:type="dxa"/>
              <w:left w:w="0" w:type="dxa"/>
              <w:bottom w:w="0" w:type="dxa"/>
              <w:right w:w="15" w:type="dxa"/>
            </w:tcMar>
            <w:vAlign w:val="bottom"/>
            <w:hideMark/>
          </w:tcPr>
          <w:p w14:paraId="22397989" w14:textId="77777777" w:rsidR="00251D72" w:rsidRDefault="00251D72">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r>
      <w:tr w:rsidR="00251D72" w14:paraId="76482BF4" w14:textId="77777777">
        <w:trPr>
          <w:divId w:val="2000691291"/>
          <w:jc w:val="center"/>
        </w:trPr>
        <w:tc>
          <w:tcPr>
            <w:tcW w:w="1664" w:type="pct"/>
            <w:tcBorders>
              <w:top w:val="single" w:sz="6" w:space="0" w:color="000000"/>
            </w:tcBorders>
            <w:shd w:val="clear" w:color="auto" w:fill="CFF0FC"/>
            <w:tcMar>
              <w:top w:w="15" w:type="dxa"/>
              <w:left w:w="0" w:type="dxa"/>
              <w:bottom w:w="0" w:type="dxa"/>
              <w:right w:w="15" w:type="dxa"/>
            </w:tcMar>
            <w:hideMark/>
          </w:tcPr>
          <w:p w14:paraId="7C1D13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United States</w:t>
            </w:r>
          </w:p>
        </w:tc>
        <w:tc>
          <w:tcPr>
            <w:tcW w:w="79" w:type="pct"/>
            <w:shd w:val="clear" w:color="auto" w:fill="CFF0FC"/>
            <w:tcMar>
              <w:top w:w="15" w:type="dxa"/>
              <w:left w:w="0" w:type="dxa"/>
              <w:bottom w:w="0" w:type="dxa"/>
              <w:right w:w="15" w:type="dxa"/>
            </w:tcMar>
            <w:vAlign w:val="bottom"/>
            <w:hideMark/>
          </w:tcPr>
          <w:p w14:paraId="026EDEA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60D66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9" w:type="pct"/>
            <w:tcBorders>
              <w:top w:val="single" w:sz="6" w:space="0" w:color="000000"/>
            </w:tcBorders>
            <w:shd w:val="clear" w:color="auto" w:fill="CFF0FC"/>
            <w:noWrap/>
            <w:tcMar>
              <w:top w:w="15" w:type="dxa"/>
              <w:left w:w="0" w:type="dxa"/>
              <w:bottom w:w="0" w:type="dxa"/>
              <w:right w:w="15" w:type="dxa"/>
            </w:tcMar>
            <w:vAlign w:val="bottom"/>
            <w:hideMark/>
          </w:tcPr>
          <w:p w14:paraId="080D310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18,596</w:t>
            </w:r>
          </w:p>
        </w:tc>
        <w:tc>
          <w:tcPr>
            <w:tcW w:w="50" w:type="pct"/>
            <w:shd w:val="clear" w:color="auto" w:fill="CFF0FC"/>
            <w:noWrap/>
            <w:tcMar>
              <w:top w:w="15" w:type="dxa"/>
              <w:left w:w="0" w:type="dxa"/>
              <w:bottom w:w="0" w:type="dxa"/>
              <w:right w:w="15" w:type="dxa"/>
            </w:tcMar>
            <w:vAlign w:val="bottom"/>
            <w:hideMark/>
          </w:tcPr>
          <w:p w14:paraId="7D1F29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2F86BC7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F8A2A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tcBorders>
            <w:shd w:val="clear" w:color="auto" w:fill="CFF0FC"/>
            <w:noWrap/>
            <w:tcMar>
              <w:top w:w="15" w:type="dxa"/>
              <w:left w:w="0" w:type="dxa"/>
              <w:bottom w:w="0" w:type="dxa"/>
              <w:right w:w="15" w:type="dxa"/>
            </w:tcMar>
            <w:vAlign w:val="bottom"/>
            <w:hideMark/>
          </w:tcPr>
          <w:p w14:paraId="0384CBD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5,318</w:t>
            </w:r>
          </w:p>
        </w:tc>
        <w:tc>
          <w:tcPr>
            <w:tcW w:w="50" w:type="pct"/>
            <w:shd w:val="clear" w:color="auto" w:fill="CFF0FC"/>
            <w:noWrap/>
            <w:tcMar>
              <w:top w:w="15" w:type="dxa"/>
              <w:left w:w="0" w:type="dxa"/>
              <w:bottom w:w="0" w:type="dxa"/>
              <w:right w:w="15" w:type="dxa"/>
            </w:tcMar>
            <w:vAlign w:val="bottom"/>
            <w:hideMark/>
          </w:tcPr>
          <w:p w14:paraId="188BE10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494483B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7CCE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9" w:type="pct"/>
            <w:tcBorders>
              <w:top w:val="single" w:sz="6" w:space="0" w:color="000000"/>
            </w:tcBorders>
            <w:shd w:val="clear" w:color="auto" w:fill="CFF0FC"/>
            <w:noWrap/>
            <w:tcMar>
              <w:top w:w="15" w:type="dxa"/>
              <w:left w:w="0" w:type="dxa"/>
              <w:bottom w:w="0" w:type="dxa"/>
              <w:right w:w="15" w:type="dxa"/>
            </w:tcMar>
            <w:vAlign w:val="bottom"/>
            <w:hideMark/>
          </w:tcPr>
          <w:p w14:paraId="231D371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18,330</w:t>
            </w:r>
          </w:p>
        </w:tc>
        <w:tc>
          <w:tcPr>
            <w:tcW w:w="50" w:type="pct"/>
            <w:shd w:val="clear" w:color="auto" w:fill="CFF0FC"/>
            <w:noWrap/>
            <w:tcMar>
              <w:top w:w="15" w:type="dxa"/>
              <w:left w:w="0" w:type="dxa"/>
              <w:bottom w:w="0" w:type="dxa"/>
              <w:right w:w="15" w:type="dxa"/>
            </w:tcMar>
            <w:vAlign w:val="bottom"/>
            <w:hideMark/>
          </w:tcPr>
          <w:p w14:paraId="32D676B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6896429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86A1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tcBorders>
            <w:shd w:val="clear" w:color="auto" w:fill="CFF0FC"/>
            <w:noWrap/>
            <w:tcMar>
              <w:top w:w="15" w:type="dxa"/>
              <w:left w:w="0" w:type="dxa"/>
              <w:bottom w:w="0" w:type="dxa"/>
              <w:right w:w="15" w:type="dxa"/>
            </w:tcMar>
            <w:vAlign w:val="bottom"/>
            <w:hideMark/>
          </w:tcPr>
          <w:p w14:paraId="32E71B7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4,976</w:t>
            </w:r>
          </w:p>
        </w:tc>
        <w:tc>
          <w:tcPr>
            <w:tcW w:w="50" w:type="pct"/>
            <w:shd w:val="clear" w:color="auto" w:fill="CFF0FC"/>
            <w:noWrap/>
            <w:tcMar>
              <w:top w:w="15" w:type="dxa"/>
              <w:left w:w="0" w:type="dxa"/>
              <w:bottom w:w="0" w:type="dxa"/>
              <w:right w:w="15" w:type="dxa"/>
            </w:tcMar>
            <w:vAlign w:val="bottom"/>
            <w:hideMark/>
          </w:tcPr>
          <w:p w14:paraId="671617F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55A280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2B6E6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2" w:type="pct"/>
            <w:tcBorders>
              <w:top w:val="single" w:sz="6" w:space="0" w:color="000000"/>
            </w:tcBorders>
            <w:shd w:val="clear" w:color="auto" w:fill="CFF0FC"/>
            <w:noWrap/>
            <w:tcMar>
              <w:top w:w="15" w:type="dxa"/>
              <w:left w:w="0" w:type="dxa"/>
              <w:bottom w:w="0" w:type="dxa"/>
              <w:right w:w="15" w:type="dxa"/>
            </w:tcMar>
            <w:vAlign w:val="bottom"/>
            <w:hideMark/>
          </w:tcPr>
          <w:p w14:paraId="5B38426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17,856</w:t>
            </w:r>
          </w:p>
        </w:tc>
        <w:tc>
          <w:tcPr>
            <w:tcW w:w="50" w:type="pct"/>
            <w:shd w:val="clear" w:color="auto" w:fill="CFF0FC"/>
            <w:noWrap/>
            <w:tcMar>
              <w:top w:w="15" w:type="dxa"/>
              <w:left w:w="0" w:type="dxa"/>
              <w:bottom w:w="0" w:type="dxa"/>
              <w:right w:w="15" w:type="dxa"/>
            </w:tcMar>
            <w:vAlign w:val="bottom"/>
            <w:hideMark/>
          </w:tcPr>
          <w:p w14:paraId="1859795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3B8FB5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332B54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tcBorders>
            <w:shd w:val="clear" w:color="auto" w:fill="CFF0FC"/>
            <w:noWrap/>
            <w:tcMar>
              <w:top w:w="15" w:type="dxa"/>
              <w:left w:w="0" w:type="dxa"/>
              <w:bottom w:w="0" w:type="dxa"/>
              <w:right w:w="15" w:type="dxa"/>
            </w:tcMar>
            <w:vAlign w:val="bottom"/>
            <w:hideMark/>
          </w:tcPr>
          <w:p w14:paraId="1B6082F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4,680</w:t>
            </w:r>
          </w:p>
        </w:tc>
        <w:tc>
          <w:tcPr>
            <w:tcW w:w="50" w:type="pct"/>
            <w:shd w:val="clear" w:color="auto" w:fill="CFF0FC"/>
            <w:noWrap/>
            <w:tcMar>
              <w:top w:w="15" w:type="dxa"/>
              <w:left w:w="0" w:type="dxa"/>
              <w:bottom w:w="0" w:type="dxa"/>
              <w:right w:w="15" w:type="dxa"/>
            </w:tcMar>
            <w:vAlign w:val="bottom"/>
            <w:hideMark/>
          </w:tcPr>
          <w:p w14:paraId="608C02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7EDC476" w14:textId="77777777">
        <w:trPr>
          <w:divId w:val="2000691291"/>
          <w:jc w:val="center"/>
        </w:trPr>
        <w:tc>
          <w:tcPr>
            <w:tcW w:w="1664" w:type="pct"/>
            <w:shd w:val="clear" w:color="auto" w:fill="FFFFFF"/>
            <w:tcMar>
              <w:top w:w="15" w:type="dxa"/>
              <w:left w:w="0" w:type="dxa"/>
              <w:bottom w:w="0" w:type="dxa"/>
              <w:right w:w="15" w:type="dxa"/>
            </w:tcMar>
            <w:hideMark/>
          </w:tcPr>
          <w:p w14:paraId="49CB38D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United Kingdom</w:t>
            </w:r>
          </w:p>
        </w:tc>
        <w:tc>
          <w:tcPr>
            <w:tcW w:w="79" w:type="pct"/>
            <w:shd w:val="clear" w:color="auto" w:fill="FFFFFF"/>
            <w:tcMar>
              <w:top w:w="15" w:type="dxa"/>
              <w:left w:w="0" w:type="dxa"/>
              <w:bottom w:w="0" w:type="dxa"/>
              <w:right w:w="15" w:type="dxa"/>
            </w:tcMar>
            <w:vAlign w:val="bottom"/>
            <w:hideMark/>
          </w:tcPr>
          <w:p w14:paraId="145033B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3DC183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FFFFFF"/>
            <w:noWrap/>
            <w:tcMar>
              <w:top w:w="15" w:type="dxa"/>
              <w:left w:w="0" w:type="dxa"/>
              <w:bottom w:w="0" w:type="dxa"/>
              <w:right w:w="15" w:type="dxa"/>
            </w:tcMar>
            <w:vAlign w:val="bottom"/>
            <w:hideMark/>
          </w:tcPr>
          <w:p w14:paraId="0D99ED0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2,054</w:t>
            </w:r>
          </w:p>
        </w:tc>
        <w:tc>
          <w:tcPr>
            <w:tcW w:w="50" w:type="pct"/>
            <w:shd w:val="clear" w:color="auto" w:fill="FFFFFF"/>
            <w:noWrap/>
            <w:tcMar>
              <w:top w:w="15" w:type="dxa"/>
              <w:left w:w="0" w:type="dxa"/>
              <w:bottom w:w="0" w:type="dxa"/>
              <w:right w:w="15" w:type="dxa"/>
            </w:tcMar>
            <w:vAlign w:val="bottom"/>
            <w:hideMark/>
          </w:tcPr>
          <w:p w14:paraId="65278A8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38FA141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CE289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left w:w="0" w:type="dxa"/>
              <w:bottom w:w="0" w:type="dxa"/>
              <w:right w:w="15" w:type="dxa"/>
            </w:tcMar>
            <w:vAlign w:val="bottom"/>
            <w:hideMark/>
          </w:tcPr>
          <w:p w14:paraId="49CC910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423</w:t>
            </w:r>
          </w:p>
        </w:tc>
        <w:tc>
          <w:tcPr>
            <w:tcW w:w="50" w:type="pct"/>
            <w:shd w:val="clear" w:color="auto" w:fill="FFFFFF"/>
            <w:noWrap/>
            <w:tcMar>
              <w:top w:w="15" w:type="dxa"/>
              <w:left w:w="0" w:type="dxa"/>
              <w:bottom w:w="0" w:type="dxa"/>
              <w:right w:w="15" w:type="dxa"/>
            </w:tcMar>
            <w:vAlign w:val="bottom"/>
            <w:hideMark/>
          </w:tcPr>
          <w:p w14:paraId="47E5800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4A6C8FD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D7E18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FFFFFF"/>
            <w:noWrap/>
            <w:tcMar>
              <w:top w:w="15" w:type="dxa"/>
              <w:left w:w="0" w:type="dxa"/>
              <w:bottom w:w="0" w:type="dxa"/>
              <w:right w:w="15" w:type="dxa"/>
            </w:tcMar>
            <w:vAlign w:val="bottom"/>
            <w:hideMark/>
          </w:tcPr>
          <w:p w14:paraId="11F40CD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2,093</w:t>
            </w:r>
          </w:p>
        </w:tc>
        <w:tc>
          <w:tcPr>
            <w:tcW w:w="50" w:type="pct"/>
            <w:shd w:val="clear" w:color="auto" w:fill="FFFFFF"/>
            <w:noWrap/>
            <w:tcMar>
              <w:top w:w="15" w:type="dxa"/>
              <w:left w:w="0" w:type="dxa"/>
              <w:bottom w:w="0" w:type="dxa"/>
              <w:right w:w="15" w:type="dxa"/>
            </w:tcMar>
            <w:vAlign w:val="bottom"/>
            <w:hideMark/>
          </w:tcPr>
          <w:p w14:paraId="5A9DD6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744DB94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4C9749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left w:w="0" w:type="dxa"/>
              <w:bottom w:w="0" w:type="dxa"/>
              <w:right w:w="15" w:type="dxa"/>
            </w:tcMar>
            <w:vAlign w:val="bottom"/>
            <w:hideMark/>
          </w:tcPr>
          <w:p w14:paraId="1F8AADA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510</w:t>
            </w:r>
          </w:p>
        </w:tc>
        <w:tc>
          <w:tcPr>
            <w:tcW w:w="50" w:type="pct"/>
            <w:shd w:val="clear" w:color="auto" w:fill="FFFFFF"/>
            <w:noWrap/>
            <w:tcMar>
              <w:top w:w="15" w:type="dxa"/>
              <w:left w:w="0" w:type="dxa"/>
              <w:bottom w:w="0" w:type="dxa"/>
              <w:right w:w="15" w:type="dxa"/>
            </w:tcMar>
            <w:vAlign w:val="bottom"/>
            <w:hideMark/>
          </w:tcPr>
          <w:p w14:paraId="2635CA7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78A54AC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8320D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2" w:type="pct"/>
            <w:shd w:val="clear" w:color="auto" w:fill="FFFFFF"/>
            <w:noWrap/>
            <w:tcMar>
              <w:top w:w="15" w:type="dxa"/>
              <w:left w:w="0" w:type="dxa"/>
              <w:bottom w:w="0" w:type="dxa"/>
              <w:right w:w="15" w:type="dxa"/>
            </w:tcMar>
            <w:vAlign w:val="bottom"/>
            <w:hideMark/>
          </w:tcPr>
          <w:p w14:paraId="3341BDD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1,988</w:t>
            </w:r>
          </w:p>
        </w:tc>
        <w:tc>
          <w:tcPr>
            <w:tcW w:w="50" w:type="pct"/>
            <w:shd w:val="clear" w:color="auto" w:fill="FFFFFF"/>
            <w:noWrap/>
            <w:tcMar>
              <w:top w:w="15" w:type="dxa"/>
              <w:left w:w="0" w:type="dxa"/>
              <w:bottom w:w="0" w:type="dxa"/>
              <w:right w:w="15" w:type="dxa"/>
            </w:tcMar>
            <w:vAlign w:val="bottom"/>
            <w:hideMark/>
          </w:tcPr>
          <w:p w14:paraId="7C1BDD2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5400266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4CDA2A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left w:w="0" w:type="dxa"/>
              <w:bottom w:w="0" w:type="dxa"/>
              <w:right w:w="15" w:type="dxa"/>
            </w:tcMar>
            <w:vAlign w:val="bottom"/>
            <w:hideMark/>
          </w:tcPr>
          <w:p w14:paraId="7FE659E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402</w:t>
            </w:r>
          </w:p>
        </w:tc>
        <w:tc>
          <w:tcPr>
            <w:tcW w:w="50" w:type="pct"/>
            <w:shd w:val="clear" w:color="auto" w:fill="FFFFFF"/>
            <w:noWrap/>
            <w:tcMar>
              <w:top w:w="15" w:type="dxa"/>
              <w:left w:w="0" w:type="dxa"/>
              <w:bottom w:w="0" w:type="dxa"/>
              <w:right w:w="15" w:type="dxa"/>
            </w:tcMar>
            <w:vAlign w:val="bottom"/>
            <w:hideMark/>
          </w:tcPr>
          <w:p w14:paraId="4312EBD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292661E" w14:textId="77777777">
        <w:trPr>
          <w:divId w:val="2000691291"/>
          <w:jc w:val="center"/>
        </w:trPr>
        <w:tc>
          <w:tcPr>
            <w:tcW w:w="1664" w:type="pct"/>
            <w:shd w:val="clear" w:color="auto" w:fill="CFF0FC"/>
            <w:tcMar>
              <w:top w:w="15" w:type="dxa"/>
              <w:left w:w="0" w:type="dxa"/>
              <w:bottom w:w="0" w:type="dxa"/>
              <w:right w:w="15" w:type="dxa"/>
            </w:tcMar>
            <w:hideMark/>
          </w:tcPr>
          <w:p w14:paraId="0796AF4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Japan</w:t>
            </w:r>
          </w:p>
        </w:tc>
        <w:tc>
          <w:tcPr>
            <w:tcW w:w="79" w:type="pct"/>
            <w:shd w:val="clear" w:color="auto" w:fill="CFF0FC"/>
            <w:tcMar>
              <w:top w:w="15" w:type="dxa"/>
              <w:left w:w="0" w:type="dxa"/>
              <w:bottom w:w="0" w:type="dxa"/>
              <w:right w:w="15" w:type="dxa"/>
            </w:tcMar>
            <w:vAlign w:val="bottom"/>
            <w:hideMark/>
          </w:tcPr>
          <w:p w14:paraId="3ACFB49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D4F4D8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CFF0FC"/>
            <w:noWrap/>
            <w:tcMar>
              <w:top w:w="15" w:type="dxa"/>
              <w:left w:w="0" w:type="dxa"/>
              <w:bottom w:w="0" w:type="dxa"/>
              <w:right w:w="15" w:type="dxa"/>
            </w:tcMar>
            <w:vAlign w:val="bottom"/>
            <w:hideMark/>
          </w:tcPr>
          <w:p w14:paraId="765F3ED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1,848</w:t>
            </w:r>
          </w:p>
        </w:tc>
        <w:tc>
          <w:tcPr>
            <w:tcW w:w="50" w:type="pct"/>
            <w:shd w:val="clear" w:color="auto" w:fill="CFF0FC"/>
            <w:noWrap/>
            <w:tcMar>
              <w:top w:w="15" w:type="dxa"/>
              <w:left w:w="0" w:type="dxa"/>
              <w:bottom w:w="0" w:type="dxa"/>
              <w:right w:w="15" w:type="dxa"/>
            </w:tcMar>
            <w:vAlign w:val="bottom"/>
            <w:hideMark/>
          </w:tcPr>
          <w:p w14:paraId="3EFA9A6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2F02CC5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9652A4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left w:w="0" w:type="dxa"/>
              <w:bottom w:w="0" w:type="dxa"/>
              <w:right w:w="15" w:type="dxa"/>
            </w:tcMar>
            <w:vAlign w:val="bottom"/>
            <w:hideMark/>
          </w:tcPr>
          <w:p w14:paraId="59139A0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422</w:t>
            </w:r>
          </w:p>
        </w:tc>
        <w:tc>
          <w:tcPr>
            <w:tcW w:w="50" w:type="pct"/>
            <w:shd w:val="clear" w:color="auto" w:fill="CFF0FC"/>
            <w:noWrap/>
            <w:tcMar>
              <w:top w:w="15" w:type="dxa"/>
              <w:left w:w="0" w:type="dxa"/>
              <w:bottom w:w="0" w:type="dxa"/>
              <w:right w:w="15" w:type="dxa"/>
            </w:tcMar>
            <w:vAlign w:val="bottom"/>
            <w:hideMark/>
          </w:tcPr>
          <w:p w14:paraId="60087C7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409AF7F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42743F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CFF0FC"/>
            <w:noWrap/>
            <w:tcMar>
              <w:top w:w="15" w:type="dxa"/>
              <w:left w:w="0" w:type="dxa"/>
              <w:bottom w:w="0" w:type="dxa"/>
              <w:right w:w="15" w:type="dxa"/>
            </w:tcMar>
            <w:vAlign w:val="bottom"/>
            <w:hideMark/>
          </w:tcPr>
          <w:p w14:paraId="41679CB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1,716</w:t>
            </w:r>
          </w:p>
        </w:tc>
        <w:tc>
          <w:tcPr>
            <w:tcW w:w="50" w:type="pct"/>
            <w:shd w:val="clear" w:color="auto" w:fill="CFF0FC"/>
            <w:noWrap/>
            <w:tcMar>
              <w:top w:w="15" w:type="dxa"/>
              <w:left w:w="0" w:type="dxa"/>
              <w:bottom w:w="0" w:type="dxa"/>
              <w:right w:w="15" w:type="dxa"/>
            </w:tcMar>
            <w:vAlign w:val="bottom"/>
            <w:hideMark/>
          </w:tcPr>
          <w:p w14:paraId="3EF422F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36ED918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2F4CC4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left w:w="0" w:type="dxa"/>
              <w:bottom w:w="0" w:type="dxa"/>
              <w:right w:w="15" w:type="dxa"/>
            </w:tcMar>
            <w:vAlign w:val="bottom"/>
            <w:hideMark/>
          </w:tcPr>
          <w:p w14:paraId="144E5AC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388</w:t>
            </w:r>
          </w:p>
        </w:tc>
        <w:tc>
          <w:tcPr>
            <w:tcW w:w="50" w:type="pct"/>
            <w:shd w:val="clear" w:color="auto" w:fill="CFF0FC"/>
            <w:noWrap/>
            <w:tcMar>
              <w:top w:w="15" w:type="dxa"/>
              <w:left w:w="0" w:type="dxa"/>
              <w:bottom w:w="0" w:type="dxa"/>
              <w:right w:w="15" w:type="dxa"/>
            </w:tcMar>
            <w:vAlign w:val="bottom"/>
            <w:hideMark/>
          </w:tcPr>
          <w:p w14:paraId="1CFE202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5C23213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ABD767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2" w:type="pct"/>
            <w:shd w:val="clear" w:color="auto" w:fill="CFF0FC"/>
            <w:noWrap/>
            <w:tcMar>
              <w:top w:w="15" w:type="dxa"/>
              <w:left w:w="0" w:type="dxa"/>
              <w:bottom w:w="0" w:type="dxa"/>
              <w:right w:w="15" w:type="dxa"/>
            </w:tcMar>
            <w:vAlign w:val="bottom"/>
            <w:hideMark/>
          </w:tcPr>
          <w:p w14:paraId="6177BF3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1,619</w:t>
            </w:r>
          </w:p>
        </w:tc>
        <w:tc>
          <w:tcPr>
            <w:tcW w:w="50" w:type="pct"/>
            <w:shd w:val="clear" w:color="auto" w:fill="CFF0FC"/>
            <w:noWrap/>
            <w:tcMar>
              <w:top w:w="15" w:type="dxa"/>
              <w:left w:w="0" w:type="dxa"/>
              <w:bottom w:w="0" w:type="dxa"/>
              <w:right w:w="15" w:type="dxa"/>
            </w:tcMar>
            <w:vAlign w:val="bottom"/>
            <w:hideMark/>
          </w:tcPr>
          <w:p w14:paraId="49EFECC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145BB7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D92297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left w:w="0" w:type="dxa"/>
              <w:bottom w:w="0" w:type="dxa"/>
              <w:right w:w="15" w:type="dxa"/>
            </w:tcMar>
            <w:vAlign w:val="bottom"/>
            <w:hideMark/>
          </w:tcPr>
          <w:p w14:paraId="0B4D361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380</w:t>
            </w:r>
          </w:p>
        </w:tc>
        <w:tc>
          <w:tcPr>
            <w:tcW w:w="50" w:type="pct"/>
            <w:shd w:val="clear" w:color="auto" w:fill="CFF0FC"/>
            <w:noWrap/>
            <w:tcMar>
              <w:top w:w="15" w:type="dxa"/>
              <w:left w:w="0" w:type="dxa"/>
              <w:bottom w:w="0" w:type="dxa"/>
              <w:right w:w="15" w:type="dxa"/>
            </w:tcMar>
            <w:vAlign w:val="bottom"/>
            <w:hideMark/>
          </w:tcPr>
          <w:p w14:paraId="2C21AA6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61282F9" w14:textId="77777777">
        <w:trPr>
          <w:divId w:val="2000691291"/>
          <w:jc w:val="center"/>
        </w:trPr>
        <w:tc>
          <w:tcPr>
            <w:tcW w:w="1664" w:type="pct"/>
            <w:shd w:val="clear" w:color="auto" w:fill="FFFFFF"/>
            <w:tcMar>
              <w:top w:w="15" w:type="dxa"/>
              <w:left w:w="0" w:type="dxa"/>
              <w:bottom w:w="0" w:type="dxa"/>
              <w:right w:w="15" w:type="dxa"/>
            </w:tcMar>
            <w:hideMark/>
          </w:tcPr>
          <w:p w14:paraId="656451A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Germany</w:t>
            </w:r>
          </w:p>
        </w:tc>
        <w:tc>
          <w:tcPr>
            <w:tcW w:w="79" w:type="pct"/>
            <w:shd w:val="clear" w:color="auto" w:fill="FFFFFF"/>
            <w:tcMar>
              <w:top w:w="15" w:type="dxa"/>
              <w:left w:w="0" w:type="dxa"/>
              <w:bottom w:w="0" w:type="dxa"/>
              <w:right w:w="15" w:type="dxa"/>
            </w:tcMar>
            <w:vAlign w:val="bottom"/>
            <w:hideMark/>
          </w:tcPr>
          <w:p w14:paraId="549E76A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E3B84F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FFFFFF"/>
            <w:noWrap/>
            <w:tcMar>
              <w:top w:w="15" w:type="dxa"/>
              <w:left w:w="0" w:type="dxa"/>
              <w:bottom w:w="0" w:type="dxa"/>
              <w:right w:w="15" w:type="dxa"/>
            </w:tcMar>
            <w:vAlign w:val="bottom"/>
            <w:hideMark/>
          </w:tcPr>
          <w:p w14:paraId="2C69DC51"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1,583</w:t>
            </w:r>
          </w:p>
        </w:tc>
        <w:tc>
          <w:tcPr>
            <w:tcW w:w="50" w:type="pct"/>
            <w:shd w:val="clear" w:color="auto" w:fill="FFFFFF"/>
            <w:noWrap/>
            <w:tcMar>
              <w:top w:w="15" w:type="dxa"/>
              <w:left w:w="0" w:type="dxa"/>
              <w:bottom w:w="0" w:type="dxa"/>
              <w:right w:w="15" w:type="dxa"/>
            </w:tcMar>
            <w:vAlign w:val="bottom"/>
            <w:hideMark/>
          </w:tcPr>
          <w:p w14:paraId="7435D34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4FF86D4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84B56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left w:w="0" w:type="dxa"/>
              <w:bottom w:w="0" w:type="dxa"/>
              <w:right w:w="15" w:type="dxa"/>
            </w:tcMar>
            <w:vAlign w:val="bottom"/>
            <w:hideMark/>
          </w:tcPr>
          <w:p w14:paraId="662EFE6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263</w:t>
            </w:r>
          </w:p>
        </w:tc>
        <w:tc>
          <w:tcPr>
            <w:tcW w:w="50" w:type="pct"/>
            <w:shd w:val="clear" w:color="auto" w:fill="FFFFFF"/>
            <w:noWrap/>
            <w:tcMar>
              <w:top w:w="15" w:type="dxa"/>
              <w:left w:w="0" w:type="dxa"/>
              <w:bottom w:w="0" w:type="dxa"/>
              <w:right w:w="15" w:type="dxa"/>
            </w:tcMar>
            <w:vAlign w:val="bottom"/>
            <w:hideMark/>
          </w:tcPr>
          <w:p w14:paraId="33E205F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010C95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AD2F9F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FFFFFF"/>
            <w:noWrap/>
            <w:tcMar>
              <w:top w:w="15" w:type="dxa"/>
              <w:left w:w="0" w:type="dxa"/>
              <w:bottom w:w="0" w:type="dxa"/>
              <w:right w:w="15" w:type="dxa"/>
            </w:tcMar>
            <w:vAlign w:val="bottom"/>
            <w:hideMark/>
          </w:tcPr>
          <w:p w14:paraId="6ACDA46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1,526</w:t>
            </w:r>
          </w:p>
        </w:tc>
        <w:tc>
          <w:tcPr>
            <w:tcW w:w="50" w:type="pct"/>
            <w:shd w:val="clear" w:color="auto" w:fill="FFFFFF"/>
            <w:noWrap/>
            <w:tcMar>
              <w:top w:w="15" w:type="dxa"/>
              <w:left w:w="0" w:type="dxa"/>
              <w:bottom w:w="0" w:type="dxa"/>
              <w:right w:w="15" w:type="dxa"/>
            </w:tcMar>
            <w:vAlign w:val="bottom"/>
            <w:hideMark/>
          </w:tcPr>
          <w:p w14:paraId="6E29A10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4E140CB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238D41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left w:w="0" w:type="dxa"/>
              <w:bottom w:w="0" w:type="dxa"/>
              <w:right w:w="15" w:type="dxa"/>
            </w:tcMar>
            <w:vAlign w:val="bottom"/>
            <w:hideMark/>
          </w:tcPr>
          <w:p w14:paraId="092C9F9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179</w:t>
            </w:r>
          </w:p>
        </w:tc>
        <w:tc>
          <w:tcPr>
            <w:tcW w:w="50" w:type="pct"/>
            <w:shd w:val="clear" w:color="auto" w:fill="FFFFFF"/>
            <w:noWrap/>
            <w:tcMar>
              <w:top w:w="15" w:type="dxa"/>
              <w:left w:w="0" w:type="dxa"/>
              <w:bottom w:w="0" w:type="dxa"/>
              <w:right w:w="15" w:type="dxa"/>
            </w:tcMar>
            <w:vAlign w:val="bottom"/>
            <w:hideMark/>
          </w:tcPr>
          <w:p w14:paraId="0FF330C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7FA43D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ADB427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2" w:type="pct"/>
            <w:shd w:val="clear" w:color="auto" w:fill="FFFFFF"/>
            <w:noWrap/>
            <w:tcMar>
              <w:top w:w="15" w:type="dxa"/>
              <w:left w:w="0" w:type="dxa"/>
              <w:bottom w:w="0" w:type="dxa"/>
              <w:right w:w="15" w:type="dxa"/>
            </w:tcMar>
            <w:vAlign w:val="bottom"/>
            <w:hideMark/>
          </w:tcPr>
          <w:p w14:paraId="28909D4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1,415</w:t>
            </w:r>
          </w:p>
        </w:tc>
        <w:tc>
          <w:tcPr>
            <w:tcW w:w="50" w:type="pct"/>
            <w:shd w:val="clear" w:color="auto" w:fill="FFFFFF"/>
            <w:noWrap/>
            <w:tcMar>
              <w:top w:w="15" w:type="dxa"/>
              <w:left w:w="0" w:type="dxa"/>
              <w:bottom w:w="0" w:type="dxa"/>
              <w:right w:w="15" w:type="dxa"/>
            </w:tcMar>
            <w:vAlign w:val="bottom"/>
            <w:hideMark/>
          </w:tcPr>
          <w:p w14:paraId="4EEE77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2D6840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389E44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left w:w="0" w:type="dxa"/>
              <w:bottom w:w="0" w:type="dxa"/>
              <w:right w:w="15" w:type="dxa"/>
            </w:tcMar>
            <w:vAlign w:val="bottom"/>
            <w:hideMark/>
          </w:tcPr>
          <w:p w14:paraId="2C06D39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116</w:t>
            </w:r>
          </w:p>
        </w:tc>
        <w:tc>
          <w:tcPr>
            <w:tcW w:w="50" w:type="pct"/>
            <w:shd w:val="clear" w:color="auto" w:fill="FFFFFF"/>
            <w:noWrap/>
            <w:tcMar>
              <w:top w:w="15" w:type="dxa"/>
              <w:left w:w="0" w:type="dxa"/>
              <w:bottom w:w="0" w:type="dxa"/>
              <w:right w:w="15" w:type="dxa"/>
            </w:tcMar>
            <w:vAlign w:val="bottom"/>
            <w:hideMark/>
          </w:tcPr>
          <w:p w14:paraId="1CF09F0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09214FB2" w14:textId="77777777">
        <w:trPr>
          <w:divId w:val="2000691291"/>
          <w:jc w:val="center"/>
        </w:trPr>
        <w:tc>
          <w:tcPr>
            <w:tcW w:w="1664" w:type="pct"/>
            <w:shd w:val="clear" w:color="auto" w:fill="CFF0FC"/>
            <w:tcMar>
              <w:top w:w="15" w:type="dxa"/>
              <w:left w:w="0" w:type="dxa"/>
              <w:bottom w:w="0" w:type="dxa"/>
              <w:right w:w="15" w:type="dxa"/>
            </w:tcMar>
            <w:hideMark/>
          </w:tcPr>
          <w:p w14:paraId="1F376EB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Canada</w:t>
            </w:r>
          </w:p>
        </w:tc>
        <w:tc>
          <w:tcPr>
            <w:tcW w:w="79" w:type="pct"/>
            <w:shd w:val="clear" w:color="auto" w:fill="CFF0FC"/>
            <w:tcMar>
              <w:top w:w="15" w:type="dxa"/>
              <w:left w:w="0" w:type="dxa"/>
              <w:bottom w:w="0" w:type="dxa"/>
              <w:right w:w="15" w:type="dxa"/>
            </w:tcMar>
            <w:vAlign w:val="bottom"/>
            <w:hideMark/>
          </w:tcPr>
          <w:p w14:paraId="2C9F17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E4DE75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CFF0FC"/>
            <w:noWrap/>
            <w:tcMar>
              <w:top w:w="15" w:type="dxa"/>
              <w:left w:w="0" w:type="dxa"/>
              <w:bottom w:w="0" w:type="dxa"/>
              <w:right w:w="15" w:type="dxa"/>
            </w:tcMar>
            <w:vAlign w:val="bottom"/>
            <w:hideMark/>
          </w:tcPr>
          <w:p w14:paraId="3DB11D4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1,166</w:t>
            </w:r>
          </w:p>
        </w:tc>
        <w:tc>
          <w:tcPr>
            <w:tcW w:w="50" w:type="pct"/>
            <w:shd w:val="clear" w:color="auto" w:fill="CFF0FC"/>
            <w:noWrap/>
            <w:tcMar>
              <w:top w:w="15" w:type="dxa"/>
              <w:left w:w="0" w:type="dxa"/>
              <w:bottom w:w="0" w:type="dxa"/>
              <w:right w:w="15" w:type="dxa"/>
            </w:tcMar>
            <w:vAlign w:val="bottom"/>
            <w:hideMark/>
          </w:tcPr>
          <w:p w14:paraId="4EBCB51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387CD33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7C0530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left w:w="0" w:type="dxa"/>
              <w:bottom w:w="0" w:type="dxa"/>
              <w:right w:w="15" w:type="dxa"/>
            </w:tcMar>
            <w:vAlign w:val="bottom"/>
            <w:hideMark/>
          </w:tcPr>
          <w:p w14:paraId="183E102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87</w:t>
            </w:r>
          </w:p>
        </w:tc>
        <w:tc>
          <w:tcPr>
            <w:tcW w:w="50" w:type="pct"/>
            <w:shd w:val="clear" w:color="auto" w:fill="CFF0FC"/>
            <w:noWrap/>
            <w:tcMar>
              <w:top w:w="15" w:type="dxa"/>
              <w:left w:w="0" w:type="dxa"/>
              <w:bottom w:w="0" w:type="dxa"/>
              <w:right w:w="15" w:type="dxa"/>
            </w:tcMar>
            <w:vAlign w:val="bottom"/>
            <w:hideMark/>
          </w:tcPr>
          <w:p w14:paraId="1FFE957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04B9B6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3A5A60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CFF0FC"/>
            <w:noWrap/>
            <w:tcMar>
              <w:top w:w="15" w:type="dxa"/>
              <w:left w:w="0" w:type="dxa"/>
              <w:bottom w:w="0" w:type="dxa"/>
              <w:right w:w="15" w:type="dxa"/>
            </w:tcMar>
            <w:vAlign w:val="bottom"/>
            <w:hideMark/>
          </w:tcPr>
          <w:p w14:paraId="64DECA5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1,200</w:t>
            </w:r>
          </w:p>
        </w:tc>
        <w:tc>
          <w:tcPr>
            <w:tcW w:w="50" w:type="pct"/>
            <w:shd w:val="clear" w:color="auto" w:fill="CFF0FC"/>
            <w:noWrap/>
            <w:tcMar>
              <w:top w:w="15" w:type="dxa"/>
              <w:left w:w="0" w:type="dxa"/>
              <w:bottom w:w="0" w:type="dxa"/>
              <w:right w:w="15" w:type="dxa"/>
            </w:tcMar>
            <w:vAlign w:val="bottom"/>
            <w:hideMark/>
          </w:tcPr>
          <w:p w14:paraId="5205FC4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4AABBC8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96C82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left w:w="0" w:type="dxa"/>
              <w:bottom w:w="0" w:type="dxa"/>
              <w:right w:w="15" w:type="dxa"/>
            </w:tcMar>
            <w:vAlign w:val="bottom"/>
            <w:hideMark/>
          </w:tcPr>
          <w:p w14:paraId="12DB159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78</w:t>
            </w:r>
          </w:p>
        </w:tc>
        <w:tc>
          <w:tcPr>
            <w:tcW w:w="50" w:type="pct"/>
            <w:shd w:val="clear" w:color="auto" w:fill="CFF0FC"/>
            <w:noWrap/>
            <w:tcMar>
              <w:top w:w="15" w:type="dxa"/>
              <w:left w:w="0" w:type="dxa"/>
              <w:bottom w:w="0" w:type="dxa"/>
              <w:right w:w="15" w:type="dxa"/>
            </w:tcMar>
            <w:vAlign w:val="bottom"/>
            <w:hideMark/>
          </w:tcPr>
          <w:p w14:paraId="79D79B1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5F66AB4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0C4E96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2" w:type="pct"/>
            <w:shd w:val="clear" w:color="auto" w:fill="CFF0FC"/>
            <w:noWrap/>
            <w:tcMar>
              <w:top w:w="15" w:type="dxa"/>
              <w:left w:w="0" w:type="dxa"/>
              <w:bottom w:w="0" w:type="dxa"/>
              <w:right w:w="15" w:type="dxa"/>
            </w:tcMar>
            <w:vAlign w:val="bottom"/>
            <w:hideMark/>
          </w:tcPr>
          <w:p w14:paraId="1D3AF9E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1,102</w:t>
            </w:r>
          </w:p>
        </w:tc>
        <w:tc>
          <w:tcPr>
            <w:tcW w:w="50" w:type="pct"/>
            <w:shd w:val="clear" w:color="auto" w:fill="CFF0FC"/>
            <w:noWrap/>
            <w:tcMar>
              <w:top w:w="15" w:type="dxa"/>
              <w:left w:w="0" w:type="dxa"/>
              <w:bottom w:w="0" w:type="dxa"/>
              <w:right w:w="15" w:type="dxa"/>
            </w:tcMar>
            <w:vAlign w:val="bottom"/>
            <w:hideMark/>
          </w:tcPr>
          <w:p w14:paraId="7A90B7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1CE0814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BCB3E8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left w:w="0" w:type="dxa"/>
              <w:bottom w:w="0" w:type="dxa"/>
              <w:right w:w="15" w:type="dxa"/>
            </w:tcMar>
            <w:vAlign w:val="bottom"/>
            <w:hideMark/>
          </w:tcPr>
          <w:p w14:paraId="6F29B4ED"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60</w:t>
            </w:r>
          </w:p>
        </w:tc>
        <w:tc>
          <w:tcPr>
            <w:tcW w:w="50" w:type="pct"/>
            <w:shd w:val="clear" w:color="auto" w:fill="CFF0FC"/>
            <w:noWrap/>
            <w:tcMar>
              <w:top w:w="15" w:type="dxa"/>
              <w:left w:w="0" w:type="dxa"/>
              <w:bottom w:w="0" w:type="dxa"/>
              <w:right w:w="15" w:type="dxa"/>
            </w:tcMar>
            <w:vAlign w:val="bottom"/>
            <w:hideMark/>
          </w:tcPr>
          <w:p w14:paraId="2E0ECED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723D948" w14:textId="77777777">
        <w:trPr>
          <w:divId w:val="2000691291"/>
          <w:jc w:val="center"/>
        </w:trPr>
        <w:tc>
          <w:tcPr>
            <w:tcW w:w="1664" w:type="pct"/>
            <w:shd w:val="clear" w:color="auto" w:fill="FFFFFF"/>
            <w:tcMar>
              <w:top w:w="15" w:type="dxa"/>
              <w:left w:w="0" w:type="dxa"/>
              <w:bottom w:w="0" w:type="dxa"/>
              <w:right w:w="15" w:type="dxa"/>
            </w:tcMar>
            <w:hideMark/>
          </w:tcPr>
          <w:p w14:paraId="5DFB076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Other countries</w:t>
            </w:r>
          </w:p>
        </w:tc>
        <w:tc>
          <w:tcPr>
            <w:tcW w:w="79" w:type="pct"/>
            <w:shd w:val="clear" w:color="auto" w:fill="FFFFFF"/>
            <w:tcMar>
              <w:top w:w="15" w:type="dxa"/>
              <w:left w:w="0" w:type="dxa"/>
              <w:bottom w:w="0" w:type="dxa"/>
              <w:right w:w="15" w:type="dxa"/>
            </w:tcMar>
            <w:vAlign w:val="bottom"/>
            <w:hideMark/>
          </w:tcPr>
          <w:p w14:paraId="0256D2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7C537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9" w:type="pct"/>
            <w:tcBorders>
              <w:bottom w:val="single" w:sz="6" w:space="0" w:color="000000"/>
            </w:tcBorders>
            <w:shd w:val="clear" w:color="auto" w:fill="FFFFFF"/>
            <w:noWrap/>
            <w:tcMar>
              <w:top w:w="15" w:type="dxa"/>
              <w:left w:w="0" w:type="dxa"/>
              <w:bottom w:w="0" w:type="dxa"/>
              <w:right w:w="15" w:type="dxa"/>
            </w:tcMar>
            <w:vAlign w:val="bottom"/>
            <w:hideMark/>
          </w:tcPr>
          <w:p w14:paraId="43E78B7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14,259</w:t>
            </w:r>
          </w:p>
        </w:tc>
        <w:tc>
          <w:tcPr>
            <w:tcW w:w="50" w:type="pct"/>
            <w:shd w:val="clear" w:color="auto" w:fill="FFFFFF"/>
            <w:noWrap/>
            <w:tcMar>
              <w:top w:w="15" w:type="dxa"/>
              <w:left w:w="0" w:type="dxa"/>
              <w:bottom w:w="0" w:type="dxa"/>
              <w:right w:w="15" w:type="dxa"/>
            </w:tcMar>
            <w:vAlign w:val="bottom"/>
            <w:hideMark/>
          </w:tcPr>
          <w:p w14:paraId="24DE6D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040E8D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D504AF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tcBorders>
              <w:bottom w:val="single" w:sz="6" w:space="0" w:color="000000"/>
            </w:tcBorders>
            <w:shd w:val="clear" w:color="auto" w:fill="FFFFFF"/>
            <w:noWrap/>
            <w:tcMar>
              <w:top w:w="15" w:type="dxa"/>
              <w:left w:w="0" w:type="dxa"/>
              <w:bottom w:w="0" w:type="dxa"/>
              <w:right w:w="15" w:type="dxa"/>
            </w:tcMar>
            <w:vAlign w:val="bottom"/>
            <w:hideMark/>
          </w:tcPr>
          <w:p w14:paraId="4C57FCA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1,356</w:t>
            </w:r>
          </w:p>
        </w:tc>
        <w:tc>
          <w:tcPr>
            <w:tcW w:w="50" w:type="pct"/>
            <w:shd w:val="clear" w:color="auto" w:fill="FFFFFF"/>
            <w:noWrap/>
            <w:tcMar>
              <w:top w:w="15" w:type="dxa"/>
              <w:left w:w="0" w:type="dxa"/>
              <w:bottom w:w="0" w:type="dxa"/>
              <w:right w:w="15" w:type="dxa"/>
            </w:tcMar>
            <w:vAlign w:val="bottom"/>
            <w:hideMark/>
          </w:tcPr>
          <w:p w14:paraId="668586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2B75E2E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48E2A0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9" w:type="pct"/>
            <w:tcBorders>
              <w:bottom w:val="single" w:sz="6" w:space="0" w:color="000000"/>
            </w:tcBorders>
            <w:shd w:val="clear" w:color="auto" w:fill="FFFFFF"/>
            <w:noWrap/>
            <w:tcMar>
              <w:top w:w="15" w:type="dxa"/>
              <w:left w:w="0" w:type="dxa"/>
              <w:bottom w:w="0" w:type="dxa"/>
              <w:right w:w="15" w:type="dxa"/>
            </w:tcMar>
            <w:vAlign w:val="bottom"/>
            <w:hideMark/>
          </w:tcPr>
          <w:p w14:paraId="3CF0442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14,518</w:t>
            </w:r>
          </w:p>
        </w:tc>
        <w:tc>
          <w:tcPr>
            <w:tcW w:w="50" w:type="pct"/>
            <w:shd w:val="clear" w:color="auto" w:fill="FFFFFF"/>
            <w:noWrap/>
            <w:tcMar>
              <w:top w:w="15" w:type="dxa"/>
              <w:left w:w="0" w:type="dxa"/>
              <w:bottom w:w="0" w:type="dxa"/>
              <w:right w:w="15" w:type="dxa"/>
            </w:tcMar>
            <w:vAlign w:val="bottom"/>
            <w:hideMark/>
          </w:tcPr>
          <w:p w14:paraId="6872BF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152A0BC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912056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tcBorders>
              <w:bottom w:val="single" w:sz="6" w:space="0" w:color="000000"/>
            </w:tcBorders>
            <w:shd w:val="clear" w:color="auto" w:fill="FFFFFF"/>
            <w:noWrap/>
            <w:tcMar>
              <w:top w:w="15" w:type="dxa"/>
              <w:left w:w="0" w:type="dxa"/>
              <w:bottom w:w="0" w:type="dxa"/>
              <w:right w:w="15" w:type="dxa"/>
            </w:tcMar>
            <w:vAlign w:val="bottom"/>
            <w:hideMark/>
          </w:tcPr>
          <w:p w14:paraId="1365A71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1,223</w:t>
            </w:r>
          </w:p>
        </w:tc>
        <w:tc>
          <w:tcPr>
            <w:tcW w:w="50" w:type="pct"/>
            <w:shd w:val="clear" w:color="auto" w:fill="FFFFFF"/>
            <w:noWrap/>
            <w:tcMar>
              <w:top w:w="15" w:type="dxa"/>
              <w:left w:w="0" w:type="dxa"/>
              <w:bottom w:w="0" w:type="dxa"/>
              <w:right w:w="15" w:type="dxa"/>
            </w:tcMar>
            <w:vAlign w:val="bottom"/>
            <w:hideMark/>
          </w:tcPr>
          <w:p w14:paraId="3DC80E6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3EDE22B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AE7C73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2" w:type="pct"/>
            <w:tcBorders>
              <w:bottom w:val="single" w:sz="6" w:space="0" w:color="000000"/>
            </w:tcBorders>
            <w:shd w:val="clear" w:color="auto" w:fill="FFFFFF"/>
            <w:noWrap/>
            <w:tcMar>
              <w:top w:w="15" w:type="dxa"/>
              <w:left w:w="0" w:type="dxa"/>
              <w:bottom w:w="0" w:type="dxa"/>
              <w:right w:w="15" w:type="dxa"/>
            </w:tcMar>
            <w:vAlign w:val="bottom"/>
            <w:hideMark/>
          </w:tcPr>
          <w:p w14:paraId="58D33E6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13,812</w:t>
            </w:r>
          </w:p>
        </w:tc>
        <w:tc>
          <w:tcPr>
            <w:tcW w:w="50" w:type="pct"/>
            <w:shd w:val="clear" w:color="auto" w:fill="FFFFFF"/>
            <w:noWrap/>
            <w:tcMar>
              <w:top w:w="15" w:type="dxa"/>
              <w:left w:w="0" w:type="dxa"/>
              <w:bottom w:w="0" w:type="dxa"/>
              <w:right w:w="15" w:type="dxa"/>
            </w:tcMar>
            <w:vAlign w:val="bottom"/>
            <w:hideMark/>
          </w:tcPr>
          <w:p w14:paraId="3B0F090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left w:w="0" w:type="dxa"/>
              <w:bottom w:w="0" w:type="dxa"/>
              <w:right w:w="15" w:type="dxa"/>
            </w:tcMar>
            <w:vAlign w:val="bottom"/>
            <w:hideMark/>
          </w:tcPr>
          <w:p w14:paraId="4ADB4B0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DA4FC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2" w:type="pct"/>
            <w:tcBorders>
              <w:bottom w:val="single" w:sz="6" w:space="0" w:color="000000"/>
            </w:tcBorders>
            <w:shd w:val="clear" w:color="auto" w:fill="FFFFFF"/>
            <w:noWrap/>
            <w:tcMar>
              <w:top w:w="15" w:type="dxa"/>
              <w:left w:w="0" w:type="dxa"/>
              <w:bottom w:w="0" w:type="dxa"/>
              <w:right w:w="15" w:type="dxa"/>
            </w:tcMar>
            <w:vAlign w:val="bottom"/>
            <w:hideMark/>
          </w:tcPr>
          <w:p w14:paraId="2733E91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1,090</w:t>
            </w:r>
          </w:p>
        </w:tc>
        <w:tc>
          <w:tcPr>
            <w:tcW w:w="50" w:type="pct"/>
            <w:shd w:val="clear" w:color="auto" w:fill="FFFFFF"/>
            <w:noWrap/>
            <w:tcMar>
              <w:top w:w="15" w:type="dxa"/>
              <w:left w:w="0" w:type="dxa"/>
              <w:bottom w:w="0" w:type="dxa"/>
              <w:right w:w="15" w:type="dxa"/>
            </w:tcMar>
            <w:vAlign w:val="bottom"/>
            <w:hideMark/>
          </w:tcPr>
          <w:p w14:paraId="0D815EF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54FC3794" w14:textId="77777777">
        <w:trPr>
          <w:divId w:val="2000691291"/>
          <w:jc w:val="center"/>
        </w:trPr>
        <w:tc>
          <w:tcPr>
            <w:tcW w:w="1664" w:type="pct"/>
            <w:shd w:val="clear" w:color="auto" w:fill="CFF0FC"/>
            <w:tcMar>
              <w:top w:w="15" w:type="dxa"/>
              <w:left w:w="0" w:type="dxa"/>
              <w:bottom w:w="0" w:type="dxa"/>
              <w:right w:w="15" w:type="dxa"/>
            </w:tcMar>
            <w:hideMark/>
          </w:tcPr>
          <w:p w14:paraId="75536C8E"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Total</w:t>
            </w:r>
          </w:p>
        </w:tc>
        <w:tc>
          <w:tcPr>
            <w:tcW w:w="79" w:type="pct"/>
            <w:shd w:val="clear" w:color="auto" w:fill="CFF0FC"/>
            <w:tcMar>
              <w:top w:w="15" w:type="dxa"/>
              <w:left w:w="0" w:type="dxa"/>
              <w:bottom w:w="0" w:type="dxa"/>
              <w:right w:w="15" w:type="dxa"/>
            </w:tcMar>
            <w:vAlign w:val="bottom"/>
            <w:hideMark/>
          </w:tcPr>
          <w:p w14:paraId="1C7875C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44B263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206CEE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CFF0FC"/>
            <w:noWrap/>
            <w:tcMar>
              <w:top w:w="15" w:type="dxa"/>
              <w:left w:w="0" w:type="dxa"/>
              <w:bottom w:w="0" w:type="dxa"/>
              <w:right w:w="15" w:type="dxa"/>
            </w:tcMar>
            <w:vAlign w:val="bottom"/>
            <w:hideMark/>
          </w:tcPr>
          <w:p w14:paraId="3A3D08A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5280DA9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44F6F8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75AA1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7,869</w:t>
            </w:r>
          </w:p>
        </w:tc>
        <w:tc>
          <w:tcPr>
            <w:tcW w:w="50" w:type="pct"/>
            <w:shd w:val="clear" w:color="auto" w:fill="CFF0FC"/>
            <w:noWrap/>
            <w:tcMar>
              <w:top w:w="15" w:type="dxa"/>
              <w:left w:w="0" w:type="dxa"/>
              <w:bottom w:w="0" w:type="dxa"/>
              <w:right w:w="15" w:type="dxa"/>
            </w:tcMar>
            <w:vAlign w:val="bottom"/>
            <w:hideMark/>
          </w:tcPr>
          <w:p w14:paraId="4B0B025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00663A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D6416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98128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39,383</w:t>
            </w:r>
          </w:p>
        </w:tc>
        <w:tc>
          <w:tcPr>
            <w:tcW w:w="50" w:type="pct"/>
            <w:shd w:val="clear" w:color="auto" w:fill="CFF0FC"/>
            <w:noWrap/>
            <w:tcMar>
              <w:top w:w="15" w:type="dxa"/>
              <w:left w:w="0" w:type="dxa"/>
              <w:bottom w:w="0" w:type="dxa"/>
              <w:right w:w="15" w:type="dxa"/>
            </w:tcMar>
            <w:vAlign w:val="bottom"/>
            <w:hideMark/>
          </w:tcPr>
          <w:p w14:paraId="4F0C259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200B6D5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6DBD9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A0F9C7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7,354</w:t>
            </w:r>
          </w:p>
        </w:tc>
        <w:tc>
          <w:tcPr>
            <w:tcW w:w="50" w:type="pct"/>
            <w:shd w:val="clear" w:color="auto" w:fill="CFF0FC"/>
            <w:noWrap/>
            <w:tcMar>
              <w:top w:w="15" w:type="dxa"/>
              <w:left w:w="0" w:type="dxa"/>
              <w:bottom w:w="0" w:type="dxa"/>
              <w:right w:w="15" w:type="dxa"/>
            </w:tcMar>
            <w:vAlign w:val="bottom"/>
            <w:hideMark/>
          </w:tcPr>
          <w:p w14:paraId="63F2E4F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7845A54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E16ED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65881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37,792</w:t>
            </w:r>
          </w:p>
        </w:tc>
        <w:tc>
          <w:tcPr>
            <w:tcW w:w="50" w:type="pct"/>
            <w:shd w:val="clear" w:color="auto" w:fill="CFF0FC"/>
            <w:noWrap/>
            <w:tcMar>
              <w:top w:w="15" w:type="dxa"/>
              <w:left w:w="0" w:type="dxa"/>
              <w:bottom w:w="0" w:type="dxa"/>
              <w:right w:w="15" w:type="dxa"/>
            </w:tcMar>
            <w:vAlign w:val="bottom"/>
            <w:hideMark/>
          </w:tcPr>
          <w:p w14:paraId="7B23BD3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left w:w="0" w:type="dxa"/>
              <w:bottom w:w="0" w:type="dxa"/>
              <w:right w:w="15" w:type="dxa"/>
            </w:tcMar>
            <w:vAlign w:val="bottom"/>
            <w:hideMark/>
          </w:tcPr>
          <w:p w14:paraId="251ECA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47F97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3ACDA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6,728</w:t>
            </w:r>
          </w:p>
        </w:tc>
        <w:tc>
          <w:tcPr>
            <w:tcW w:w="50" w:type="pct"/>
            <w:shd w:val="clear" w:color="auto" w:fill="CFF0FC"/>
            <w:noWrap/>
            <w:tcMar>
              <w:top w:w="15" w:type="dxa"/>
              <w:left w:w="0" w:type="dxa"/>
              <w:bottom w:w="0" w:type="dxa"/>
              <w:right w:w="15" w:type="dxa"/>
            </w:tcMar>
            <w:vAlign w:val="bottom"/>
            <w:hideMark/>
          </w:tcPr>
          <w:p w14:paraId="6FEF938B"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AECFACF"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299D8B48" w14:textId="77777777">
        <w:tc>
          <w:tcPr>
            <w:tcW w:w="192" w:type="pct"/>
            <w:noWrap/>
            <w:hideMark/>
          </w:tcPr>
          <w:p w14:paraId="205ED36F"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70E20317"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5"/>
                <w:szCs w:val="15"/>
              </w:rPr>
              <w:t>Long-lived assets exclude goodwill, intangible assets, equity investments and deferred taxes, which are not allocated to specific geographic locations as it is impracticable to do so.</w:t>
            </w:r>
          </w:p>
        </w:tc>
      </w:tr>
    </w:tbl>
    <w:p w14:paraId="1BF521CD"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114</w:t>
      </w:r>
    </w:p>
    <w:p w14:paraId="261E6461" w14:textId="77777777" w:rsidR="00251D72" w:rsidRDefault="00251D72">
      <w:pPr>
        <w:rPr>
          <w:rFonts w:ascii="Times New Roman" w:eastAsia="Times New Roman" w:hAnsi="Times New Roman" w:cs="Times New Roman"/>
          <w:sz w:val="24"/>
          <w:szCs w:val="24"/>
        </w:rPr>
      </w:pPr>
      <w:r>
        <w:rPr>
          <w:rFonts w:eastAsia="Times New Roman"/>
        </w:rPr>
        <w:pict w14:anchorId="442A89EC">
          <v:rect id="_x0000_i1140" style="width:415.3pt;height:1.5pt" o:hralign="center" o:hrstd="t" o:hr="t" fillcolor="#a0a0a0" stroked="f"/>
        </w:pict>
      </w:r>
    </w:p>
    <w:p w14:paraId="76FDABD6"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7CB61F55"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1DD03FA"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46EE70A7"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4464809F"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5EA73850" w14:textId="77777777" w:rsidR="00251D72" w:rsidRDefault="00251D7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251D72" w14:paraId="70A03C9A" w14:textId="77777777">
        <w:tc>
          <w:tcPr>
            <w:tcW w:w="262" w:type="pct"/>
            <w:noWrap/>
            <w:hideMark/>
          </w:tcPr>
          <w:p w14:paraId="50284C1F"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16.</w:t>
            </w:r>
          </w:p>
        </w:tc>
        <w:tc>
          <w:tcPr>
            <w:tcW w:w="0" w:type="auto"/>
            <w:hideMark/>
          </w:tcPr>
          <w:p w14:paraId="34FD3327" w14:textId="77777777" w:rsidR="00251D72" w:rsidRDefault="00251D72">
            <w:pPr>
              <w:pStyle w:val="a3"/>
              <w:spacing w:before="240" w:beforeAutospacing="0" w:after="0" w:afterAutospacing="0"/>
              <w:jc w:val="both"/>
              <w:rPr>
                <w:rFonts w:ascii="Calibri" w:hAnsi="Calibri" w:cs="Calibri"/>
                <w:b/>
                <w:bCs/>
                <w:sz w:val="20"/>
                <w:szCs w:val="20"/>
              </w:rPr>
            </w:pPr>
            <w:bookmarkStart w:id="158" w:name="_AEIOULastRenderedPageBreakAEIOU117"/>
            <w:bookmarkEnd w:id="158"/>
            <w:r>
              <w:rPr>
                <w:rFonts w:ascii="Calibri" w:hAnsi="Calibri" w:cs="Calibri"/>
                <w:b/>
                <w:bCs/>
                <w:sz w:val="20"/>
                <w:szCs w:val="20"/>
              </w:rPr>
              <w:t>EARNINGS PER SHARE</w:t>
            </w:r>
          </w:p>
        </w:tc>
      </w:tr>
    </w:tbl>
    <w:p w14:paraId="4E41CD31" w14:textId="77777777" w:rsidR="00251D72" w:rsidRDefault="00251D72">
      <w:pPr>
        <w:pStyle w:val="a3"/>
        <w:spacing w:before="120" w:beforeAutospacing="0" w:after="0" w:afterAutospacing="0"/>
        <w:jc w:val="both"/>
        <w:rPr>
          <w:rFonts w:ascii="Calibri" w:hAnsi="Calibri" w:cs="Calibri"/>
          <w:spacing w:val="-2"/>
          <w:sz w:val="20"/>
          <w:szCs w:val="20"/>
        </w:rPr>
      </w:pPr>
      <w:r>
        <w:rPr>
          <w:rFonts w:ascii="Calibri" w:hAnsi="Calibri" w:cs="Calibri"/>
          <w:spacing w:val="-2"/>
          <w:sz w:val="20"/>
          <w:szCs w:val="20"/>
        </w:rPr>
        <w:t>Basic earnings per share is computed by dividing net income for the period by the weighted-average number of common shares outstanding during the period. Diluted earnings per share is computed by dividing net income for the period by the weighted-average number of common shares outstanding during the period, plus the dilutive effect of outstanding restricted stock-based awards, stock options, and shares issuable under the employee stock purchase plan using the treasury stock method. The following table sets forth the computation of basic and diluted earnings per share:</w:t>
      </w:r>
    </w:p>
    <w:p w14:paraId="4D69A458"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836"/>
        <w:gridCol w:w="95"/>
        <w:gridCol w:w="117"/>
        <w:gridCol w:w="572"/>
        <w:gridCol w:w="68"/>
        <w:gridCol w:w="95"/>
        <w:gridCol w:w="117"/>
        <w:gridCol w:w="527"/>
        <w:gridCol w:w="68"/>
        <w:gridCol w:w="95"/>
        <w:gridCol w:w="117"/>
        <w:gridCol w:w="530"/>
        <w:gridCol w:w="69"/>
      </w:tblGrid>
      <w:tr w:rsidR="00251D72" w14:paraId="7F696AB0" w14:textId="77777777">
        <w:trPr>
          <w:divId w:val="731852728"/>
          <w:jc w:val="center"/>
        </w:trPr>
        <w:tc>
          <w:tcPr>
            <w:tcW w:w="3521" w:type="pct"/>
            <w:shd w:val="clear" w:color="auto" w:fill="FFFFFF"/>
            <w:tcMar>
              <w:top w:w="15" w:type="dxa"/>
              <w:left w:w="0" w:type="dxa"/>
              <w:bottom w:w="0" w:type="dxa"/>
              <w:right w:w="15" w:type="dxa"/>
            </w:tcMar>
            <w:vAlign w:val="bottom"/>
            <w:hideMark/>
          </w:tcPr>
          <w:p w14:paraId="68D2B21C" w14:textId="77777777" w:rsidR="00251D72" w:rsidRDefault="00251D72">
            <w:pPr>
              <w:pStyle w:val="a3"/>
              <w:spacing w:before="0" w:beforeAutospacing="0" w:after="0" w:afterAutospacing="0"/>
              <w:jc w:val="center"/>
              <w:rPr>
                <w:rFonts w:ascii="Calibri" w:hAnsi="Calibri" w:cs="Calibri"/>
                <w:sz w:val="15"/>
                <w:szCs w:val="15"/>
              </w:rPr>
            </w:pPr>
            <w:r>
              <w:rPr>
                <w:rFonts w:ascii="Calibri" w:hAnsi="Calibri" w:cs="Calibri"/>
                <w:sz w:val="15"/>
                <w:szCs w:val="15"/>
              </w:rPr>
              <w:t> </w:t>
            </w:r>
          </w:p>
        </w:tc>
        <w:tc>
          <w:tcPr>
            <w:tcW w:w="66" w:type="pct"/>
            <w:shd w:val="clear" w:color="auto" w:fill="FFFFFF"/>
            <w:tcMar>
              <w:top w:w="15" w:type="dxa"/>
              <w:left w:w="0" w:type="dxa"/>
              <w:bottom w:w="0" w:type="dxa"/>
              <w:right w:w="15" w:type="dxa"/>
            </w:tcMar>
            <w:vAlign w:val="bottom"/>
            <w:hideMark/>
          </w:tcPr>
          <w:p w14:paraId="7607DCD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362" w:type="pct"/>
            <w:gridSpan w:val="10"/>
            <w:tcBorders>
              <w:bottom w:val="single" w:sz="6" w:space="0" w:color="000000"/>
            </w:tcBorders>
            <w:shd w:val="clear" w:color="auto" w:fill="FFFFFF"/>
            <w:tcMar>
              <w:top w:w="15" w:type="dxa"/>
              <w:left w:w="0" w:type="dxa"/>
              <w:bottom w:w="0" w:type="dxa"/>
              <w:right w:w="15" w:type="dxa"/>
            </w:tcMar>
            <w:vAlign w:val="bottom"/>
            <w:hideMark/>
          </w:tcPr>
          <w:p w14:paraId="26AF5FC6"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left w:w="0" w:type="dxa"/>
              <w:bottom w:w="0" w:type="dxa"/>
              <w:right w:w="15" w:type="dxa"/>
            </w:tcMar>
            <w:vAlign w:val="bottom"/>
            <w:hideMark/>
          </w:tcPr>
          <w:p w14:paraId="30F9EF9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1C8FAEB2" w14:textId="77777777">
        <w:trPr>
          <w:divId w:val="731852728"/>
          <w:jc w:val="center"/>
        </w:trPr>
        <w:tc>
          <w:tcPr>
            <w:tcW w:w="3521" w:type="pct"/>
            <w:tcBorders>
              <w:bottom w:val="single" w:sz="6" w:space="0" w:color="000000"/>
            </w:tcBorders>
            <w:shd w:val="clear" w:color="auto" w:fill="FFFFFF"/>
            <w:tcMar>
              <w:top w:w="15" w:type="dxa"/>
              <w:left w:w="0" w:type="dxa"/>
              <w:bottom w:w="0" w:type="dxa"/>
              <w:right w:w="15" w:type="dxa"/>
            </w:tcMar>
            <w:vAlign w:val="bottom"/>
            <w:hideMark/>
          </w:tcPr>
          <w:p w14:paraId="0A2EE54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6" w:type="pct"/>
            <w:shd w:val="clear" w:color="auto" w:fill="FFFFFF"/>
            <w:tcMar>
              <w:top w:w="15" w:type="dxa"/>
              <w:left w:w="0" w:type="dxa"/>
              <w:bottom w:w="0" w:type="dxa"/>
              <w:right w:w="15" w:type="dxa"/>
            </w:tcMar>
            <w:vAlign w:val="bottom"/>
            <w:hideMark/>
          </w:tcPr>
          <w:p w14:paraId="441F0B65"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04EE6A"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63B58B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14:paraId="1DC70FDE"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B871A4"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56EC910B"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14:paraId="4C85459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FCA74BD"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14:paraId="04ED3ED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001D1476" w14:textId="77777777">
        <w:trPr>
          <w:divId w:val="731852728"/>
          <w:jc w:val="center"/>
        </w:trPr>
        <w:tc>
          <w:tcPr>
            <w:tcW w:w="3521" w:type="pct"/>
            <w:tcBorders>
              <w:top w:val="single" w:sz="6" w:space="0" w:color="000000"/>
            </w:tcBorders>
            <w:shd w:val="clear" w:color="auto" w:fill="CFF0FC"/>
            <w:tcMar>
              <w:top w:w="15" w:type="dxa"/>
              <w:left w:w="0" w:type="dxa"/>
              <w:bottom w:w="0" w:type="dxa"/>
              <w:right w:w="15" w:type="dxa"/>
            </w:tcMar>
            <w:hideMark/>
          </w:tcPr>
          <w:p w14:paraId="4F2DA32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income</w:t>
            </w:r>
          </w:p>
        </w:tc>
        <w:tc>
          <w:tcPr>
            <w:tcW w:w="66" w:type="pct"/>
            <w:shd w:val="clear" w:color="auto" w:fill="CFF0FC"/>
            <w:tcMar>
              <w:top w:w="15" w:type="dxa"/>
              <w:left w:w="0" w:type="dxa"/>
              <w:bottom w:w="0" w:type="dxa"/>
              <w:right w:w="15" w:type="dxa"/>
            </w:tcMar>
            <w:vAlign w:val="bottom"/>
            <w:hideMark/>
          </w:tcPr>
          <w:p w14:paraId="24D9DE4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2FFC1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2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E7CD9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11,083</w:t>
            </w:r>
          </w:p>
        </w:tc>
        <w:tc>
          <w:tcPr>
            <w:tcW w:w="50" w:type="pct"/>
            <w:shd w:val="clear" w:color="auto" w:fill="CFF0FC"/>
            <w:noWrap/>
            <w:tcMar>
              <w:top w:w="15" w:type="dxa"/>
              <w:left w:w="0" w:type="dxa"/>
              <w:bottom w:w="0" w:type="dxa"/>
              <w:right w:w="15" w:type="dxa"/>
            </w:tcMar>
            <w:vAlign w:val="bottom"/>
            <w:hideMark/>
          </w:tcPr>
          <w:p w14:paraId="53C6C04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0ACBDE0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128CA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2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AA22F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3,587</w:t>
            </w:r>
          </w:p>
        </w:tc>
        <w:tc>
          <w:tcPr>
            <w:tcW w:w="50" w:type="pct"/>
            <w:shd w:val="clear" w:color="auto" w:fill="CFF0FC"/>
            <w:noWrap/>
            <w:tcMar>
              <w:top w:w="15" w:type="dxa"/>
              <w:left w:w="0" w:type="dxa"/>
              <w:bottom w:w="0" w:type="dxa"/>
              <w:right w:w="15" w:type="dxa"/>
            </w:tcMar>
            <w:vAlign w:val="bottom"/>
            <w:hideMark/>
          </w:tcPr>
          <w:p w14:paraId="4E0CC1E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5A76FEF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208AA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2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74B7C2"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9,452</w:t>
            </w:r>
          </w:p>
        </w:tc>
        <w:tc>
          <w:tcPr>
            <w:tcW w:w="50" w:type="pct"/>
            <w:shd w:val="clear" w:color="auto" w:fill="CFF0FC"/>
            <w:noWrap/>
            <w:tcMar>
              <w:top w:w="15" w:type="dxa"/>
              <w:left w:w="0" w:type="dxa"/>
              <w:bottom w:w="0" w:type="dxa"/>
              <w:right w:w="15" w:type="dxa"/>
            </w:tcMar>
            <w:vAlign w:val="bottom"/>
            <w:hideMark/>
          </w:tcPr>
          <w:p w14:paraId="79BA6E0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277445E" w14:textId="77777777">
        <w:trPr>
          <w:divId w:val="731852728"/>
          <w:jc w:val="center"/>
        </w:trPr>
        <w:tc>
          <w:tcPr>
            <w:tcW w:w="3521" w:type="pct"/>
            <w:shd w:val="clear" w:color="auto" w:fill="FFFFFF"/>
            <w:tcMar>
              <w:top w:w="15" w:type="dxa"/>
              <w:left w:w="0" w:type="dxa"/>
              <w:bottom w:w="0" w:type="dxa"/>
              <w:right w:w="15" w:type="dxa"/>
            </w:tcMar>
            <w:hideMark/>
          </w:tcPr>
          <w:p w14:paraId="76A6B2A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Weighted average common shares outstanding</w:t>
            </w:r>
          </w:p>
        </w:tc>
        <w:tc>
          <w:tcPr>
            <w:tcW w:w="66" w:type="pct"/>
            <w:shd w:val="clear" w:color="auto" w:fill="FFFFFF"/>
            <w:tcMar>
              <w:top w:w="15" w:type="dxa"/>
              <w:left w:w="0" w:type="dxa"/>
              <w:bottom w:w="0" w:type="dxa"/>
              <w:right w:w="15" w:type="dxa"/>
            </w:tcMar>
            <w:vAlign w:val="bottom"/>
            <w:hideMark/>
          </w:tcPr>
          <w:p w14:paraId="741FBA6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040046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tcBorders>
              <w:top w:val="double" w:sz="6" w:space="0" w:color="000000"/>
            </w:tcBorders>
            <w:shd w:val="clear" w:color="auto" w:fill="FFFFFF"/>
            <w:noWrap/>
            <w:tcMar>
              <w:top w:w="15" w:type="dxa"/>
              <w:left w:w="0" w:type="dxa"/>
              <w:bottom w:w="0" w:type="dxa"/>
              <w:right w:w="15" w:type="dxa"/>
            </w:tcMar>
            <w:vAlign w:val="bottom"/>
            <w:hideMark/>
          </w:tcPr>
          <w:p w14:paraId="32F683D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3,634</w:t>
            </w:r>
          </w:p>
        </w:tc>
        <w:tc>
          <w:tcPr>
            <w:tcW w:w="50" w:type="pct"/>
            <w:shd w:val="clear" w:color="auto" w:fill="FFFFFF"/>
            <w:noWrap/>
            <w:tcMar>
              <w:top w:w="15" w:type="dxa"/>
              <w:left w:w="0" w:type="dxa"/>
              <w:bottom w:w="0" w:type="dxa"/>
              <w:right w:w="15" w:type="dxa"/>
            </w:tcMar>
            <w:vAlign w:val="bottom"/>
            <w:hideMark/>
          </w:tcPr>
          <w:p w14:paraId="362BC7F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48A2105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C599E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tcBorders>
              <w:top w:val="double" w:sz="6" w:space="0" w:color="000000"/>
            </w:tcBorders>
            <w:shd w:val="clear" w:color="auto" w:fill="FFFFFF"/>
            <w:noWrap/>
            <w:tcMar>
              <w:top w:w="15" w:type="dxa"/>
              <w:left w:w="0" w:type="dxa"/>
              <w:bottom w:w="0" w:type="dxa"/>
              <w:right w:w="15" w:type="dxa"/>
            </w:tcMar>
            <w:vAlign w:val="bottom"/>
            <w:hideMark/>
          </w:tcPr>
          <w:p w14:paraId="651E326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4,121</w:t>
            </w:r>
          </w:p>
        </w:tc>
        <w:tc>
          <w:tcPr>
            <w:tcW w:w="50" w:type="pct"/>
            <w:shd w:val="clear" w:color="auto" w:fill="FFFFFF"/>
            <w:noWrap/>
            <w:tcMar>
              <w:top w:w="15" w:type="dxa"/>
              <w:left w:w="0" w:type="dxa"/>
              <w:bottom w:w="0" w:type="dxa"/>
              <w:right w:w="15" w:type="dxa"/>
            </w:tcMar>
            <w:vAlign w:val="bottom"/>
            <w:hideMark/>
          </w:tcPr>
          <w:p w14:paraId="5281601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4850C3D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D76461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tcBorders>
              <w:top w:val="double" w:sz="6" w:space="0" w:color="000000"/>
            </w:tcBorders>
            <w:shd w:val="clear" w:color="auto" w:fill="FFFFFF"/>
            <w:noWrap/>
            <w:tcMar>
              <w:top w:w="15" w:type="dxa"/>
              <w:left w:w="0" w:type="dxa"/>
              <w:bottom w:w="0" w:type="dxa"/>
              <w:right w:w="15" w:type="dxa"/>
            </w:tcMar>
            <w:vAlign w:val="bottom"/>
            <w:hideMark/>
          </w:tcPr>
          <w:p w14:paraId="1D6B5CD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4,115</w:t>
            </w:r>
          </w:p>
        </w:tc>
        <w:tc>
          <w:tcPr>
            <w:tcW w:w="50" w:type="pct"/>
            <w:shd w:val="clear" w:color="auto" w:fill="FFFFFF"/>
            <w:noWrap/>
            <w:tcMar>
              <w:top w:w="15" w:type="dxa"/>
              <w:left w:w="0" w:type="dxa"/>
              <w:bottom w:w="0" w:type="dxa"/>
              <w:right w:w="15" w:type="dxa"/>
            </w:tcMar>
            <w:vAlign w:val="bottom"/>
            <w:hideMark/>
          </w:tcPr>
          <w:p w14:paraId="3AD542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2E7FF7C" w14:textId="77777777">
        <w:trPr>
          <w:divId w:val="731852728"/>
          <w:jc w:val="center"/>
        </w:trPr>
        <w:tc>
          <w:tcPr>
            <w:tcW w:w="3521" w:type="pct"/>
            <w:shd w:val="clear" w:color="auto" w:fill="CFF0FC"/>
            <w:tcMar>
              <w:top w:w="15" w:type="dxa"/>
              <w:left w:w="0" w:type="dxa"/>
              <w:bottom w:w="0" w:type="dxa"/>
              <w:right w:w="15" w:type="dxa"/>
            </w:tcMar>
            <w:hideMark/>
          </w:tcPr>
          <w:p w14:paraId="548691E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66" w:type="pct"/>
            <w:shd w:val="clear" w:color="auto" w:fill="CFF0FC"/>
            <w:tcMar>
              <w:top w:w="15" w:type="dxa"/>
              <w:left w:w="0" w:type="dxa"/>
              <w:bottom w:w="0" w:type="dxa"/>
              <w:right w:w="15" w:type="dxa"/>
            </w:tcMar>
            <w:vAlign w:val="bottom"/>
            <w:hideMark/>
          </w:tcPr>
          <w:p w14:paraId="499931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51667D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tcBorders>
              <w:bottom w:val="single" w:sz="6" w:space="0" w:color="000000"/>
            </w:tcBorders>
            <w:shd w:val="clear" w:color="auto" w:fill="CFF0FC"/>
            <w:noWrap/>
            <w:tcMar>
              <w:top w:w="15" w:type="dxa"/>
              <w:left w:w="0" w:type="dxa"/>
              <w:bottom w:w="0" w:type="dxa"/>
              <w:right w:w="15" w:type="dxa"/>
            </w:tcMar>
            <w:vAlign w:val="bottom"/>
            <w:hideMark/>
          </w:tcPr>
          <w:p w14:paraId="179B96A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98</w:t>
            </w:r>
          </w:p>
        </w:tc>
        <w:tc>
          <w:tcPr>
            <w:tcW w:w="50" w:type="pct"/>
            <w:shd w:val="clear" w:color="auto" w:fill="CFF0FC"/>
            <w:noWrap/>
            <w:tcMar>
              <w:top w:w="15" w:type="dxa"/>
              <w:left w:w="0" w:type="dxa"/>
              <w:bottom w:w="0" w:type="dxa"/>
              <w:right w:w="15" w:type="dxa"/>
            </w:tcMar>
            <w:vAlign w:val="bottom"/>
            <w:hideMark/>
          </w:tcPr>
          <w:p w14:paraId="46F03B5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092095C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21EB6B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tcBorders>
              <w:bottom w:val="single" w:sz="6" w:space="0" w:color="000000"/>
            </w:tcBorders>
            <w:shd w:val="clear" w:color="auto" w:fill="CFF0FC"/>
            <w:noWrap/>
            <w:tcMar>
              <w:top w:w="15" w:type="dxa"/>
              <w:left w:w="0" w:type="dxa"/>
              <w:bottom w:w="0" w:type="dxa"/>
              <w:right w:w="15" w:type="dxa"/>
            </w:tcMar>
            <w:vAlign w:val="bottom"/>
            <w:hideMark/>
          </w:tcPr>
          <w:p w14:paraId="2F54E9B1"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117</w:t>
            </w:r>
          </w:p>
        </w:tc>
        <w:tc>
          <w:tcPr>
            <w:tcW w:w="50" w:type="pct"/>
            <w:shd w:val="clear" w:color="auto" w:fill="CFF0FC"/>
            <w:noWrap/>
            <w:tcMar>
              <w:top w:w="15" w:type="dxa"/>
              <w:left w:w="0" w:type="dxa"/>
              <w:bottom w:w="0" w:type="dxa"/>
              <w:right w:w="15" w:type="dxa"/>
            </w:tcMar>
            <w:vAlign w:val="bottom"/>
            <w:hideMark/>
          </w:tcPr>
          <w:p w14:paraId="6796094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01EE20A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766EA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tcBorders>
              <w:bottom w:val="single" w:sz="6" w:space="0" w:color="000000"/>
            </w:tcBorders>
            <w:shd w:val="clear" w:color="auto" w:fill="CFF0FC"/>
            <w:noWrap/>
            <w:tcMar>
              <w:top w:w="15" w:type="dxa"/>
              <w:left w:w="0" w:type="dxa"/>
              <w:bottom w:w="0" w:type="dxa"/>
              <w:right w:w="15" w:type="dxa"/>
            </w:tcMar>
            <w:vAlign w:val="bottom"/>
            <w:hideMark/>
          </w:tcPr>
          <w:p w14:paraId="3230B07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102</w:t>
            </w:r>
          </w:p>
        </w:tc>
        <w:tc>
          <w:tcPr>
            <w:tcW w:w="50" w:type="pct"/>
            <w:shd w:val="clear" w:color="auto" w:fill="CFF0FC"/>
            <w:noWrap/>
            <w:tcMar>
              <w:top w:w="15" w:type="dxa"/>
              <w:left w:w="0" w:type="dxa"/>
              <w:bottom w:w="0" w:type="dxa"/>
              <w:right w:w="15" w:type="dxa"/>
            </w:tcMar>
            <w:vAlign w:val="bottom"/>
            <w:hideMark/>
          </w:tcPr>
          <w:p w14:paraId="10EE596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02B8D3AE" w14:textId="77777777">
        <w:trPr>
          <w:divId w:val="731852728"/>
          <w:jc w:val="center"/>
        </w:trPr>
        <w:tc>
          <w:tcPr>
            <w:tcW w:w="3521" w:type="pct"/>
            <w:shd w:val="clear" w:color="auto" w:fill="FFFFFF"/>
            <w:tcMar>
              <w:top w:w="15" w:type="dxa"/>
              <w:left w:w="0" w:type="dxa"/>
              <w:bottom w:w="0" w:type="dxa"/>
              <w:right w:w="15" w:type="dxa"/>
            </w:tcMar>
            <w:hideMark/>
          </w:tcPr>
          <w:p w14:paraId="39410DB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66" w:type="pct"/>
            <w:shd w:val="clear" w:color="auto" w:fill="FFFFFF"/>
            <w:tcMar>
              <w:top w:w="15" w:type="dxa"/>
              <w:left w:w="0" w:type="dxa"/>
              <w:bottom w:w="0" w:type="dxa"/>
              <w:right w:w="15" w:type="dxa"/>
            </w:tcMar>
            <w:vAlign w:val="bottom"/>
            <w:hideMark/>
          </w:tcPr>
          <w:p w14:paraId="0FB70A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16053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D361A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3,732</w:t>
            </w:r>
          </w:p>
        </w:tc>
        <w:tc>
          <w:tcPr>
            <w:tcW w:w="50" w:type="pct"/>
            <w:shd w:val="clear" w:color="auto" w:fill="FFFFFF"/>
            <w:noWrap/>
            <w:tcMar>
              <w:top w:w="15" w:type="dxa"/>
              <w:left w:w="0" w:type="dxa"/>
              <w:bottom w:w="0" w:type="dxa"/>
              <w:right w:w="15" w:type="dxa"/>
            </w:tcMar>
            <w:vAlign w:val="bottom"/>
            <w:hideMark/>
          </w:tcPr>
          <w:p w14:paraId="0F57215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1CA7957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1E0EA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24483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4,238</w:t>
            </w:r>
          </w:p>
        </w:tc>
        <w:tc>
          <w:tcPr>
            <w:tcW w:w="50" w:type="pct"/>
            <w:shd w:val="clear" w:color="auto" w:fill="FFFFFF"/>
            <w:noWrap/>
            <w:tcMar>
              <w:top w:w="15" w:type="dxa"/>
              <w:left w:w="0" w:type="dxa"/>
              <w:bottom w:w="0" w:type="dxa"/>
              <w:right w:w="15" w:type="dxa"/>
            </w:tcMar>
            <w:vAlign w:val="bottom"/>
            <w:hideMark/>
          </w:tcPr>
          <w:p w14:paraId="3AF397B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2E0FF54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540E48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8B088D"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4,217</w:t>
            </w:r>
          </w:p>
        </w:tc>
        <w:tc>
          <w:tcPr>
            <w:tcW w:w="50" w:type="pct"/>
            <w:shd w:val="clear" w:color="auto" w:fill="FFFFFF"/>
            <w:noWrap/>
            <w:tcMar>
              <w:top w:w="15" w:type="dxa"/>
              <w:left w:w="0" w:type="dxa"/>
              <w:bottom w:w="0" w:type="dxa"/>
              <w:right w:w="15" w:type="dxa"/>
            </w:tcMar>
            <w:vAlign w:val="bottom"/>
            <w:hideMark/>
          </w:tcPr>
          <w:p w14:paraId="11D3BAF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483A63D" w14:textId="77777777">
        <w:trPr>
          <w:divId w:val="731852728"/>
          <w:jc w:val="center"/>
        </w:trPr>
        <w:tc>
          <w:tcPr>
            <w:tcW w:w="3521" w:type="pct"/>
            <w:shd w:val="clear" w:color="auto" w:fill="CFF0FC"/>
            <w:tcMar>
              <w:top w:w="15" w:type="dxa"/>
              <w:left w:w="0" w:type="dxa"/>
              <w:bottom w:w="0" w:type="dxa"/>
              <w:right w:w="15" w:type="dxa"/>
            </w:tcMar>
            <w:hideMark/>
          </w:tcPr>
          <w:p w14:paraId="079D58E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Basic earnings per share</w:t>
            </w:r>
          </w:p>
        </w:tc>
        <w:tc>
          <w:tcPr>
            <w:tcW w:w="66" w:type="pct"/>
            <w:shd w:val="clear" w:color="auto" w:fill="CFF0FC"/>
            <w:tcMar>
              <w:top w:w="15" w:type="dxa"/>
              <w:left w:w="0" w:type="dxa"/>
              <w:bottom w:w="0" w:type="dxa"/>
              <w:right w:w="15" w:type="dxa"/>
            </w:tcMar>
            <w:vAlign w:val="bottom"/>
            <w:hideMark/>
          </w:tcPr>
          <w:p w14:paraId="3A698E7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E8A1F5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26" w:type="pct"/>
            <w:tcBorders>
              <w:top w:val="double" w:sz="6" w:space="0" w:color="000000"/>
            </w:tcBorders>
            <w:shd w:val="clear" w:color="auto" w:fill="CFF0FC"/>
            <w:noWrap/>
            <w:tcMar>
              <w:top w:w="15" w:type="dxa"/>
              <w:left w:w="0" w:type="dxa"/>
              <w:bottom w:w="0" w:type="dxa"/>
              <w:right w:w="15" w:type="dxa"/>
            </w:tcMar>
            <w:vAlign w:val="bottom"/>
            <w:hideMark/>
          </w:tcPr>
          <w:p w14:paraId="13E1342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3.05</w:t>
            </w:r>
          </w:p>
        </w:tc>
        <w:tc>
          <w:tcPr>
            <w:tcW w:w="50" w:type="pct"/>
            <w:shd w:val="clear" w:color="auto" w:fill="CFF0FC"/>
            <w:noWrap/>
            <w:tcMar>
              <w:top w:w="15" w:type="dxa"/>
              <w:left w:w="0" w:type="dxa"/>
              <w:bottom w:w="0" w:type="dxa"/>
              <w:right w:w="15" w:type="dxa"/>
            </w:tcMar>
            <w:vAlign w:val="bottom"/>
            <w:hideMark/>
          </w:tcPr>
          <w:p w14:paraId="419ABD9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6867581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FAC34B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26" w:type="pct"/>
            <w:tcBorders>
              <w:top w:val="double" w:sz="6" w:space="0" w:color="000000"/>
            </w:tcBorders>
            <w:shd w:val="clear" w:color="auto" w:fill="CFF0FC"/>
            <w:noWrap/>
            <w:tcMar>
              <w:top w:w="15" w:type="dxa"/>
              <w:left w:w="0" w:type="dxa"/>
              <w:bottom w:w="0" w:type="dxa"/>
              <w:right w:w="15" w:type="dxa"/>
            </w:tcMar>
            <w:vAlign w:val="bottom"/>
            <w:hideMark/>
          </w:tcPr>
          <w:p w14:paraId="6C6F24B3"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0.87</w:t>
            </w:r>
          </w:p>
        </w:tc>
        <w:tc>
          <w:tcPr>
            <w:tcW w:w="50" w:type="pct"/>
            <w:shd w:val="clear" w:color="auto" w:fill="CFF0FC"/>
            <w:noWrap/>
            <w:tcMar>
              <w:top w:w="15" w:type="dxa"/>
              <w:left w:w="0" w:type="dxa"/>
              <w:bottom w:w="0" w:type="dxa"/>
              <w:right w:w="15" w:type="dxa"/>
            </w:tcMar>
            <w:vAlign w:val="bottom"/>
            <w:hideMark/>
          </w:tcPr>
          <w:p w14:paraId="7EDFC7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69E84B8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FA67FF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26" w:type="pct"/>
            <w:tcBorders>
              <w:top w:val="double" w:sz="6" w:space="0" w:color="000000"/>
            </w:tcBorders>
            <w:shd w:val="clear" w:color="auto" w:fill="CFF0FC"/>
            <w:noWrap/>
            <w:tcMar>
              <w:top w:w="15" w:type="dxa"/>
              <w:left w:w="0" w:type="dxa"/>
              <w:bottom w:w="0" w:type="dxa"/>
              <w:right w:w="15" w:type="dxa"/>
            </w:tcMar>
            <w:vAlign w:val="bottom"/>
            <w:hideMark/>
          </w:tcPr>
          <w:p w14:paraId="01870AB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2.30</w:t>
            </w:r>
          </w:p>
        </w:tc>
        <w:tc>
          <w:tcPr>
            <w:tcW w:w="50" w:type="pct"/>
            <w:shd w:val="clear" w:color="auto" w:fill="CFF0FC"/>
            <w:noWrap/>
            <w:tcMar>
              <w:top w:w="15" w:type="dxa"/>
              <w:left w:w="0" w:type="dxa"/>
              <w:bottom w:w="0" w:type="dxa"/>
              <w:right w:w="15" w:type="dxa"/>
            </w:tcMar>
            <w:vAlign w:val="bottom"/>
            <w:hideMark/>
          </w:tcPr>
          <w:p w14:paraId="34B37B0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2D4099BB" w14:textId="77777777">
        <w:trPr>
          <w:divId w:val="731852728"/>
          <w:jc w:val="center"/>
        </w:trPr>
        <w:tc>
          <w:tcPr>
            <w:tcW w:w="3521" w:type="pct"/>
            <w:shd w:val="clear" w:color="auto" w:fill="FFFFFF"/>
            <w:tcMar>
              <w:top w:w="15" w:type="dxa"/>
              <w:left w:w="0" w:type="dxa"/>
              <w:bottom w:w="0" w:type="dxa"/>
              <w:right w:w="15" w:type="dxa"/>
            </w:tcMar>
            <w:hideMark/>
          </w:tcPr>
          <w:p w14:paraId="298D70A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Diluted earnings per share</w:t>
            </w:r>
          </w:p>
        </w:tc>
        <w:tc>
          <w:tcPr>
            <w:tcW w:w="66" w:type="pct"/>
            <w:shd w:val="clear" w:color="auto" w:fill="FFFFFF"/>
            <w:tcMar>
              <w:top w:w="15" w:type="dxa"/>
              <w:left w:w="0" w:type="dxa"/>
              <w:bottom w:w="0" w:type="dxa"/>
              <w:right w:w="15" w:type="dxa"/>
            </w:tcMar>
            <w:vAlign w:val="bottom"/>
            <w:hideMark/>
          </w:tcPr>
          <w:p w14:paraId="32287E6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86224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26" w:type="pct"/>
            <w:shd w:val="clear" w:color="auto" w:fill="FFFFFF"/>
            <w:noWrap/>
            <w:tcMar>
              <w:top w:w="15" w:type="dxa"/>
              <w:left w:w="0" w:type="dxa"/>
              <w:bottom w:w="0" w:type="dxa"/>
              <w:right w:w="15" w:type="dxa"/>
            </w:tcMar>
            <w:vAlign w:val="bottom"/>
            <w:hideMark/>
          </w:tcPr>
          <w:p w14:paraId="72DE47C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2.97</w:t>
            </w:r>
          </w:p>
        </w:tc>
        <w:tc>
          <w:tcPr>
            <w:tcW w:w="50" w:type="pct"/>
            <w:shd w:val="clear" w:color="auto" w:fill="FFFFFF"/>
            <w:noWrap/>
            <w:tcMar>
              <w:top w:w="15" w:type="dxa"/>
              <w:left w:w="0" w:type="dxa"/>
              <w:bottom w:w="0" w:type="dxa"/>
              <w:right w:w="15" w:type="dxa"/>
            </w:tcMar>
            <w:vAlign w:val="bottom"/>
            <w:hideMark/>
          </w:tcPr>
          <w:p w14:paraId="547551E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33D4AB7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C2E12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26" w:type="pct"/>
            <w:shd w:val="clear" w:color="auto" w:fill="FFFFFF"/>
            <w:noWrap/>
            <w:tcMar>
              <w:top w:w="15" w:type="dxa"/>
              <w:left w:w="0" w:type="dxa"/>
              <w:bottom w:w="0" w:type="dxa"/>
              <w:right w:w="15" w:type="dxa"/>
            </w:tcMar>
            <w:vAlign w:val="bottom"/>
            <w:hideMark/>
          </w:tcPr>
          <w:p w14:paraId="4F45593B"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0.85</w:t>
            </w:r>
          </w:p>
        </w:tc>
        <w:tc>
          <w:tcPr>
            <w:tcW w:w="50" w:type="pct"/>
            <w:shd w:val="clear" w:color="auto" w:fill="FFFFFF"/>
            <w:noWrap/>
            <w:tcMar>
              <w:top w:w="15" w:type="dxa"/>
              <w:left w:w="0" w:type="dxa"/>
              <w:bottom w:w="0" w:type="dxa"/>
              <w:right w:w="15" w:type="dxa"/>
            </w:tcMar>
            <w:vAlign w:val="bottom"/>
            <w:hideMark/>
          </w:tcPr>
          <w:p w14:paraId="327D1D21"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04D3412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761CB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26" w:type="pct"/>
            <w:shd w:val="clear" w:color="auto" w:fill="FFFFFF"/>
            <w:noWrap/>
            <w:tcMar>
              <w:top w:w="15" w:type="dxa"/>
              <w:left w:w="0" w:type="dxa"/>
              <w:bottom w:w="0" w:type="dxa"/>
              <w:right w:w="15" w:type="dxa"/>
            </w:tcMar>
            <w:vAlign w:val="bottom"/>
            <w:hideMark/>
          </w:tcPr>
          <w:p w14:paraId="4937E215"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2.24</w:t>
            </w:r>
          </w:p>
        </w:tc>
        <w:tc>
          <w:tcPr>
            <w:tcW w:w="50" w:type="pct"/>
            <w:shd w:val="clear" w:color="auto" w:fill="FFFFFF"/>
            <w:noWrap/>
            <w:tcMar>
              <w:top w:w="15" w:type="dxa"/>
              <w:left w:w="0" w:type="dxa"/>
              <w:bottom w:w="0" w:type="dxa"/>
              <w:right w:w="15" w:type="dxa"/>
            </w:tcMar>
            <w:vAlign w:val="bottom"/>
            <w:hideMark/>
          </w:tcPr>
          <w:p w14:paraId="7FE91E6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251D72" w14:paraId="66D80A56" w14:textId="77777777">
        <w:trPr>
          <w:divId w:val="731852728"/>
          <w:jc w:val="center"/>
        </w:trPr>
        <w:tc>
          <w:tcPr>
            <w:tcW w:w="3521" w:type="pct"/>
            <w:shd w:val="clear" w:color="auto" w:fill="CFF0FC"/>
            <w:tcMar>
              <w:top w:w="15" w:type="dxa"/>
              <w:left w:w="0" w:type="dxa"/>
              <w:bottom w:w="0" w:type="dxa"/>
              <w:right w:w="15" w:type="dxa"/>
            </w:tcMar>
            <w:hideMark/>
          </w:tcPr>
          <w:p w14:paraId="225670E1" w14:textId="77777777" w:rsidR="00251D72" w:rsidRDefault="00251D72">
            <w:pPr>
              <w:pStyle w:val="a3"/>
              <w:spacing w:before="0" w:beforeAutospacing="0" w:after="0" w:afterAutospacing="0"/>
              <w:ind w:left="102" w:hanging="102"/>
              <w:rPr>
                <w:rFonts w:ascii="Calibri" w:hAnsi="Calibri" w:cs="Calibri"/>
                <w:color w:val="000000"/>
                <w:sz w:val="20"/>
                <w:szCs w:val="20"/>
              </w:rPr>
            </w:pPr>
            <w:r>
              <w:rPr>
                <w:rFonts w:ascii="Calibri" w:hAnsi="Calibri" w:cs="Calibri"/>
                <w:color w:val="000000"/>
                <w:sz w:val="20"/>
                <w:szCs w:val="20"/>
              </w:rPr>
              <w:t>Shares subject to anti-dilutive restricted stock-based awards and stock options</w:t>
            </w:r>
            <w:r>
              <w:rPr>
                <w:color w:val="000000"/>
                <w:sz w:val="20"/>
                <w:szCs w:val="20"/>
              </w:rPr>
              <w:t xml:space="preserve"> </w:t>
            </w:r>
            <w:r>
              <w:rPr>
                <w:rFonts w:ascii="Calibri" w:hAnsi="Calibri" w:cs="Calibri"/>
                <w:color w:val="000000"/>
                <w:sz w:val="20"/>
                <w:szCs w:val="20"/>
              </w:rPr>
              <w:t>excluded from calculation</w:t>
            </w:r>
            <w:r>
              <w:rPr>
                <w:rFonts w:ascii="Calibri" w:hAnsi="Calibri" w:cs="Calibri"/>
                <w:color w:val="000000"/>
                <w:sz w:val="17"/>
                <w:szCs w:val="17"/>
                <w:vertAlign w:val="superscript"/>
              </w:rPr>
              <w:t>(1)</w:t>
            </w:r>
          </w:p>
        </w:tc>
        <w:tc>
          <w:tcPr>
            <w:tcW w:w="66" w:type="pct"/>
            <w:shd w:val="clear" w:color="auto" w:fill="CFF0FC"/>
            <w:tcMar>
              <w:top w:w="15" w:type="dxa"/>
              <w:left w:w="0" w:type="dxa"/>
              <w:bottom w:w="0" w:type="dxa"/>
              <w:right w:w="15" w:type="dxa"/>
            </w:tcMar>
            <w:vAlign w:val="bottom"/>
            <w:hideMark/>
          </w:tcPr>
          <w:p w14:paraId="6935285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58E80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shd w:val="clear" w:color="auto" w:fill="CFF0FC"/>
            <w:noWrap/>
            <w:tcMar>
              <w:top w:w="15" w:type="dxa"/>
              <w:left w:w="0" w:type="dxa"/>
              <w:bottom w:w="0" w:type="dxa"/>
              <w:right w:w="15" w:type="dxa"/>
            </w:tcMar>
            <w:vAlign w:val="bottom"/>
            <w:hideMark/>
          </w:tcPr>
          <w:p w14:paraId="68C9E8EC"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71</w:t>
            </w:r>
          </w:p>
        </w:tc>
        <w:tc>
          <w:tcPr>
            <w:tcW w:w="50" w:type="pct"/>
            <w:shd w:val="clear" w:color="auto" w:fill="CFF0FC"/>
            <w:noWrap/>
            <w:tcMar>
              <w:top w:w="15" w:type="dxa"/>
              <w:left w:w="0" w:type="dxa"/>
              <w:bottom w:w="0" w:type="dxa"/>
              <w:right w:w="15" w:type="dxa"/>
            </w:tcMar>
            <w:vAlign w:val="bottom"/>
            <w:hideMark/>
          </w:tcPr>
          <w:p w14:paraId="24F98F2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14F5E12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CC478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shd w:val="clear" w:color="auto" w:fill="CFF0FC"/>
            <w:noWrap/>
            <w:tcMar>
              <w:top w:w="15" w:type="dxa"/>
              <w:left w:w="0" w:type="dxa"/>
              <w:bottom w:w="0" w:type="dxa"/>
              <w:right w:w="15" w:type="dxa"/>
            </w:tcMar>
            <w:vAlign w:val="bottom"/>
            <w:hideMark/>
          </w:tcPr>
          <w:p w14:paraId="32E1BBA6"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64</w:t>
            </w:r>
          </w:p>
        </w:tc>
        <w:tc>
          <w:tcPr>
            <w:tcW w:w="50" w:type="pct"/>
            <w:shd w:val="clear" w:color="auto" w:fill="CFF0FC"/>
            <w:noWrap/>
            <w:tcMar>
              <w:top w:w="15" w:type="dxa"/>
              <w:left w:w="0" w:type="dxa"/>
              <w:bottom w:w="0" w:type="dxa"/>
              <w:right w:w="15" w:type="dxa"/>
            </w:tcMar>
            <w:vAlign w:val="bottom"/>
            <w:hideMark/>
          </w:tcPr>
          <w:p w14:paraId="18E8977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2E0760A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130DB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26" w:type="pct"/>
            <w:shd w:val="clear" w:color="auto" w:fill="CFF0FC"/>
            <w:noWrap/>
            <w:tcMar>
              <w:top w:w="15" w:type="dxa"/>
              <w:left w:w="0" w:type="dxa"/>
              <w:bottom w:w="0" w:type="dxa"/>
              <w:right w:w="15" w:type="dxa"/>
            </w:tcMar>
            <w:vAlign w:val="bottom"/>
            <w:hideMark/>
          </w:tcPr>
          <w:p w14:paraId="32028179" w14:textId="77777777" w:rsidR="00251D72" w:rsidRDefault="00251D72">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74</w:t>
            </w:r>
          </w:p>
        </w:tc>
        <w:tc>
          <w:tcPr>
            <w:tcW w:w="50" w:type="pct"/>
            <w:shd w:val="clear" w:color="auto" w:fill="CFF0FC"/>
            <w:noWrap/>
            <w:tcMar>
              <w:top w:w="15" w:type="dxa"/>
              <w:left w:w="0" w:type="dxa"/>
              <w:bottom w:w="0" w:type="dxa"/>
              <w:right w:w="15" w:type="dxa"/>
            </w:tcMar>
            <w:vAlign w:val="bottom"/>
            <w:hideMark/>
          </w:tcPr>
          <w:p w14:paraId="252DBDD3"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9117869" w14:textId="77777777" w:rsidR="00251D72" w:rsidRDefault="00251D72">
      <w:pPr>
        <w:pStyle w:val="a3"/>
        <w:pBdr>
          <w:bottom w:val="single" w:sz="6" w:space="1" w:color="auto"/>
        </w:pBdr>
        <w:spacing w:before="0" w:beforeAutospacing="0" w:after="0" w:afterAutospacing="0"/>
        <w:ind w:right="10953"/>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4ADD639F" w14:textId="77777777">
        <w:tc>
          <w:tcPr>
            <w:tcW w:w="192" w:type="pct"/>
            <w:noWrap/>
            <w:hideMark/>
          </w:tcPr>
          <w:p w14:paraId="7E450E96" w14:textId="77777777" w:rsidR="00251D72" w:rsidRDefault="00251D72">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3A4D8468" w14:textId="77777777" w:rsidR="00251D72" w:rsidRDefault="00251D72">
            <w:pPr>
              <w:pStyle w:val="a3"/>
              <w:spacing w:before="40" w:beforeAutospacing="0" w:after="0" w:afterAutospacing="0"/>
              <w:jc w:val="both"/>
              <w:rPr>
                <w:rFonts w:ascii="Calibri" w:hAnsi="Calibri" w:cs="Calibri"/>
                <w:sz w:val="20"/>
                <w:szCs w:val="20"/>
              </w:rPr>
            </w:pPr>
            <w:r>
              <w:rPr>
                <w:rFonts w:ascii="Calibri" w:hAnsi="Calibri" w:cs="Calibri"/>
                <w:sz w:val="15"/>
                <w:szCs w:val="15"/>
              </w:rPr>
              <w:t>These weighted shares relate to anti-dilutive restricted stock-based awards and stock options as calculated using the treasury stock method and contingently issuable shares under PSO and PSU agreements. Such shares could be dilutive in the future. See Note 13 for information regarding the exercise prices of our outstanding, unexercised stock options.</w:t>
            </w:r>
          </w:p>
        </w:tc>
      </w:tr>
    </w:tbl>
    <w:p w14:paraId="2A439C6F"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7871"/>
      </w:tblGrid>
      <w:tr w:rsidR="00251D72" w14:paraId="7D879C81" w14:textId="77777777">
        <w:tc>
          <w:tcPr>
            <w:tcW w:w="262" w:type="pct"/>
            <w:noWrap/>
            <w:hideMark/>
          </w:tcPr>
          <w:p w14:paraId="7ED527B6"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17.</w:t>
            </w:r>
          </w:p>
        </w:tc>
        <w:tc>
          <w:tcPr>
            <w:tcW w:w="0" w:type="auto"/>
            <w:hideMark/>
          </w:tcPr>
          <w:p w14:paraId="526165B4"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LEGAL PROCEEDINGS </w:t>
            </w:r>
          </w:p>
        </w:tc>
      </w:tr>
    </w:tbl>
    <w:p w14:paraId="568BF334" w14:textId="77777777" w:rsidR="00251D72" w:rsidRDefault="00251D72">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Hewlett-Packard Company Litigation</w:t>
      </w:r>
    </w:p>
    <w:p w14:paraId="51FDF2E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On June 15, 2011, Hewlett-Packard Company, now Hewlett Packard Enterprise Company (HP), filed a complaint in the California Superior Court, County of Santa Clara against Oracle Corporation alleging numerous causes of action including breach of contract, breach of the covenant of good faith and fair dealing, defamation, intentional interference with prospective economic advantage, and violation of the California Unfair Business Practices Act. The complaint alleged that when Oracle announced on March 22 and 23, 2011 that it would no longer develop future versions of its software to run on HP’s Itanium-based servers, it breached a settlement agreement signed on September 20, 2010 between HP and Mark Hurd (the Hurd Settlement Agreement), who is our Chief Executive Officer and was both HP’s former chief executive officer and chairman of HP’s board of directors. HP sought a judicial declaration of the parties’ rights and obligations under the Hurd Settlement Agreement and other equitable and monetary relief. Oracle answered the complaint and filed cross-claims.</w:t>
      </w:r>
    </w:p>
    <w:p w14:paraId="165D2A3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After a bench trial on the meaning of the Hurd Settlement Agreement, the court found that the Hurd Settlement Agreement required Oracle to continue to develop certain of its software products for use on HP’s Itanium-based servers at no cost to HP. The case proceeded to a jury trial in May 2016. On June 30, 2016, the jury returned a verdict in favor of HP on its claims for breach of contract and breach of the implied covenant of good faith and fair dealing and against Oracle on its cross-claims. The jury awarded HP $3.0 billion in damages. Under the court’s rulings, HP is entitled to post-judgment interest, but not pre-judgment interest, on this award.</w:t>
      </w:r>
    </w:p>
    <w:p w14:paraId="0F28673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After the trial court denied Oracle’s motion for a new trial, Oracle filed a notice of appeal on January 17, 2017. On February 2, 2017, HP filed a notice of appeal of the trial court’s denial of pre-judgment interest. </w:t>
      </w:r>
    </w:p>
    <w:p w14:paraId="1C0C01B8" w14:textId="77777777" w:rsidR="00251D72" w:rsidRDefault="00251D72">
      <w:pPr>
        <w:pStyle w:val="a3"/>
        <w:spacing w:before="120" w:beforeAutospacing="0" w:after="0" w:afterAutospacing="0"/>
        <w:jc w:val="both"/>
        <w:rPr>
          <w:rFonts w:ascii="Calibri" w:hAnsi="Calibri" w:cs="Calibri"/>
          <w:sz w:val="20"/>
          <w:szCs w:val="20"/>
        </w:rPr>
      </w:pPr>
      <w:bookmarkStart w:id="159" w:name="_AEIOULastRenderedPageBreakAEIOU118"/>
      <w:bookmarkEnd w:id="159"/>
      <w:r>
        <w:rPr>
          <w:rFonts w:ascii="Calibri" w:hAnsi="Calibri" w:cs="Calibri"/>
          <w:sz w:val="20"/>
          <w:szCs w:val="20"/>
        </w:rPr>
        <w:t xml:space="preserve">Oracle has posted a bond for the amounts owing. No amounts have been paid or recorded to our results of operations. We continue to believe that we have meritorious defenses against HP’s claims, and we intend to present these defenses to the appellate court. Oracle filed its opening brief on March 7, 2019. Briefing on the appeal is scheduled to be completed by October 2019, and the appellate court has not scheduled a date for oral </w:t>
      </w:r>
    </w:p>
    <w:p w14:paraId="13AAC2CB"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115</w:t>
      </w:r>
    </w:p>
    <w:p w14:paraId="18FF9C26" w14:textId="77777777" w:rsidR="00251D72" w:rsidRDefault="00251D72">
      <w:pPr>
        <w:rPr>
          <w:rFonts w:ascii="Times New Roman" w:eastAsia="Times New Roman" w:hAnsi="Times New Roman" w:cs="Times New Roman"/>
          <w:sz w:val="24"/>
          <w:szCs w:val="24"/>
        </w:rPr>
      </w:pPr>
      <w:r>
        <w:rPr>
          <w:rFonts w:eastAsia="Times New Roman"/>
        </w:rPr>
        <w:pict w14:anchorId="2EF9EB91">
          <v:rect id="_x0000_i1141" style="width:415.3pt;height:1.5pt" o:hralign="center" o:hrstd="t" o:hr="t" fillcolor="#a0a0a0" stroked="f"/>
        </w:pict>
      </w:r>
    </w:p>
    <w:p w14:paraId="21160C56"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65E4115D"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97AF99E"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7DC7249F"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5BD4DC46"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101354A8" w14:textId="77777777" w:rsidR="00251D72" w:rsidRDefault="00251D72">
      <w:pPr>
        <w:pStyle w:val="a3"/>
        <w:spacing w:before="0" w:beforeAutospacing="0" w:after="0" w:afterAutospacing="0"/>
        <w:rPr>
          <w:sz w:val="20"/>
          <w:szCs w:val="20"/>
        </w:rPr>
      </w:pPr>
      <w:r>
        <w:rPr>
          <w:sz w:val="20"/>
          <w:szCs w:val="20"/>
        </w:rPr>
        <w:t> </w:t>
      </w:r>
    </w:p>
    <w:p w14:paraId="50A361BC"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argument. We cannot currently estimate a reasonably possible range of loss for this action due to the complexities and uncertainty surrounding the appeal process and the nature of the claims. Litigation is inherently unpredictable, and the outcome of the appeal process related to this action is uncertain. It is possible that the resolution of this action could have a material impact on our future cash flows and results of operations.</w:t>
      </w:r>
    </w:p>
    <w:p w14:paraId="26E945AF"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5E2322FD"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On May 3, 2017, a stockholder derivative lawsuit was filed in the Court of Chancery of the State of Delaware, and on July 18, 2017, a second stockholder derivative lawsuit was filed in the same court. The second case was brought by an alleged stockholder of Oracle, purportedly on Oracle’s behalf. The suit was brought against all the then-current members and one former member of our Board of Directors, and Oracle as a nominal defendant. Plaintiff alleges that the defendants breached their fiduciary duties by causing Oracle to agree to purchase NetSuite Inc. at an excessive price. Plaintiff seeks declaratory relief, unspecified monetary damages (including interest), and attorneys’ fees and costs.</w:t>
      </w:r>
    </w:p>
    <w:p w14:paraId="05022AA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On August 9, 2017, the court consolidated the two derivative cases. In a September 7, 2017 order, the court appointed plaintiff’s counsel in the second case as lead plaintiffs’ counsel and designated the July 18, 2017 complaint as the operative complaint. The defendants filed a motion to dismiss on October 27, 2017, and after briefing and argument, the court denied this motion on March 19, 2018. The parties stipulated that all of the individual defendants, except for our Chief Technology Officer and one of our Chief Executive Officers, should be dismissed from this case without prejudice, and on March 28, 2018, the court approved this stipulation. On May 4, 2018, the remaining defendants answered plaintiff’s complaint.</w:t>
      </w:r>
    </w:p>
    <w:p w14:paraId="3F2A8A2E"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On May 4, 2018, the Board of Directors established a Special Litigation Committee (the SLC) to investigate the allegations in this derivative action. Three outside directors serve on the SLC. On July 24, 2018, the court entered an order granting the SLC’s motion to stay this case for six months. The stay has been extended twice and is due to expire on August 15, 2019. </w:t>
      </w:r>
      <w:r>
        <w:rPr>
          <w:rFonts w:ascii="Calibri" w:hAnsi="Calibri" w:cs="Calibri"/>
          <w:color w:val="000000"/>
          <w:sz w:val="20"/>
          <w:szCs w:val="20"/>
        </w:rPr>
        <w:t>The SLC and the two individual defendants are scheduled to participate in a mediation on July 2, 2019.</w:t>
      </w:r>
      <w:r>
        <w:rPr>
          <w:rFonts w:ascii="Calibri" w:hAnsi="Calibri" w:cs="Calibri"/>
          <w:sz w:val="20"/>
          <w:szCs w:val="20"/>
        </w:rPr>
        <w:t xml:space="preserve"> </w:t>
      </w:r>
    </w:p>
    <w:p w14:paraId="5E03CDD1"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litigation will have a material impact on our financial position or results of operations.</w:t>
      </w:r>
    </w:p>
    <w:p w14:paraId="52FBB33A"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1D178BEB"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On August 10, 2018, a putative class action, brought by an alleged stockholder of Oracle, was filed in the U.S. District Court for the Northern District of California against us, our Chief Technology Officer, our two Chief Executive Officers, two other Oracle executives, and one former Oracle executive. On December 21, 2018, the court granted plaintiff’s motion that it be appointed lead plaintiff and approving its selection of lead plaintiff’s counsel. On March 8, 2019, plaintiff filed an amended complaint. Plaintiff alleges that the defendants made or are responsible for false and misleading statements regarding Oracle’s cloud business. Plaintiff further alleges that the former Oracle executive engaged in insider trading. Plaintiff seeks a ruling that this case may proceed as a class action, and seeks damages, attorneys’ fees and costs, and unspecified declaratory/injunctive relief. On April 19, 2019,</w:t>
      </w:r>
      <w:r>
        <w:rPr>
          <w:sz w:val="20"/>
          <w:szCs w:val="20"/>
        </w:rPr>
        <w:t xml:space="preserve"> </w:t>
      </w:r>
      <w:r>
        <w:rPr>
          <w:rFonts w:ascii="Calibri" w:hAnsi="Calibri" w:cs="Calibri"/>
          <w:sz w:val="20"/>
          <w:szCs w:val="20"/>
        </w:rPr>
        <w:t>defendants moved to dismiss plaintiff’s amended complaint</w:t>
      </w:r>
      <w:r>
        <w:rPr>
          <w:rFonts w:ascii="Calibri" w:hAnsi="Calibri" w:cs="Calibri"/>
          <w:color w:val="000000"/>
          <w:sz w:val="20"/>
          <w:szCs w:val="20"/>
        </w:rPr>
        <w:t>, and on May 31, 2019, plaintiff filed an opposition</w:t>
      </w:r>
      <w:r>
        <w:rPr>
          <w:rFonts w:ascii="Calibri" w:hAnsi="Calibri" w:cs="Calibri"/>
          <w:sz w:val="20"/>
          <w:szCs w:val="20"/>
        </w:rPr>
        <w:t>. We believe that we have meritorious defenses against this action, and we will continue to vigorously defend it.</w:t>
      </w:r>
    </w:p>
    <w:p w14:paraId="2B5F73AA" w14:textId="77777777" w:rsidR="00251D72" w:rsidRDefault="00251D72">
      <w:pPr>
        <w:pStyle w:val="a3"/>
        <w:spacing w:before="120" w:beforeAutospacing="0" w:after="0" w:afterAutospacing="0"/>
        <w:jc w:val="both"/>
        <w:rPr>
          <w:rFonts w:ascii="Calibri" w:hAnsi="Calibri" w:cs="Calibri"/>
          <w:sz w:val="20"/>
          <w:szCs w:val="20"/>
        </w:rPr>
      </w:pPr>
      <w:bookmarkStart w:id="160" w:name="_AEIOULastRenderedPageBreakAEIOU119"/>
      <w:bookmarkEnd w:id="160"/>
      <w:r>
        <w:rPr>
          <w:rFonts w:ascii="Calibri" w:hAnsi="Calibri" w:cs="Calibri"/>
          <w:sz w:val="20"/>
          <w:szCs w:val="20"/>
        </w:rPr>
        <w:t xml:space="preserve">On February 12, 2019, a stockholder derivative lawsuit was filed in the U.S. District Court for the Northern District of California. The derivative suit is brought by two alleged stockholders of Oracle, purportedly on Oracle’s behalf, against all members of our Board of Directors, and Oracle as a nominal defendant. Plaintiffs claim that the alleged actions described in the August 10, 2018 class action discussed above caused harm to Oracle, and that Oracle’s Board members violated their fiduciary duties of care, loyalty, reasonable inquiry, and good faith by failing to prevent this alleged harm. Plaintiffs also allege that defendants’ actions constitute gross mismanagement, waste, </w:t>
      </w:r>
    </w:p>
    <w:p w14:paraId="07E50A91"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116</w:t>
      </w:r>
    </w:p>
    <w:p w14:paraId="78D30CED" w14:textId="77777777" w:rsidR="00251D72" w:rsidRDefault="00251D72">
      <w:pPr>
        <w:rPr>
          <w:rFonts w:ascii="Times New Roman" w:eastAsia="Times New Roman" w:hAnsi="Times New Roman" w:cs="Times New Roman"/>
          <w:sz w:val="24"/>
          <w:szCs w:val="24"/>
        </w:rPr>
      </w:pPr>
      <w:r>
        <w:rPr>
          <w:rFonts w:eastAsia="Times New Roman"/>
        </w:rPr>
        <w:pict w14:anchorId="44CEE26E">
          <v:rect id="_x0000_i1142" style="width:415.3pt;height:1.5pt" o:hralign="center" o:hrstd="t" o:hr="t" fillcolor="#a0a0a0" stroked="f"/>
        </w:pict>
      </w:r>
    </w:p>
    <w:p w14:paraId="53A3DF66"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w:t>
        </w:r>
      </w:hyperlink>
    </w:p>
    <w:p w14:paraId="50BE3D45"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D416B84"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41C66C90" w14:textId="77777777" w:rsidR="00251D72" w:rsidRDefault="00251D72">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CONSOLIDATED FINANCIAL STATEMENTS</w:t>
      </w:r>
      <w:r>
        <w:rPr>
          <w:rFonts w:ascii="Calibri" w:hAnsi="Calibri" w:cs="Calibri"/>
          <w:b/>
          <w:bCs/>
          <w:color w:val="000000"/>
          <w:sz w:val="20"/>
          <w:szCs w:val="20"/>
          <w:shd w:val="clear" w:color="auto" w:fill="FFFFFF"/>
        </w:rPr>
        <w:t>—(Continued)</w:t>
      </w:r>
    </w:p>
    <w:p w14:paraId="743FA055" w14:textId="77777777" w:rsidR="00251D72" w:rsidRDefault="00251D72">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May 31,</w:t>
      </w:r>
      <w:r>
        <w:rPr>
          <w:rFonts w:ascii="Calibri" w:hAnsi="Calibri" w:cs="Calibri"/>
          <w:b/>
          <w:bCs/>
          <w:color w:val="000000"/>
          <w:sz w:val="20"/>
          <w:szCs w:val="20"/>
        </w:rPr>
        <w:t xml:space="preserve"> 2019</w:t>
      </w:r>
    </w:p>
    <w:p w14:paraId="47F6DCC8" w14:textId="77777777" w:rsidR="00251D72" w:rsidRDefault="00251D72">
      <w:pPr>
        <w:pStyle w:val="a3"/>
        <w:spacing w:before="0" w:beforeAutospacing="0" w:after="0" w:afterAutospacing="0"/>
        <w:rPr>
          <w:sz w:val="20"/>
          <w:szCs w:val="20"/>
        </w:rPr>
      </w:pPr>
      <w:r>
        <w:rPr>
          <w:sz w:val="20"/>
          <w:szCs w:val="20"/>
        </w:rPr>
        <w:t> </w:t>
      </w:r>
    </w:p>
    <w:p w14:paraId="6480C0E4"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and securities fraud. Plaintiffs seek a ruling that this case may proceed as a derivative action, a finding that defendants are liable for breaching their fiduciary duties, an order directing defendants to enact corporate reforms, attorneys’ fees and costs, and unspecified equitable relief. On April 26, 2019, the court approved a stay of this action, which will be lifted if the class action discussed above is dismissed, if the motion to dismiss the class action is denied, or if either party voluntarily chooses to lift the stay. </w:t>
      </w:r>
    </w:p>
    <w:p w14:paraId="3A74DBAC" w14:textId="77777777" w:rsidR="00251D72" w:rsidRDefault="00251D72">
      <w:pPr>
        <w:pStyle w:val="a3"/>
        <w:spacing w:before="120" w:beforeAutospacing="0" w:after="0" w:afterAutospacing="0"/>
        <w:jc w:val="both"/>
        <w:rPr>
          <w:rFonts w:ascii="Calibri" w:hAnsi="Calibri" w:cs="Calibri"/>
          <w:color w:val="000000"/>
          <w:sz w:val="20"/>
          <w:szCs w:val="20"/>
        </w:rPr>
      </w:pPr>
      <w:r>
        <w:rPr>
          <w:rFonts w:ascii="Calibri" w:hAnsi="Calibri" w:cs="Calibri"/>
          <w:color w:val="000000"/>
          <w:sz w:val="20"/>
          <w:szCs w:val="20"/>
        </w:rPr>
        <w:t xml:space="preserve">On May 8, 2019, a second derivative action was filed in the U.S. District Court for the Northern District of California. The derivative suit is brought by an alleged stockholder of Oracle, purportedly on Oracle’s behalf, against our Chief Technology Officer, our two Chief Executive Officers, one former Oracle executive, and Oracle as a nominal defendant. Plaintiff claims that the alleged actions described in the August 10, 2018 class action discussed above caused harm to Oracle, and plaintiff raises further allegations of impropriety relating to Oracle’s stock buybacks and acquisition of NetSuite Inc. Plaintiff asserts claims for violation of securities laws, violation of fiduciary duties, contribution and indemnification. Plaintiff seeks a ruling that the case may proceed as a derivative action, and seeks damages, declaratory and other equitable relief, attorneys’ and expert fees and costs. On June 4, 2019, the court issued an order finding that this case was related to the derivative case above and staying the case under the court’s prior stay order.   </w:t>
      </w:r>
    </w:p>
    <w:p w14:paraId="301C1E17"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litigation will have a material impact on our financial position or results of operations.</w:t>
      </w:r>
    </w:p>
    <w:p w14:paraId="41BB3292" w14:textId="77777777" w:rsidR="00251D72" w:rsidRDefault="00251D72">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Other Litigation</w:t>
      </w:r>
    </w:p>
    <w:p w14:paraId="458FD930" w14:textId="77777777" w:rsidR="00251D72" w:rsidRDefault="00251D72">
      <w:pPr>
        <w:pStyle w:val="a3"/>
        <w:spacing w:before="120" w:beforeAutospacing="0" w:after="0" w:afterAutospacing="0"/>
        <w:jc w:val="both"/>
        <w:rPr>
          <w:rFonts w:ascii="Calibri" w:hAnsi="Calibri" w:cs="Calibri"/>
          <w:sz w:val="20"/>
          <w:szCs w:val="20"/>
        </w:rPr>
      </w:pPr>
      <w:r>
        <w:rPr>
          <w:rFonts w:ascii="Calibri" w:hAnsi="Calibri" w:cs="Calibri"/>
          <w:sz w:val="20"/>
          <w:szCs w:val="20"/>
        </w:rPr>
        <w:t>We are party to various other legal proceedings and claims, either asserted or unasserted, which arise in the ordinary course of business, including proceedings and claims that relate to acquisitions we have completed or to companies we have acquired or are attempting to acquire. While the outcome of these matters cannot be predicted with certainty, we do not believe that the outcome of any of these matters, individually or in the aggregate, will result in losses that are materially in excess of amounts already recognized, if any.</w:t>
      </w:r>
    </w:p>
    <w:p w14:paraId="3A8BF196" w14:textId="77777777" w:rsidR="00251D72" w:rsidRDefault="00251D72">
      <w:pPr>
        <w:pStyle w:val="a3"/>
        <w:spacing w:before="0" w:beforeAutospacing="0" w:after="0" w:afterAutospacing="0"/>
        <w:rPr>
          <w:b/>
          <w:bCs/>
          <w:sz w:val="20"/>
          <w:szCs w:val="20"/>
        </w:rPr>
      </w:pPr>
      <w:r>
        <w:rPr>
          <w:b/>
          <w:bCs/>
          <w:sz w:val="20"/>
          <w:szCs w:val="20"/>
        </w:rPr>
        <w:t> </w:t>
      </w:r>
    </w:p>
    <w:p w14:paraId="25BFD798"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117</w:t>
      </w:r>
    </w:p>
    <w:p w14:paraId="4BBE9C5D" w14:textId="77777777" w:rsidR="00251D72" w:rsidRDefault="00251D72">
      <w:pPr>
        <w:rPr>
          <w:rFonts w:ascii="Times New Roman" w:eastAsia="Times New Roman" w:hAnsi="Times New Roman" w:cs="Times New Roman"/>
          <w:sz w:val="24"/>
          <w:szCs w:val="24"/>
        </w:rPr>
      </w:pPr>
      <w:r>
        <w:rPr>
          <w:rFonts w:eastAsia="Times New Roman"/>
        </w:rPr>
        <w:pict w14:anchorId="4FD17E1C">
          <v:rect id="_x0000_i1143" style="width:415.3pt;height:1.5pt" o:hralign="center" o:hrstd="t" o:hr="t" fillcolor="#a0a0a0" stroked="f"/>
        </w:pict>
      </w:r>
    </w:p>
    <w:p w14:paraId="6A8173D3"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 </w:t>
        </w:r>
      </w:hyperlink>
    </w:p>
    <w:p w14:paraId="03454FE8"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5171A20" w14:textId="77777777" w:rsidR="00251D72" w:rsidRDefault="00251D72">
      <w:pPr>
        <w:pStyle w:val="a3"/>
        <w:spacing w:before="0" w:beforeAutospacing="0" w:after="0" w:afterAutospacing="0"/>
      </w:pPr>
      <w:r>
        <w:t> </w:t>
      </w:r>
    </w:p>
    <w:p w14:paraId="325202DD" w14:textId="77777777" w:rsidR="00251D72" w:rsidRDefault="00251D72">
      <w:pPr>
        <w:pStyle w:val="a3"/>
        <w:spacing w:before="0" w:beforeAutospacing="0" w:after="0" w:afterAutospacing="0"/>
        <w:jc w:val="both"/>
        <w:rPr>
          <w:rFonts w:ascii="Calibri" w:hAnsi="Calibri" w:cs="Calibri"/>
          <w:b/>
          <w:bCs/>
          <w:sz w:val="20"/>
          <w:szCs w:val="20"/>
        </w:rPr>
      </w:pPr>
      <w:bookmarkStart w:id="161" w:name="_AEIOULastRenderedPageBreakAEIOU120"/>
      <w:bookmarkStart w:id="162" w:name="SCHEDULE_II"/>
      <w:bookmarkEnd w:id="161"/>
      <w:bookmarkEnd w:id="162"/>
      <w:r>
        <w:rPr>
          <w:rFonts w:ascii="Calibri" w:hAnsi="Calibri" w:cs="Calibri"/>
          <w:b/>
          <w:bCs/>
          <w:sz w:val="20"/>
          <w:szCs w:val="20"/>
        </w:rPr>
        <w:t>SCHEDULE II</w:t>
      </w:r>
    </w:p>
    <w:p w14:paraId="0F449C79" w14:textId="77777777" w:rsidR="00251D72" w:rsidRDefault="00251D72">
      <w:pPr>
        <w:pStyle w:val="a3"/>
        <w:spacing w:before="240" w:beforeAutospacing="0" w:after="0" w:afterAutospacing="0"/>
        <w:jc w:val="center"/>
        <w:rPr>
          <w:rFonts w:ascii="Calibri" w:hAnsi="Calibri" w:cs="Calibri"/>
          <w:b/>
          <w:bCs/>
          <w:sz w:val="20"/>
          <w:szCs w:val="20"/>
        </w:rPr>
      </w:pPr>
      <w:r>
        <w:rPr>
          <w:rFonts w:ascii="Calibri" w:hAnsi="Calibri" w:cs="Calibri"/>
          <w:b/>
          <w:bCs/>
          <w:sz w:val="20"/>
          <w:szCs w:val="20"/>
        </w:rPr>
        <w:t>ORACLE CORPORATION</w:t>
      </w:r>
    </w:p>
    <w:p w14:paraId="56338CAC" w14:textId="77777777" w:rsidR="00251D72" w:rsidRDefault="00251D72">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VALUATION AND QUALIFYING ACCOUNTS</w:t>
      </w:r>
    </w:p>
    <w:p w14:paraId="12A87D9A" w14:textId="77777777" w:rsidR="00251D72" w:rsidRDefault="00251D72">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3213"/>
        <w:gridCol w:w="113"/>
        <w:gridCol w:w="108"/>
        <w:gridCol w:w="678"/>
        <w:gridCol w:w="75"/>
        <w:gridCol w:w="57"/>
        <w:gridCol w:w="108"/>
        <w:gridCol w:w="826"/>
        <w:gridCol w:w="75"/>
        <w:gridCol w:w="57"/>
        <w:gridCol w:w="107"/>
        <w:gridCol w:w="678"/>
        <w:gridCol w:w="75"/>
        <w:gridCol w:w="57"/>
        <w:gridCol w:w="108"/>
        <w:gridCol w:w="826"/>
        <w:gridCol w:w="76"/>
        <w:gridCol w:w="58"/>
        <w:gridCol w:w="108"/>
        <w:gridCol w:w="827"/>
        <w:gridCol w:w="76"/>
      </w:tblGrid>
      <w:tr w:rsidR="00251D72" w14:paraId="4ACB4D5D" w14:textId="77777777">
        <w:trPr>
          <w:divId w:val="1452899360"/>
          <w:jc w:val="center"/>
        </w:trPr>
        <w:tc>
          <w:tcPr>
            <w:tcW w:w="1937" w:type="pct"/>
            <w:tcBorders>
              <w:bottom w:val="single" w:sz="6" w:space="0" w:color="000000"/>
            </w:tcBorders>
            <w:shd w:val="clear" w:color="auto" w:fill="FFFFFF"/>
            <w:tcMar>
              <w:top w:w="15" w:type="dxa"/>
              <w:left w:w="0" w:type="dxa"/>
              <w:bottom w:w="0" w:type="dxa"/>
              <w:right w:w="15" w:type="dxa"/>
            </w:tcMar>
            <w:vAlign w:val="bottom"/>
            <w:hideMark/>
          </w:tcPr>
          <w:p w14:paraId="64E72BA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3" w:type="pct"/>
            <w:shd w:val="clear" w:color="auto" w:fill="FFFFFF"/>
            <w:tcMar>
              <w:top w:w="15" w:type="dxa"/>
              <w:left w:w="0" w:type="dxa"/>
              <w:bottom w:w="0" w:type="dxa"/>
              <w:right w:w="15" w:type="dxa"/>
            </w:tcMar>
            <w:vAlign w:val="bottom"/>
            <w:hideMark/>
          </w:tcPr>
          <w:p w14:paraId="13817930"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63" w:type="pct"/>
            <w:gridSpan w:val="2"/>
            <w:tcBorders>
              <w:bottom w:val="single" w:sz="6" w:space="0" w:color="000000"/>
            </w:tcBorders>
            <w:shd w:val="clear" w:color="auto" w:fill="FFFFFF"/>
            <w:tcMar>
              <w:top w:w="15" w:type="dxa"/>
              <w:left w:w="0" w:type="dxa"/>
              <w:bottom w:w="0" w:type="dxa"/>
              <w:right w:w="15" w:type="dxa"/>
            </w:tcMar>
            <w:vAlign w:val="bottom"/>
            <w:hideMark/>
          </w:tcPr>
          <w:p w14:paraId="6912D4A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Beginning</w:t>
            </w:r>
          </w:p>
          <w:p w14:paraId="127580B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Balance</w:t>
            </w:r>
          </w:p>
        </w:tc>
        <w:tc>
          <w:tcPr>
            <w:tcW w:w="50" w:type="pct"/>
            <w:shd w:val="clear" w:color="auto" w:fill="FFFFFF"/>
            <w:noWrap/>
            <w:tcMar>
              <w:top w:w="15" w:type="dxa"/>
              <w:left w:w="0" w:type="dxa"/>
              <w:bottom w:w="0" w:type="dxa"/>
              <w:right w:w="15" w:type="dxa"/>
            </w:tcMar>
            <w:vAlign w:val="bottom"/>
            <w:hideMark/>
          </w:tcPr>
          <w:p w14:paraId="40D87341"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 w:type="pct"/>
            <w:shd w:val="clear" w:color="auto" w:fill="FFFFFF"/>
            <w:tcMar>
              <w:top w:w="15" w:type="dxa"/>
              <w:left w:w="0" w:type="dxa"/>
              <w:bottom w:w="0" w:type="dxa"/>
              <w:right w:w="15" w:type="dxa"/>
            </w:tcMar>
            <w:vAlign w:val="bottom"/>
            <w:hideMark/>
          </w:tcPr>
          <w:p w14:paraId="4ACA5EFA"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51" w:type="pct"/>
            <w:gridSpan w:val="2"/>
            <w:tcBorders>
              <w:bottom w:val="single" w:sz="6" w:space="0" w:color="000000"/>
            </w:tcBorders>
            <w:shd w:val="clear" w:color="auto" w:fill="FFFFFF"/>
            <w:tcMar>
              <w:top w:w="15" w:type="dxa"/>
              <w:left w:w="0" w:type="dxa"/>
              <w:bottom w:w="0" w:type="dxa"/>
              <w:right w:w="15" w:type="dxa"/>
            </w:tcMar>
            <w:vAlign w:val="bottom"/>
            <w:hideMark/>
          </w:tcPr>
          <w:p w14:paraId="50AA78E8"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Additions</w:t>
            </w:r>
          </w:p>
          <w:p w14:paraId="36ED3F3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Charged to</w:t>
            </w:r>
          </w:p>
          <w:p w14:paraId="469DE549"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Operations or</w:t>
            </w:r>
          </w:p>
          <w:p w14:paraId="3271FAFC"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Other Accounts</w:t>
            </w:r>
          </w:p>
        </w:tc>
        <w:tc>
          <w:tcPr>
            <w:tcW w:w="50" w:type="pct"/>
            <w:shd w:val="clear" w:color="auto" w:fill="FFFFFF"/>
            <w:noWrap/>
            <w:tcMar>
              <w:top w:w="15" w:type="dxa"/>
              <w:left w:w="0" w:type="dxa"/>
              <w:bottom w:w="0" w:type="dxa"/>
              <w:right w:w="15" w:type="dxa"/>
            </w:tcMar>
            <w:vAlign w:val="bottom"/>
            <w:hideMark/>
          </w:tcPr>
          <w:p w14:paraId="59B66ABD"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 w:type="pct"/>
            <w:shd w:val="clear" w:color="auto" w:fill="FFFFFF"/>
            <w:tcMar>
              <w:top w:w="15" w:type="dxa"/>
              <w:left w:w="0" w:type="dxa"/>
              <w:bottom w:w="0" w:type="dxa"/>
              <w:right w:w="15" w:type="dxa"/>
            </w:tcMar>
            <w:vAlign w:val="bottom"/>
            <w:hideMark/>
          </w:tcPr>
          <w:p w14:paraId="4629C2A8"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63" w:type="pct"/>
            <w:gridSpan w:val="2"/>
            <w:tcBorders>
              <w:bottom w:val="single" w:sz="6" w:space="0" w:color="000000"/>
            </w:tcBorders>
            <w:shd w:val="clear" w:color="auto" w:fill="FFFFFF"/>
            <w:tcMar>
              <w:top w:w="15" w:type="dxa"/>
              <w:left w:w="0" w:type="dxa"/>
              <w:bottom w:w="0" w:type="dxa"/>
              <w:right w:w="15" w:type="dxa"/>
            </w:tcMar>
            <w:vAlign w:val="bottom"/>
            <w:hideMark/>
          </w:tcPr>
          <w:p w14:paraId="4B1D7362"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Write-offs</w:t>
            </w:r>
          </w:p>
        </w:tc>
        <w:tc>
          <w:tcPr>
            <w:tcW w:w="50" w:type="pct"/>
            <w:shd w:val="clear" w:color="auto" w:fill="FFFFFF"/>
            <w:noWrap/>
            <w:tcMar>
              <w:top w:w="15" w:type="dxa"/>
              <w:left w:w="0" w:type="dxa"/>
              <w:bottom w:w="0" w:type="dxa"/>
              <w:right w:w="15" w:type="dxa"/>
            </w:tcMar>
            <w:vAlign w:val="bottom"/>
            <w:hideMark/>
          </w:tcPr>
          <w:p w14:paraId="43E053F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 w:type="pct"/>
            <w:shd w:val="clear" w:color="auto" w:fill="FFFFFF"/>
            <w:tcMar>
              <w:top w:w="15" w:type="dxa"/>
              <w:left w:w="0" w:type="dxa"/>
              <w:bottom w:w="0" w:type="dxa"/>
              <w:right w:w="15" w:type="dxa"/>
            </w:tcMar>
            <w:vAlign w:val="bottom"/>
            <w:hideMark/>
          </w:tcPr>
          <w:p w14:paraId="1001EAA6"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51" w:type="pct"/>
            <w:gridSpan w:val="2"/>
            <w:tcBorders>
              <w:bottom w:val="single" w:sz="6" w:space="0" w:color="000000"/>
            </w:tcBorders>
            <w:shd w:val="clear" w:color="auto" w:fill="FFFFFF"/>
            <w:tcMar>
              <w:top w:w="15" w:type="dxa"/>
              <w:left w:w="0" w:type="dxa"/>
              <w:bottom w:w="0" w:type="dxa"/>
              <w:right w:w="15" w:type="dxa"/>
            </w:tcMar>
            <w:vAlign w:val="bottom"/>
            <w:hideMark/>
          </w:tcPr>
          <w:p w14:paraId="34939375"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Translation</w:t>
            </w:r>
          </w:p>
          <w:p w14:paraId="1C8CCF57"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Adjustments</w:t>
            </w:r>
          </w:p>
          <w:p w14:paraId="60FAFC4B"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and Other</w:t>
            </w:r>
          </w:p>
        </w:tc>
        <w:tc>
          <w:tcPr>
            <w:tcW w:w="50" w:type="pct"/>
            <w:shd w:val="clear" w:color="auto" w:fill="FFFFFF"/>
            <w:noWrap/>
            <w:tcMar>
              <w:top w:w="15" w:type="dxa"/>
              <w:left w:w="0" w:type="dxa"/>
              <w:bottom w:w="0" w:type="dxa"/>
              <w:right w:w="15" w:type="dxa"/>
            </w:tcMar>
            <w:vAlign w:val="bottom"/>
            <w:hideMark/>
          </w:tcPr>
          <w:p w14:paraId="17ADB23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 w:type="pct"/>
            <w:shd w:val="clear" w:color="auto" w:fill="FFFFFF"/>
            <w:tcMar>
              <w:top w:w="15" w:type="dxa"/>
              <w:left w:w="0" w:type="dxa"/>
              <w:bottom w:w="0" w:type="dxa"/>
              <w:right w:w="15" w:type="dxa"/>
            </w:tcMar>
            <w:vAlign w:val="bottom"/>
            <w:hideMark/>
          </w:tcPr>
          <w:p w14:paraId="7D9AFA89"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51" w:type="pct"/>
            <w:gridSpan w:val="2"/>
            <w:tcBorders>
              <w:bottom w:val="single" w:sz="6" w:space="0" w:color="000000"/>
            </w:tcBorders>
            <w:shd w:val="clear" w:color="auto" w:fill="FFFFFF"/>
            <w:tcMar>
              <w:top w:w="15" w:type="dxa"/>
              <w:left w:w="0" w:type="dxa"/>
              <w:bottom w:w="0" w:type="dxa"/>
              <w:right w:w="15" w:type="dxa"/>
            </w:tcMar>
            <w:vAlign w:val="bottom"/>
            <w:hideMark/>
          </w:tcPr>
          <w:p w14:paraId="3D8A6510"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Ending</w:t>
            </w:r>
          </w:p>
          <w:p w14:paraId="0153E411" w14:textId="77777777" w:rsidR="00251D72" w:rsidRDefault="00251D72">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Balance</w:t>
            </w:r>
          </w:p>
        </w:tc>
        <w:tc>
          <w:tcPr>
            <w:tcW w:w="50" w:type="pct"/>
            <w:shd w:val="clear" w:color="auto" w:fill="FFFFFF"/>
            <w:noWrap/>
            <w:tcMar>
              <w:top w:w="15" w:type="dxa"/>
              <w:left w:w="0" w:type="dxa"/>
              <w:bottom w:w="0" w:type="dxa"/>
              <w:right w:w="15" w:type="dxa"/>
            </w:tcMar>
            <w:vAlign w:val="bottom"/>
            <w:hideMark/>
          </w:tcPr>
          <w:p w14:paraId="0A611E12" w14:textId="77777777" w:rsidR="00251D72" w:rsidRDefault="00251D72">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251D72" w14:paraId="2281297D" w14:textId="77777777">
        <w:trPr>
          <w:divId w:val="1452899360"/>
          <w:jc w:val="center"/>
        </w:trPr>
        <w:tc>
          <w:tcPr>
            <w:tcW w:w="1937" w:type="pct"/>
            <w:tcBorders>
              <w:top w:val="single" w:sz="6" w:space="0" w:color="000000"/>
            </w:tcBorders>
            <w:shd w:val="clear" w:color="auto" w:fill="CFF0FC"/>
            <w:tcMar>
              <w:top w:w="15" w:type="dxa"/>
              <w:left w:w="0" w:type="dxa"/>
              <w:bottom w:w="0" w:type="dxa"/>
              <w:right w:w="15" w:type="dxa"/>
            </w:tcMar>
            <w:vAlign w:val="bottom"/>
            <w:hideMark/>
          </w:tcPr>
          <w:p w14:paraId="7463D04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Allowances for Doubtful Trade Receivables</w:t>
            </w:r>
          </w:p>
        </w:tc>
        <w:tc>
          <w:tcPr>
            <w:tcW w:w="73" w:type="pct"/>
            <w:shd w:val="clear" w:color="auto" w:fill="CFF0FC"/>
            <w:tcMar>
              <w:top w:w="15" w:type="dxa"/>
              <w:left w:w="0" w:type="dxa"/>
              <w:bottom w:w="0" w:type="dxa"/>
              <w:right w:w="15" w:type="dxa"/>
            </w:tcMar>
            <w:vAlign w:val="bottom"/>
            <w:hideMark/>
          </w:tcPr>
          <w:p w14:paraId="343ADE2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6989C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3" w:type="pct"/>
            <w:tcBorders>
              <w:top w:val="single" w:sz="6" w:space="0" w:color="000000"/>
            </w:tcBorders>
            <w:shd w:val="clear" w:color="auto" w:fill="CFF0FC"/>
            <w:noWrap/>
            <w:tcMar>
              <w:top w:w="15" w:type="dxa"/>
              <w:left w:w="0" w:type="dxa"/>
              <w:bottom w:w="0" w:type="dxa"/>
              <w:right w:w="15" w:type="dxa"/>
            </w:tcMar>
            <w:vAlign w:val="bottom"/>
            <w:hideMark/>
          </w:tcPr>
          <w:p w14:paraId="58D6C086"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1A4C7D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CFF0FC"/>
            <w:tcMar>
              <w:top w:w="15" w:type="dxa"/>
              <w:left w:w="0" w:type="dxa"/>
              <w:bottom w:w="0" w:type="dxa"/>
              <w:right w:w="15" w:type="dxa"/>
            </w:tcMar>
            <w:vAlign w:val="bottom"/>
            <w:hideMark/>
          </w:tcPr>
          <w:p w14:paraId="69938A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2C935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1" w:type="pct"/>
            <w:tcBorders>
              <w:top w:val="single" w:sz="6" w:space="0" w:color="000000"/>
            </w:tcBorders>
            <w:shd w:val="clear" w:color="auto" w:fill="CFF0FC"/>
            <w:noWrap/>
            <w:tcMar>
              <w:top w:w="15" w:type="dxa"/>
              <w:left w:w="0" w:type="dxa"/>
              <w:bottom w:w="0" w:type="dxa"/>
              <w:right w:w="15" w:type="dxa"/>
            </w:tcMar>
            <w:vAlign w:val="bottom"/>
            <w:hideMark/>
          </w:tcPr>
          <w:p w14:paraId="351D70B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57AA70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CFF0FC"/>
            <w:tcMar>
              <w:top w:w="15" w:type="dxa"/>
              <w:left w:w="0" w:type="dxa"/>
              <w:bottom w:w="0" w:type="dxa"/>
              <w:right w:w="15" w:type="dxa"/>
            </w:tcMar>
            <w:vAlign w:val="bottom"/>
            <w:hideMark/>
          </w:tcPr>
          <w:p w14:paraId="0D65888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32D77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3" w:type="pct"/>
            <w:tcBorders>
              <w:top w:val="single" w:sz="6" w:space="0" w:color="000000"/>
            </w:tcBorders>
            <w:shd w:val="clear" w:color="auto" w:fill="CFF0FC"/>
            <w:noWrap/>
            <w:tcMar>
              <w:top w:w="15" w:type="dxa"/>
              <w:left w:w="0" w:type="dxa"/>
              <w:bottom w:w="0" w:type="dxa"/>
              <w:right w:w="15" w:type="dxa"/>
            </w:tcMar>
            <w:vAlign w:val="bottom"/>
            <w:hideMark/>
          </w:tcPr>
          <w:p w14:paraId="387FD95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BC125B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CFF0FC"/>
            <w:tcMar>
              <w:top w:w="15" w:type="dxa"/>
              <w:left w:w="0" w:type="dxa"/>
              <w:bottom w:w="0" w:type="dxa"/>
              <w:right w:w="15" w:type="dxa"/>
            </w:tcMar>
            <w:vAlign w:val="bottom"/>
            <w:hideMark/>
          </w:tcPr>
          <w:p w14:paraId="5BD17C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9AA27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1" w:type="pct"/>
            <w:tcBorders>
              <w:top w:val="single" w:sz="6" w:space="0" w:color="000000"/>
            </w:tcBorders>
            <w:shd w:val="clear" w:color="auto" w:fill="CFF0FC"/>
            <w:noWrap/>
            <w:tcMar>
              <w:top w:w="15" w:type="dxa"/>
              <w:left w:w="0" w:type="dxa"/>
              <w:bottom w:w="0" w:type="dxa"/>
              <w:right w:w="15" w:type="dxa"/>
            </w:tcMar>
            <w:vAlign w:val="bottom"/>
            <w:hideMark/>
          </w:tcPr>
          <w:p w14:paraId="5D5778C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FC2854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CFF0FC"/>
            <w:tcMar>
              <w:top w:w="15" w:type="dxa"/>
              <w:left w:w="0" w:type="dxa"/>
              <w:bottom w:w="0" w:type="dxa"/>
              <w:right w:w="15" w:type="dxa"/>
            </w:tcMar>
            <w:vAlign w:val="bottom"/>
            <w:hideMark/>
          </w:tcPr>
          <w:p w14:paraId="647FB3B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21EFCF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1" w:type="pct"/>
            <w:tcBorders>
              <w:top w:val="single" w:sz="6" w:space="0" w:color="000000"/>
            </w:tcBorders>
            <w:shd w:val="clear" w:color="auto" w:fill="CFF0FC"/>
            <w:noWrap/>
            <w:tcMar>
              <w:top w:w="15" w:type="dxa"/>
              <w:left w:w="0" w:type="dxa"/>
              <w:bottom w:w="0" w:type="dxa"/>
              <w:right w:w="15" w:type="dxa"/>
            </w:tcMar>
            <w:vAlign w:val="bottom"/>
            <w:hideMark/>
          </w:tcPr>
          <w:p w14:paraId="49DAE55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9C5BF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2D38A866" w14:textId="77777777">
        <w:trPr>
          <w:divId w:val="1452899360"/>
          <w:jc w:val="center"/>
        </w:trPr>
        <w:tc>
          <w:tcPr>
            <w:tcW w:w="1937" w:type="pct"/>
            <w:shd w:val="clear" w:color="auto" w:fill="FFFFFF"/>
            <w:tcMar>
              <w:top w:w="15" w:type="dxa"/>
              <w:left w:w="0" w:type="dxa"/>
              <w:bottom w:w="0" w:type="dxa"/>
              <w:right w:w="15" w:type="dxa"/>
            </w:tcMar>
            <w:vAlign w:val="bottom"/>
            <w:hideMark/>
          </w:tcPr>
          <w:p w14:paraId="5021659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Year Ended:</w:t>
            </w:r>
          </w:p>
        </w:tc>
        <w:tc>
          <w:tcPr>
            <w:tcW w:w="73" w:type="pct"/>
            <w:shd w:val="clear" w:color="auto" w:fill="FFFFFF"/>
            <w:tcMar>
              <w:top w:w="15" w:type="dxa"/>
              <w:left w:w="0" w:type="dxa"/>
              <w:bottom w:w="0" w:type="dxa"/>
              <w:right w:w="15" w:type="dxa"/>
            </w:tcMar>
            <w:vAlign w:val="bottom"/>
            <w:hideMark/>
          </w:tcPr>
          <w:p w14:paraId="2C425E9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349F4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3" w:type="pct"/>
            <w:shd w:val="clear" w:color="auto" w:fill="FFFFFF"/>
            <w:noWrap/>
            <w:tcMar>
              <w:top w:w="15" w:type="dxa"/>
              <w:left w:w="0" w:type="dxa"/>
              <w:bottom w:w="0" w:type="dxa"/>
              <w:right w:w="15" w:type="dxa"/>
            </w:tcMar>
            <w:vAlign w:val="bottom"/>
            <w:hideMark/>
          </w:tcPr>
          <w:p w14:paraId="42D026E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70AB1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FFFFFF"/>
            <w:tcMar>
              <w:top w:w="15" w:type="dxa"/>
              <w:left w:w="0" w:type="dxa"/>
              <w:bottom w:w="0" w:type="dxa"/>
              <w:right w:w="15" w:type="dxa"/>
            </w:tcMar>
            <w:vAlign w:val="bottom"/>
            <w:hideMark/>
          </w:tcPr>
          <w:p w14:paraId="6B61001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34CCDD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1" w:type="pct"/>
            <w:shd w:val="clear" w:color="auto" w:fill="FFFFFF"/>
            <w:noWrap/>
            <w:tcMar>
              <w:top w:w="15" w:type="dxa"/>
              <w:left w:w="0" w:type="dxa"/>
              <w:bottom w:w="0" w:type="dxa"/>
              <w:right w:w="15" w:type="dxa"/>
            </w:tcMar>
            <w:vAlign w:val="bottom"/>
            <w:hideMark/>
          </w:tcPr>
          <w:p w14:paraId="348285F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E59C65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FFFFFF"/>
            <w:tcMar>
              <w:top w:w="15" w:type="dxa"/>
              <w:left w:w="0" w:type="dxa"/>
              <w:bottom w:w="0" w:type="dxa"/>
              <w:right w:w="15" w:type="dxa"/>
            </w:tcMar>
            <w:vAlign w:val="bottom"/>
            <w:hideMark/>
          </w:tcPr>
          <w:p w14:paraId="251B139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ACC01E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3" w:type="pct"/>
            <w:shd w:val="clear" w:color="auto" w:fill="FFFFFF"/>
            <w:noWrap/>
            <w:tcMar>
              <w:top w:w="15" w:type="dxa"/>
              <w:left w:w="0" w:type="dxa"/>
              <w:bottom w:w="0" w:type="dxa"/>
              <w:right w:w="15" w:type="dxa"/>
            </w:tcMar>
            <w:vAlign w:val="bottom"/>
            <w:hideMark/>
          </w:tcPr>
          <w:p w14:paraId="1F7166D7"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8305D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FFFFFF"/>
            <w:tcMar>
              <w:top w:w="15" w:type="dxa"/>
              <w:left w:w="0" w:type="dxa"/>
              <w:bottom w:w="0" w:type="dxa"/>
              <w:right w:w="15" w:type="dxa"/>
            </w:tcMar>
            <w:vAlign w:val="bottom"/>
            <w:hideMark/>
          </w:tcPr>
          <w:p w14:paraId="2985059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F3459E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1" w:type="pct"/>
            <w:shd w:val="clear" w:color="auto" w:fill="FFFFFF"/>
            <w:noWrap/>
            <w:tcMar>
              <w:top w:w="15" w:type="dxa"/>
              <w:left w:w="0" w:type="dxa"/>
              <w:bottom w:w="0" w:type="dxa"/>
              <w:right w:w="15" w:type="dxa"/>
            </w:tcMar>
            <w:vAlign w:val="bottom"/>
            <w:hideMark/>
          </w:tcPr>
          <w:p w14:paraId="466AE4C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DD6FCD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FFFFFF"/>
            <w:tcMar>
              <w:top w:w="15" w:type="dxa"/>
              <w:left w:w="0" w:type="dxa"/>
              <w:bottom w:w="0" w:type="dxa"/>
              <w:right w:w="15" w:type="dxa"/>
            </w:tcMar>
            <w:vAlign w:val="bottom"/>
            <w:hideMark/>
          </w:tcPr>
          <w:p w14:paraId="0BAF4C9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F1A912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1" w:type="pct"/>
            <w:shd w:val="clear" w:color="auto" w:fill="FFFFFF"/>
            <w:noWrap/>
            <w:tcMar>
              <w:top w:w="15" w:type="dxa"/>
              <w:left w:w="0" w:type="dxa"/>
              <w:bottom w:w="0" w:type="dxa"/>
              <w:right w:w="15" w:type="dxa"/>
            </w:tcMar>
            <w:vAlign w:val="bottom"/>
            <w:hideMark/>
          </w:tcPr>
          <w:p w14:paraId="193E690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A4FA9F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4E5212FA" w14:textId="77777777">
        <w:trPr>
          <w:divId w:val="1452899360"/>
          <w:jc w:val="center"/>
        </w:trPr>
        <w:tc>
          <w:tcPr>
            <w:tcW w:w="1937" w:type="pct"/>
            <w:shd w:val="clear" w:color="auto" w:fill="CFF0FC"/>
            <w:tcMar>
              <w:top w:w="15" w:type="dxa"/>
              <w:left w:w="0" w:type="dxa"/>
              <w:bottom w:w="0" w:type="dxa"/>
              <w:right w:w="15" w:type="dxa"/>
            </w:tcMar>
            <w:vAlign w:val="bottom"/>
            <w:hideMark/>
          </w:tcPr>
          <w:p w14:paraId="71A11CF4"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May 31, 2017</w:t>
            </w:r>
          </w:p>
        </w:tc>
        <w:tc>
          <w:tcPr>
            <w:tcW w:w="73" w:type="pct"/>
            <w:shd w:val="clear" w:color="auto" w:fill="CFF0FC"/>
            <w:tcMar>
              <w:top w:w="15" w:type="dxa"/>
              <w:left w:w="0" w:type="dxa"/>
              <w:bottom w:w="0" w:type="dxa"/>
              <w:right w:w="15" w:type="dxa"/>
            </w:tcMar>
            <w:vAlign w:val="bottom"/>
            <w:hideMark/>
          </w:tcPr>
          <w:p w14:paraId="4CE0BCE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64BC5C0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3" w:type="pct"/>
            <w:tcBorders>
              <w:bottom w:val="double" w:sz="6" w:space="0" w:color="000000"/>
            </w:tcBorders>
            <w:shd w:val="clear" w:color="auto" w:fill="CFF0FC"/>
            <w:noWrap/>
            <w:tcMar>
              <w:top w:w="15" w:type="dxa"/>
              <w:left w:w="0" w:type="dxa"/>
              <w:bottom w:w="0" w:type="dxa"/>
              <w:right w:w="15" w:type="dxa"/>
            </w:tcMar>
            <w:vAlign w:val="bottom"/>
            <w:hideMark/>
          </w:tcPr>
          <w:p w14:paraId="2922B45C"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327</w:t>
            </w:r>
          </w:p>
        </w:tc>
        <w:tc>
          <w:tcPr>
            <w:tcW w:w="50" w:type="pct"/>
            <w:shd w:val="clear" w:color="auto" w:fill="CFF0FC"/>
            <w:noWrap/>
            <w:tcMar>
              <w:top w:w="15" w:type="dxa"/>
              <w:left w:w="0" w:type="dxa"/>
              <w:bottom w:w="0" w:type="dxa"/>
              <w:right w:w="15" w:type="dxa"/>
            </w:tcMar>
            <w:vAlign w:val="bottom"/>
            <w:hideMark/>
          </w:tcPr>
          <w:p w14:paraId="336DFC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CFF0FC"/>
            <w:tcMar>
              <w:top w:w="15" w:type="dxa"/>
              <w:left w:w="0" w:type="dxa"/>
              <w:bottom w:w="0" w:type="dxa"/>
              <w:right w:w="15" w:type="dxa"/>
            </w:tcMar>
            <w:vAlign w:val="bottom"/>
            <w:hideMark/>
          </w:tcPr>
          <w:p w14:paraId="1D6A3A6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0F4FABE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1" w:type="pct"/>
            <w:tcBorders>
              <w:bottom w:val="double" w:sz="6" w:space="0" w:color="000000"/>
            </w:tcBorders>
            <w:shd w:val="clear" w:color="auto" w:fill="CFF0FC"/>
            <w:noWrap/>
            <w:tcMar>
              <w:top w:w="15" w:type="dxa"/>
              <w:left w:w="0" w:type="dxa"/>
              <w:bottom w:w="0" w:type="dxa"/>
              <w:right w:w="15" w:type="dxa"/>
            </w:tcMar>
            <w:vAlign w:val="bottom"/>
            <w:hideMark/>
          </w:tcPr>
          <w:p w14:paraId="7E81B97E"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129</w:t>
            </w:r>
          </w:p>
        </w:tc>
        <w:tc>
          <w:tcPr>
            <w:tcW w:w="50" w:type="pct"/>
            <w:shd w:val="clear" w:color="auto" w:fill="CFF0FC"/>
            <w:noWrap/>
            <w:tcMar>
              <w:top w:w="15" w:type="dxa"/>
              <w:left w:w="0" w:type="dxa"/>
              <w:bottom w:w="0" w:type="dxa"/>
              <w:right w:w="15" w:type="dxa"/>
            </w:tcMar>
            <w:vAlign w:val="bottom"/>
            <w:hideMark/>
          </w:tcPr>
          <w:p w14:paraId="51B6000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CFF0FC"/>
            <w:tcMar>
              <w:top w:w="15" w:type="dxa"/>
              <w:left w:w="0" w:type="dxa"/>
              <w:bottom w:w="0" w:type="dxa"/>
              <w:right w:w="15" w:type="dxa"/>
            </w:tcMar>
            <w:vAlign w:val="bottom"/>
            <w:hideMark/>
          </w:tcPr>
          <w:p w14:paraId="4E2CAE2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2321767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3" w:type="pct"/>
            <w:tcBorders>
              <w:bottom w:val="double" w:sz="6" w:space="0" w:color="000000"/>
            </w:tcBorders>
            <w:shd w:val="clear" w:color="auto" w:fill="CFF0FC"/>
            <w:noWrap/>
            <w:tcMar>
              <w:top w:w="15" w:type="dxa"/>
              <w:left w:w="0" w:type="dxa"/>
              <w:bottom w:w="0" w:type="dxa"/>
              <w:right w:w="15" w:type="dxa"/>
            </w:tcMar>
            <w:vAlign w:val="bottom"/>
            <w:hideMark/>
          </w:tcPr>
          <w:p w14:paraId="55CB8A53"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(138</w:t>
            </w:r>
          </w:p>
        </w:tc>
        <w:tc>
          <w:tcPr>
            <w:tcW w:w="50" w:type="pct"/>
            <w:shd w:val="clear" w:color="auto" w:fill="CFF0FC"/>
            <w:noWrap/>
            <w:tcMar>
              <w:top w:w="15" w:type="dxa"/>
              <w:left w:w="0" w:type="dxa"/>
              <w:bottom w:w="0" w:type="dxa"/>
              <w:right w:w="15" w:type="dxa"/>
            </w:tcMar>
            <w:vAlign w:val="bottom"/>
            <w:hideMark/>
          </w:tcPr>
          <w:p w14:paraId="7C86881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 w:type="pct"/>
            <w:shd w:val="clear" w:color="auto" w:fill="CFF0FC"/>
            <w:tcMar>
              <w:top w:w="15" w:type="dxa"/>
              <w:left w:w="0" w:type="dxa"/>
              <w:bottom w:w="0" w:type="dxa"/>
              <w:right w:w="15" w:type="dxa"/>
            </w:tcMar>
            <w:vAlign w:val="bottom"/>
            <w:hideMark/>
          </w:tcPr>
          <w:p w14:paraId="501FB073"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6AC0FA6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1" w:type="pct"/>
            <w:tcBorders>
              <w:bottom w:val="double" w:sz="6" w:space="0" w:color="000000"/>
            </w:tcBorders>
            <w:shd w:val="clear" w:color="auto" w:fill="CFF0FC"/>
            <w:noWrap/>
            <w:tcMar>
              <w:top w:w="15" w:type="dxa"/>
              <w:left w:w="0" w:type="dxa"/>
              <w:bottom w:w="0" w:type="dxa"/>
              <w:right w:w="15" w:type="dxa"/>
            </w:tcMar>
            <w:vAlign w:val="bottom"/>
            <w:hideMark/>
          </w:tcPr>
          <w:p w14:paraId="0852237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5227905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CFF0FC"/>
            <w:tcMar>
              <w:top w:w="15" w:type="dxa"/>
              <w:left w:w="0" w:type="dxa"/>
              <w:bottom w:w="0" w:type="dxa"/>
              <w:right w:w="15" w:type="dxa"/>
            </w:tcMar>
            <w:vAlign w:val="bottom"/>
            <w:hideMark/>
          </w:tcPr>
          <w:p w14:paraId="52D8C94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61AE455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1" w:type="pct"/>
            <w:tcBorders>
              <w:bottom w:val="double" w:sz="6" w:space="0" w:color="000000"/>
            </w:tcBorders>
            <w:shd w:val="clear" w:color="auto" w:fill="CFF0FC"/>
            <w:noWrap/>
            <w:tcMar>
              <w:top w:w="15" w:type="dxa"/>
              <w:left w:w="0" w:type="dxa"/>
              <w:bottom w:w="0" w:type="dxa"/>
              <w:right w:w="15" w:type="dxa"/>
            </w:tcMar>
            <w:vAlign w:val="bottom"/>
            <w:hideMark/>
          </w:tcPr>
          <w:p w14:paraId="75A6FC4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319</w:t>
            </w:r>
          </w:p>
        </w:tc>
        <w:tc>
          <w:tcPr>
            <w:tcW w:w="50" w:type="pct"/>
            <w:shd w:val="clear" w:color="auto" w:fill="CFF0FC"/>
            <w:noWrap/>
            <w:tcMar>
              <w:top w:w="15" w:type="dxa"/>
              <w:left w:w="0" w:type="dxa"/>
              <w:bottom w:w="0" w:type="dxa"/>
              <w:right w:w="15" w:type="dxa"/>
            </w:tcMar>
            <w:vAlign w:val="bottom"/>
            <w:hideMark/>
          </w:tcPr>
          <w:p w14:paraId="222A5D8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6D33CB49" w14:textId="77777777">
        <w:trPr>
          <w:divId w:val="1452899360"/>
          <w:jc w:val="center"/>
        </w:trPr>
        <w:tc>
          <w:tcPr>
            <w:tcW w:w="1937" w:type="pct"/>
            <w:shd w:val="clear" w:color="auto" w:fill="FFFFFF"/>
            <w:tcMar>
              <w:top w:w="15" w:type="dxa"/>
              <w:left w:w="0" w:type="dxa"/>
              <w:bottom w:w="0" w:type="dxa"/>
              <w:right w:w="15" w:type="dxa"/>
            </w:tcMar>
            <w:vAlign w:val="bottom"/>
            <w:hideMark/>
          </w:tcPr>
          <w:p w14:paraId="3DAED6FD"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May 31, 2018</w:t>
            </w:r>
          </w:p>
        </w:tc>
        <w:tc>
          <w:tcPr>
            <w:tcW w:w="73" w:type="pct"/>
            <w:shd w:val="clear" w:color="auto" w:fill="FFFFFF"/>
            <w:tcMar>
              <w:top w:w="15" w:type="dxa"/>
              <w:left w:w="0" w:type="dxa"/>
              <w:bottom w:w="0" w:type="dxa"/>
              <w:right w:w="15" w:type="dxa"/>
            </w:tcMar>
            <w:vAlign w:val="bottom"/>
            <w:hideMark/>
          </w:tcPr>
          <w:p w14:paraId="777A7D6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129BBE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91B2EF8"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319</w:t>
            </w:r>
          </w:p>
        </w:tc>
        <w:tc>
          <w:tcPr>
            <w:tcW w:w="50" w:type="pct"/>
            <w:shd w:val="clear" w:color="auto" w:fill="FFFFFF"/>
            <w:noWrap/>
            <w:tcMar>
              <w:top w:w="15" w:type="dxa"/>
              <w:left w:w="0" w:type="dxa"/>
              <w:bottom w:w="0" w:type="dxa"/>
              <w:right w:w="15" w:type="dxa"/>
            </w:tcMar>
            <w:vAlign w:val="bottom"/>
            <w:hideMark/>
          </w:tcPr>
          <w:p w14:paraId="12E59898"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FFFFFF"/>
            <w:tcMar>
              <w:top w:w="15" w:type="dxa"/>
              <w:left w:w="0" w:type="dxa"/>
              <w:bottom w:w="0" w:type="dxa"/>
              <w:right w:w="15" w:type="dxa"/>
            </w:tcMar>
            <w:vAlign w:val="bottom"/>
            <w:hideMark/>
          </w:tcPr>
          <w:p w14:paraId="0D1BB10D"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A63EB2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6422B09"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146</w:t>
            </w:r>
          </w:p>
        </w:tc>
        <w:tc>
          <w:tcPr>
            <w:tcW w:w="50" w:type="pct"/>
            <w:shd w:val="clear" w:color="auto" w:fill="FFFFFF"/>
            <w:noWrap/>
            <w:tcMar>
              <w:top w:w="15" w:type="dxa"/>
              <w:left w:w="0" w:type="dxa"/>
              <w:bottom w:w="0" w:type="dxa"/>
              <w:right w:w="15" w:type="dxa"/>
            </w:tcMar>
            <w:vAlign w:val="bottom"/>
            <w:hideMark/>
          </w:tcPr>
          <w:p w14:paraId="1379E4B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FFFFFF"/>
            <w:tcMar>
              <w:top w:w="15" w:type="dxa"/>
              <w:left w:w="0" w:type="dxa"/>
              <w:bottom w:w="0" w:type="dxa"/>
              <w:right w:w="15" w:type="dxa"/>
            </w:tcMar>
            <w:vAlign w:val="bottom"/>
            <w:hideMark/>
          </w:tcPr>
          <w:p w14:paraId="46472DC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3B3C5BE"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2B5E870"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(98</w:t>
            </w:r>
          </w:p>
        </w:tc>
        <w:tc>
          <w:tcPr>
            <w:tcW w:w="50" w:type="pct"/>
            <w:shd w:val="clear" w:color="auto" w:fill="FFFFFF"/>
            <w:noWrap/>
            <w:tcMar>
              <w:top w:w="15" w:type="dxa"/>
              <w:left w:w="0" w:type="dxa"/>
              <w:bottom w:w="0" w:type="dxa"/>
              <w:right w:w="15" w:type="dxa"/>
            </w:tcMar>
            <w:vAlign w:val="bottom"/>
            <w:hideMark/>
          </w:tcPr>
          <w:p w14:paraId="67A2BF1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 w:type="pct"/>
            <w:shd w:val="clear" w:color="auto" w:fill="FFFFFF"/>
            <w:tcMar>
              <w:top w:w="15" w:type="dxa"/>
              <w:left w:w="0" w:type="dxa"/>
              <w:bottom w:w="0" w:type="dxa"/>
              <w:right w:w="15" w:type="dxa"/>
            </w:tcMar>
            <w:vAlign w:val="bottom"/>
            <w:hideMark/>
          </w:tcPr>
          <w:p w14:paraId="6988D9B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215734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BF492A2"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left w:w="0" w:type="dxa"/>
              <w:bottom w:w="0" w:type="dxa"/>
              <w:right w:w="15" w:type="dxa"/>
            </w:tcMar>
            <w:vAlign w:val="bottom"/>
            <w:hideMark/>
          </w:tcPr>
          <w:p w14:paraId="00AA25E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FFFFFF"/>
            <w:tcMar>
              <w:top w:w="15" w:type="dxa"/>
              <w:left w:w="0" w:type="dxa"/>
              <w:bottom w:w="0" w:type="dxa"/>
              <w:right w:w="15" w:type="dxa"/>
            </w:tcMar>
            <w:vAlign w:val="bottom"/>
            <w:hideMark/>
          </w:tcPr>
          <w:p w14:paraId="1A7CA24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A6945D9"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3A9579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370</w:t>
            </w:r>
          </w:p>
        </w:tc>
        <w:tc>
          <w:tcPr>
            <w:tcW w:w="50" w:type="pct"/>
            <w:shd w:val="clear" w:color="auto" w:fill="FFFFFF"/>
            <w:noWrap/>
            <w:tcMar>
              <w:top w:w="15" w:type="dxa"/>
              <w:left w:w="0" w:type="dxa"/>
              <w:bottom w:w="0" w:type="dxa"/>
              <w:right w:w="15" w:type="dxa"/>
            </w:tcMar>
            <w:vAlign w:val="bottom"/>
            <w:hideMark/>
          </w:tcPr>
          <w:p w14:paraId="4291C4B2"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251D72" w14:paraId="34A4728C" w14:textId="77777777">
        <w:trPr>
          <w:divId w:val="1452899360"/>
          <w:jc w:val="center"/>
        </w:trPr>
        <w:tc>
          <w:tcPr>
            <w:tcW w:w="1937" w:type="pct"/>
            <w:shd w:val="clear" w:color="auto" w:fill="CFF0FC"/>
            <w:tcMar>
              <w:top w:w="15" w:type="dxa"/>
              <w:left w:w="0" w:type="dxa"/>
              <w:bottom w:w="0" w:type="dxa"/>
              <w:right w:w="15" w:type="dxa"/>
            </w:tcMar>
            <w:vAlign w:val="bottom"/>
            <w:hideMark/>
          </w:tcPr>
          <w:p w14:paraId="770A9B90" w14:textId="77777777" w:rsidR="00251D72" w:rsidRDefault="00251D72">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May 31, 2019</w:t>
            </w:r>
          </w:p>
        </w:tc>
        <w:tc>
          <w:tcPr>
            <w:tcW w:w="73" w:type="pct"/>
            <w:shd w:val="clear" w:color="auto" w:fill="CFF0FC"/>
            <w:tcMar>
              <w:top w:w="15" w:type="dxa"/>
              <w:left w:w="0" w:type="dxa"/>
              <w:bottom w:w="0" w:type="dxa"/>
              <w:right w:w="15" w:type="dxa"/>
            </w:tcMar>
            <w:vAlign w:val="bottom"/>
            <w:hideMark/>
          </w:tcPr>
          <w:p w14:paraId="6CFEE0D1"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903955C"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9859F65"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370</w:t>
            </w:r>
          </w:p>
        </w:tc>
        <w:tc>
          <w:tcPr>
            <w:tcW w:w="50" w:type="pct"/>
            <w:shd w:val="clear" w:color="auto" w:fill="CFF0FC"/>
            <w:noWrap/>
            <w:tcMar>
              <w:top w:w="15" w:type="dxa"/>
              <w:left w:w="0" w:type="dxa"/>
              <w:bottom w:w="0" w:type="dxa"/>
              <w:right w:w="15" w:type="dxa"/>
            </w:tcMar>
            <w:vAlign w:val="bottom"/>
            <w:hideMark/>
          </w:tcPr>
          <w:p w14:paraId="4640CFA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CFF0FC"/>
            <w:tcMar>
              <w:top w:w="15" w:type="dxa"/>
              <w:left w:w="0" w:type="dxa"/>
              <w:bottom w:w="0" w:type="dxa"/>
              <w:right w:w="15" w:type="dxa"/>
            </w:tcMar>
            <w:vAlign w:val="bottom"/>
            <w:hideMark/>
          </w:tcPr>
          <w:p w14:paraId="3F6A9A4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7AD4525"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D4294DA"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190</w:t>
            </w:r>
          </w:p>
        </w:tc>
        <w:tc>
          <w:tcPr>
            <w:tcW w:w="50" w:type="pct"/>
            <w:shd w:val="clear" w:color="auto" w:fill="CFF0FC"/>
            <w:noWrap/>
            <w:tcMar>
              <w:top w:w="15" w:type="dxa"/>
              <w:left w:w="0" w:type="dxa"/>
              <w:bottom w:w="0" w:type="dxa"/>
              <w:right w:w="15" w:type="dxa"/>
            </w:tcMar>
            <w:vAlign w:val="bottom"/>
            <w:hideMark/>
          </w:tcPr>
          <w:p w14:paraId="0E55452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9" w:type="pct"/>
            <w:shd w:val="clear" w:color="auto" w:fill="CFF0FC"/>
            <w:tcMar>
              <w:top w:w="15" w:type="dxa"/>
              <w:left w:w="0" w:type="dxa"/>
              <w:bottom w:w="0" w:type="dxa"/>
              <w:right w:w="15" w:type="dxa"/>
            </w:tcMar>
            <w:vAlign w:val="bottom"/>
            <w:hideMark/>
          </w:tcPr>
          <w:p w14:paraId="784A36A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22007A0"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1D1664F"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(188</w:t>
            </w:r>
          </w:p>
        </w:tc>
        <w:tc>
          <w:tcPr>
            <w:tcW w:w="50" w:type="pct"/>
            <w:shd w:val="clear" w:color="auto" w:fill="CFF0FC"/>
            <w:noWrap/>
            <w:tcMar>
              <w:top w:w="15" w:type="dxa"/>
              <w:left w:w="0" w:type="dxa"/>
              <w:bottom w:w="0" w:type="dxa"/>
              <w:right w:w="15" w:type="dxa"/>
            </w:tcMar>
            <w:vAlign w:val="bottom"/>
            <w:hideMark/>
          </w:tcPr>
          <w:p w14:paraId="494EAEBA"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 w:type="pct"/>
            <w:shd w:val="clear" w:color="auto" w:fill="CFF0FC"/>
            <w:tcMar>
              <w:top w:w="15" w:type="dxa"/>
              <w:left w:w="0" w:type="dxa"/>
              <w:bottom w:w="0" w:type="dxa"/>
              <w:right w:w="15" w:type="dxa"/>
            </w:tcMar>
            <w:vAlign w:val="bottom"/>
            <w:hideMark/>
          </w:tcPr>
          <w:p w14:paraId="6A920117"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E40C24B"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56AA984"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left w:w="0" w:type="dxa"/>
              <w:bottom w:w="0" w:type="dxa"/>
              <w:right w:w="15" w:type="dxa"/>
            </w:tcMar>
            <w:vAlign w:val="bottom"/>
            <w:hideMark/>
          </w:tcPr>
          <w:p w14:paraId="37F5E094"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9" w:type="pct"/>
            <w:shd w:val="clear" w:color="auto" w:fill="CFF0FC"/>
            <w:tcMar>
              <w:top w:w="15" w:type="dxa"/>
              <w:left w:w="0" w:type="dxa"/>
              <w:bottom w:w="0" w:type="dxa"/>
              <w:right w:w="15" w:type="dxa"/>
            </w:tcMar>
            <w:vAlign w:val="bottom"/>
            <w:hideMark/>
          </w:tcPr>
          <w:p w14:paraId="6EB56D5F"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131CD06" w14:textId="77777777" w:rsidR="00251D72" w:rsidRDefault="00251D7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E932E3B" w14:textId="77777777" w:rsidR="00251D72" w:rsidRDefault="00251D72">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371</w:t>
            </w:r>
          </w:p>
        </w:tc>
        <w:tc>
          <w:tcPr>
            <w:tcW w:w="50" w:type="pct"/>
            <w:shd w:val="clear" w:color="auto" w:fill="CFF0FC"/>
            <w:noWrap/>
            <w:tcMar>
              <w:top w:w="15" w:type="dxa"/>
              <w:left w:w="0" w:type="dxa"/>
              <w:bottom w:w="0" w:type="dxa"/>
              <w:right w:w="15" w:type="dxa"/>
            </w:tcMar>
            <w:vAlign w:val="bottom"/>
            <w:hideMark/>
          </w:tcPr>
          <w:p w14:paraId="5F61591C" w14:textId="77777777" w:rsidR="00251D72" w:rsidRDefault="00251D72">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23CB2380" w14:textId="77777777" w:rsidR="00251D72" w:rsidRDefault="00251D72">
      <w:pPr>
        <w:pStyle w:val="a3"/>
        <w:spacing w:before="0" w:beforeAutospacing="0" w:after="0" w:afterAutospacing="0"/>
        <w:rPr>
          <w:sz w:val="12"/>
          <w:szCs w:val="12"/>
        </w:rPr>
      </w:pPr>
      <w:r>
        <w:rPr>
          <w:sz w:val="12"/>
          <w:szCs w:val="12"/>
        </w:rPr>
        <w:t> </w:t>
      </w:r>
    </w:p>
    <w:p w14:paraId="431DB9A5" w14:textId="77777777" w:rsidR="00251D72" w:rsidRDefault="00251D72">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688"/>
        <w:gridCol w:w="7618"/>
      </w:tblGrid>
      <w:tr w:rsidR="00251D72" w14:paraId="314B20E4" w14:textId="77777777">
        <w:tc>
          <w:tcPr>
            <w:tcW w:w="213" w:type="pct"/>
            <w:noWrap/>
            <w:hideMark/>
          </w:tcPr>
          <w:p w14:paraId="6667C81B" w14:textId="77777777" w:rsidR="00251D72" w:rsidRDefault="00251D72">
            <w:pPr>
              <w:pStyle w:val="a3"/>
              <w:spacing w:before="0" w:beforeAutospacing="0" w:after="0" w:afterAutospacing="0"/>
              <w:rPr>
                <w:rFonts w:ascii="Calibri" w:hAnsi="Calibri" w:cs="Calibri"/>
                <w:b/>
                <w:bCs/>
                <w:sz w:val="20"/>
                <w:szCs w:val="20"/>
              </w:rPr>
            </w:pPr>
            <w:r>
              <w:rPr>
                <w:rFonts w:ascii="Calibri" w:hAnsi="Calibri" w:cs="Calibri"/>
                <w:b/>
                <w:bCs/>
                <w:sz w:val="20"/>
                <w:szCs w:val="20"/>
              </w:rPr>
              <w:t>Item 16.</w:t>
            </w:r>
          </w:p>
        </w:tc>
        <w:tc>
          <w:tcPr>
            <w:tcW w:w="0" w:type="auto"/>
            <w:hideMark/>
          </w:tcPr>
          <w:p w14:paraId="3674937E" w14:textId="77777777" w:rsidR="00251D72" w:rsidRDefault="00251D72">
            <w:pPr>
              <w:pStyle w:val="a3"/>
              <w:spacing w:before="0" w:beforeAutospacing="0" w:after="0" w:afterAutospacing="0"/>
              <w:rPr>
                <w:rFonts w:ascii="Calibri" w:hAnsi="Calibri" w:cs="Calibri"/>
                <w:b/>
                <w:bCs/>
                <w:sz w:val="20"/>
                <w:szCs w:val="20"/>
              </w:rPr>
            </w:pPr>
            <w:bookmarkStart w:id="163" w:name="INDEX_OF_EXHIBITS"/>
            <w:bookmarkStart w:id="164" w:name="FORM_10K_SUMMARY"/>
            <w:bookmarkEnd w:id="163"/>
            <w:bookmarkEnd w:id="164"/>
            <w:r>
              <w:rPr>
                <w:rFonts w:ascii="Calibri" w:hAnsi="Calibri" w:cs="Calibri"/>
                <w:b/>
                <w:bCs/>
                <w:sz w:val="20"/>
                <w:szCs w:val="20"/>
              </w:rPr>
              <w:t>Form 10-K Summary</w:t>
            </w:r>
          </w:p>
        </w:tc>
      </w:tr>
    </w:tbl>
    <w:p w14:paraId="2A3995AF" w14:textId="77777777" w:rsidR="00251D72" w:rsidRDefault="00251D72">
      <w:pPr>
        <w:pStyle w:val="a3"/>
        <w:spacing w:before="0" w:beforeAutospacing="0" w:after="0" w:afterAutospacing="0"/>
      </w:pPr>
      <w:r>
        <w:t> </w:t>
      </w:r>
    </w:p>
    <w:p w14:paraId="7E301FA8"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None.</w:t>
      </w:r>
    </w:p>
    <w:p w14:paraId="173B5C01"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118</w:t>
      </w:r>
    </w:p>
    <w:p w14:paraId="5B456276" w14:textId="77777777" w:rsidR="00251D72" w:rsidRDefault="00251D72">
      <w:pPr>
        <w:rPr>
          <w:rFonts w:ascii="Times New Roman" w:eastAsia="Times New Roman" w:hAnsi="Times New Roman" w:cs="Times New Roman"/>
          <w:sz w:val="24"/>
          <w:szCs w:val="24"/>
        </w:rPr>
      </w:pPr>
      <w:r>
        <w:rPr>
          <w:rFonts w:eastAsia="Times New Roman"/>
        </w:rPr>
        <w:pict w14:anchorId="32DFE472">
          <v:rect id="_x0000_i1144" style="width:415.3pt;height:1.5pt" o:hralign="center" o:hrstd="t" o:hr="t" fillcolor="#a0a0a0" stroked="f"/>
        </w:pict>
      </w:r>
    </w:p>
    <w:p w14:paraId="0FDF2961"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 </w:t>
        </w:r>
      </w:hyperlink>
    </w:p>
    <w:p w14:paraId="7F431FEA"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4D2C3E41" w14:textId="77777777" w:rsidR="00251D72" w:rsidRDefault="00251D72">
      <w:pPr>
        <w:pStyle w:val="a3"/>
        <w:spacing w:before="0" w:beforeAutospacing="0" w:after="0" w:afterAutospacing="0"/>
      </w:pPr>
      <w:r>
        <w:t> </w:t>
      </w:r>
    </w:p>
    <w:p w14:paraId="355D3355" w14:textId="77777777" w:rsidR="00251D72" w:rsidRDefault="00251D72">
      <w:pPr>
        <w:pStyle w:val="a3"/>
        <w:spacing w:before="0" w:beforeAutospacing="0" w:after="0" w:afterAutospacing="0"/>
        <w:jc w:val="center"/>
        <w:rPr>
          <w:rFonts w:ascii="Calibri" w:hAnsi="Calibri" w:cs="Calibri"/>
          <w:b/>
          <w:bCs/>
          <w:sz w:val="20"/>
          <w:szCs w:val="20"/>
        </w:rPr>
      </w:pPr>
      <w:bookmarkStart w:id="165" w:name="_AEIOULastRenderedPageBreakAEIOU121"/>
      <w:bookmarkEnd w:id="165"/>
      <w:r>
        <w:rPr>
          <w:rFonts w:ascii="Calibri" w:hAnsi="Calibri" w:cs="Calibri"/>
          <w:b/>
          <w:bCs/>
          <w:sz w:val="20"/>
          <w:szCs w:val="20"/>
        </w:rPr>
        <w:t xml:space="preserve">ORACLE CORPORATION </w:t>
      </w:r>
    </w:p>
    <w:p w14:paraId="5387170C" w14:textId="77777777" w:rsidR="00251D72" w:rsidRDefault="00251D72">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INDEX OF EXHIBITS</w:t>
      </w:r>
    </w:p>
    <w:p w14:paraId="008C1908" w14:textId="77777777" w:rsidR="00251D72" w:rsidRDefault="00251D72">
      <w:pPr>
        <w:pStyle w:val="a3"/>
        <w:spacing w:before="240" w:beforeAutospacing="0" w:after="0" w:afterAutospacing="0"/>
        <w:jc w:val="both"/>
        <w:rPr>
          <w:rFonts w:ascii="Calibri" w:hAnsi="Calibri" w:cs="Calibri"/>
          <w:sz w:val="20"/>
          <w:szCs w:val="20"/>
        </w:rPr>
      </w:pPr>
      <w:r>
        <w:rPr>
          <w:rFonts w:ascii="Calibri" w:hAnsi="Calibri" w:cs="Calibri"/>
          <w:sz w:val="20"/>
          <w:szCs w:val="20"/>
        </w:rPr>
        <w:t xml:space="preserve">The following exhibits are filed or furnished herewith or are incorporated by reference to exhibits previously filed with the U.S. Securities and Exchange Commission. </w:t>
      </w:r>
    </w:p>
    <w:p w14:paraId="19A8EA14"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 </w:t>
      </w:r>
    </w:p>
    <w:tbl>
      <w:tblPr>
        <w:tblW w:w="5000" w:type="pct"/>
        <w:jc w:val="center"/>
        <w:tblCellMar>
          <w:left w:w="0" w:type="dxa"/>
          <w:right w:w="0" w:type="dxa"/>
        </w:tblCellMar>
        <w:tblLook w:val="04A0" w:firstRow="1" w:lastRow="0" w:firstColumn="1" w:lastColumn="0" w:noHBand="0" w:noVBand="1"/>
      </w:tblPr>
      <w:tblGrid>
        <w:gridCol w:w="587"/>
        <w:gridCol w:w="75"/>
        <w:gridCol w:w="2857"/>
        <w:gridCol w:w="75"/>
        <w:gridCol w:w="788"/>
        <w:gridCol w:w="75"/>
        <w:gridCol w:w="790"/>
        <w:gridCol w:w="75"/>
        <w:gridCol w:w="587"/>
        <w:gridCol w:w="75"/>
        <w:gridCol w:w="677"/>
        <w:gridCol w:w="75"/>
        <w:gridCol w:w="1570"/>
      </w:tblGrid>
      <w:tr w:rsidR="00251D72" w14:paraId="4A045F49" w14:textId="77777777">
        <w:trPr>
          <w:divId w:val="498739982"/>
          <w:jc w:val="center"/>
        </w:trPr>
        <w:tc>
          <w:tcPr>
            <w:tcW w:w="348" w:type="pct"/>
            <w:shd w:val="clear" w:color="auto" w:fill="FFFFFF"/>
            <w:tcMar>
              <w:top w:w="15" w:type="dxa"/>
              <w:left w:w="0" w:type="dxa"/>
              <w:bottom w:w="0" w:type="dxa"/>
              <w:right w:w="15" w:type="dxa"/>
            </w:tcMar>
            <w:vAlign w:val="bottom"/>
            <w:hideMark/>
          </w:tcPr>
          <w:p w14:paraId="0028AE27" w14:textId="77777777" w:rsidR="00251D72" w:rsidRDefault="00251D72">
            <w:pPr>
              <w:pStyle w:val="a3"/>
            </w:pPr>
            <w:r>
              <w:t> </w:t>
            </w:r>
          </w:p>
        </w:tc>
        <w:tc>
          <w:tcPr>
            <w:tcW w:w="28" w:type="pct"/>
            <w:shd w:val="clear" w:color="auto" w:fill="FFFFFF"/>
            <w:tcMar>
              <w:top w:w="15" w:type="dxa"/>
              <w:left w:w="0" w:type="dxa"/>
              <w:bottom w:w="0" w:type="dxa"/>
              <w:right w:w="15" w:type="dxa"/>
            </w:tcMar>
            <w:vAlign w:val="bottom"/>
            <w:hideMark/>
          </w:tcPr>
          <w:p w14:paraId="33ADC594" w14:textId="77777777" w:rsidR="00251D72" w:rsidRDefault="00251D72">
            <w:pPr>
              <w:pStyle w:val="a3"/>
            </w:pPr>
            <w:r>
              <w:t> </w:t>
            </w:r>
          </w:p>
        </w:tc>
        <w:tc>
          <w:tcPr>
            <w:tcW w:w="1777" w:type="pct"/>
            <w:shd w:val="clear" w:color="auto" w:fill="FFFFFF"/>
            <w:tcMar>
              <w:top w:w="15" w:type="dxa"/>
              <w:left w:w="0" w:type="dxa"/>
              <w:bottom w:w="0" w:type="dxa"/>
              <w:right w:w="15" w:type="dxa"/>
            </w:tcMar>
            <w:vAlign w:val="bottom"/>
            <w:hideMark/>
          </w:tcPr>
          <w:p w14:paraId="2C8191D4" w14:textId="77777777" w:rsidR="00251D72" w:rsidRDefault="00251D72">
            <w:pPr>
              <w:pStyle w:val="a3"/>
            </w:pPr>
            <w:r>
              <w:t> </w:t>
            </w:r>
          </w:p>
        </w:tc>
        <w:tc>
          <w:tcPr>
            <w:tcW w:w="34" w:type="pct"/>
            <w:shd w:val="clear" w:color="auto" w:fill="FFFFFF"/>
            <w:tcMar>
              <w:top w:w="15" w:type="dxa"/>
              <w:left w:w="0" w:type="dxa"/>
              <w:bottom w:w="0" w:type="dxa"/>
              <w:right w:w="15" w:type="dxa"/>
            </w:tcMar>
            <w:vAlign w:val="bottom"/>
            <w:hideMark/>
          </w:tcPr>
          <w:p w14:paraId="01C42E13" w14:textId="77777777" w:rsidR="00251D72" w:rsidRDefault="00251D72">
            <w:pPr>
              <w:pStyle w:val="a3"/>
            </w:pPr>
            <w:r>
              <w:t> </w:t>
            </w:r>
          </w:p>
        </w:tc>
        <w:tc>
          <w:tcPr>
            <w:tcW w:w="2814" w:type="pct"/>
            <w:gridSpan w:val="9"/>
            <w:tcBorders>
              <w:bottom w:val="single" w:sz="6" w:space="0" w:color="000000"/>
            </w:tcBorders>
            <w:shd w:val="clear" w:color="auto" w:fill="FFFFFF"/>
            <w:tcMar>
              <w:top w:w="15" w:type="dxa"/>
              <w:left w:w="0" w:type="dxa"/>
              <w:bottom w:w="0" w:type="dxa"/>
              <w:right w:w="15" w:type="dxa"/>
            </w:tcMar>
            <w:vAlign w:val="bottom"/>
            <w:hideMark/>
          </w:tcPr>
          <w:p w14:paraId="5E2845A3"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251D72" w14:paraId="46B883B1" w14:textId="77777777">
        <w:trPr>
          <w:divId w:val="498739982"/>
          <w:jc w:val="center"/>
        </w:trPr>
        <w:tc>
          <w:tcPr>
            <w:tcW w:w="348" w:type="pct"/>
            <w:tcBorders>
              <w:bottom w:val="single" w:sz="6" w:space="0" w:color="000000"/>
            </w:tcBorders>
            <w:shd w:val="clear" w:color="auto" w:fill="FFFFFF"/>
            <w:tcMar>
              <w:top w:w="15" w:type="dxa"/>
              <w:left w:w="0" w:type="dxa"/>
              <w:bottom w:w="0" w:type="dxa"/>
              <w:right w:w="15" w:type="dxa"/>
            </w:tcMar>
            <w:vAlign w:val="bottom"/>
            <w:hideMark/>
          </w:tcPr>
          <w:p w14:paraId="24C85D3F"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8" w:type="pct"/>
            <w:shd w:val="clear" w:color="auto" w:fill="FFFFFF"/>
            <w:tcMar>
              <w:top w:w="15" w:type="dxa"/>
              <w:left w:w="0" w:type="dxa"/>
              <w:bottom w:w="0" w:type="dxa"/>
              <w:right w:w="15" w:type="dxa"/>
            </w:tcMar>
            <w:vAlign w:val="bottom"/>
            <w:hideMark/>
          </w:tcPr>
          <w:p w14:paraId="35ADF8AD" w14:textId="77777777" w:rsidR="00251D72" w:rsidRDefault="00251D72">
            <w:pPr>
              <w:pStyle w:val="a3"/>
            </w:pPr>
            <w:r>
              <w:t> </w:t>
            </w:r>
          </w:p>
        </w:tc>
        <w:tc>
          <w:tcPr>
            <w:tcW w:w="1777" w:type="pct"/>
            <w:tcBorders>
              <w:bottom w:val="single" w:sz="6" w:space="0" w:color="000000"/>
            </w:tcBorders>
            <w:shd w:val="clear" w:color="auto" w:fill="FFFFFF"/>
            <w:tcMar>
              <w:top w:w="15" w:type="dxa"/>
              <w:left w:w="0" w:type="dxa"/>
              <w:bottom w:w="0" w:type="dxa"/>
              <w:right w:w="15" w:type="dxa"/>
            </w:tcMar>
            <w:vAlign w:val="bottom"/>
            <w:hideMark/>
          </w:tcPr>
          <w:p w14:paraId="6E29E6ED"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 Description</w:t>
            </w:r>
          </w:p>
        </w:tc>
        <w:tc>
          <w:tcPr>
            <w:tcW w:w="34" w:type="pct"/>
            <w:shd w:val="clear" w:color="auto" w:fill="FFFFFF"/>
            <w:tcMar>
              <w:top w:w="15" w:type="dxa"/>
              <w:left w:w="0" w:type="dxa"/>
              <w:bottom w:w="0" w:type="dxa"/>
              <w:right w:w="15" w:type="dxa"/>
            </w:tcMar>
            <w:vAlign w:val="bottom"/>
            <w:hideMark/>
          </w:tcPr>
          <w:p w14:paraId="588D0962" w14:textId="77777777" w:rsidR="00251D72" w:rsidRDefault="00251D72">
            <w:pPr>
              <w:pStyle w:val="a3"/>
            </w:pPr>
            <w:r>
              <w:t> </w:t>
            </w:r>
          </w:p>
        </w:tc>
        <w:tc>
          <w:tcPr>
            <w:tcW w:w="531"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ADD509"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68D28B57" w14:textId="77777777" w:rsidR="00251D72" w:rsidRDefault="00251D72">
            <w:pPr>
              <w:pStyle w:val="a3"/>
            </w:pPr>
            <w:r>
              <w:t> </w:t>
            </w:r>
          </w:p>
        </w:tc>
        <w:tc>
          <w:tcPr>
            <w:tcW w:w="53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03876F9"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41391DA7" w14:textId="77777777" w:rsidR="00251D72" w:rsidRDefault="00251D72">
            <w:pPr>
              <w:pStyle w:val="a3"/>
            </w:pPr>
            <w:r>
              <w:t> </w:t>
            </w:r>
          </w:p>
        </w:tc>
        <w:tc>
          <w:tcPr>
            <w:tcW w:w="354"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33586C"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17D40F63" w14:textId="77777777" w:rsidR="00251D72" w:rsidRDefault="00251D72">
            <w:pPr>
              <w:pStyle w:val="a3"/>
            </w:pPr>
            <w:r>
              <w:t> </w:t>
            </w:r>
          </w:p>
        </w:tc>
        <w:tc>
          <w:tcPr>
            <w:tcW w:w="41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D5F0EE0"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4" w:type="pct"/>
            <w:shd w:val="clear" w:color="auto" w:fill="FFFFFF"/>
            <w:tcMar>
              <w:top w:w="15" w:type="dxa"/>
              <w:left w:w="0" w:type="dxa"/>
              <w:bottom w:w="0" w:type="dxa"/>
              <w:right w:w="15" w:type="dxa"/>
            </w:tcMar>
            <w:vAlign w:val="bottom"/>
            <w:hideMark/>
          </w:tcPr>
          <w:p w14:paraId="02CA6CEA" w14:textId="77777777" w:rsidR="00251D72" w:rsidRDefault="00251D72">
            <w:pPr>
              <w:pStyle w:val="a3"/>
            </w:pPr>
            <w:r>
              <w:t> </w:t>
            </w:r>
          </w:p>
        </w:tc>
        <w:tc>
          <w:tcPr>
            <w:tcW w:w="84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C0EFB4"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251D72" w14:paraId="5868C6FA" w14:textId="77777777">
        <w:trPr>
          <w:divId w:val="498739982"/>
          <w:jc w:val="center"/>
        </w:trPr>
        <w:tc>
          <w:tcPr>
            <w:tcW w:w="348" w:type="pct"/>
            <w:shd w:val="clear" w:color="auto" w:fill="FFFFFF"/>
            <w:tcMar>
              <w:top w:w="15" w:type="dxa"/>
              <w:left w:w="0" w:type="dxa"/>
              <w:bottom w:w="0" w:type="dxa"/>
              <w:right w:w="15" w:type="dxa"/>
            </w:tcMar>
            <w:hideMark/>
          </w:tcPr>
          <w:p w14:paraId="2FA0E9BB" w14:textId="77777777" w:rsidR="00251D72" w:rsidRDefault="00251D72">
            <w:pPr>
              <w:pStyle w:val="a3"/>
              <w:spacing w:before="0" w:beforeAutospacing="0" w:after="0" w:afterAutospacing="0"/>
            </w:pPr>
            <w:r>
              <w:t> </w:t>
            </w:r>
          </w:p>
        </w:tc>
        <w:tc>
          <w:tcPr>
            <w:tcW w:w="28" w:type="pct"/>
            <w:shd w:val="clear" w:color="auto" w:fill="FFFFFF"/>
            <w:tcMar>
              <w:top w:w="15" w:type="dxa"/>
              <w:left w:w="0" w:type="dxa"/>
              <w:bottom w:w="0" w:type="dxa"/>
              <w:right w:w="15" w:type="dxa"/>
            </w:tcMar>
            <w:vAlign w:val="bottom"/>
            <w:hideMark/>
          </w:tcPr>
          <w:p w14:paraId="4B3368E6"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0E4C21B7"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19B61B03"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7A36F80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29D66915"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218A0F3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87585FE"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5FA24E25"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09CB85B"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7596FD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D259EBE" w14:textId="77777777" w:rsidR="00251D72" w:rsidRDefault="00251D72">
            <w:pPr>
              <w:pStyle w:val="a3"/>
              <w:spacing w:before="0" w:beforeAutospacing="0" w:after="0" w:afterAutospacing="0"/>
              <w:jc w:val="center"/>
            </w:pPr>
            <w:r>
              <w:t> </w:t>
            </w:r>
          </w:p>
        </w:tc>
        <w:tc>
          <w:tcPr>
            <w:tcW w:w="845" w:type="pct"/>
            <w:tcBorders>
              <w:top w:val="single" w:sz="6" w:space="0" w:color="000000"/>
            </w:tcBorders>
            <w:shd w:val="clear" w:color="auto" w:fill="FFFFFF"/>
            <w:tcMar>
              <w:top w:w="15" w:type="dxa"/>
              <w:left w:w="0" w:type="dxa"/>
              <w:bottom w:w="0" w:type="dxa"/>
              <w:right w:w="15" w:type="dxa"/>
            </w:tcMar>
            <w:hideMark/>
          </w:tcPr>
          <w:p w14:paraId="3747CBF8" w14:textId="77777777" w:rsidR="00251D72" w:rsidRDefault="00251D72">
            <w:pPr>
              <w:pStyle w:val="a3"/>
              <w:spacing w:before="0" w:beforeAutospacing="0" w:after="0" w:afterAutospacing="0"/>
              <w:jc w:val="center"/>
            </w:pPr>
            <w:r>
              <w:t> </w:t>
            </w:r>
          </w:p>
        </w:tc>
      </w:tr>
      <w:tr w:rsidR="00251D72" w14:paraId="1BF734A5" w14:textId="77777777">
        <w:trPr>
          <w:divId w:val="498739982"/>
          <w:jc w:val="center"/>
        </w:trPr>
        <w:tc>
          <w:tcPr>
            <w:tcW w:w="348" w:type="pct"/>
            <w:shd w:val="clear" w:color="auto" w:fill="FFFFFF"/>
            <w:tcMar>
              <w:top w:w="15" w:type="dxa"/>
              <w:left w:w="0" w:type="dxa"/>
              <w:bottom w:w="0" w:type="dxa"/>
              <w:right w:w="15" w:type="dxa"/>
            </w:tcMar>
            <w:hideMark/>
          </w:tcPr>
          <w:p w14:paraId="46A65583"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3.01</w:t>
            </w:r>
          </w:p>
        </w:tc>
        <w:tc>
          <w:tcPr>
            <w:tcW w:w="28" w:type="pct"/>
            <w:shd w:val="clear" w:color="auto" w:fill="FFFFFF"/>
            <w:tcMar>
              <w:top w:w="15" w:type="dxa"/>
              <w:left w:w="0" w:type="dxa"/>
              <w:bottom w:w="0" w:type="dxa"/>
              <w:right w:w="15" w:type="dxa"/>
            </w:tcMar>
            <w:vAlign w:val="bottom"/>
            <w:hideMark/>
          </w:tcPr>
          <w:p w14:paraId="762B639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7999AD37" w14:textId="77777777" w:rsidR="00251D72" w:rsidRDefault="00251D72">
            <w:pPr>
              <w:pStyle w:val="a3"/>
              <w:spacing w:before="0" w:beforeAutospacing="0" w:after="0" w:afterAutospacing="0"/>
              <w:jc w:val="both"/>
              <w:rPr>
                <w:rFonts w:ascii="Calibri" w:hAnsi="Calibri" w:cs="Calibri"/>
                <w:sz w:val="20"/>
                <w:szCs w:val="20"/>
              </w:rPr>
            </w:pPr>
            <w:hyperlink r:id="rId5" w:history="1">
              <w:r>
                <w:rPr>
                  <w:rStyle w:val="a4"/>
                  <w:rFonts w:ascii="Calibri" w:hAnsi="Calibri" w:cs="Calibri"/>
                  <w:sz w:val="20"/>
                  <w:szCs w:val="20"/>
                </w:rPr>
                <w:t>Amended and Restated Certificate of Incorporation of Oracle Corporation and Certificate of Amendment of Amended and Restated Certificate of Incorporation of Oracle Corporation</w:t>
              </w:r>
            </w:hyperlink>
          </w:p>
        </w:tc>
        <w:tc>
          <w:tcPr>
            <w:tcW w:w="34" w:type="pct"/>
            <w:shd w:val="clear" w:color="auto" w:fill="FFFFFF"/>
            <w:tcMar>
              <w:top w:w="15" w:type="dxa"/>
              <w:left w:w="0" w:type="dxa"/>
              <w:bottom w:w="0" w:type="dxa"/>
              <w:right w:w="15" w:type="dxa"/>
            </w:tcMar>
            <w:vAlign w:val="bottom"/>
            <w:hideMark/>
          </w:tcPr>
          <w:p w14:paraId="17970AE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1889CD08"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 12G3</w:t>
            </w:r>
          </w:p>
        </w:tc>
        <w:tc>
          <w:tcPr>
            <w:tcW w:w="34" w:type="pct"/>
            <w:shd w:val="clear" w:color="auto" w:fill="FFFFFF"/>
            <w:tcMar>
              <w:top w:w="15" w:type="dxa"/>
              <w:left w:w="0" w:type="dxa"/>
              <w:bottom w:w="0" w:type="dxa"/>
              <w:right w:w="15" w:type="dxa"/>
            </w:tcMar>
            <w:vAlign w:val="bottom"/>
            <w:hideMark/>
          </w:tcPr>
          <w:p w14:paraId="798B7D93"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775D702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left w:w="0" w:type="dxa"/>
              <w:bottom w:w="0" w:type="dxa"/>
              <w:right w:w="15" w:type="dxa"/>
            </w:tcMar>
            <w:hideMark/>
          </w:tcPr>
          <w:p w14:paraId="56A47CD5"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F55CA2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3.01</w:t>
            </w:r>
          </w:p>
        </w:tc>
        <w:tc>
          <w:tcPr>
            <w:tcW w:w="34" w:type="pct"/>
            <w:shd w:val="clear" w:color="auto" w:fill="FFFFFF"/>
            <w:tcMar>
              <w:top w:w="15" w:type="dxa"/>
              <w:left w:w="0" w:type="dxa"/>
              <w:bottom w:w="0" w:type="dxa"/>
              <w:right w:w="15" w:type="dxa"/>
            </w:tcMar>
            <w:hideMark/>
          </w:tcPr>
          <w:p w14:paraId="1939EF2D"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5E99481E"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2/6/06</w:t>
            </w:r>
          </w:p>
        </w:tc>
        <w:tc>
          <w:tcPr>
            <w:tcW w:w="34" w:type="pct"/>
            <w:shd w:val="clear" w:color="auto" w:fill="FFFFFF"/>
            <w:tcMar>
              <w:top w:w="15" w:type="dxa"/>
              <w:left w:w="0" w:type="dxa"/>
              <w:bottom w:w="0" w:type="dxa"/>
              <w:right w:w="15" w:type="dxa"/>
            </w:tcMar>
            <w:hideMark/>
          </w:tcPr>
          <w:p w14:paraId="39709EA2"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308290BB"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2004A8B3" w14:textId="77777777">
        <w:trPr>
          <w:divId w:val="498739982"/>
          <w:jc w:val="center"/>
        </w:trPr>
        <w:tc>
          <w:tcPr>
            <w:tcW w:w="348" w:type="pct"/>
            <w:shd w:val="clear" w:color="auto" w:fill="FFFFFF"/>
            <w:tcMar>
              <w:top w:w="15" w:type="dxa"/>
              <w:left w:w="0" w:type="dxa"/>
              <w:bottom w:w="0" w:type="dxa"/>
              <w:right w:w="15" w:type="dxa"/>
            </w:tcMar>
            <w:hideMark/>
          </w:tcPr>
          <w:p w14:paraId="75AB6831"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4BC9203A"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7DE637CB"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03F76814"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4560682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1E88BCC5"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7EBE9D2A"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1A05F06"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06A524E"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9E44E2D"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6981E5E"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54D1C61A"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EA9B801" w14:textId="77777777" w:rsidR="00251D72" w:rsidRDefault="00251D72">
            <w:pPr>
              <w:pStyle w:val="a3"/>
              <w:spacing w:before="0" w:beforeAutospacing="0" w:after="0" w:afterAutospacing="0"/>
              <w:jc w:val="center"/>
            </w:pPr>
            <w:r>
              <w:t> </w:t>
            </w:r>
          </w:p>
        </w:tc>
      </w:tr>
      <w:tr w:rsidR="00251D72" w14:paraId="0C195A20" w14:textId="77777777">
        <w:trPr>
          <w:divId w:val="498739982"/>
          <w:jc w:val="center"/>
        </w:trPr>
        <w:tc>
          <w:tcPr>
            <w:tcW w:w="348" w:type="pct"/>
            <w:shd w:val="clear" w:color="auto" w:fill="FFFFFF"/>
            <w:tcMar>
              <w:top w:w="15" w:type="dxa"/>
              <w:left w:w="0" w:type="dxa"/>
              <w:bottom w:w="0" w:type="dxa"/>
              <w:right w:w="15" w:type="dxa"/>
            </w:tcMar>
            <w:hideMark/>
          </w:tcPr>
          <w:p w14:paraId="6DC8A68D"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3.02</w:t>
            </w:r>
          </w:p>
        </w:tc>
        <w:tc>
          <w:tcPr>
            <w:tcW w:w="28" w:type="pct"/>
            <w:shd w:val="clear" w:color="auto" w:fill="FFFFFF"/>
            <w:tcMar>
              <w:top w:w="15" w:type="dxa"/>
              <w:left w:w="0" w:type="dxa"/>
              <w:bottom w:w="0" w:type="dxa"/>
              <w:right w:w="15" w:type="dxa"/>
            </w:tcMar>
            <w:vAlign w:val="bottom"/>
            <w:hideMark/>
          </w:tcPr>
          <w:p w14:paraId="45AA730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370B7423" w14:textId="77777777" w:rsidR="00251D72" w:rsidRDefault="00251D72">
            <w:pPr>
              <w:pStyle w:val="a3"/>
              <w:spacing w:before="0" w:beforeAutospacing="0" w:after="0" w:afterAutospacing="0"/>
              <w:jc w:val="both"/>
              <w:rPr>
                <w:rFonts w:ascii="Calibri" w:hAnsi="Calibri" w:cs="Calibri"/>
                <w:sz w:val="20"/>
                <w:szCs w:val="20"/>
              </w:rPr>
            </w:pPr>
            <w:hyperlink r:id="rId6" w:history="1">
              <w:r>
                <w:rPr>
                  <w:rStyle w:val="a4"/>
                  <w:rFonts w:ascii="Calibri" w:hAnsi="Calibri" w:cs="Calibri"/>
                  <w:sz w:val="20"/>
                  <w:szCs w:val="20"/>
                </w:rPr>
                <w:t>Amended and Restated Bylaws of Oracle Corporation</w:t>
              </w:r>
            </w:hyperlink>
          </w:p>
        </w:tc>
        <w:tc>
          <w:tcPr>
            <w:tcW w:w="34" w:type="pct"/>
            <w:shd w:val="clear" w:color="auto" w:fill="FFFFFF"/>
            <w:tcMar>
              <w:top w:w="15" w:type="dxa"/>
              <w:left w:w="0" w:type="dxa"/>
              <w:bottom w:w="0" w:type="dxa"/>
              <w:right w:w="15" w:type="dxa"/>
            </w:tcMar>
            <w:vAlign w:val="bottom"/>
            <w:hideMark/>
          </w:tcPr>
          <w:p w14:paraId="4D733D1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58FB045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30E2D39A"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08DC8BC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0FEBC437"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62D320C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3.02</w:t>
            </w:r>
          </w:p>
        </w:tc>
        <w:tc>
          <w:tcPr>
            <w:tcW w:w="34" w:type="pct"/>
            <w:shd w:val="clear" w:color="auto" w:fill="FFFFFF"/>
            <w:tcMar>
              <w:top w:w="15" w:type="dxa"/>
              <w:left w:w="0" w:type="dxa"/>
              <w:bottom w:w="0" w:type="dxa"/>
              <w:right w:w="15" w:type="dxa"/>
            </w:tcMar>
            <w:hideMark/>
          </w:tcPr>
          <w:p w14:paraId="589E9331"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5681B18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6/16/16</w:t>
            </w:r>
          </w:p>
        </w:tc>
        <w:tc>
          <w:tcPr>
            <w:tcW w:w="34" w:type="pct"/>
            <w:shd w:val="clear" w:color="auto" w:fill="FFFFFF"/>
            <w:tcMar>
              <w:top w:w="15" w:type="dxa"/>
              <w:left w:w="0" w:type="dxa"/>
              <w:bottom w:w="0" w:type="dxa"/>
              <w:right w:w="15" w:type="dxa"/>
            </w:tcMar>
            <w:hideMark/>
          </w:tcPr>
          <w:p w14:paraId="4883F250"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8F3CD58"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200179B9" w14:textId="77777777">
        <w:trPr>
          <w:divId w:val="498739982"/>
          <w:jc w:val="center"/>
        </w:trPr>
        <w:tc>
          <w:tcPr>
            <w:tcW w:w="348" w:type="pct"/>
            <w:shd w:val="clear" w:color="auto" w:fill="FFFFFF"/>
            <w:tcMar>
              <w:top w:w="15" w:type="dxa"/>
              <w:left w:w="0" w:type="dxa"/>
              <w:bottom w:w="0" w:type="dxa"/>
              <w:right w:w="15" w:type="dxa"/>
            </w:tcMar>
            <w:hideMark/>
          </w:tcPr>
          <w:p w14:paraId="43A33718"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678579C5"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069D638B"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5F009154"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33D4287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6D206A96"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0FA60025"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E604476"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E2F4578"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6890E4B"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2F63D4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B995ACE"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53D6968" w14:textId="77777777" w:rsidR="00251D72" w:rsidRDefault="00251D72">
            <w:pPr>
              <w:pStyle w:val="a3"/>
              <w:spacing w:before="0" w:beforeAutospacing="0" w:after="0" w:afterAutospacing="0"/>
              <w:jc w:val="center"/>
            </w:pPr>
            <w:r>
              <w:t> </w:t>
            </w:r>
          </w:p>
        </w:tc>
      </w:tr>
      <w:tr w:rsidR="00251D72" w14:paraId="57DDF747" w14:textId="77777777">
        <w:trPr>
          <w:divId w:val="498739982"/>
          <w:jc w:val="center"/>
        </w:trPr>
        <w:tc>
          <w:tcPr>
            <w:tcW w:w="348" w:type="pct"/>
            <w:shd w:val="clear" w:color="auto" w:fill="FFFFFF"/>
            <w:tcMar>
              <w:top w:w="15" w:type="dxa"/>
              <w:left w:w="0" w:type="dxa"/>
              <w:bottom w:w="0" w:type="dxa"/>
              <w:right w:w="15" w:type="dxa"/>
            </w:tcMar>
            <w:hideMark/>
          </w:tcPr>
          <w:p w14:paraId="73A777D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4.01</w:t>
            </w:r>
          </w:p>
        </w:tc>
        <w:tc>
          <w:tcPr>
            <w:tcW w:w="28" w:type="pct"/>
            <w:shd w:val="clear" w:color="auto" w:fill="FFFFFF"/>
            <w:tcMar>
              <w:top w:w="15" w:type="dxa"/>
              <w:left w:w="0" w:type="dxa"/>
              <w:bottom w:w="0" w:type="dxa"/>
              <w:right w:w="15" w:type="dxa"/>
            </w:tcMar>
            <w:vAlign w:val="bottom"/>
            <w:hideMark/>
          </w:tcPr>
          <w:p w14:paraId="7AAE21F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0559E211" w14:textId="77777777" w:rsidR="00251D72" w:rsidRDefault="00251D72">
            <w:pPr>
              <w:pStyle w:val="a3"/>
              <w:spacing w:before="0" w:beforeAutospacing="0" w:after="0" w:afterAutospacing="0"/>
              <w:jc w:val="both"/>
              <w:rPr>
                <w:rFonts w:ascii="Calibri" w:hAnsi="Calibri" w:cs="Calibri"/>
                <w:sz w:val="20"/>
                <w:szCs w:val="20"/>
              </w:rPr>
            </w:pPr>
            <w:hyperlink r:id="rId7" w:history="1">
              <w:r>
                <w:rPr>
                  <w:rStyle w:val="a4"/>
                  <w:rFonts w:ascii="Calibri" w:hAnsi="Calibri" w:cs="Calibri"/>
                  <w:sz w:val="20"/>
                  <w:szCs w:val="20"/>
                </w:rPr>
                <w:t>Specimen Certificate of Oracle Corporation’s Common Stock</w:t>
              </w:r>
            </w:hyperlink>
          </w:p>
        </w:tc>
        <w:tc>
          <w:tcPr>
            <w:tcW w:w="34" w:type="pct"/>
            <w:shd w:val="clear" w:color="auto" w:fill="FFFFFF"/>
            <w:tcMar>
              <w:top w:w="15" w:type="dxa"/>
              <w:left w:w="0" w:type="dxa"/>
              <w:bottom w:w="0" w:type="dxa"/>
              <w:right w:w="15" w:type="dxa"/>
            </w:tcMar>
            <w:vAlign w:val="bottom"/>
            <w:hideMark/>
          </w:tcPr>
          <w:p w14:paraId="644257D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60313071"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S-3 ASR</w:t>
            </w:r>
          </w:p>
        </w:tc>
        <w:tc>
          <w:tcPr>
            <w:tcW w:w="34" w:type="pct"/>
            <w:shd w:val="clear" w:color="auto" w:fill="FFFFFF"/>
            <w:tcMar>
              <w:top w:w="15" w:type="dxa"/>
              <w:left w:w="0" w:type="dxa"/>
              <w:bottom w:w="0" w:type="dxa"/>
              <w:right w:w="15" w:type="dxa"/>
            </w:tcMar>
            <w:vAlign w:val="bottom"/>
            <w:hideMark/>
          </w:tcPr>
          <w:p w14:paraId="5A1C4E9E"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0B00EF0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333-166643</w:t>
            </w:r>
          </w:p>
        </w:tc>
        <w:tc>
          <w:tcPr>
            <w:tcW w:w="34" w:type="pct"/>
            <w:shd w:val="clear" w:color="auto" w:fill="FFFFFF"/>
            <w:tcMar>
              <w:top w:w="15" w:type="dxa"/>
              <w:left w:w="0" w:type="dxa"/>
              <w:bottom w:w="0" w:type="dxa"/>
              <w:right w:w="15" w:type="dxa"/>
            </w:tcMar>
            <w:hideMark/>
          </w:tcPr>
          <w:p w14:paraId="3DDD802F"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58B52D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4.04</w:t>
            </w:r>
          </w:p>
        </w:tc>
        <w:tc>
          <w:tcPr>
            <w:tcW w:w="34" w:type="pct"/>
            <w:shd w:val="clear" w:color="auto" w:fill="FFFFFF"/>
            <w:tcMar>
              <w:top w:w="15" w:type="dxa"/>
              <w:left w:w="0" w:type="dxa"/>
              <w:bottom w:w="0" w:type="dxa"/>
              <w:right w:w="15" w:type="dxa"/>
            </w:tcMar>
            <w:hideMark/>
          </w:tcPr>
          <w:p w14:paraId="7CF675D8"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1613DB0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5/7/10</w:t>
            </w:r>
          </w:p>
        </w:tc>
        <w:tc>
          <w:tcPr>
            <w:tcW w:w="34" w:type="pct"/>
            <w:shd w:val="clear" w:color="auto" w:fill="FFFFFF"/>
            <w:tcMar>
              <w:top w:w="15" w:type="dxa"/>
              <w:left w:w="0" w:type="dxa"/>
              <w:bottom w:w="0" w:type="dxa"/>
              <w:right w:w="15" w:type="dxa"/>
            </w:tcMar>
            <w:hideMark/>
          </w:tcPr>
          <w:p w14:paraId="12C66341"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5FDA6192"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660541F1" w14:textId="77777777">
        <w:trPr>
          <w:divId w:val="498739982"/>
          <w:jc w:val="center"/>
        </w:trPr>
        <w:tc>
          <w:tcPr>
            <w:tcW w:w="348" w:type="pct"/>
            <w:shd w:val="clear" w:color="auto" w:fill="FFFFFF"/>
            <w:tcMar>
              <w:top w:w="15" w:type="dxa"/>
              <w:left w:w="0" w:type="dxa"/>
              <w:bottom w:w="0" w:type="dxa"/>
              <w:right w:w="15" w:type="dxa"/>
            </w:tcMar>
            <w:hideMark/>
          </w:tcPr>
          <w:p w14:paraId="79644571"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16C8FA69"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373B5973"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7AE3594E"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7EE5FEF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58725C42"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364A41CB"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59CADF36"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56E20BFC"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8F29591"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D60BF68"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39BC98F"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5A901F15" w14:textId="77777777" w:rsidR="00251D72" w:rsidRDefault="00251D72">
            <w:pPr>
              <w:pStyle w:val="a3"/>
              <w:spacing w:before="0" w:beforeAutospacing="0" w:after="0" w:afterAutospacing="0"/>
              <w:jc w:val="center"/>
            </w:pPr>
            <w:r>
              <w:t> </w:t>
            </w:r>
          </w:p>
        </w:tc>
      </w:tr>
      <w:tr w:rsidR="00251D72" w14:paraId="1D19FEA7" w14:textId="77777777">
        <w:trPr>
          <w:divId w:val="498739982"/>
          <w:jc w:val="center"/>
        </w:trPr>
        <w:tc>
          <w:tcPr>
            <w:tcW w:w="348" w:type="pct"/>
            <w:shd w:val="clear" w:color="auto" w:fill="FFFFFF"/>
            <w:tcMar>
              <w:top w:w="15" w:type="dxa"/>
              <w:left w:w="0" w:type="dxa"/>
              <w:bottom w:w="0" w:type="dxa"/>
              <w:right w:w="15" w:type="dxa"/>
            </w:tcMar>
            <w:hideMark/>
          </w:tcPr>
          <w:p w14:paraId="72BFA82B"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4.02</w:t>
            </w:r>
          </w:p>
        </w:tc>
        <w:tc>
          <w:tcPr>
            <w:tcW w:w="28" w:type="pct"/>
            <w:shd w:val="clear" w:color="auto" w:fill="FFFFFF"/>
            <w:tcMar>
              <w:top w:w="15" w:type="dxa"/>
              <w:left w:w="0" w:type="dxa"/>
              <w:bottom w:w="0" w:type="dxa"/>
              <w:right w:w="15" w:type="dxa"/>
            </w:tcMar>
            <w:vAlign w:val="bottom"/>
            <w:hideMark/>
          </w:tcPr>
          <w:p w14:paraId="3DA36FD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420716AD" w14:textId="77777777" w:rsidR="00251D72" w:rsidRDefault="00251D72">
            <w:pPr>
              <w:pStyle w:val="a3"/>
              <w:spacing w:before="0" w:beforeAutospacing="0" w:after="0" w:afterAutospacing="0"/>
              <w:jc w:val="both"/>
              <w:rPr>
                <w:rFonts w:ascii="Calibri" w:hAnsi="Calibri" w:cs="Calibri"/>
                <w:sz w:val="20"/>
                <w:szCs w:val="20"/>
              </w:rPr>
            </w:pPr>
            <w:hyperlink r:id="rId8" w:history="1">
              <w:r>
                <w:rPr>
                  <w:rStyle w:val="a4"/>
                  <w:rFonts w:ascii="Calibri" w:hAnsi="Calibri" w:cs="Calibri"/>
                  <w:sz w:val="20"/>
                  <w:szCs w:val="20"/>
                </w:rPr>
                <w:t>Indenture dated January 13, 2006, among Ozark Holding Inc., Oracle Corporation and Citibank, N.A.</w:t>
              </w:r>
            </w:hyperlink>
          </w:p>
        </w:tc>
        <w:tc>
          <w:tcPr>
            <w:tcW w:w="34" w:type="pct"/>
            <w:shd w:val="clear" w:color="auto" w:fill="FFFFFF"/>
            <w:tcMar>
              <w:top w:w="15" w:type="dxa"/>
              <w:left w:w="0" w:type="dxa"/>
              <w:bottom w:w="0" w:type="dxa"/>
              <w:right w:w="15" w:type="dxa"/>
            </w:tcMar>
            <w:vAlign w:val="bottom"/>
            <w:hideMark/>
          </w:tcPr>
          <w:p w14:paraId="24FDB6D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345B9D89"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39B7654A"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4BB59D8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000-14376</w:t>
            </w:r>
          </w:p>
        </w:tc>
        <w:tc>
          <w:tcPr>
            <w:tcW w:w="34" w:type="pct"/>
            <w:shd w:val="clear" w:color="auto" w:fill="FFFFFF"/>
            <w:tcMar>
              <w:top w:w="15" w:type="dxa"/>
              <w:left w:w="0" w:type="dxa"/>
              <w:bottom w:w="0" w:type="dxa"/>
              <w:right w:w="15" w:type="dxa"/>
            </w:tcMar>
            <w:hideMark/>
          </w:tcPr>
          <w:p w14:paraId="11690F20"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0675F241"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10.34</w:t>
            </w:r>
          </w:p>
        </w:tc>
        <w:tc>
          <w:tcPr>
            <w:tcW w:w="34" w:type="pct"/>
            <w:shd w:val="clear" w:color="auto" w:fill="FFFFFF"/>
            <w:tcMar>
              <w:top w:w="15" w:type="dxa"/>
              <w:left w:w="0" w:type="dxa"/>
              <w:bottom w:w="0" w:type="dxa"/>
              <w:right w:w="15" w:type="dxa"/>
            </w:tcMar>
            <w:hideMark/>
          </w:tcPr>
          <w:p w14:paraId="75DB60DB"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7C1FA911"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1/20/06</w:t>
            </w:r>
          </w:p>
        </w:tc>
        <w:tc>
          <w:tcPr>
            <w:tcW w:w="34" w:type="pct"/>
            <w:shd w:val="clear" w:color="auto" w:fill="FFFFFF"/>
            <w:tcMar>
              <w:top w:w="15" w:type="dxa"/>
              <w:left w:w="0" w:type="dxa"/>
              <w:bottom w:w="0" w:type="dxa"/>
              <w:right w:w="15" w:type="dxa"/>
            </w:tcMar>
            <w:hideMark/>
          </w:tcPr>
          <w:p w14:paraId="65A5E696"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288BFA9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Systems Corporation</w:t>
            </w:r>
          </w:p>
        </w:tc>
      </w:tr>
      <w:tr w:rsidR="00251D72" w14:paraId="795E10CD" w14:textId="77777777">
        <w:trPr>
          <w:divId w:val="498739982"/>
          <w:jc w:val="center"/>
        </w:trPr>
        <w:tc>
          <w:tcPr>
            <w:tcW w:w="348" w:type="pct"/>
            <w:shd w:val="clear" w:color="auto" w:fill="FFFFFF"/>
            <w:tcMar>
              <w:top w:w="15" w:type="dxa"/>
              <w:left w:w="0" w:type="dxa"/>
              <w:bottom w:w="0" w:type="dxa"/>
              <w:right w:w="15" w:type="dxa"/>
            </w:tcMar>
            <w:hideMark/>
          </w:tcPr>
          <w:p w14:paraId="094B0731"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1E5F90F6"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5348DCA5"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2D459762"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61CD6497"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1F98D477"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451BAA6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51641A36"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084E74B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4DF736E"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B5C2797"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967A386"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7F91317" w14:textId="77777777" w:rsidR="00251D72" w:rsidRDefault="00251D72">
            <w:pPr>
              <w:pStyle w:val="a3"/>
              <w:spacing w:before="0" w:beforeAutospacing="0" w:after="0" w:afterAutospacing="0"/>
              <w:jc w:val="center"/>
            </w:pPr>
            <w:r>
              <w:t> </w:t>
            </w:r>
          </w:p>
        </w:tc>
      </w:tr>
      <w:tr w:rsidR="00251D72" w14:paraId="7DEFCD71" w14:textId="77777777">
        <w:trPr>
          <w:divId w:val="498739982"/>
          <w:jc w:val="center"/>
        </w:trPr>
        <w:tc>
          <w:tcPr>
            <w:tcW w:w="348" w:type="pct"/>
            <w:shd w:val="clear" w:color="auto" w:fill="FFFFFF"/>
            <w:tcMar>
              <w:top w:w="15" w:type="dxa"/>
              <w:left w:w="0" w:type="dxa"/>
              <w:bottom w:w="0" w:type="dxa"/>
              <w:right w:w="15" w:type="dxa"/>
            </w:tcMar>
            <w:hideMark/>
          </w:tcPr>
          <w:p w14:paraId="28B77233"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4.03</w:t>
            </w:r>
          </w:p>
        </w:tc>
        <w:tc>
          <w:tcPr>
            <w:tcW w:w="28" w:type="pct"/>
            <w:shd w:val="clear" w:color="auto" w:fill="FFFFFF"/>
            <w:tcMar>
              <w:top w:w="15" w:type="dxa"/>
              <w:left w:w="0" w:type="dxa"/>
              <w:bottom w:w="0" w:type="dxa"/>
              <w:right w:w="15" w:type="dxa"/>
            </w:tcMar>
            <w:vAlign w:val="bottom"/>
            <w:hideMark/>
          </w:tcPr>
          <w:p w14:paraId="20A4CD6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6D685E60" w14:textId="77777777" w:rsidR="00251D72" w:rsidRDefault="00251D72">
            <w:pPr>
              <w:pStyle w:val="a3"/>
              <w:spacing w:before="0" w:beforeAutospacing="0" w:after="0" w:afterAutospacing="0"/>
              <w:jc w:val="both"/>
              <w:rPr>
                <w:rFonts w:ascii="Calibri" w:hAnsi="Calibri" w:cs="Calibri"/>
                <w:sz w:val="20"/>
                <w:szCs w:val="20"/>
              </w:rPr>
            </w:pPr>
            <w:hyperlink r:id="rId9" w:history="1">
              <w:r>
                <w:rPr>
                  <w:rStyle w:val="a4"/>
                  <w:rFonts w:ascii="Calibri" w:hAnsi="Calibri" w:cs="Calibri"/>
                  <w:sz w:val="20"/>
                  <w:szCs w:val="20"/>
                </w:rPr>
                <w:t>First Supplemental Indenture dated May 9, 2007 among Oracle Corporation, Citibank, N.A. and The Bank of New York Trust Company, N.A.</w:t>
              </w:r>
            </w:hyperlink>
          </w:p>
        </w:tc>
        <w:tc>
          <w:tcPr>
            <w:tcW w:w="34" w:type="pct"/>
            <w:shd w:val="clear" w:color="auto" w:fill="FFFFFF"/>
            <w:tcMar>
              <w:top w:w="15" w:type="dxa"/>
              <w:left w:w="0" w:type="dxa"/>
              <w:bottom w:w="0" w:type="dxa"/>
              <w:right w:w="15" w:type="dxa"/>
            </w:tcMar>
            <w:vAlign w:val="bottom"/>
            <w:hideMark/>
          </w:tcPr>
          <w:p w14:paraId="57F97C0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19186C8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S-3 ASR</w:t>
            </w:r>
          </w:p>
        </w:tc>
        <w:tc>
          <w:tcPr>
            <w:tcW w:w="34" w:type="pct"/>
            <w:shd w:val="clear" w:color="auto" w:fill="FFFFFF"/>
            <w:tcMar>
              <w:top w:w="15" w:type="dxa"/>
              <w:left w:w="0" w:type="dxa"/>
              <w:bottom w:w="0" w:type="dxa"/>
              <w:right w:w="15" w:type="dxa"/>
            </w:tcMar>
            <w:vAlign w:val="bottom"/>
            <w:hideMark/>
          </w:tcPr>
          <w:p w14:paraId="5907D879"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1D086F9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333-142796</w:t>
            </w:r>
          </w:p>
        </w:tc>
        <w:tc>
          <w:tcPr>
            <w:tcW w:w="34" w:type="pct"/>
            <w:shd w:val="clear" w:color="auto" w:fill="FFFFFF"/>
            <w:tcMar>
              <w:top w:w="15" w:type="dxa"/>
              <w:left w:w="0" w:type="dxa"/>
              <w:bottom w:w="0" w:type="dxa"/>
              <w:right w:w="15" w:type="dxa"/>
            </w:tcMar>
            <w:hideMark/>
          </w:tcPr>
          <w:p w14:paraId="67AE3205"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20C1EA2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4.3</w:t>
            </w:r>
          </w:p>
        </w:tc>
        <w:tc>
          <w:tcPr>
            <w:tcW w:w="34" w:type="pct"/>
            <w:shd w:val="clear" w:color="auto" w:fill="FFFFFF"/>
            <w:tcMar>
              <w:top w:w="15" w:type="dxa"/>
              <w:left w:w="0" w:type="dxa"/>
              <w:bottom w:w="0" w:type="dxa"/>
              <w:right w:w="15" w:type="dxa"/>
            </w:tcMar>
            <w:hideMark/>
          </w:tcPr>
          <w:p w14:paraId="4A41533B"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722CF9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5/10/07</w:t>
            </w:r>
          </w:p>
        </w:tc>
        <w:tc>
          <w:tcPr>
            <w:tcW w:w="34" w:type="pct"/>
            <w:shd w:val="clear" w:color="auto" w:fill="FFFFFF"/>
            <w:tcMar>
              <w:top w:w="15" w:type="dxa"/>
              <w:left w:w="0" w:type="dxa"/>
              <w:bottom w:w="0" w:type="dxa"/>
              <w:right w:w="15" w:type="dxa"/>
            </w:tcMar>
            <w:hideMark/>
          </w:tcPr>
          <w:p w14:paraId="1D82561B"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2C2E0E8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54DF3DC8" w14:textId="77777777">
        <w:trPr>
          <w:divId w:val="498739982"/>
          <w:jc w:val="center"/>
        </w:trPr>
        <w:tc>
          <w:tcPr>
            <w:tcW w:w="348" w:type="pct"/>
            <w:shd w:val="clear" w:color="auto" w:fill="FFFFFF"/>
            <w:tcMar>
              <w:top w:w="15" w:type="dxa"/>
              <w:left w:w="0" w:type="dxa"/>
              <w:bottom w:w="0" w:type="dxa"/>
              <w:right w:w="15" w:type="dxa"/>
            </w:tcMar>
            <w:hideMark/>
          </w:tcPr>
          <w:p w14:paraId="73A9730A"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46AF44BD"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4CECD51C"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34B873D5"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234071F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7A61FF47"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1C8B371D"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3CE11CD"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38DBD24"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5F9DD57C"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513D3DB"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4B36249"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10CE4950" w14:textId="77777777" w:rsidR="00251D72" w:rsidRDefault="00251D72">
            <w:pPr>
              <w:pStyle w:val="a3"/>
              <w:spacing w:before="0" w:beforeAutospacing="0" w:after="0" w:afterAutospacing="0"/>
              <w:jc w:val="center"/>
            </w:pPr>
            <w:r>
              <w:t> </w:t>
            </w:r>
          </w:p>
        </w:tc>
      </w:tr>
      <w:tr w:rsidR="00251D72" w14:paraId="33F06DDD" w14:textId="77777777">
        <w:trPr>
          <w:divId w:val="498739982"/>
          <w:jc w:val="center"/>
        </w:trPr>
        <w:tc>
          <w:tcPr>
            <w:tcW w:w="348" w:type="pct"/>
            <w:shd w:val="clear" w:color="auto" w:fill="FFFFFF"/>
            <w:tcMar>
              <w:top w:w="15" w:type="dxa"/>
              <w:left w:w="0" w:type="dxa"/>
              <w:bottom w:w="0" w:type="dxa"/>
              <w:right w:w="15" w:type="dxa"/>
            </w:tcMar>
            <w:hideMark/>
          </w:tcPr>
          <w:p w14:paraId="1351F29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4.04</w:t>
            </w:r>
          </w:p>
        </w:tc>
        <w:tc>
          <w:tcPr>
            <w:tcW w:w="28" w:type="pct"/>
            <w:shd w:val="clear" w:color="auto" w:fill="FFFFFF"/>
            <w:tcMar>
              <w:top w:w="15" w:type="dxa"/>
              <w:left w:w="0" w:type="dxa"/>
              <w:bottom w:w="0" w:type="dxa"/>
              <w:right w:w="15" w:type="dxa"/>
            </w:tcMar>
            <w:vAlign w:val="bottom"/>
            <w:hideMark/>
          </w:tcPr>
          <w:p w14:paraId="49D3F83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63E58D99" w14:textId="77777777" w:rsidR="00251D72" w:rsidRDefault="00251D72">
            <w:pPr>
              <w:pStyle w:val="a3"/>
              <w:spacing w:before="0" w:beforeAutospacing="0" w:after="0" w:afterAutospacing="0"/>
              <w:jc w:val="both"/>
              <w:rPr>
                <w:rFonts w:ascii="Calibri" w:hAnsi="Calibri" w:cs="Calibri"/>
                <w:sz w:val="20"/>
                <w:szCs w:val="20"/>
              </w:rPr>
            </w:pPr>
            <w:hyperlink r:id="rId10" w:history="1">
              <w:r>
                <w:rPr>
                  <w:rStyle w:val="a4"/>
                  <w:rFonts w:ascii="Calibri" w:hAnsi="Calibri" w:cs="Calibri"/>
                  <w:sz w:val="20"/>
                  <w:szCs w:val="20"/>
                </w:rPr>
                <w:t>Form of 6.50% Note due 2038, together with Officers’ Certificate issued April 9, 2008 setting forth the terms of the Note</w:t>
              </w:r>
            </w:hyperlink>
          </w:p>
        </w:tc>
        <w:tc>
          <w:tcPr>
            <w:tcW w:w="34" w:type="pct"/>
            <w:shd w:val="clear" w:color="auto" w:fill="FFFFFF"/>
            <w:tcMar>
              <w:top w:w="15" w:type="dxa"/>
              <w:left w:w="0" w:type="dxa"/>
              <w:bottom w:w="0" w:type="dxa"/>
              <w:right w:w="15" w:type="dxa"/>
            </w:tcMar>
            <w:vAlign w:val="bottom"/>
            <w:hideMark/>
          </w:tcPr>
          <w:p w14:paraId="787614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650E9D78"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7CBBF3B6"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5181754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left w:w="0" w:type="dxa"/>
              <w:bottom w:w="0" w:type="dxa"/>
              <w:right w:w="15" w:type="dxa"/>
            </w:tcMar>
            <w:hideMark/>
          </w:tcPr>
          <w:p w14:paraId="6E7C9E1F"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DCB0518"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4.09</w:t>
            </w:r>
          </w:p>
        </w:tc>
        <w:tc>
          <w:tcPr>
            <w:tcW w:w="34" w:type="pct"/>
            <w:shd w:val="clear" w:color="auto" w:fill="FFFFFF"/>
            <w:tcMar>
              <w:top w:w="15" w:type="dxa"/>
              <w:left w:w="0" w:type="dxa"/>
              <w:bottom w:w="0" w:type="dxa"/>
              <w:right w:w="15" w:type="dxa"/>
            </w:tcMar>
            <w:hideMark/>
          </w:tcPr>
          <w:p w14:paraId="308F510C"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524FF59"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4/8/08</w:t>
            </w:r>
          </w:p>
        </w:tc>
        <w:tc>
          <w:tcPr>
            <w:tcW w:w="34" w:type="pct"/>
            <w:shd w:val="clear" w:color="auto" w:fill="FFFFFF"/>
            <w:tcMar>
              <w:top w:w="15" w:type="dxa"/>
              <w:left w:w="0" w:type="dxa"/>
              <w:bottom w:w="0" w:type="dxa"/>
              <w:right w:w="15" w:type="dxa"/>
            </w:tcMar>
            <w:hideMark/>
          </w:tcPr>
          <w:p w14:paraId="77649F78"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6A46A9E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76B05BE2" w14:textId="77777777">
        <w:trPr>
          <w:divId w:val="498739982"/>
          <w:jc w:val="center"/>
        </w:trPr>
        <w:tc>
          <w:tcPr>
            <w:tcW w:w="348" w:type="pct"/>
            <w:shd w:val="clear" w:color="auto" w:fill="FFFFFF"/>
            <w:tcMar>
              <w:top w:w="15" w:type="dxa"/>
              <w:left w:w="0" w:type="dxa"/>
              <w:bottom w:w="0" w:type="dxa"/>
              <w:right w:w="15" w:type="dxa"/>
            </w:tcMar>
            <w:hideMark/>
          </w:tcPr>
          <w:p w14:paraId="29B38F8D"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6896ED03"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010F6F4D"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482D7CF8"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141FFF14"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2A895E0F"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72EA3D5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F400EEB"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7891ED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27022C6"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2F2E0AC"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AA1D8B0"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6E02A63D" w14:textId="77777777" w:rsidR="00251D72" w:rsidRDefault="00251D72">
            <w:pPr>
              <w:pStyle w:val="a3"/>
              <w:spacing w:before="0" w:beforeAutospacing="0" w:after="0" w:afterAutospacing="0"/>
              <w:jc w:val="center"/>
            </w:pPr>
            <w:r>
              <w:t> </w:t>
            </w:r>
          </w:p>
        </w:tc>
      </w:tr>
      <w:tr w:rsidR="00251D72" w14:paraId="3ECFA31E" w14:textId="77777777">
        <w:trPr>
          <w:divId w:val="498739982"/>
          <w:jc w:val="center"/>
        </w:trPr>
        <w:tc>
          <w:tcPr>
            <w:tcW w:w="348" w:type="pct"/>
            <w:shd w:val="clear" w:color="auto" w:fill="FFFFFF"/>
            <w:tcMar>
              <w:top w:w="15" w:type="dxa"/>
              <w:left w:w="0" w:type="dxa"/>
              <w:bottom w:w="0" w:type="dxa"/>
              <w:right w:w="15" w:type="dxa"/>
            </w:tcMar>
            <w:hideMark/>
          </w:tcPr>
          <w:p w14:paraId="66C1D25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4.05</w:t>
            </w:r>
          </w:p>
        </w:tc>
        <w:tc>
          <w:tcPr>
            <w:tcW w:w="28" w:type="pct"/>
            <w:shd w:val="clear" w:color="auto" w:fill="FFFFFF"/>
            <w:tcMar>
              <w:top w:w="15" w:type="dxa"/>
              <w:left w:w="0" w:type="dxa"/>
              <w:bottom w:w="0" w:type="dxa"/>
              <w:right w:w="15" w:type="dxa"/>
            </w:tcMar>
            <w:vAlign w:val="bottom"/>
            <w:hideMark/>
          </w:tcPr>
          <w:p w14:paraId="34AEC9A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307A6C59" w14:textId="77777777" w:rsidR="00251D72" w:rsidRDefault="00251D72">
            <w:pPr>
              <w:pStyle w:val="a3"/>
              <w:spacing w:before="0" w:beforeAutospacing="0" w:after="0" w:afterAutospacing="0"/>
              <w:jc w:val="both"/>
              <w:rPr>
                <w:rFonts w:ascii="Calibri" w:hAnsi="Calibri" w:cs="Calibri"/>
                <w:sz w:val="20"/>
                <w:szCs w:val="20"/>
              </w:rPr>
            </w:pPr>
            <w:hyperlink r:id="rId11" w:history="1">
              <w:r>
                <w:rPr>
                  <w:rStyle w:val="a4"/>
                  <w:rFonts w:ascii="Calibri" w:hAnsi="Calibri" w:cs="Calibri"/>
                  <w:sz w:val="20"/>
                  <w:szCs w:val="20"/>
                </w:rPr>
                <w:t>Forms of 5.00% Note due 2019 and 6.125% Note due 2039, together with Officers’ Certificate issued July 8, 2009 setting forth the terms of the Notes</w:t>
              </w:r>
            </w:hyperlink>
          </w:p>
        </w:tc>
        <w:tc>
          <w:tcPr>
            <w:tcW w:w="34" w:type="pct"/>
            <w:shd w:val="clear" w:color="auto" w:fill="FFFFFF"/>
            <w:tcMar>
              <w:top w:w="15" w:type="dxa"/>
              <w:left w:w="0" w:type="dxa"/>
              <w:bottom w:w="0" w:type="dxa"/>
              <w:right w:w="15" w:type="dxa"/>
            </w:tcMar>
            <w:vAlign w:val="bottom"/>
            <w:hideMark/>
          </w:tcPr>
          <w:p w14:paraId="639B6F0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5CFEE0BE"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3900AF44"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6A50A02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left w:w="0" w:type="dxa"/>
              <w:bottom w:w="0" w:type="dxa"/>
              <w:right w:w="15" w:type="dxa"/>
            </w:tcMar>
            <w:hideMark/>
          </w:tcPr>
          <w:p w14:paraId="321D4AA5"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28C5582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4.08</w:t>
            </w:r>
          </w:p>
        </w:tc>
        <w:tc>
          <w:tcPr>
            <w:tcW w:w="34" w:type="pct"/>
            <w:shd w:val="clear" w:color="auto" w:fill="FFFFFF"/>
            <w:tcMar>
              <w:top w:w="15" w:type="dxa"/>
              <w:left w:w="0" w:type="dxa"/>
              <w:bottom w:w="0" w:type="dxa"/>
              <w:right w:w="15" w:type="dxa"/>
            </w:tcMar>
            <w:hideMark/>
          </w:tcPr>
          <w:p w14:paraId="35D4DE6A"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2654C18"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7/8/09</w:t>
            </w:r>
          </w:p>
        </w:tc>
        <w:tc>
          <w:tcPr>
            <w:tcW w:w="34" w:type="pct"/>
            <w:shd w:val="clear" w:color="auto" w:fill="FFFFFF"/>
            <w:tcMar>
              <w:top w:w="15" w:type="dxa"/>
              <w:left w:w="0" w:type="dxa"/>
              <w:bottom w:w="0" w:type="dxa"/>
              <w:right w:w="15" w:type="dxa"/>
            </w:tcMar>
            <w:hideMark/>
          </w:tcPr>
          <w:p w14:paraId="4325086A"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7EC0A039"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50D7EA9A" w14:textId="77777777">
        <w:trPr>
          <w:divId w:val="498739982"/>
          <w:jc w:val="center"/>
        </w:trPr>
        <w:tc>
          <w:tcPr>
            <w:tcW w:w="348" w:type="pct"/>
            <w:shd w:val="clear" w:color="auto" w:fill="FFFFFF"/>
            <w:tcMar>
              <w:top w:w="15" w:type="dxa"/>
              <w:left w:w="0" w:type="dxa"/>
              <w:bottom w:w="0" w:type="dxa"/>
              <w:right w:w="15" w:type="dxa"/>
            </w:tcMar>
            <w:hideMark/>
          </w:tcPr>
          <w:p w14:paraId="3EB18BD7"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3C4E9E0F"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2F126EF5"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713767BF"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7593F3C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47FD3BEB"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58F0799D"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C7674AC"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0766AEE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9505AD1"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6AB8AC4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9B74F3B"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18675FEE" w14:textId="77777777" w:rsidR="00251D72" w:rsidRDefault="00251D72">
            <w:pPr>
              <w:pStyle w:val="a3"/>
              <w:spacing w:before="0" w:beforeAutospacing="0" w:after="0" w:afterAutospacing="0"/>
              <w:jc w:val="center"/>
            </w:pPr>
            <w:r>
              <w:t> </w:t>
            </w:r>
          </w:p>
        </w:tc>
      </w:tr>
      <w:tr w:rsidR="00251D72" w14:paraId="44EDB535" w14:textId="77777777">
        <w:trPr>
          <w:divId w:val="498739982"/>
          <w:jc w:val="center"/>
        </w:trPr>
        <w:tc>
          <w:tcPr>
            <w:tcW w:w="348" w:type="pct"/>
            <w:shd w:val="clear" w:color="auto" w:fill="FFFFFF"/>
            <w:tcMar>
              <w:top w:w="15" w:type="dxa"/>
              <w:left w:w="0" w:type="dxa"/>
              <w:bottom w:w="0" w:type="dxa"/>
              <w:right w:w="15" w:type="dxa"/>
            </w:tcMar>
            <w:hideMark/>
          </w:tcPr>
          <w:p w14:paraId="064FF82E"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4.06</w:t>
            </w:r>
          </w:p>
        </w:tc>
        <w:tc>
          <w:tcPr>
            <w:tcW w:w="28" w:type="pct"/>
            <w:shd w:val="clear" w:color="auto" w:fill="FFFFFF"/>
            <w:tcMar>
              <w:top w:w="15" w:type="dxa"/>
              <w:left w:w="0" w:type="dxa"/>
              <w:bottom w:w="0" w:type="dxa"/>
              <w:right w:w="15" w:type="dxa"/>
            </w:tcMar>
            <w:vAlign w:val="bottom"/>
            <w:hideMark/>
          </w:tcPr>
          <w:p w14:paraId="44F0B53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61648A71" w14:textId="77777777" w:rsidR="00251D72" w:rsidRDefault="00251D72">
            <w:pPr>
              <w:pStyle w:val="a3"/>
              <w:spacing w:before="0" w:beforeAutospacing="0" w:after="0" w:afterAutospacing="0"/>
              <w:jc w:val="both"/>
              <w:rPr>
                <w:rFonts w:ascii="Calibri" w:hAnsi="Calibri" w:cs="Calibri"/>
                <w:sz w:val="20"/>
                <w:szCs w:val="20"/>
              </w:rPr>
            </w:pPr>
            <w:hyperlink r:id="rId12" w:history="1">
              <w:r>
                <w:rPr>
                  <w:rStyle w:val="a4"/>
                  <w:rFonts w:ascii="Calibri" w:hAnsi="Calibri" w:cs="Calibri"/>
                  <w:sz w:val="20"/>
                  <w:szCs w:val="20"/>
                </w:rPr>
                <w:t>Forms of Original 2020 Note and Original 2040 Note, together with Officers’ Certificate issued July 19, 2010 setting forth the terms of the Notes</w:t>
              </w:r>
            </w:hyperlink>
          </w:p>
        </w:tc>
        <w:tc>
          <w:tcPr>
            <w:tcW w:w="34" w:type="pct"/>
            <w:shd w:val="clear" w:color="auto" w:fill="FFFFFF"/>
            <w:tcMar>
              <w:top w:w="15" w:type="dxa"/>
              <w:left w:w="0" w:type="dxa"/>
              <w:bottom w:w="0" w:type="dxa"/>
              <w:right w:w="15" w:type="dxa"/>
            </w:tcMar>
            <w:vAlign w:val="bottom"/>
            <w:hideMark/>
          </w:tcPr>
          <w:p w14:paraId="6920093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0D0F2A2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left w:w="0" w:type="dxa"/>
              <w:bottom w:w="0" w:type="dxa"/>
              <w:right w:w="15" w:type="dxa"/>
            </w:tcMar>
            <w:vAlign w:val="bottom"/>
            <w:hideMark/>
          </w:tcPr>
          <w:p w14:paraId="19CFD39C"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54F5D42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left w:w="0" w:type="dxa"/>
              <w:bottom w:w="0" w:type="dxa"/>
              <w:right w:w="15" w:type="dxa"/>
            </w:tcMar>
            <w:hideMark/>
          </w:tcPr>
          <w:p w14:paraId="75D98747"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527B331"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4.08</w:t>
            </w:r>
          </w:p>
        </w:tc>
        <w:tc>
          <w:tcPr>
            <w:tcW w:w="34" w:type="pct"/>
            <w:shd w:val="clear" w:color="auto" w:fill="FFFFFF"/>
            <w:tcMar>
              <w:top w:w="15" w:type="dxa"/>
              <w:left w:w="0" w:type="dxa"/>
              <w:bottom w:w="0" w:type="dxa"/>
              <w:right w:w="15" w:type="dxa"/>
            </w:tcMar>
            <w:hideMark/>
          </w:tcPr>
          <w:p w14:paraId="4F123724"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8DA3FD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9/20/10</w:t>
            </w:r>
          </w:p>
        </w:tc>
        <w:tc>
          <w:tcPr>
            <w:tcW w:w="34" w:type="pct"/>
            <w:shd w:val="clear" w:color="auto" w:fill="FFFFFF"/>
            <w:tcMar>
              <w:top w:w="15" w:type="dxa"/>
              <w:left w:w="0" w:type="dxa"/>
              <w:bottom w:w="0" w:type="dxa"/>
              <w:right w:w="15" w:type="dxa"/>
            </w:tcMar>
            <w:hideMark/>
          </w:tcPr>
          <w:p w14:paraId="37CFD3D4"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3AFE32C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2268C555" w14:textId="77777777">
        <w:trPr>
          <w:divId w:val="498739982"/>
          <w:jc w:val="center"/>
        </w:trPr>
        <w:tc>
          <w:tcPr>
            <w:tcW w:w="348" w:type="pct"/>
            <w:shd w:val="clear" w:color="auto" w:fill="FFFFFF"/>
            <w:tcMar>
              <w:top w:w="15" w:type="dxa"/>
              <w:left w:w="0" w:type="dxa"/>
              <w:bottom w:w="0" w:type="dxa"/>
              <w:right w:w="15" w:type="dxa"/>
            </w:tcMar>
            <w:hideMark/>
          </w:tcPr>
          <w:p w14:paraId="6E4D9AB4"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3234CD2C"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2EAFEC79"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2E0FAF7B"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2ACBCD23"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67898E2E"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23206C14"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DDF0E4A"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6133EA3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FAE6A06"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1263AAE"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2A5D82A"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1F628A85" w14:textId="77777777" w:rsidR="00251D72" w:rsidRDefault="00251D72">
            <w:pPr>
              <w:pStyle w:val="a3"/>
              <w:spacing w:before="0" w:beforeAutospacing="0" w:after="0" w:afterAutospacing="0"/>
              <w:jc w:val="center"/>
            </w:pPr>
            <w:r>
              <w:t> </w:t>
            </w:r>
          </w:p>
        </w:tc>
      </w:tr>
      <w:tr w:rsidR="00251D72" w14:paraId="5BF4A174" w14:textId="77777777">
        <w:trPr>
          <w:divId w:val="498739982"/>
          <w:jc w:val="center"/>
        </w:trPr>
        <w:tc>
          <w:tcPr>
            <w:tcW w:w="348" w:type="pct"/>
            <w:shd w:val="clear" w:color="auto" w:fill="FFFFFF"/>
            <w:tcMar>
              <w:top w:w="15" w:type="dxa"/>
              <w:left w:w="0" w:type="dxa"/>
              <w:bottom w:w="0" w:type="dxa"/>
              <w:right w:w="15" w:type="dxa"/>
            </w:tcMar>
            <w:hideMark/>
          </w:tcPr>
          <w:p w14:paraId="286701C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4.07</w:t>
            </w:r>
          </w:p>
        </w:tc>
        <w:tc>
          <w:tcPr>
            <w:tcW w:w="28" w:type="pct"/>
            <w:shd w:val="clear" w:color="auto" w:fill="FFFFFF"/>
            <w:tcMar>
              <w:top w:w="15" w:type="dxa"/>
              <w:left w:w="0" w:type="dxa"/>
              <w:bottom w:w="0" w:type="dxa"/>
              <w:right w:w="15" w:type="dxa"/>
            </w:tcMar>
            <w:vAlign w:val="bottom"/>
            <w:hideMark/>
          </w:tcPr>
          <w:p w14:paraId="12BBA10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431D12B9" w14:textId="77777777" w:rsidR="00251D72" w:rsidRDefault="00251D72">
            <w:pPr>
              <w:pStyle w:val="a3"/>
              <w:spacing w:before="0" w:beforeAutospacing="0" w:after="0" w:afterAutospacing="0"/>
              <w:jc w:val="both"/>
              <w:rPr>
                <w:rFonts w:ascii="Calibri" w:hAnsi="Calibri" w:cs="Calibri"/>
                <w:sz w:val="20"/>
                <w:szCs w:val="20"/>
              </w:rPr>
            </w:pPr>
            <w:hyperlink r:id="rId13" w:history="1">
              <w:r>
                <w:rPr>
                  <w:rStyle w:val="a4"/>
                  <w:rFonts w:ascii="Calibri" w:hAnsi="Calibri" w:cs="Calibri"/>
                  <w:sz w:val="20"/>
                  <w:szCs w:val="20"/>
                </w:rPr>
                <w:t>Forms of New 2020 Note and New 2040 Note</w:t>
              </w:r>
            </w:hyperlink>
          </w:p>
        </w:tc>
        <w:tc>
          <w:tcPr>
            <w:tcW w:w="34" w:type="pct"/>
            <w:shd w:val="clear" w:color="auto" w:fill="FFFFFF"/>
            <w:tcMar>
              <w:top w:w="15" w:type="dxa"/>
              <w:left w:w="0" w:type="dxa"/>
              <w:bottom w:w="0" w:type="dxa"/>
              <w:right w:w="15" w:type="dxa"/>
            </w:tcMar>
            <w:vAlign w:val="bottom"/>
            <w:hideMark/>
          </w:tcPr>
          <w:p w14:paraId="4D64137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134CA77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S-4</w:t>
            </w:r>
          </w:p>
        </w:tc>
        <w:tc>
          <w:tcPr>
            <w:tcW w:w="34" w:type="pct"/>
            <w:shd w:val="clear" w:color="auto" w:fill="FFFFFF"/>
            <w:tcMar>
              <w:top w:w="15" w:type="dxa"/>
              <w:left w:w="0" w:type="dxa"/>
              <w:bottom w:w="0" w:type="dxa"/>
              <w:right w:w="15" w:type="dxa"/>
            </w:tcMar>
            <w:vAlign w:val="bottom"/>
            <w:hideMark/>
          </w:tcPr>
          <w:p w14:paraId="7EC20A4C"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75120609"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333-176405</w:t>
            </w:r>
          </w:p>
        </w:tc>
        <w:tc>
          <w:tcPr>
            <w:tcW w:w="34" w:type="pct"/>
            <w:shd w:val="clear" w:color="auto" w:fill="FFFFFF"/>
            <w:tcMar>
              <w:top w:w="15" w:type="dxa"/>
              <w:left w:w="0" w:type="dxa"/>
              <w:bottom w:w="0" w:type="dxa"/>
              <w:right w:w="15" w:type="dxa"/>
            </w:tcMar>
            <w:hideMark/>
          </w:tcPr>
          <w:p w14:paraId="4F7E6DFF"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404EAAAD"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4.5</w:t>
            </w:r>
          </w:p>
        </w:tc>
        <w:tc>
          <w:tcPr>
            <w:tcW w:w="34" w:type="pct"/>
            <w:shd w:val="clear" w:color="auto" w:fill="FFFFFF"/>
            <w:tcMar>
              <w:top w:w="15" w:type="dxa"/>
              <w:left w:w="0" w:type="dxa"/>
              <w:bottom w:w="0" w:type="dxa"/>
              <w:right w:w="15" w:type="dxa"/>
            </w:tcMar>
            <w:hideMark/>
          </w:tcPr>
          <w:p w14:paraId="24F67CED"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1F234DE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8/19/11</w:t>
            </w:r>
          </w:p>
        </w:tc>
        <w:tc>
          <w:tcPr>
            <w:tcW w:w="34" w:type="pct"/>
            <w:shd w:val="clear" w:color="auto" w:fill="FFFFFF"/>
            <w:tcMar>
              <w:top w:w="15" w:type="dxa"/>
              <w:left w:w="0" w:type="dxa"/>
              <w:bottom w:w="0" w:type="dxa"/>
              <w:right w:w="15" w:type="dxa"/>
            </w:tcMar>
            <w:hideMark/>
          </w:tcPr>
          <w:p w14:paraId="2870DE3B"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D0A373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bl>
    <w:p w14:paraId="52E2B7A1"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119</w:t>
      </w:r>
    </w:p>
    <w:p w14:paraId="5EAB892F" w14:textId="77777777" w:rsidR="00251D72" w:rsidRDefault="00251D72">
      <w:pPr>
        <w:rPr>
          <w:rFonts w:ascii="Times New Roman" w:eastAsia="Times New Roman" w:hAnsi="Times New Roman" w:cs="Times New Roman"/>
          <w:sz w:val="24"/>
          <w:szCs w:val="24"/>
        </w:rPr>
      </w:pPr>
      <w:r>
        <w:rPr>
          <w:rFonts w:eastAsia="Times New Roman"/>
        </w:rPr>
        <w:pict w14:anchorId="524BAEF2">
          <v:rect id="_x0000_i1145" style="width:415.3pt;height:1.5pt" o:hralign="center" o:hrstd="t" o:hr="t" fillcolor="#a0a0a0" stroked="f"/>
        </w:pict>
      </w:r>
    </w:p>
    <w:p w14:paraId="75BAA6EA"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 </w:t>
        </w:r>
      </w:hyperlink>
    </w:p>
    <w:p w14:paraId="14A24CDB"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16B2C20" w14:textId="77777777" w:rsidR="00251D72" w:rsidRDefault="00251D72">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587"/>
        <w:gridCol w:w="75"/>
        <w:gridCol w:w="2823"/>
        <w:gridCol w:w="75"/>
        <w:gridCol w:w="754"/>
        <w:gridCol w:w="75"/>
        <w:gridCol w:w="757"/>
        <w:gridCol w:w="75"/>
        <w:gridCol w:w="587"/>
        <w:gridCol w:w="75"/>
        <w:gridCol w:w="778"/>
        <w:gridCol w:w="75"/>
        <w:gridCol w:w="1570"/>
      </w:tblGrid>
      <w:tr w:rsidR="00251D72" w14:paraId="0B18F931" w14:textId="77777777">
        <w:trPr>
          <w:divId w:val="1397817350"/>
          <w:jc w:val="center"/>
        </w:trPr>
        <w:tc>
          <w:tcPr>
            <w:tcW w:w="348" w:type="pct"/>
            <w:shd w:val="clear" w:color="auto" w:fill="FFFFFF"/>
            <w:tcMar>
              <w:top w:w="15" w:type="dxa"/>
              <w:left w:w="0" w:type="dxa"/>
              <w:bottom w:w="0" w:type="dxa"/>
              <w:right w:w="15" w:type="dxa"/>
            </w:tcMar>
            <w:vAlign w:val="bottom"/>
            <w:hideMark/>
          </w:tcPr>
          <w:p w14:paraId="778894CC" w14:textId="77777777" w:rsidR="00251D72" w:rsidRDefault="00251D72">
            <w:pPr>
              <w:pStyle w:val="a3"/>
            </w:pPr>
            <w:r>
              <w:t> </w:t>
            </w:r>
          </w:p>
        </w:tc>
        <w:tc>
          <w:tcPr>
            <w:tcW w:w="28" w:type="pct"/>
            <w:shd w:val="clear" w:color="auto" w:fill="FFFFFF"/>
            <w:tcMar>
              <w:top w:w="15" w:type="dxa"/>
              <w:left w:w="0" w:type="dxa"/>
              <w:bottom w:w="0" w:type="dxa"/>
              <w:right w:w="15" w:type="dxa"/>
            </w:tcMar>
            <w:vAlign w:val="bottom"/>
            <w:hideMark/>
          </w:tcPr>
          <w:p w14:paraId="4DC159C2" w14:textId="77777777" w:rsidR="00251D72" w:rsidRDefault="00251D72">
            <w:pPr>
              <w:pStyle w:val="a3"/>
            </w:pPr>
            <w:r>
              <w:t> </w:t>
            </w:r>
          </w:p>
        </w:tc>
        <w:tc>
          <w:tcPr>
            <w:tcW w:w="1777" w:type="pct"/>
            <w:shd w:val="clear" w:color="auto" w:fill="FFFFFF"/>
            <w:tcMar>
              <w:top w:w="15" w:type="dxa"/>
              <w:left w:w="0" w:type="dxa"/>
              <w:bottom w:w="0" w:type="dxa"/>
              <w:right w:w="15" w:type="dxa"/>
            </w:tcMar>
            <w:vAlign w:val="bottom"/>
            <w:hideMark/>
          </w:tcPr>
          <w:p w14:paraId="0D9D46DD" w14:textId="77777777" w:rsidR="00251D72" w:rsidRDefault="00251D72">
            <w:pPr>
              <w:pStyle w:val="a3"/>
            </w:pPr>
            <w:r>
              <w:t> </w:t>
            </w:r>
          </w:p>
        </w:tc>
        <w:tc>
          <w:tcPr>
            <w:tcW w:w="34" w:type="pct"/>
            <w:shd w:val="clear" w:color="auto" w:fill="FFFFFF"/>
            <w:tcMar>
              <w:top w:w="15" w:type="dxa"/>
              <w:left w:w="0" w:type="dxa"/>
              <w:bottom w:w="0" w:type="dxa"/>
              <w:right w:w="15" w:type="dxa"/>
            </w:tcMar>
            <w:vAlign w:val="bottom"/>
            <w:hideMark/>
          </w:tcPr>
          <w:p w14:paraId="65B44887" w14:textId="77777777" w:rsidR="00251D72" w:rsidRDefault="00251D72">
            <w:pPr>
              <w:pStyle w:val="a3"/>
            </w:pPr>
            <w:r>
              <w:t> </w:t>
            </w:r>
          </w:p>
        </w:tc>
        <w:tc>
          <w:tcPr>
            <w:tcW w:w="2814" w:type="pct"/>
            <w:gridSpan w:val="9"/>
            <w:tcBorders>
              <w:bottom w:val="single" w:sz="6" w:space="0" w:color="000000"/>
            </w:tcBorders>
            <w:shd w:val="clear" w:color="auto" w:fill="FFFFFF"/>
            <w:tcMar>
              <w:top w:w="15" w:type="dxa"/>
              <w:left w:w="0" w:type="dxa"/>
              <w:bottom w:w="0" w:type="dxa"/>
              <w:right w:w="15" w:type="dxa"/>
            </w:tcMar>
            <w:vAlign w:val="bottom"/>
            <w:hideMark/>
          </w:tcPr>
          <w:p w14:paraId="504F3E61"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251D72" w14:paraId="3596371E" w14:textId="77777777">
        <w:trPr>
          <w:divId w:val="1397817350"/>
          <w:jc w:val="center"/>
        </w:trPr>
        <w:tc>
          <w:tcPr>
            <w:tcW w:w="348" w:type="pct"/>
            <w:tcBorders>
              <w:bottom w:val="single" w:sz="6" w:space="0" w:color="000000"/>
            </w:tcBorders>
            <w:shd w:val="clear" w:color="auto" w:fill="FFFFFF"/>
            <w:tcMar>
              <w:top w:w="15" w:type="dxa"/>
              <w:left w:w="0" w:type="dxa"/>
              <w:bottom w:w="0" w:type="dxa"/>
              <w:right w:w="15" w:type="dxa"/>
            </w:tcMar>
            <w:vAlign w:val="bottom"/>
            <w:hideMark/>
          </w:tcPr>
          <w:p w14:paraId="581C7A22"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8" w:type="pct"/>
            <w:shd w:val="clear" w:color="auto" w:fill="FFFFFF"/>
            <w:tcMar>
              <w:top w:w="15" w:type="dxa"/>
              <w:left w:w="0" w:type="dxa"/>
              <w:bottom w:w="0" w:type="dxa"/>
              <w:right w:w="15" w:type="dxa"/>
            </w:tcMar>
            <w:vAlign w:val="bottom"/>
            <w:hideMark/>
          </w:tcPr>
          <w:p w14:paraId="57864012" w14:textId="77777777" w:rsidR="00251D72" w:rsidRDefault="00251D72">
            <w:pPr>
              <w:pStyle w:val="a3"/>
            </w:pPr>
            <w:r>
              <w:t> </w:t>
            </w:r>
          </w:p>
        </w:tc>
        <w:tc>
          <w:tcPr>
            <w:tcW w:w="1777" w:type="pct"/>
            <w:tcBorders>
              <w:bottom w:val="single" w:sz="6" w:space="0" w:color="000000"/>
            </w:tcBorders>
            <w:shd w:val="clear" w:color="auto" w:fill="FFFFFF"/>
            <w:tcMar>
              <w:top w:w="15" w:type="dxa"/>
              <w:left w:w="0" w:type="dxa"/>
              <w:bottom w:w="0" w:type="dxa"/>
              <w:right w:w="15" w:type="dxa"/>
            </w:tcMar>
            <w:vAlign w:val="bottom"/>
            <w:hideMark/>
          </w:tcPr>
          <w:p w14:paraId="5454C496"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 Description</w:t>
            </w:r>
          </w:p>
        </w:tc>
        <w:tc>
          <w:tcPr>
            <w:tcW w:w="34" w:type="pct"/>
            <w:shd w:val="clear" w:color="auto" w:fill="FFFFFF"/>
            <w:tcMar>
              <w:top w:w="15" w:type="dxa"/>
              <w:left w:w="0" w:type="dxa"/>
              <w:bottom w:w="0" w:type="dxa"/>
              <w:right w:w="15" w:type="dxa"/>
            </w:tcMar>
            <w:vAlign w:val="bottom"/>
            <w:hideMark/>
          </w:tcPr>
          <w:p w14:paraId="5306845C" w14:textId="77777777" w:rsidR="00251D72" w:rsidRDefault="00251D72">
            <w:pPr>
              <w:pStyle w:val="a3"/>
            </w:pPr>
            <w:r>
              <w:t> </w:t>
            </w:r>
          </w:p>
        </w:tc>
        <w:tc>
          <w:tcPr>
            <w:tcW w:w="531"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109D68"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64736C68" w14:textId="77777777" w:rsidR="00251D72" w:rsidRDefault="00251D72">
            <w:pPr>
              <w:pStyle w:val="a3"/>
            </w:pPr>
            <w:r>
              <w:t> </w:t>
            </w:r>
          </w:p>
        </w:tc>
        <w:tc>
          <w:tcPr>
            <w:tcW w:w="53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12B284"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57573889" w14:textId="77777777" w:rsidR="00251D72" w:rsidRDefault="00251D72">
            <w:pPr>
              <w:pStyle w:val="a3"/>
            </w:pPr>
            <w:r>
              <w:t> </w:t>
            </w:r>
          </w:p>
        </w:tc>
        <w:tc>
          <w:tcPr>
            <w:tcW w:w="354"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820BDA8"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2B18A05D" w14:textId="77777777" w:rsidR="00251D72" w:rsidRDefault="00251D72">
            <w:pPr>
              <w:pStyle w:val="a3"/>
            </w:pPr>
            <w:r>
              <w:t> </w:t>
            </w:r>
          </w:p>
        </w:tc>
        <w:tc>
          <w:tcPr>
            <w:tcW w:w="41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ACCCA74"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4" w:type="pct"/>
            <w:shd w:val="clear" w:color="auto" w:fill="FFFFFF"/>
            <w:tcMar>
              <w:top w:w="15" w:type="dxa"/>
              <w:left w:w="0" w:type="dxa"/>
              <w:bottom w:w="0" w:type="dxa"/>
              <w:right w:w="15" w:type="dxa"/>
            </w:tcMar>
            <w:vAlign w:val="bottom"/>
            <w:hideMark/>
          </w:tcPr>
          <w:p w14:paraId="4D7FA699" w14:textId="77777777" w:rsidR="00251D72" w:rsidRDefault="00251D72">
            <w:pPr>
              <w:pStyle w:val="a3"/>
            </w:pPr>
            <w:r>
              <w:t> </w:t>
            </w:r>
          </w:p>
        </w:tc>
        <w:tc>
          <w:tcPr>
            <w:tcW w:w="84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270922"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251D72" w14:paraId="69625529" w14:textId="77777777">
        <w:trPr>
          <w:divId w:val="1397817350"/>
          <w:jc w:val="center"/>
        </w:trPr>
        <w:tc>
          <w:tcPr>
            <w:tcW w:w="348" w:type="pct"/>
            <w:shd w:val="clear" w:color="auto" w:fill="FFFFFF"/>
            <w:tcMar>
              <w:top w:w="15" w:type="dxa"/>
              <w:left w:w="0" w:type="dxa"/>
              <w:bottom w:w="0" w:type="dxa"/>
              <w:right w:w="15" w:type="dxa"/>
            </w:tcMar>
            <w:hideMark/>
          </w:tcPr>
          <w:p w14:paraId="5ECD449A" w14:textId="77777777" w:rsidR="00251D72" w:rsidRDefault="00251D72">
            <w:pPr>
              <w:pStyle w:val="a3"/>
              <w:spacing w:before="0" w:beforeAutospacing="0" w:after="0" w:afterAutospacing="0"/>
            </w:pPr>
            <w:r>
              <w:t> </w:t>
            </w:r>
          </w:p>
        </w:tc>
        <w:tc>
          <w:tcPr>
            <w:tcW w:w="28" w:type="pct"/>
            <w:shd w:val="clear" w:color="auto" w:fill="FFFFFF"/>
            <w:tcMar>
              <w:top w:w="15" w:type="dxa"/>
              <w:left w:w="0" w:type="dxa"/>
              <w:bottom w:w="0" w:type="dxa"/>
              <w:right w:w="15" w:type="dxa"/>
            </w:tcMar>
            <w:vAlign w:val="bottom"/>
            <w:hideMark/>
          </w:tcPr>
          <w:p w14:paraId="03CDA576"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0351475C"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602B3D55"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75DCC67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31B692E1"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442D9EE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534C8C0"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5062B43"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8B6AE6B"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634DE2C3"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E012CE7"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4E24807F" w14:textId="77777777" w:rsidR="00251D72" w:rsidRDefault="00251D72">
            <w:pPr>
              <w:pStyle w:val="a3"/>
              <w:spacing w:before="0" w:beforeAutospacing="0" w:after="0" w:afterAutospacing="0"/>
              <w:jc w:val="center"/>
            </w:pPr>
            <w:r>
              <w:t> </w:t>
            </w:r>
          </w:p>
        </w:tc>
      </w:tr>
      <w:tr w:rsidR="00251D72" w14:paraId="37F1089D" w14:textId="77777777">
        <w:trPr>
          <w:divId w:val="1397817350"/>
          <w:jc w:val="center"/>
        </w:trPr>
        <w:tc>
          <w:tcPr>
            <w:tcW w:w="348" w:type="pct"/>
            <w:shd w:val="clear" w:color="auto" w:fill="FFFFFF"/>
            <w:tcMar>
              <w:top w:w="15" w:type="dxa"/>
              <w:left w:w="0" w:type="dxa"/>
              <w:bottom w:w="0" w:type="dxa"/>
              <w:right w:w="15" w:type="dxa"/>
            </w:tcMar>
            <w:hideMark/>
          </w:tcPr>
          <w:p w14:paraId="7C69FB9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4.08</w:t>
            </w:r>
          </w:p>
        </w:tc>
        <w:tc>
          <w:tcPr>
            <w:tcW w:w="28" w:type="pct"/>
            <w:shd w:val="clear" w:color="auto" w:fill="FFFFFF"/>
            <w:tcMar>
              <w:top w:w="15" w:type="dxa"/>
              <w:left w:w="0" w:type="dxa"/>
              <w:bottom w:w="0" w:type="dxa"/>
              <w:right w:w="15" w:type="dxa"/>
            </w:tcMar>
            <w:vAlign w:val="bottom"/>
            <w:hideMark/>
          </w:tcPr>
          <w:p w14:paraId="08E650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06B8E2F7" w14:textId="77777777" w:rsidR="00251D72" w:rsidRDefault="00251D72">
            <w:pPr>
              <w:pStyle w:val="a3"/>
              <w:spacing w:before="0" w:beforeAutospacing="0" w:after="0" w:afterAutospacing="0"/>
              <w:jc w:val="both"/>
              <w:rPr>
                <w:rFonts w:ascii="Calibri" w:hAnsi="Calibri" w:cs="Calibri"/>
                <w:sz w:val="20"/>
                <w:szCs w:val="20"/>
              </w:rPr>
            </w:pPr>
            <w:hyperlink r:id="rId14" w:history="1">
              <w:r>
                <w:rPr>
                  <w:rStyle w:val="a4"/>
                  <w:rFonts w:ascii="Calibri" w:hAnsi="Calibri" w:cs="Calibri"/>
                  <w:sz w:val="20"/>
                  <w:szCs w:val="20"/>
                </w:rPr>
                <w:t>Forms of 2.50% Note due 2022, together with Officers’ Certificate issued October 25, 2012 setting forth the terms of the Note</w:t>
              </w:r>
            </w:hyperlink>
          </w:p>
        </w:tc>
        <w:tc>
          <w:tcPr>
            <w:tcW w:w="34" w:type="pct"/>
            <w:shd w:val="clear" w:color="auto" w:fill="FFFFFF"/>
            <w:tcMar>
              <w:top w:w="15" w:type="dxa"/>
              <w:left w:w="0" w:type="dxa"/>
              <w:bottom w:w="0" w:type="dxa"/>
              <w:right w:w="15" w:type="dxa"/>
            </w:tcMar>
            <w:vAlign w:val="bottom"/>
            <w:hideMark/>
          </w:tcPr>
          <w:p w14:paraId="7DE7C57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3F8E643B"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54A7FFBA"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4C0A69A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left w:w="0" w:type="dxa"/>
              <w:bottom w:w="0" w:type="dxa"/>
              <w:right w:w="15" w:type="dxa"/>
            </w:tcMar>
            <w:hideMark/>
          </w:tcPr>
          <w:p w14:paraId="4684C2ED"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6E36D6F6"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4.10</w:t>
            </w:r>
          </w:p>
        </w:tc>
        <w:tc>
          <w:tcPr>
            <w:tcW w:w="34" w:type="pct"/>
            <w:shd w:val="clear" w:color="auto" w:fill="FFFFFF"/>
            <w:tcMar>
              <w:top w:w="15" w:type="dxa"/>
              <w:left w:w="0" w:type="dxa"/>
              <w:bottom w:w="0" w:type="dxa"/>
              <w:right w:w="15" w:type="dxa"/>
            </w:tcMar>
            <w:hideMark/>
          </w:tcPr>
          <w:p w14:paraId="48E1858A"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ECCE7D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10/25/12</w:t>
            </w:r>
          </w:p>
        </w:tc>
        <w:tc>
          <w:tcPr>
            <w:tcW w:w="34" w:type="pct"/>
            <w:shd w:val="clear" w:color="auto" w:fill="FFFFFF"/>
            <w:tcMar>
              <w:top w:w="15" w:type="dxa"/>
              <w:left w:w="0" w:type="dxa"/>
              <w:bottom w:w="0" w:type="dxa"/>
              <w:right w:w="15" w:type="dxa"/>
            </w:tcMar>
            <w:hideMark/>
          </w:tcPr>
          <w:p w14:paraId="65E5C085"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3A17A3BB"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270F35AF" w14:textId="77777777">
        <w:trPr>
          <w:divId w:val="1397817350"/>
          <w:jc w:val="center"/>
        </w:trPr>
        <w:tc>
          <w:tcPr>
            <w:tcW w:w="348" w:type="pct"/>
            <w:shd w:val="clear" w:color="auto" w:fill="FFFFFF"/>
            <w:tcMar>
              <w:top w:w="15" w:type="dxa"/>
              <w:left w:w="0" w:type="dxa"/>
              <w:bottom w:w="0" w:type="dxa"/>
              <w:right w:w="15" w:type="dxa"/>
            </w:tcMar>
            <w:hideMark/>
          </w:tcPr>
          <w:p w14:paraId="34E4340C"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31AD6F00"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65882724"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33528F9B"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015C0CF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436B4464"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052B7B3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0218A9F"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51CFD9B7"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DE0274F"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B50D5C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725B8C3"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3D2DF4A5" w14:textId="77777777" w:rsidR="00251D72" w:rsidRDefault="00251D72">
            <w:pPr>
              <w:pStyle w:val="a3"/>
              <w:spacing w:before="0" w:beforeAutospacing="0" w:after="0" w:afterAutospacing="0"/>
              <w:jc w:val="center"/>
            </w:pPr>
            <w:r>
              <w:t> </w:t>
            </w:r>
          </w:p>
        </w:tc>
      </w:tr>
      <w:tr w:rsidR="00251D72" w14:paraId="059D8884" w14:textId="77777777">
        <w:trPr>
          <w:divId w:val="1397817350"/>
          <w:jc w:val="center"/>
        </w:trPr>
        <w:tc>
          <w:tcPr>
            <w:tcW w:w="348" w:type="pct"/>
            <w:shd w:val="clear" w:color="auto" w:fill="FFFFFF"/>
            <w:tcMar>
              <w:top w:w="15" w:type="dxa"/>
              <w:left w:w="0" w:type="dxa"/>
              <w:bottom w:w="0" w:type="dxa"/>
              <w:right w:w="15" w:type="dxa"/>
            </w:tcMar>
            <w:hideMark/>
          </w:tcPr>
          <w:p w14:paraId="0D8B48F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4.09</w:t>
            </w:r>
          </w:p>
        </w:tc>
        <w:tc>
          <w:tcPr>
            <w:tcW w:w="28" w:type="pct"/>
            <w:shd w:val="clear" w:color="auto" w:fill="FFFFFF"/>
            <w:tcMar>
              <w:top w:w="15" w:type="dxa"/>
              <w:left w:w="0" w:type="dxa"/>
              <w:bottom w:w="0" w:type="dxa"/>
              <w:right w:w="15" w:type="dxa"/>
            </w:tcMar>
            <w:vAlign w:val="bottom"/>
            <w:hideMark/>
          </w:tcPr>
          <w:p w14:paraId="337A6BF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7A8CCCD3" w14:textId="77777777" w:rsidR="00251D72" w:rsidRDefault="00251D72">
            <w:pPr>
              <w:pStyle w:val="a3"/>
              <w:spacing w:before="0" w:beforeAutospacing="0" w:after="0" w:afterAutospacing="0"/>
              <w:jc w:val="both"/>
              <w:rPr>
                <w:rFonts w:ascii="Calibri" w:hAnsi="Calibri" w:cs="Calibri"/>
                <w:sz w:val="20"/>
                <w:szCs w:val="20"/>
              </w:rPr>
            </w:pPr>
            <w:hyperlink r:id="rId15" w:history="1">
              <w:r>
                <w:rPr>
                  <w:rStyle w:val="a4"/>
                  <w:rFonts w:ascii="Calibri" w:hAnsi="Calibri" w:cs="Calibri"/>
                  <w:sz w:val="20"/>
                  <w:szCs w:val="20"/>
                </w:rPr>
                <w:t>Forms of 2.25% Note due 2021 and 3.125% Note due 2025, together with Officers’ Certificate issued July 10, 2013 setting forth the terms of the Notes</w:t>
              </w:r>
            </w:hyperlink>
          </w:p>
        </w:tc>
        <w:tc>
          <w:tcPr>
            <w:tcW w:w="34" w:type="pct"/>
            <w:shd w:val="clear" w:color="auto" w:fill="FFFFFF"/>
            <w:tcMar>
              <w:top w:w="15" w:type="dxa"/>
              <w:left w:w="0" w:type="dxa"/>
              <w:bottom w:w="0" w:type="dxa"/>
              <w:right w:w="15" w:type="dxa"/>
            </w:tcMar>
            <w:vAlign w:val="bottom"/>
            <w:hideMark/>
          </w:tcPr>
          <w:p w14:paraId="069AC2A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7A2A27D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3E47D653"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64F5F901"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4B5E86CF"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04669F2D"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4.11</w:t>
            </w:r>
          </w:p>
        </w:tc>
        <w:tc>
          <w:tcPr>
            <w:tcW w:w="34" w:type="pct"/>
            <w:shd w:val="clear" w:color="auto" w:fill="FFFFFF"/>
            <w:tcMar>
              <w:top w:w="15" w:type="dxa"/>
              <w:left w:w="0" w:type="dxa"/>
              <w:bottom w:w="0" w:type="dxa"/>
              <w:right w:w="15" w:type="dxa"/>
            </w:tcMar>
            <w:hideMark/>
          </w:tcPr>
          <w:p w14:paraId="6FF52B01"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2B7FC54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7/10/13</w:t>
            </w:r>
          </w:p>
        </w:tc>
        <w:tc>
          <w:tcPr>
            <w:tcW w:w="34" w:type="pct"/>
            <w:shd w:val="clear" w:color="auto" w:fill="FFFFFF"/>
            <w:tcMar>
              <w:top w:w="15" w:type="dxa"/>
              <w:left w:w="0" w:type="dxa"/>
              <w:bottom w:w="0" w:type="dxa"/>
              <w:right w:w="15" w:type="dxa"/>
            </w:tcMar>
            <w:hideMark/>
          </w:tcPr>
          <w:p w14:paraId="5FBF9DF0"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551AF10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239C43DE" w14:textId="77777777">
        <w:trPr>
          <w:divId w:val="1397817350"/>
          <w:jc w:val="center"/>
        </w:trPr>
        <w:tc>
          <w:tcPr>
            <w:tcW w:w="348" w:type="pct"/>
            <w:shd w:val="clear" w:color="auto" w:fill="FFFFFF"/>
            <w:tcMar>
              <w:top w:w="15" w:type="dxa"/>
              <w:left w:w="0" w:type="dxa"/>
              <w:bottom w:w="0" w:type="dxa"/>
              <w:right w:w="15" w:type="dxa"/>
            </w:tcMar>
            <w:hideMark/>
          </w:tcPr>
          <w:p w14:paraId="078AE3CF"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765223FC"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483B65B2"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29B92DEA"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40233217"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21456C28"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7F52FF2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E13D6C9"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4A239F7B"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53AA0FF1"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3E327DB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20DEEA3"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5B88A12E" w14:textId="77777777" w:rsidR="00251D72" w:rsidRDefault="00251D72">
            <w:pPr>
              <w:pStyle w:val="a3"/>
              <w:spacing w:before="0" w:beforeAutospacing="0" w:after="0" w:afterAutospacing="0"/>
              <w:jc w:val="center"/>
            </w:pPr>
            <w:r>
              <w:t> </w:t>
            </w:r>
          </w:p>
        </w:tc>
      </w:tr>
      <w:tr w:rsidR="00251D72" w14:paraId="6ED27FDB" w14:textId="77777777">
        <w:trPr>
          <w:divId w:val="1397817350"/>
          <w:jc w:val="center"/>
        </w:trPr>
        <w:tc>
          <w:tcPr>
            <w:tcW w:w="348" w:type="pct"/>
            <w:shd w:val="clear" w:color="auto" w:fill="FFFFFF"/>
            <w:tcMar>
              <w:top w:w="15" w:type="dxa"/>
              <w:left w:w="0" w:type="dxa"/>
              <w:bottom w:w="0" w:type="dxa"/>
              <w:right w:w="15" w:type="dxa"/>
            </w:tcMar>
            <w:hideMark/>
          </w:tcPr>
          <w:p w14:paraId="3CE4738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4.10</w:t>
            </w:r>
          </w:p>
        </w:tc>
        <w:tc>
          <w:tcPr>
            <w:tcW w:w="28" w:type="pct"/>
            <w:shd w:val="clear" w:color="auto" w:fill="FFFFFF"/>
            <w:tcMar>
              <w:top w:w="15" w:type="dxa"/>
              <w:left w:w="0" w:type="dxa"/>
              <w:bottom w:w="0" w:type="dxa"/>
              <w:right w:w="15" w:type="dxa"/>
            </w:tcMar>
            <w:vAlign w:val="bottom"/>
            <w:hideMark/>
          </w:tcPr>
          <w:p w14:paraId="2331517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360E53DD" w14:textId="77777777" w:rsidR="00251D72" w:rsidRDefault="00251D72">
            <w:pPr>
              <w:pStyle w:val="a3"/>
              <w:spacing w:before="0" w:beforeAutospacing="0" w:after="0" w:afterAutospacing="0"/>
              <w:jc w:val="both"/>
              <w:rPr>
                <w:rFonts w:ascii="Calibri" w:hAnsi="Calibri" w:cs="Calibri"/>
                <w:sz w:val="20"/>
                <w:szCs w:val="20"/>
              </w:rPr>
            </w:pPr>
            <w:hyperlink r:id="rId16" w:history="1">
              <w:r>
                <w:rPr>
                  <w:rStyle w:val="a4"/>
                  <w:rFonts w:ascii="Calibri" w:hAnsi="Calibri" w:cs="Calibri"/>
                  <w:sz w:val="20"/>
                  <w:szCs w:val="20"/>
                </w:rPr>
                <w:t>Forms of Floating-Rate Note due 2019, 2.375% Note due 2019 and 3.625% Note due 2023, together with Officers’ Certificate issued July 16, 2013 setting forth the terms of the Notes</w:t>
              </w:r>
            </w:hyperlink>
          </w:p>
        </w:tc>
        <w:tc>
          <w:tcPr>
            <w:tcW w:w="34" w:type="pct"/>
            <w:shd w:val="clear" w:color="auto" w:fill="FFFFFF"/>
            <w:tcMar>
              <w:top w:w="15" w:type="dxa"/>
              <w:left w:w="0" w:type="dxa"/>
              <w:bottom w:w="0" w:type="dxa"/>
              <w:right w:w="15" w:type="dxa"/>
            </w:tcMar>
            <w:vAlign w:val="bottom"/>
            <w:hideMark/>
          </w:tcPr>
          <w:p w14:paraId="5EB409C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3BE7A528"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40B7BA29"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636D8D6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7CD7D3A8"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EDFC94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4.12</w:t>
            </w:r>
          </w:p>
        </w:tc>
        <w:tc>
          <w:tcPr>
            <w:tcW w:w="34" w:type="pct"/>
            <w:shd w:val="clear" w:color="auto" w:fill="FFFFFF"/>
            <w:tcMar>
              <w:top w:w="15" w:type="dxa"/>
              <w:left w:w="0" w:type="dxa"/>
              <w:bottom w:w="0" w:type="dxa"/>
              <w:right w:w="15" w:type="dxa"/>
            </w:tcMar>
            <w:hideMark/>
          </w:tcPr>
          <w:p w14:paraId="6A3A266C"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53E0F7E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7/16/13</w:t>
            </w:r>
          </w:p>
        </w:tc>
        <w:tc>
          <w:tcPr>
            <w:tcW w:w="34" w:type="pct"/>
            <w:shd w:val="clear" w:color="auto" w:fill="FFFFFF"/>
            <w:tcMar>
              <w:top w:w="15" w:type="dxa"/>
              <w:left w:w="0" w:type="dxa"/>
              <w:bottom w:w="0" w:type="dxa"/>
              <w:right w:w="15" w:type="dxa"/>
            </w:tcMar>
            <w:hideMark/>
          </w:tcPr>
          <w:p w14:paraId="7892CCED"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32CC9DE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7BA3F7AB" w14:textId="77777777">
        <w:trPr>
          <w:divId w:val="1397817350"/>
          <w:jc w:val="center"/>
        </w:trPr>
        <w:tc>
          <w:tcPr>
            <w:tcW w:w="348" w:type="pct"/>
            <w:shd w:val="clear" w:color="auto" w:fill="FFFFFF"/>
            <w:tcMar>
              <w:top w:w="15" w:type="dxa"/>
              <w:left w:w="0" w:type="dxa"/>
              <w:bottom w:w="0" w:type="dxa"/>
              <w:right w:w="15" w:type="dxa"/>
            </w:tcMar>
            <w:hideMark/>
          </w:tcPr>
          <w:p w14:paraId="1C7FE5B4"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719BE8A7"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05394CB4"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02403697"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747ADDD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289EBBDC"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6C99BD7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1065033"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4A3FA9F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7674E3B"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2130F27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DD1BE0D"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2274F33C" w14:textId="77777777" w:rsidR="00251D72" w:rsidRDefault="00251D72">
            <w:pPr>
              <w:pStyle w:val="a3"/>
              <w:spacing w:before="0" w:beforeAutospacing="0" w:after="0" w:afterAutospacing="0"/>
              <w:jc w:val="center"/>
            </w:pPr>
            <w:r>
              <w:t> </w:t>
            </w:r>
          </w:p>
        </w:tc>
      </w:tr>
      <w:tr w:rsidR="00251D72" w14:paraId="0E7D0C24" w14:textId="77777777">
        <w:trPr>
          <w:divId w:val="1397817350"/>
          <w:jc w:val="center"/>
        </w:trPr>
        <w:tc>
          <w:tcPr>
            <w:tcW w:w="348" w:type="pct"/>
            <w:shd w:val="clear" w:color="auto" w:fill="FFFFFF"/>
            <w:tcMar>
              <w:top w:w="15" w:type="dxa"/>
              <w:left w:w="0" w:type="dxa"/>
              <w:bottom w:w="0" w:type="dxa"/>
              <w:right w:w="15" w:type="dxa"/>
            </w:tcMar>
            <w:hideMark/>
          </w:tcPr>
          <w:p w14:paraId="5C616822"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4.11</w:t>
            </w:r>
          </w:p>
        </w:tc>
        <w:tc>
          <w:tcPr>
            <w:tcW w:w="28" w:type="pct"/>
            <w:shd w:val="clear" w:color="auto" w:fill="FFFFFF"/>
            <w:tcMar>
              <w:top w:w="15" w:type="dxa"/>
              <w:left w:w="0" w:type="dxa"/>
              <w:bottom w:w="0" w:type="dxa"/>
              <w:right w:w="15" w:type="dxa"/>
            </w:tcMar>
            <w:vAlign w:val="bottom"/>
            <w:hideMark/>
          </w:tcPr>
          <w:p w14:paraId="1FE4DA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29AD0317" w14:textId="77777777" w:rsidR="00251D72" w:rsidRDefault="00251D72">
            <w:pPr>
              <w:pStyle w:val="a3"/>
              <w:spacing w:before="0" w:beforeAutospacing="0" w:after="0" w:afterAutospacing="0"/>
              <w:jc w:val="both"/>
              <w:rPr>
                <w:rFonts w:ascii="Calibri" w:hAnsi="Calibri" w:cs="Calibri"/>
                <w:sz w:val="20"/>
                <w:szCs w:val="20"/>
              </w:rPr>
            </w:pPr>
            <w:hyperlink r:id="rId17" w:history="1">
              <w:r>
                <w:rPr>
                  <w:rStyle w:val="a4"/>
                  <w:rFonts w:ascii="Calibri" w:hAnsi="Calibri" w:cs="Calibri"/>
                  <w:sz w:val="20"/>
                  <w:szCs w:val="20"/>
                </w:rPr>
                <w:t>Forms of Floating-Rate Note due 2019, 2.25% Note due 2019, 2.80% Note due 2021, 3.40% Note due 2024, 4.30% Note due 2034 and 4.50% Note due 2044, together with Officers’ Certificate issued July 8, 2014 setting forth the terms of the Notes</w:t>
              </w:r>
            </w:hyperlink>
          </w:p>
        </w:tc>
        <w:tc>
          <w:tcPr>
            <w:tcW w:w="34" w:type="pct"/>
            <w:shd w:val="clear" w:color="auto" w:fill="FFFFFF"/>
            <w:tcMar>
              <w:top w:w="15" w:type="dxa"/>
              <w:left w:w="0" w:type="dxa"/>
              <w:bottom w:w="0" w:type="dxa"/>
              <w:right w:w="15" w:type="dxa"/>
            </w:tcMar>
            <w:vAlign w:val="bottom"/>
            <w:hideMark/>
          </w:tcPr>
          <w:p w14:paraId="6D5C42A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0776BEF8"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7188D495"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2950439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073D4A87"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5560D4A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4.13</w:t>
            </w:r>
          </w:p>
        </w:tc>
        <w:tc>
          <w:tcPr>
            <w:tcW w:w="34" w:type="pct"/>
            <w:shd w:val="clear" w:color="auto" w:fill="FFFFFF"/>
            <w:tcMar>
              <w:top w:w="15" w:type="dxa"/>
              <w:left w:w="0" w:type="dxa"/>
              <w:bottom w:w="0" w:type="dxa"/>
              <w:right w:w="15" w:type="dxa"/>
            </w:tcMar>
            <w:hideMark/>
          </w:tcPr>
          <w:p w14:paraId="7ECA68DF"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36263649"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7/8/14</w:t>
            </w:r>
          </w:p>
        </w:tc>
        <w:tc>
          <w:tcPr>
            <w:tcW w:w="34" w:type="pct"/>
            <w:shd w:val="clear" w:color="auto" w:fill="FFFFFF"/>
            <w:tcMar>
              <w:top w:w="15" w:type="dxa"/>
              <w:left w:w="0" w:type="dxa"/>
              <w:bottom w:w="0" w:type="dxa"/>
              <w:right w:w="15" w:type="dxa"/>
            </w:tcMar>
            <w:hideMark/>
          </w:tcPr>
          <w:p w14:paraId="72FD7159"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7FF25392"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4E77A929" w14:textId="77777777">
        <w:trPr>
          <w:divId w:val="1397817350"/>
          <w:jc w:val="center"/>
        </w:trPr>
        <w:tc>
          <w:tcPr>
            <w:tcW w:w="348" w:type="pct"/>
            <w:shd w:val="clear" w:color="auto" w:fill="FFFFFF"/>
            <w:tcMar>
              <w:top w:w="15" w:type="dxa"/>
              <w:left w:w="0" w:type="dxa"/>
              <w:bottom w:w="0" w:type="dxa"/>
              <w:right w:w="15" w:type="dxa"/>
            </w:tcMar>
            <w:hideMark/>
          </w:tcPr>
          <w:p w14:paraId="6E477D8B"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47A82DBD"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19EF8966"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1576CA73"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094160B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2C2721A5"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74428B6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7EA23A4"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2C6619EE"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3FD80A6"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F3D3B3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B14AD4E"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23494F65" w14:textId="77777777" w:rsidR="00251D72" w:rsidRDefault="00251D72">
            <w:pPr>
              <w:pStyle w:val="a3"/>
              <w:spacing w:before="0" w:beforeAutospacing="0" w:after="0" w:afterAutospacing="0"/>
              <w:jc w:val="center"/>
            </w:pPr>
            <w:r>
              <w:t> </w:t>
            </w:r>
          </w:p>
        </w:tc>
      </w:tr>
      <w:tr w:rsidR="00251D72" w14:paraId="6A375E61" w14:textId="77777777">
        <w:trPr>
          <w:divId w:val="1397817350"/>
          <w:jc w:val="center"/>
        </w:trPr>
        <w:tc>
          <w:tcPr>
            <w:tcW w:w="348" w:type="pct"/>
            <w:shd w:val="clear" w:color="auto" w:fill="FFFFFF"/>
            <w:tcMar>
              <w:top w:w="15" w:type="dxa"/>
              <w:left w:w="0" w:type="dxa"/>
              <w:bottom w:w="0" w:type="dxa"/>
              <w:right w:w="15" w:type="dxa"/>
            </w:tcMar>
            <w:hideMark/>
          </w:tcPr>
          <w:p w14:paraId="5FA17112"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4.12</w:t>
            </w:r>
          </w:p>
        </w:tc>
        <w:tc>
          <w:tcPr>
            <w:tcW w:w="28" w:type="pct"/>
            <w:shd w:val="clear" w:color="auto" w:fill="FFFFFF"/>
            <w:tcMar>
              <w:top w:w="15" w:type="dxa"/>
              <w:left w:w="0" w:type="dxa"/>
              <w:bottom w:w="0" w:type="dxa"/>
              <w:right w:w="15" w:type="dxa"/>
            </w:tcMar>
            <w:vAlign w:val="bottom"/>
            <w:hideMark/>
          </w:tcPr>
          <w:p w14:paraId="4F7B9D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54674805" w14:textId="77777777" w:rsidR="00251D72" w:rsidRDefault="00251D72">
            <w:pPr>
              <w:pStyle w:val="a3"/>
              <w:spacing w:before="0" w:beforeAutospacing="0" w:after="0" w:afterAutospacing="0"/>
              <w:jc w:val="both"/>
              <w:rPr>
                <w:rFonts w:ascii="Calibri" w:hAnsi="Calibri" w:cs="Calibri"/>
                <w:sz w:val="20"/>
                <w:szCs w:val="20"/>
              </w:rPr>
            </w:pPr>
            <w:hyperlink r:id="rId18" w:history="1">
              <w:r>
                <w:rPr>
                  <w:rStyle w:val="a4"/>
                  <w:rFonts w:ascii="Calibri" w:hAnsi="Calibri" w:cs="Calibri"/>
                  <w:sz w:val="20"/>
                  <w:szCs w:val="20"/>
                </w:rPr>
                <w:t>Forms of 2.50% Notes due 2022, 2.95% Notes due 2025, 3.25% Notes due 2030, 3.90% Notes due 2035, 4.125% Notes due 2045 and 4.375% Notes due 2055, together with Officers’ Certificate issued May 5, 2015 setting forth the terms of the Notes</w:t>
              </w:r>
            </w:hyperlink>
          </w:p>
          <w:p w14:paraId="1942D25E"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338D1ED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47E5DF66"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58B82119"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2ADA9C2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1FA4E5AD"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140BD419"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4.13</w:t>
            </w:r>
          </w:p>
        </w:tc>
        <w:tc>
          <w:tcPr>
            <w:tcW w:w="34" w:type="pct"/>
            <w:shd w:val="clear" w:color="auto" w:fill="FFFFFF"/>
            <w:tcMar>
              <w:top w:w="15" w:type="dxa"/>
              <w:left w:w="0" w:type="dxa"/>
              <w:bottom w:w="0" w:type="dxa"/>
              <w:right w:w="15" w:type="dxa"/>
            </w:tcMar>
            <w:hideMark/>
          </w:tcPr>
          <w:p w14:paraId="24D48A0B"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8C07C0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5/5/15</w:t>
            </w:r>
          </w:p>
        </w:tc>
        <w:tc>
          <w:tcPr>
            <w:tcW w:w="34" w:type="pct"/>
            <w:shd w:val="clear" w:color="auto" w:fill="FFFFFF"/>
            <w:tcMar>
              <w:top w:w="15" w:type="dxa"/>
              <w:left w:w="0" w:type="dxa"/>
              <w:bottom w:w="0" w:type="dxa"/>
              <w:right w:w="15" w:type="dxa"/>
            </w:tcMar>
            <w:hideMark/>
          </w:tcPr>
          <w:p w14:paraId="5B61C1B9"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5051B91D"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7A0F3089" w14:textId="77777777">
        <w:trPr>
          <w:divId w:val="1397817350"/>
          <w:jc w:val="center"/>
        </w:trPr>
        <w:tc>
          <w:tcPr>
            <w:tcW w:w="348" w:type="pct"/>
            <w:shd w:val="clear" w:color="auto" w:fill="FFFFFF"/>
            <w:tcMar>
              <w:top w:w="15" w:type="dxa"/>
              <w:left w:w="0" w:type="dxa"/>
              <w:bottom w:w="0" w:type="dxa"/>
              <w:right w:w="15" w:type="dxa"/>
            </w:tcMar>
            <w:hideMark/>
          </w:tcPr>
          <w:p w14:paraId="692CAF1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4.13</w:t>
            </w:r>
          </w:p>
        </w:tc>
        <w:tc>
          <w:tcPr>
            <w:tcW w:w="28" w:type="pct"/>
            <w:shd w:val="clear" w:color="auto" w:fill="FFFFFF"/>
            <w:tcMar>
              <w:top w:w="15" w:type="dxa"/>
              <w:left w:w="0" w:type="dxa"/>
              <w:bottom w:w="0" w:type="dxa"/>
              <w:right w:w="15" w:type="dxa"/>
            </w:tcMar>
            <w:vAlign w:val="bottom"/>
            <w:hideMark/>
          </w:tcPr>
          <w:p w14:paraId="7244F45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5A5FA824" w14:textId="77777777" w:rsidR="00251D72" w:rsidRDefault="00251D72">
            <w:pPr>
              <w:pStyle w:val="a3"/>
              <w:spacing w:before="0" w:beforeAutospacing="0" w:after="0" w:afterAutospacing="0"/>
              <w:jc w:val="both"/>
              <w:rPr>
                <w:rFonts w:ascii="Calibri" w:hAnsi="Calibri" w:cs="Calibri"/>
                <w:sz w:val="20"/>
                <w:szCs w:val="20"/>
              </w:rPr>
            </w:pPr>
            <w:hyperlink r:id="rId19" w:history="1">
              <w:r>
                <w:rPr>
                  <w:rStyle w:val="a4"/>
                  <w:rFonts w:ascii="Calibri" w:hAnsi="Calibri" w:cs="Calibri"/>
                  <w:sz w:val="20"/>
                  <w:szCs w:val="20"/>
                </w:rPr>
                <w:t>Forms of 1.90% Notes due 2021, 2.40% Notes due 2023, 2.65% Notes due 2026, 3.85% Notes due 2036 and 4.00% Notes due 2046, together with Officers’ Certificate issued July 7, 2016 setting forth the terms of the Notes</w:t>
              </w:r>
            </w:hyperlink>
          </w:p>
        </w:tc>
        <w:tc>
          <w:tcPr>
            <w:tcW w:w="34" w:type="pct"/>
            <w:shd w:val="clear" w:color="auto" w:fill="FFFFFF"/>
            <w:tcMar>
              <w:top w:w="15" w:type="dxa"/>
              <w:left w:w="0" w:type="dxa"/>
              <w:bottom w:w="0" w:type="dxa"/>
              <w:right w:w="15" w:type="dxa"/>
            </w:tcMar>
            <w:vAlign w:val="bottom"/>
            <w:hideMark/>
          </w:tcPr>
          <w:p w14:paraId="22C25FCC"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15E1CC1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12600E17" w14:textId="77777777" w:rsidR="00251D72" w:rsidRDefault="00251D72">
            <w:pPr>
              <w:pStyle w:val="a3"/>
              <w:spacing w:before="0" w:beforeAutospacing="0" w:after="0" w:afterAutospacing="0"/>
              <w:jc w:val="center"/>
            </w:pPr>
            <w:r>
              <w:t> </w:t>
            </w:r>
          </w:p>
        </w:tc>
        <w:tc>
          <w:tcPr>
            <w:tcW w:w="532" w:type="pct"/>
            <w:shd w:val="clear" w:color="auto" w:fill="FFFFFF"/>
            <w:tcMar>
              <w:top w:w="15" w:type="dxa"/>
              <w:left w:w="0" w:type="dxa"/>
              <w:bottom w:w="0" w:type="dxa"/>
              <w:right w:w="15" w:type="dxa"/>
            </w:tcMar>
            <w:hideMark/>
          </w:tcPr>
          <w:p w14:paraId="0A093983"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1EF01010"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AA4F58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w:t>
            </w:r>
          </w:p>
        </w:tc>
        <w:tc>
          <w:tcPr>
            <w:tcW w:w="34" w:type="pct"/>
            <w:shd w:val="clear" w:color="auto" w:fill="FFFFFF"/>
            <w:tcMar>
              <w:top w:w="15" w:type="dxa"/>
              <w:left w:w="0" w:type="dxa"/>
              <w:bottom w:w="0" w:type="dxa"/>
              <w:right w:w="15" w:type="dxa"/>
            </w:tcMar>
            <w:hideMark/>
          </w:tcPr>
          <w:p w14:paraId="256B187A"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1896C63B"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7/7/16</w:t>
            </w:r>
          </w:p>
        </w:tc>
        <w:tc>
          <w:tcPr>
            <w:tcW w:w="34" w:type="pct"/>
            <w:shd w:val="clear" w:color="auto" w:fill="FFFFFF"/>
            <w:tcMar>
              <w:top w:w="15" w:type="dxa"/>
              <w:left w:w="0" w:type="dxa"/>
              <w:bottom w:w="0" w:type="dxa"/>
              <w:right w:w="15" w:type="dxa"/>
            </w:tcMar>
            <w:hideMark/>
          </w:tcPr>
          <w:p w14:paraId="6B3F8AF7"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7FC3152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0BEC9FDC" w14:textId="77777777">
        <w:trPr>
          <w:divId w:val="1397817350"/>
          <w:jc w:val="center"/>
        </w:trPr>
        <w:tc>
          <w:tcPr>
            <w:tcW w:w="348" w:type="pct"/>
            <w:shd w:val="clear" w:color="auto" w:fill="FFFFFF"/>
            <w:tcMar>
              <w:top w:w="15" w:type="dxa"/>
              <w:left w:w="0" w:type="dxa"/>
              <w:bottom w:w="0" w:type="dxa"/>
              <w:right w:w="15" w:type="dxa"/>
            </w:tcMar>
            <w:hideMark/>
          </w:tcPr>
          <w:p w14:paraId="33C600F7"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4E1FCDAF"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35229721"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0B0C9DB1"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7E0A347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688B96AA"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4E1FE514"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8A40AA1"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08389E94"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F28504E"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89DB78C"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5974F66"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78CDD837" w14:textId="77777777" w:rsidR="00251D72" w:rsidRDefault="00251D72">
            <w:pPr>
              <w:pStyle w:val="a3"/>
              <w:spacing w:before="0" w:beforeAutospacing="0" w:after="0" w:afterAutospacing="0"/>
              <w:jc w:val="center"/>
            </w:pPr>
            <w:r>
              <w:t> </w:t>
            </w:r>
          </w:p>
        </w:tc>
      </w:tr>
      <w:tr w:rsidR="00251D72" w14:paraId="05E1B2D0" w14:textId="77777777">
        <w:trPr>
          <w:divId w:val="1397817350"/>
          <w:trHeight w:val="318"/>
          <w:jc w:val="center"/>
        </w:trPr>
        <w:tc>
          <w:tcPr>
            <w:tcW w:w="348" w:type="pct"/>
            <w:shd w:val="clear" w:color="auto" w:fill="FFFFFF"/>
            <w:tcMar>
              <w:top w:w="15" w:type="dxa"/>
              <w:left w:w="0" w:type="dxa"/>
              <w:bottom w:w="0" w:type="dxa"/>
              <w:right w:w="15" w:type="dxa"/>
            </w:tcMar>
            <w:hideMark/>
          </w:tcPr>
          <w:p w14:paraId="0FBD615D"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4.14</w:t>
            </w:r>
          </w:p>
        </w:tc>
        <w:tc>
          <w:tcPr>
            <w:tcW w:w="28" w:type="pct"/>
            <w:shd w:val="clear" w:color="auto" w:fill="FFFFFF"/>
            <w:tcMar>
              <w:top w:w="15" w:type="dxa"/>
              <w:left w:w="0" w:type="dxa"/>
              <w:bottom w:w="0" w:type="dxa"/>
              <w:right w:w="15" w:type="dxa"/>
            </w:tcMar>
            <w:vAlign w:val="bottom"/>
            <w:hideMark/>
          </w:tcPr>
          <w:p w14:paraId="6F4CE73A"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744F8FFB" w14:textId="77777777" w:rsidR="00251D72" w:rsidRDefault="00251D72">
            <w:pPr>
              <w:pStyle w:val="a3"/>
              <w:spacing w:before="0" w:beforeAutospacing="0" w:after="0" w:afterAutospacing="0"/>
              <w:jc w:val="both"/>
              <w:rPr>
                <w:rFonts w:ascii="Calibri" w:hAnsi="Calibri" w:cs="Calibri"/>
                <w:sz w:val="20"/>
                <w:szCs w:val="20"/>
              </w:rPr>
            </w:pPr>
            <w:hyperlink r:id="rId20" w:history="1">
              <w:r>
                <w:rPr>
                  <w:rStyle w:val="a4"/>
                  <w:rFonts w:ascii="Calibri" w:hAnsi="Calibri" w:cs="Calibri"/>
                  <w:sz w:val="20"/>
                  <w:szCs w:val="20"/>
                </w:rPr>
                <w:t>Form of 2.625% Notes due 2023, 2.950% Notes due 2024, 3.250% Notes due 2027, 3.800% Notes due 2037 and 4.000% Notes due 2047, together with Officers’ Certificate issued November 9, 2017 setting forth the terms of the Notes</w:t>
              </w:r>
            </w:hyperlink>
          </w:p>
        </w:tc>
        <w:tc>
          <w:tcPr>
            <w:tcW w:w="34" w:type="pct"/>
            <w:shd w:val="clear" w:color="auto" w:fill="FFFFFF"/>
            <w:tcMar>
              <w:top w:w="15" w:type="dxa"/>
              <w:left w:w="0" w:type="dxa"/>
              <w:bottom w:w="0" w:type="dxa"/>
              <w:right w:w="15" w:type="dxa"/>
            </w:tcMar>
            <w:vAlign w:val="bottom"/>
            <w:hideMark/>
          </w:tcPr>
          <w:p w14:paraId="2B539063"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3FD6F7B6"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34E9E17A"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0B7BCF6E"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27D154BA"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24AC2C0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w:t>
            </w:r>
          </w:p>
        </w:tc>
        <w:tc>
          <w:tcPr>
            <w:tcW w:w="34" w:type="pct"/>
            <w:shd w:val="clear" w:color="auto" w:fill="FFFFFF"/>
            <w:tcMar>
              <w:top w:w="15" w:type="dxa"/>
              <w:left w:w="0" w:type="dxa"/>
              <w:bottom w:w="0" w:type="dxa"/>
              <w:right w:w="15" w:type="dxa"/>
            </w:tcMar>
            <w:hideMark/>
          </w:tcPr>
          <w:p w14:paraId="7C21D4D1"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38EE52A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11/9/17</w:t>
            </w:r>
          </w:p>
        </w:tc>
        <w:tc>
          <w:tcPr>
            <w:tcW w:w="34" w:type="pct"/>
            <w:shd w:val="clear" w:color="auto" w:fill="FFFFFF"/>
            <w:tcMar>
              <w:top w:w="15" w:type="dxa"/>
              <w:left w:w="0" w:type="dxa"/>
              <w:bottom w:w="0" w:type="dxa"/>
              <w:right w:w="15" w:type="dxa"/>
            </w:tcMar>
            <w:hideMark/>
          </w:tcPr>
          <w:p w14:paraId="29E6C7B0"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158762B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bl>
    <w:p w14:paraId="3E9583DE"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120</w:t>
      </w:r>
    </w:p>
    <w:p w14:paraId="08F0BF3B" w14:textId="77777777" w:rsidR="00251D72" w:rsidRDefault="00251D72">
      <w:pPr>
        <w:rPr>
          <w:rFonts w:ascii="Times New Roman" w:eastAsia="Times New Roman" w:hAnsi="Times New Roman" w:cs="Times New Roman"/>
          <w:sz w:val="24"/>
          <w:szCs w:val="24"/>
        </w:rPr>
      </w:pPr>
      <w:r>
        <w:rPr>
          <w:rFonts w:eastAsia="Times New Roman"/>
        </w:rPr>
        <w:pict w14:anchorId="3C836955">
          <v:rect id="_x0000_i1146" style="width:415.3pt;height:1.5pt" o:hralign="center" o:hrstd="t" o:hr="t" fillcolor="#a0a0a0" stroked="f"/>
        </w:pict>
      </w:r>
    </w:p>
    <w:p w14:paraId="16E4FD46"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 </w:t>
        </w:r>
      </w:hyperlink>
    </w:p>
    <w:p w14:paraId="69D51ACD"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2F722967" w14:textId="77777777" w:rsidR="00251D72" w:rsidRDefault="00251D72">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587"/>
        <w:gridCol w:w="75"/>
        <w:gridCol w:w="2823"/>
        <w:gridCol w:w="75"/>
        <w:gridCol w:w="754"/>
        <w:gridCol w:w="75"/>
        <w:gridCol w:w="757"/>
        <w:gridCol w:w="75"/>
        <w:gridCol w:w="587"/>
        <w:gridCol w:w="75"/>
        <w:gridCol w:w="778"/>
        <w:gridCol w:w="75"/>
        <w:gridCol w:w="1570"/>
      </w:tblGrid>
      <w:tr w:rsidR="00251D72" w14:paraId="6C260083" w14:textId="77777777">
        <w:trPr>
          <w:divId w:val="1187598821"/>
          <w:jc w:val="center"/>
        </w:trPr>
        <w:tc>
          <w:tcPr>
            <w:tcW w:w="348" w:type="pct"/>
            <w:shd w:val="clear" w:color="auto" w:fill="FFFFFF"/>
            <w:tcMar>
              <w:top w:w="15" w:type="dxa"/>
              <w:left w:w="0" w:type="dxa"/>
              <w:bottom w:w="0" w:type="dxa"/>
              <w:right w:w="15" w:type="dxa"/>
            </w:tcMar>
            <w:vAlign w:val="bottom"/>
            <w:hideMark/>
          </w:tcPr>
          <w:p w14:paraId="49AB22B8" w14:textId="77777777" w:rsidR="00251D72" w:rsidRDefault="00251D72">
            <w:pPr>
              <w:pStyle w:val="a3"/>
            </w:pPr>
            <w:r>
              <w:t> </w:t>
            </w:r>
          </w:p>
        </w:tc>
        <w:tc>
          <w:tcPr>
            <w:tcW w:w="28" w:type="pct"/>
            <w:shd w:val="clear" w:color="auto" w:fill="FFFFFF"/>
            <w:tcMar>
              <w:top w:w="15" w:type="dxa"/>
              <w:left w:w="0" w:type="dxa"/>
              <w:bottom w:w="0" w:type="dxa"/>
              <w:right w:w="15" w:type="dxa"/>
            </w:tcMar>
            <w:vAlign w:val="bottom"/>
            <w:hideMark/>
          </w:tcPr>
          <w:p w14:paraId="455FBF91" w14:textId="77777777" w:rsidR="00251D72" w:rsidRDefault="00251D72">
            <w:pPr>
              <w:pStyle w:val="a3"/>
            </w:pPr>
            <w:r>
              <w:t> </w:t>
            </w:r>
          </w:p>
        </w:tc>
        <w:tc>
          <w:tcPr>
            <w:tcW w:w="1777" w:type="pct"/>
            <w:shd w:val="clear" w:color="auto" w:fill="FFFFFF"/>
            <w:tcMar>
              <w:top w:w="15" w:type="dxa"/>
              <w:left w:w="0" w:type="dxa"/>
              <w:bottom w:w="0" w:type="dxa"/>
              <w:right w:w="15" w:type="dxa"/>
            </w:tcMar>
            <w:vAlign w:val="bottom"/>
            <w:hideMark/>
          </w:tcPr>
          <w:p w14:paraId="0544E589" w14:textId="77777777" w:rsidR="00251D72" w:rsidRDefault="00251D72">
            <w:pPr>
              <w:pStyle w:val="a3"/>
            </w:pPr>
            <w:r>
              <w:t> </w:t>
            </w:r>
          </w:p>
        </w:tc>
        <w:tc>
          <w:tcPr>
            <w:tcW w:w="34" w:type="pct"/>
            <w:shd w:val="clear" w:color="auto" w:fill="FFFFFF"/>
            <w:tcMar>
              <w:top w:w="15" w:type="dxa"/>
              <w:left w:w="0" w:type="dxa"/>
              <w:bottom w:w="0" w:type="dxa"/>
              <w:right w:w="15" w:type="dxa"/>
            </w:tcMar>
            <w:vAlign w:val="bottom"/>
            <w:hideMark/>
          </w:tcPr>
          <w:p w14:paraId="3F2673AA" w14:textId="77777777" w:rsidR="00251D72" w:rsidRDefault="00251D72">
            <w:pPr>
              <w:pStyle w:val="a3"/>
            </w:pPr>
            <w:r>
              <w:t> </w:t>
            </w:r>
          </w:p>
        </w:tc>
        <w:tc>
          <w:tcPr>
            <w:tcW w:w="2814" w:type="pct"/>
            <w:gridSpan w:val="9"/>
            <w:tcBorders>
              <w:bottom w:val="single" w:sz="6" w:space="0" w:color="000000"/>
            </w:tcBorders>
            <w:shd w:val="clear" w:color="auto" w:fill="FFFFFF"/>
            <w:tcMar>
              <w:top w:w="15" w:type="dxa"/>
              <w:left w:w="0" w:type="dxa"/>
              <w:bottom w:w="0" w:type="dxa"/>
              <w:right w:w="15" w:type="dxa"/>
            </w:tcMar>
            <w:vAlign w:val="bottom"/>
            <w:hideMark/>
          </w:tcPr>
          <w:p w14:paraId="413011C1"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251D72" w14:paraId="7932536C" w14:textId="77777777">
        <w:trPr>
          <w:divId w:val="1187598821"/>
          <w:jc w:val="center"/>
        </w:trPr>
        <w:tc>
          <w:tcPr>
            <w:tcW w:w="348" w:type="pct"/>
            <w:tcBorders>
              <w:bottom w:val="single" w:sz="6" w:space="0" w:color="000000"/>
            </w:tcBorders>
            <w:shd w:val="clear" w:color="auto" w:fill="FFFFFF"/>
            <w:tcMar>
              <w:top w:w="15" w:type="dxa"/>
              <w:left w:w="0" w:type="dxa"/>
              <w:bottom w:w="0" w:type="dxa"/>
              <w:right w:w="15" w:type="dxa"/>
            </w:tcMar>
            <w:vAlign w:val="bottom"/>
            <w:hideMark/>
          </w:tcPr>
          <w:p w14:paraId="08EE94E8"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8" w:type="pct"/>
            <w:shd w:val="clear" w:color="auto" w:fill="FFFFFF"/>
            <w:tcMar>
              <w:top w:w="15" w:type="dxa"/>
              <w:left w:w="0" w:type="dxa"/>
              <w:bottom w:w="0" w:type="dxa"/>
              <w:right w:w="15" w:type="dxa"/>
            </w:tcMar>
            <w:vAlign w:val="bottom"/>
            <w:hideMark/>
          </w:tcPr>
          <w:p w14:paraId="43D350BD" w14:textId="77777777" w:rsidR="00251D72" w:rsidRDefault="00251D72">
            <w:pPr>
              <w:pStyle w:val="a3"/>
            </w:pPr>
            <w:r>
              <w:t> </w:t>
            </w:r>
          </w:p>
        </w:tc>
        <w:tc>
          <w:tcPr>
            <w:tcW w:w="1777" w:type="pct"/>
            <w:tcBorders>
              <w:bottom w:val="single" w:sz="6" w:space="0" w:color="000000"/>
            </w:tcBorders>
            <w:shd w:val="clear" w:color="auto" w:fill="FFFFFF"/>
            <w:tcMar>
              <w:top w:w="15" w:type="dxa"/>
              <w:left w:w="0" w:type="dxa"/>
              <w:bottom w:w="0" w:type="dxa"/>
              <w:right w:w="15" w:type="dxa"/>
            </w:tcMar>
            <w:vAlign w:val="bottom"/>
            <w:hideMark/>
          </w:tcPr>
          <w:p w14:paraId="1CCD2EF1"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 Description</w:t>
            </w:r>
          </w:p>
        </w:tc>
        <w:tc>
          <w:tcPr>
            <w:tcW w:w="34" w:type="pct"/>
            <w:shd w:val="clear" w:color="auto" w:fill="FFFFFF"/>
            <w:tcMar>
              <w:top w:w="15" w:type="dxa"/>
              <w:left w:w="0" w:type="dxa"/>
              <w:bottom w:w="0" w:type="dxa"/>
              <w:right w:w="15" w:type="dxa"/>
            </w:tcMar>
            <w:vAlign w:val="bottom"/>
            <w:hideMark/>
          </w:tcPr>
          <w:p w14:paraId="068E8395" w14:textId="77777777" w:rsidR="00251D72" w:rsidRDefault="00251D72">
            <w:pPr>
              <w:pStyle w:val="a3"/>
            </w:pPr>
            <w:r>
              <w:t> </w:t>
            </w:r>
          </w:p>
        </w:tc>
        <w:tc>
          <w:tcPr>
            <w:tcW w:w="531"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5AAF2A"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45FEB566" w14:textId="77777777" w:rsidR="00251D72" w:rsidRDefault="00251D72">
            <w:pPr>
              <w:pStyle w:val="a3"/>
            </w:pPr>
            <w:r>
              <w:t> </w:t>
            </w:r>
          </w:p>
        </w:tc>
        <w:tc>
          <w:tcPr>
            <w:tcW w:w="53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81ED69"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2E7DA971" w14:textId="77777777" w:rsidR="00251D72" w:rsidRDefault="00251D72">
            <w:pPr>
              <w:pStyle w:val="a3"/>
            </w:pPr>
            <w:r>
              <w:t> </w:t>
            </w:r>
          </w:p>
        </w:tc>
        <w:tc>
          <w:tcPr>
            <w:tcW w:w="354"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DA14CA"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3A5C60D3" w14:textId="77777777" w:rsidR="00251D72" w:rsidRDefault="00251D72">
            <w:pPr>
              <w:pStyle w:val="a3"/>
            </w:pPr>
            <w:r>
              <w:t> </w:t>
            </w:r>
          </w:p>
        </w:tc>
        <w:tc>
          <w:tcPr>
            <w:tcW w:w="41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FB5785"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4" w:type="pct"/>
            <w:shd w:val="clear" w:color="auto" w:fill="FFFFFF"/>
            <w:tcMar>
              <w:top w:w="15" w:type="dxa"/>
              <w:left w:w="0" w:type="dxa"/>
              <w:bottom w:w="0" w:type="dxa"/>
              <w:right w:w="15" w:type="dxa"/>
            </w:tcMar>
            <w:vAlign w:val="bottom"/>
            <w:hideMark/>
          </w:tcPr>
          <w:p w14:paraId="39594D21" w14:textId="77777777" w:rsidR="00251D72" w:rsidRDefault="00251D72">
            <w:pPr>
              <w:pStyle w:val="a3"/>
            </w:pPr>
            <w:r>
              <w:t> </w:t>
            </w:r>
          </w:p>
        </w:tc>
        <w:tc>
          <w:tcPr>
            <w:tcW w:w="84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F0AD3A"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251D72" w14:paraId="40E92736" w14:textId="77777777">
        <w:trPr>
          <w:divId w:val="1187598821"/>
          <w:jc w:val="center"/>
        </w:trPr>
        <w:tc>
          <w:tcPr>
            <w:tcW w:w="348" w:type="pct"/>
            <w:shd w:val="clear" w:color="auto" w:fill="FFFFFF"/>
            <w:tcMar>
              <w:top w:w="15" w:type="dxa"/>
              <w:left w:w="0" w:type="dxa"/>
              <w:bottom w:w="0" w:type="dxa"/>
              <w:right w:w="15" w:type="dxa"/>
            </w:tcMar>
            <w:hideMark/>
          </w:tcPr>
          <w:p w14:paraId="1AB74FC5"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057C0406"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01B30A4A"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4C9E5D86"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7276B0B3"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4E65BDC2"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302DA9B3"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2D3F2EB"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81B18BB"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290A556"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223A13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BEBC38B"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4EB9972B" w14:textId="77777777" w:rsidR="00251D72" w:rsidRDefault="00251D72">
            <w:pPr>
              <w:pStyle w:val="a3"/>
              <w:spacing w:before="0" w:beforeAutospacing="0" w:after="0" w:afterAutospacing="0"/>
              <w:jc w:val="center"/>
            </w:pPr>
            <w:r>
              <w:t> </w:t>
            </w:r>
          </w:p>
        </w:tc>
      </w:tr>
      <w:tr w:rsidR="00251D72" w14:paraId="0118169D" w14:textId="77777777">
        <w:trPr>
          <w:divId w:val="1187598821"/>
          <w:jc w:val="center"/>
        </w:trPr>
        <w:tc>
          <w:tcPr>
            <w:tcW w:w="348" w:type="pct"/>
            <w:shd w:val="clear" w:color="auto" w:fill="FFFFFF"/>
            <w:tcMar>
              <w:top w:w="15" w:type="dxa"/>
              <w:left w:w="0" w:type="dxa"/>
              <w:bottom w:w="0" w:type="dxa"/>
              <w:right w:w="15" w:type="dxa"/>
            </w:tcMar>
            <w:hideMark/>
          </w:tcPr>
          <w:p w14:paraId="4B920D3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4.15‡</w:t>
            </w:r>
          </w:p>
        </w:tc>
        <w:tc>
          <w:tcPr>
            <w:tcW w:w="28" w:type="pct"/>
            <w:shd w:val="clear" w:color="auto" w:fill="FFFFFF"/>
            <w:tcMar>
              <w:top w:w="15" w:type="dxa"/>
              <w:left w:w="0" w:type="dxa"/>
              <w:bottom w:w="0" w:type="dxa"/>
              <w:right w:w="15" w:type="dxa"/>
            </w:tcMar>
            <w:vAlign w:val="bottom"/>
            <w:hideMark/>
          </w:tcPr>
          <w:p w14:paraId="3D13006E"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1D044DEF" w14:textId="77777777" w:rsidR="00251D72" w:rsidRDefault="00251D72">
            <w:pPr>
              <w:pStyle w:val="a3"/>
              <w:spacing w:before="0" w:beforeAutospacing="0" w:after="0" w:afterAutospacing="0"/>
              <w:jc w:val="both"/>
              <w:rPr>
                <w:rFonts w:ascii="Calibri" w:hAnsi="Calibri" w:cs="Calibri"/>
                <w:sz w:val="20"/>
                <w:szCs w:val="20"/>
              </w:rPr>
            </w:pPr>
            <w:hyperlink r:id="rId21" w:history="1">
              <w:r>
                <w:rPr>
                  <w:rStyle w:val="a4"/>
                  <w:rFonts w:ascii="Calibri" w:hAnsi="Calibri" w:cs="Calibri"/>
                  <w:sz w:val="20"/>
                  <w:szCs w:val="20"/>
                </w:rPr>
                <w:t>Description of Oracle Corporation’s Securities Registered Under Section 12 of the Exchange Act</w:t>
              </w:r>
            </w:hyperlink>
          </w:p>
        </w:tc>
        <w:tc>
          <w:tcPr>
            <w:tcW w:w="34" w:type="pct"/>
            <w:shd w:val="clear" w:color="auto" w:fill="FFFFFF"/>
            <w:tcMar>
              <w:top w:w="15" w:type="dxa"/>
              <w:left w:w="0" w:type="dxa"/>
              <w:bottom w:w="0" w:type="dxa"/>
              <w:right w:w="15" w:type="dxa"/>
            </w:tcMar>
            <w:vAlign w:val="bottom"/>
            <w:hideMark/>
          </w:tcPr>
          <w:p w14:paraId="492E98B9"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1BA5D55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43F52B50"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2F8B805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5C67E9E"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AF4290B"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3D78D4D"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7F5471A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598F3B9"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37CAFB51" w14:textId="77777777" w:rsidR="00251D72" w:rsidRDefault="00251D72">
            <w:pPr>
              <w:pStyle w:val="a3"/>
              <w:spacing w:before="0" w:beforeAutospacing="0" w:after="0" w:afterAutospacing="0"/>
              <w:jc w:val="center"/>
            </w:pPr>
            <w:r>
              <w:t> </w:t>
            </w:r>
          </w:p>
        </w:tc>
      </w:tr>
      <w:tr w:rsidR="00251D72" w14:paraId="236A9730" w14:textId="77777777">
        <w:trPr>
          <w:divId w:val="1187598821"/>
          <w:jc w:val="center"/>
        </w:trPr>
        <w:tc>
          <w:tcPr>
            <w:tcW w:w="348" w:type="pct"/>
            <w:shd w:val="clear" w:color="auto" w:fill="FFFFFF"/>
            <w:tcMar>
              <w:top w:w="15" w:type="dxa"/>
              <w:left w:w="0" w:type="dxa"/>
              <w:bottom w:w="0" w:type="dxa"/>
              <w:right w:w="15" w:type="dxa"/>
            </w:tcMar>
            <w:hideMark/>
          </w:tcPr>
          <w:p w14:paraId="142843C1" w14:textId="77777777" w:rsidR="00251D72" w:rsidRDefault="00251D72">
            <w:pPr>
              <w:pStyle w:val="a3"/>
              <w:spacing w:before="0" w:beforeAutospacing="0" w:after="0" w:afterAutospacing="0"/>
            </w:pPr>
            <w:r>
              <w:t> </w:t>
            </w:r>
          </w:p>
        </w:tc>
        <w:tc>
          <w:tcPr>
            <w:tcW w:w="28" w:type="pct"/>
            <w:shd w:val="clear" w:color="auto" w:fill="FFFFFF"/>
            <w:tcMar>
              <w:top w:w="15" w:type="dxa"/>
              <w:left w:w="0" w:type="dxa"/>
              <w:bottom w:w="0" w:type="dxa"/>
              <w:right w:w="15" w:type="dxa"/>
            </w:tcMar>
            <w:vAlign w:val="bottom"/>
            <w:hideMark/>
          </w:tcPr>
          <w:p w14:paraId="67BBF7DD"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3120B9D5" w14:textId="77777777" w:rsidR="00251D72" w:rsidRDefault="00251D72">
            <w:pPr>
              <w:pStyle w:val="a3"/>
              <w:spacing w:before="0" w:beforeAutospacing="0" w:after="0" w:afterAutospacing="0"/>
              <w:jc w:val="both"/>
              <w:rPr>
                <w:sz w:val="20"/>
                <w:szCs w:val="20"/>
              </w:rPr>
            </w:pPr>
            <w:r>
              <w:rPr>
                <w:sz w:val="20"/>
                <w:szCs w:val="20"/>
              </w:rPr>
              <w:t> </w:t>
            </w:r>
          </w:p>
        </w:tc>
        <w:tc>
          <w:tcPr>
            <w:tcW w:w="34" w:type="pct"/>
            <w:shd w:val="clear" w:color="auto" w:fill="FFFFFF"/>
            <w:tcMar>
              <w:top w:w="15" w:type="dxa"/>
              <w:left w:w="0" w:type="dxa"/>
              <w:bottom w:w="0" w:type="dxa"/>
              <w:right w:w="15" w:type="dxa"/>
            </w:tcMar>
            <w:vAlign w:val="bottom"/>
            <w:hideMark/>
          </w:tcPr>
          <w:p w14:paraId="4F85E8C2"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5F3F462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1972FA52"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6AF9DF7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EFE1972"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4522D5CC"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470D377"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576D6CB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BEFDB28"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5BB755FC" w14:textId="77777777" w:rsidR="00251D72" w:rsidRDefault="00251D72">
            <w:pPr>
              <w:pStyle w:val="a3"/>
              <w:spacing w:before="0" w:beforeAutospacing="0" w:after="0" w:afterAutospacing="0"/>
              <w:jc w:val="center"/>
            </w:pPr>
            <w:r>
              <w:t> </w:t>
            </w:r>
          </w:p>
        </w:tc>
      </w:tr>
      <w:tr w:rsidR="00251D72" w14:paraId="6625D035" w14:textId="77777777">
        <w:trPr>
          <w:divId w:val="1187598821"/>
          <w:jc w:val="center"/>
        </w:trPr>
        <w:tc>
          <w:tcPr>
            <w:tcW w:w="348" w:type="pct"/>
            <w:shd w:val="clear" w:color="auto" w:fill="FFFFFF"/>
            <w:tcMar>
              <w:top w:w="15" w:type="dxa"/>
              <w:left w:w="0" w:type="dxa"/>
              <w:bottom w:w="0" w:type="dxa"/>
              <w:right w:w="15" w:type="dxa"/>
            </w:tcMar>
            <w:hideMark/>
          </w:tcPr>
          <w:p w14:paraId="4B36E2D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10.01*</w:t>
            </w:r>
          </w:p>
        </w:tc>
        <w:tc>
          <w:tcPr>
            <w:tcW w:w="28" w:type="pct"/>
            <w:shd w:val="clear" w:color="auto" w:fill="FFFFFF"/>
            <w:tcMar>
              <w:top w:w="15" w:type="dxa"/>
              <w:left w:w="0" w:type="dxa"/>
              <w:bottom w:w="0" w:type="dxa"/>
              <w:right w:w="15" w:type="dxa"/>
            </w:tcMar>
            <w:vAlign w:val="bottom"/>
            <w:hideMark/>
          </w:tcPr>
          <w:p w14:paraId="13A8C96B"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4D43BEA6" w14:textId="77777777" w:rsidR="00251D72" w:rsidRDefault="00251D72">
            <w:pPr>
              <w:pStyle w:val="a3"/>
              <w:spacing w:before="0" w:beforeAutospacing="0" w:after="0" w:afterAutospacing="0"/>
              <w:jc w:val="both"/>
              <w:rPr>
                <w:rFonts w:ascii="Calibri" w:hAnsi="Calibri" w:cs="Calibri"/>
                <w:sz w:val="20"/>
                <w:szCs w:val="20"/>
              </w:rPr>
            </w:pPr>
            <w:hyperlink r:id="rId22" w:history="1">
              <w:r>
                <w:rPr>
                  <w:rStyle w:val="a4"/>
                  <w:rFonts w:ascii="Calibri" w:hAnsi="Calibri" w:cs="Calibri"/>
                  <w:sz w:val="20"/>
                  <w:szCs w:val="20"/>
                </w:rPr>
                <w:t>Oracle Corporation Deferred Compensation Plan, as amended and restated as of July 1, 2015</w:t>
              </w:r>
            </w:hyperlink>
          </w:p>
        </w:tc>
        <w:tc>
          <w:tcPr>
            <w:tcW w:w="34" w:type="pct"/>
            <w:shd w:val="clear" w:color="auto" w:fill="FFFFFF"/>
            <w:tcMar>
              <w:top w:w="15" w:type="dxa"/>
              <w:left w:w="0" w:type="dxa"/>
              <w:bottom w:w="0" w:type="dxa"/>
              <w:right w:w="15" w:type="dxa"/>
            </w:tcMar>
            <w:vAlign w:val="bottom"/>
            <w:hideMark/>
          </w:tcPr>
          <w:p w14:paraId="3AF5C9A9"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02462CB1"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left w:w="0" w:type="dxa"/>
              <w:bottom w:w="0" w:type="dxa"/>
              <w:right w:w="15" w:type="dxa"/>
            </w:tcMar>
            <w:vAlign w:val="bottom"/>
            <w:hideMark/>
          </w:tcPr>
          <w:p w14:paraId="592D430A"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3871AE1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7C2FFEC4"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584DACA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10.01</w:t>
            </w:r>
          </w:p>
        </w:tc>
        <w:tc>
          <w:tcPr>
            <w:tcW w:w="34" w:type="pct"/>
            <w:shd w:val="clear" w:color="auto" w:fill="FFFFFF"/>
            <w:tcMar>
              <w:top w:w="15" w:type="dxa"/>
              <w:left w:w="0" w:type="dxa"/>
              <w:bottom w:w="0" w:type="dxa"/>
              <w:right w:w="15" w:type="dxa"/>
            </w:tcMar>
            <w:hideMark/>
          </w:tcPr>
          <w:p w14:paraId="36E62BE9"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372F52ED"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9/18/15</w:t>
            </w:r>
          </w:p>
        </w:tc>
        <w:tc>
          <w:tcPr>
            <w:tcW w:w="34" w:type="pct"/>
            <w:shd w:val="clear" w:color="auto" w:fill="FFFFFF"/>
            <w:tcMar>
              <w:top w:w="15" w:type="dxa"/>
              <w:left w:w="0" w:type="dxa"/>
              <w:bottom w:w="0" w:type="dxa"/>
              <w:right w:w="15" w:type="dxa"/>
            </w:tcMar>
            <w:hideMark/>
          </w:tcPr>
          <w:p w14:paraId="2D8D1A4D"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1936CB66"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6826A1C9" w14:textId="77777777">
        <w:trPr>
          <w:divId w:val="1187598821"/>
          <w:jc w:val="center"/>
        </w:trPr>
        <w:tc>
          <w:tcPr>
            <w:tcW w:w="348" w:type="pct"/>
            <w:shd w:val="clear" w:color="auto" w:fill="FFFFFF"/>
            <w:tcMar>
              <w:top w:w="15" w:type="dxa"/>
              <w:left w:w="0" w:type="dxa"/>
              <w:bottom w:w="0" w:type="dxa"/>
              <w:right w:w="15" w:type="dxa"/>
            </w:tcMar>
            <w:hideMark/>
          </w:tcPr>
          <w:p w14:paraId="53B17E62"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5B4A5C7A"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4ECA9D38"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4DFE5292"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30B29417"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4DE80328"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58CDF65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0703527"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1BB4194C"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73B4376"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6797F15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B117609"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77EA074A" w14:textId="77777777" w:rsidR="00251D72" w:rsidRDefault="00251D72">
            <w:pPr>
              <w:pStyle w:val="a3"/>
              <w:spacing w:before="0" w:beforeAutospacing="0" w:after="0" w:afterAutospacing="0"/>
              <w:jc w:val="center"/>
            </w:pPr>
            <w:r>
              <w:t> </w:t>
            </w:r>
          </w:p>
        </w:tc>
      </w:tr>
      <w:tr w:rsidR="00251D72" w14:paraId="10765ED8" w14:textId="77777777">
        <w:trPr>
          <w:divId w:val="1187598821"/>
          <w:jc w:val="center"/>
        </w:trPr>
        <w:tc>
          <w:tcPr>
            <w:tcW w:w="348" w:type="pct"/>
            <w:shd w:val="clear" w:color="auto" w:fill="FFFFFF"/>
            <w:tcMar>
              <w:top w:w="15" w:type="dxa"/>
              <w:left w:w="0" w:type="dxa"/>
              <w:bottom w:w="0" w:type="dxa"/>
              <w:right w:w="15" w:type="dxa"/>
            </w:tcMar>
            <w:hideMark/>
          </w:tcPr>
          <w:p w14:paraId="2D197842"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10.02*</w:t>
            </w:r>
          </w:p>
        </w:tc>
        <w:tc>
          <w:tcPr>
            <w:tcW w:w="28" w:type="pct"/>
            <w:shd w:val="clear" w:color="auto" w:fill="FFFFFF"/>
            <w:tcMar>
              <w:top w:w="15" w:type="dxa"/>
              <w:left w:w="0" w:type="dxa"/>
              <w:bottom w:w="0" w:type="dxa"/>
              <w:right w:w="15" w:type="dxa"/>
            </w:tcMar>
            <w:vAlign w:val="bottom"/>
            <w:hideMark/>
          </w:tcPr>
          <w:p w14:paraId="4527467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0EC6BF1D" w14:textId="77777777" w:rsidR="00251D72" w:rsidRDefault="00251D72">
            <w:pPr>
              <w:pStyle w:val="a3"/>
              <w:spacing w:before="0" w:beforeAutospacing="0" w:after="0" w:afterAutospacing="0"/>
              <w:jc w:val="both"/>
              <w:rPr>
                <w:rFonts w:ascii="Calibri" w:hAnsi="Calibri" w:cs="Calibri"/>
                <w:sz w:val="20"/>
                <w:szCs w:val="20"/>
              </w:rPr>
            </w:pPr>
            <w:hyperlink r:id="rId23" w:history="1">
              <w:r>
                <w:rPr>
                  <w:rStyle w:val="a4"/>
                  <w:rFonts w:ascii="Calibri" w:hAnsi="Calibri" w:cs="Calibri"/>
                  <w:sz w:val="20"/>
                  <w:szCs w:val="20"/>
                </w:rPr>
                <w:t>Oracle Corporation Employee Stock Purchase Plan (1992), as amended and restated as of October 1, 2009</w:t>
              </w:r>
            </w:hyperlink>
          </w:p>
        </w:tc>
        <w:tc>
          <w:tcPr>
            <w:tcW w:w="34" w:type="pct"/>
            <w:shd w:val="clear" w:color="auto" w:fill="FFFFFF"/>
            <w:tcMar>
              <w:top w:w="15" w:type="dxa"/>
              <w:left w:w="0" w:type="dxa"/>
              <w:bottom w:w="0" w:type="dxa"/>
              <w:right w:w="15" w:type="dxa"/>
            </w:tcMar>
            <w:vAlign w:val="bottom"/>
            <w:hideMark/>
          </w:tcPr>
          <w:p w14:paraId="799E6F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4E23F71D"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10-K</w:t>
            </w:r>
          </w:p>
        </w:tc>
        <w:tc>
          <w:tcPr>
            <w:tcW w:w="34" w:type="pct"/>
            <w:shd w:val="clear" w:color="auto" w:fill="FFFFFF"/>
            <w:tcMar>
              <w:top w:w="15" w:type="dxa"/>
              <w:left w:w="0" w:type="dxa"/>
              <w:bottom w:w="0" w:type="dxa"/>
              <w:right w:w="15" w:type="dxa"/>
            </w:tcMar>
            <w:vAlign w:val="bottom"/>
            <w:hideMark/>
          </w:tcPr>
          <w:p w14:paraId="54CBFEC2"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30F92F8B"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left w:w="0" w:type="dxa"/>
              <w:bottom w:w="0" w:type="dxa"/>
              <w:right w:w="15" w:type="dxa"/>
            </w:tcMar>
            <w:hideMark/>
          </w:tcPr>
          <w:p w14:paraId="62A1C3E2"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2E48D8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10.02</w:t>
            </w:r>
          </w:p>
        </w:tc>
        <w:tc>
          <w:tcPr>
            <w:tcW w:w="34" w:type="pct"/>
            <w:shd w:val="clear" w:color="auto" w:fill="FFFFFF"/>
            <w:tcMar>
              <w:top w:w="15" w:type="dxa"/>
              <w:left w:w="0" w:type="dxa"/>
              <w:bottom w:w="0" w:type="dxa"/>
              <w:right w:w="15" w:type="dxa"/>
            </w:tcMar>
            <w:hideMark/>
          </w:tcPr>
          <w:p w14:paraId="4515E7AE"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7465D93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7/1/10</w:t>
            </w:r>
          </w:p>
        </w:tc>
        <w:tc>
          <w:tcPr>
            <w:tcW w:w="34" w:type="pct"/>
            <w:shd w:val="clear" w:color="auto" w:fill="FFFFFF"/>
            <w:tcMar>
              <w:top w:w="15" w:type="dxa"/>
              <w:left w:w="0" w:type="dxa"/>
              <w:bottom w:w="0" w:type="dxa"/>
              <w:right w:w="15" w:type="dxa"/>
            </w:tcMar>
            <w:hideMark/>
          </w:tcPr>
          <w:p w14:paraId="024C3A54"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4166667B"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1AD28531" w14:textId="77777777">
        <w:trPr>
          <w:divId w:val="1187598821"/>
          <w:jc w:val="center"/>
        </w:trPr>
        <w:tc>
          <w:tcPr>
            <w:tcW w:w="348" w:type="pct"/>
            <w:shd w:val="clear" w:color="auto" w:fill="FFFFFF"/>
            <w:tcMar>
              <w:top w:w="15" w:type="dxa"/>
              <w:left w:w="0" w:type="dxa"/>
              <w:bottom w:w="0" w:type="dxa"/>
              <w:right w:w="15" w:type="dxa"/>
            </w:tcMar>
            <w:hideMark/>
          </w:tcPr>
          <w:p w14:paraId="28214D00"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2093CC3F"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610F5F28"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25C26C4E"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2EC1BFF5"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59EDE8C1"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17070A4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42241A7"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13D60D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AB7C76F"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176AA5D3"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168417A"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47A4DD81" w14:textId="77777777" w:rsidR="00251D72" w:rsidRDefault="00251D72">
            <w:pPr>
              <w:pStyle w:val="a3"/>
              <w:spacing w:before="0" w:beforeAutospacing="0" w:after="0" w:afterAutospacing="0"/>
              <w:jc w:val="center"/>
            </w:pPr>
            <w:r>
              <w:t> </w:t>
            </w:r>
          </w:p>
        </w:tc>
      </w:tr>
      <w:tr w:rsidR="00251D72" w14:paraId="658AA16C" w14:textId="77777777">
        <w:trPr>
          <w:divId w:val="1187598821"/>
          <w:jc w:val="center"/>
        </w:trPr>
        <w:tc>
          <w:tcPr>
            <w:tcW w:w="348" w:type="pct"/>
            <w:shd w:val="clear" w:color="auto" w:fill="FFFFFF"/>
            <w:tcMar>
              <w:top w:w="15" w:type="dxa"/>
              <w:left w:w="0" w:type="dxa"/>
              <w:bottom w:w="0" w:type="dxa"/>
              <w:right w:w="15" w:type="dxa"/>
            </w:tcMar>
            <w:hideMark/>
          </w:tcPr>
          <w:p w14:paraId="194C6EC9"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10.03*</w:t>
            </w:r>
          </w:p>
        </w:tc>
        <w:tc>
          <w:tcPr>
            <w:tcW w:w="28" w:type="pct"/>
            <w:shd w:val="clear" w:color="auto" w:fill="FFFFFF"/>
            <w:tcMar>
              <w:top w:w="15" w:type="dxa"/>
              <w:left w:w="0" w:type="dxa"/>
              <w:bottom w:w="0" w:type="dxa"/>
              <w:right w:w="15" w:type="dxa"/>
            </w:tcMar>
            <w:vAlign w:val="bottom"/>
            <w:hideMark/>
          </w:tcPr>
          <w:p w14:paraId="2442E18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34D2969D" w14:textId="77777777" w:rsidR="00251D72" w:rsidRDefault="00251D72">
            <w:pPr>
              <w:pStyle w:val="a3"/>
              <w:spacing w:before="0" w:beforeAutospacing="0" w:after="0" w:afterAutospacing="0"/>
              <w:jc w:val="both"/>
              <w:rPr>
                <w:rFonts w:ascii="Calibri" w:hAnsi="Calibri" w:cs="Calibri"/>
                <w:sz w:val="20"/>
                <w:szCs w:val="20"/>
              </w:rPr>
            </w:pPr>
            <w:hyperlink r:id="rId24" w:history="1">
              <w:r>
                <w:rPr>
                  <w:rStyle w:val="a4"/>
                  <w:rFonts w:ascii="Calibri" w:hAnsi="Calibri" w:cs="Calibri"/>
                  <w:sz w:val="20"/>
                  <w:szCs w:val="20"/>
                </w:rPr>
                <w:t>Oracle Corporation Amended and Restated 1993 Directors’ Stock Plan, as amended and restated on April 29, 2016</w:t>
              </w:r>
            </w:hyperlink>
          </w:p>
        </w:tc>
        <w:tc>
          <w:tcPr>
            <w:tcW w:w="34" w:type="pct"/>
            <w:shd w:val="clear" w:color="auto" w:fill="FFFFFF"/>
            <w:tcMar>
              <w:top w:w="15" w:type="dxa"/>
              <w:left w:w="0" w:type="dxa"/>
              <w:bottom w:w="0" w:type="dxa"/>
              <w:right w:w="15" w:type="dxa"/>
            </w:tcMar>
            <w:vAlign w:val="bottom"/>
            <w:hideMark/>
          </w:tcPr>
          <w:p w14:paraId="0DE8E31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3A5C01CE"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10-K</w:t>
            </w:r>
          </w:p>
        </w:tc>
        <w:tc>
          <w:tcPr>
            <w:tcW w:w="34" w:type="pct"/>
            <w:shd w:val="clear" w:color="auto" w:fill="FFFFFF"/>
            <w:tcMar>
              <w:top w:w="15" w:type="dxa"/>
              <w:left w:w="0" w:type="dxa"/>
              <w:bottom w:w="0" w:type="dxa"/>
              <w:right w:w="15" w:type="dxa"/>
            </w:tcMar>
            <w:vAlign w:val="bottom"/>
            <w:hideMark/>
          </w:tcPr>
          <w:p w14:paraId="76BE149F"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752A215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6C4D803C"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43D6D36"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10.03</w:t>
            </w:r>
          </w:p>
        </w:tc>
        <w:tc>
          <w:tcPr>
            <w:tcW w:w="34" w:type="pct"/>
            <w:shd w:val="clear" w:color="auto" w:fill="FFFFFF"/>
            <w:tcMar>
              <w:top w:w="15" w:type="dxa"/>
              <w:left w:w="0" w:type="dxa"/>
              <w:bottom w:w="0" w:type="dxa"/>
              <w:right w:w="15" w:type="dxa"/>
            </w:tcMar>
            <w:hideMark/>
          </w:tcPr>
          <w:p w14:paraId="7393B4B7"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488B351"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6/22/16</w:t>
            </w:r>
          </w:p>
        </w:tc>
        <w:tc>
          <w:tcPr>
            <w:tcW w:w="34" w:type="pct"/>
            <w:shd w:val="clear" w:color="auto" w:fill="FFFFFF"/>
            <w:tcMar>
              <w:top w:w="15" w:type="dxa"/>
              <w:left w:w="0" w:type="dxa"/>
              <w:bottom w:w="0" w:type="dxa"/>
              <w:right w:w="15" w:type="dxa"/>
            </w:tcMar>
            <w:hideMark/>
          </w:tcPr>
          <w:p w14:paraId="0B53CE05"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29135402"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759BD58D" w14:textId="77777777">
        <w:trPr>
          <w:divId w:val="1187598821"/>
          <w:jc w:val="center"/>
        </w:trPr>
        <w:tc>
          <w:tcPr>
            <w:tcW w:w="348" w:type="pct"/>
            <w:shd w:val="clear" w:color="auto" w:fill="FFFFFF"/>
            <w:tcMar>
              <w:top w:w="15" w:type="dxa"/>
              <w:left w:w="0" w:type="dxa"/>
              <w:bottom w:w="0" w:type="dxa"/>
              <w:right w:w="15" w:type="dxa"/>
            </w:tcMar>
            <w:hideMark/>
          </w:tcPr>
          <w:p w14:paraId="125F9E21"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79420F0F"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76489FB1"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5B234335"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72D63678"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1EF4A137"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29D98C2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9E19CF7"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F4F747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632DC2F"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835B558"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F7AA246"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6EB01ED5" w14:textId="77777777" w:rsidR="00251D72" w:rsidRDefault="00251D72">
            <w:pPr>
              <w:pStyle w:val="a3"/>
              <w:spacing w:before="0" w:beforeAutospacing="0" w:after="0" w:afterAutospacing="0"/>
              <w:jc w:val="center"/>
            </w:pPr>
            <w:r>
              <w:t> </w:t>
            </w:r>
          </w:p>
        </w:tc>
      </w:tr>
      <w:tr w:rsidR="00251D72" w14:paraId="0C706AEF" w14:textId="77777777">
        <w:trPr>
          <w:divId w:val="1187598821"/>
          <w:jc w:val="center"/>
        </w:trPr>
        <w:tc>
          <w:tcPr>
            <w:tcW w:w="348" w:type="pct"/>
            <w:shd w:val="clear" w:color="auto" w:fill="FFFFFF"/>
            <w:tcMar>
              <w:top w:w="15" w:type="dxa"/>
              <w:left w:w="0" w:type="dxa"/>
              <w:bottom w:w="0" w:type="dxa"/>
              <w:right w:w="15" w:type="dxa"/>
            </w:tcMar>
            <w:hideMark/>
          </w:tcPr>
          <w:p w14:paraId="765C6BF2"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10.04*</w:t>
            </w:r>
          </w:p>
        </w:tc>
        <w:tc>
          <w:tcPr>
            <w:tcW w:w="28" w:type="pct"/>
            <w:shd w:val="clear" w:color="auto" w:fill="FFFFFF"/>
            <w:tcMar>
              <w:top w:w="15" w:type="dxa"/>
              <w:left w:w="0" w:type="dxa"/>
              <w:bottom w:w="0" w:type="dxa"/>
              <w:right w:w="15" w:type="dxa"/>
            </w:tcMar>
            <w:vAlign w:val="bottom"/>
            <w:hideMark/>
          </w:tcPr>
          <w:p w14:paraId="52A6082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46933634" w14:textId="77777777" w:rsidR="00251D72" w:rsidRDefault="00251D72">
            <w:pPr>
              <w:pStyle w:val="a3"/>
              <w:spacing w:before="0" w:beforeAutospacing="0" w:after="0" w:afterAutospacing="0"/>
              <w:jc w:val="both"/>
              <w:rPr>
                <w:rFonts w:ascii="Calibri" w:hAnsi="Calibri" w:cs="Calibri"/>
                <w:sz w:val="20"/>
                <w:szCs w:val="20"/>
              </w:rPr>
            </w:pPr>
            <w:hyperlink r:id="rId25" w:history="1">
              <w:r>
                <w:rPr>
                  <w:rStyle w:val="a4"/>
                  <w:rFonts w:ascii="Calibri" w:hAnsi="Calibri" w:cs="Calibri"/>
                  <w:sz w:val="20"/>
                  <w:szCs w:val="20"/>
                </w:rPr>
                <w:t>Amended and Restated 2000 Long-Term Equity Incentive Plan, as approved on November 15, 2017</w:t>
              </w:r>
            </w:hyperlink>
          </w:p>
        </w:tc>
        <w:tc>
          <w:tcPr>
            <w:tcW w:w="34" w:type="pct"/>
            <w:shd w:val="clear" w:color="auto" w:fill="FFFFFF"/>
            <w:tcMar>
              <w:top w:w="15" w:type="dxa"/>
              <w:left w:w="0" w:type="dxa"/>
              <w:bottom w:w="0" w:type="dxa"/>
              <w:right w:w="15" w:type="dxa"/>
            </w:tcMar>
            <w:vAlign w:val="bottom"/>
            <w:hideMark/>
          </w:tcPr>
          <w:p w14:paraId="18933C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638AFC1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65F57F8D"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162B40D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1462E17B"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070E4B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10.04</w:t>
            </w:r>
          </w:p>
        </w:tc>
        <w:tc>
          <w:tcPr>
            <w:tcW w:w="34" w:type="pct"/>
            <w:shd w:val="clear" w:color="auto" w:fill="FFFFFF"/>
            <w:tcMar>
              <w:top w:w="15" w:type="dxa"/>
              <w:left w:w="0" w:type="dxa"/>
              <w:bottom w:w="0" w:type="dxa"/>
              <w:right w:w="15" w:type="dxa"/>
            </w:tcMar>
            <w:hideMark/>
          </w:tcPr>
          <w:p w14:paraId="7602AFFE"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6026A4F9"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11/17/17</w:t>
            </w:r>
          </w:p>
        </w:tc>
        <w:tc>
          <w:tcPr>
            <w:tcW w:w="34" w:type="pct"/>
            <w:shd w:val="clear" w:color="auto" w:fill="FFFFFF"/>
            <w:tcMar>
              <w:top w:w="15" w:type="dxa"/>
              <w:left w:w="0" w:type="dxa"/>
              <w:bottom w:w="0" w:type="dxa"/>
              <w:right w:w="15" w:type="dxa"/>
            </w:tcMar>
            <w:hideMark/>
          </w:tcPr>
          <w:p w14:paraId="4593CE7B"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52651F59"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142C6927" w14:textId="77777777">
        <w:trPr>
          <w:divId w:val="1187598821"/>
          <w:jc w:val="center"/>
        </w:trPr>
        <w:tc>
          <w:tcPr>
            <w:tcW w:w="348" w:type="pct"/>
            <w:shd w:val="clear" w:color="auto" w:fill="FFFFFF"/>
            <w:tcMar>
              <w:top w:w="15" w:type="dxa"/>
              <w:left w:w="0" w:type="dxa"/>
              <w:bottom w:w="0" w:type="dxa"/>
              <w:right w:w="15" w:type="dxa"/>
            </w:tcMar>
            <w:hideMark/>
          </w:tcPr>
          <w:p w14:paraId="4FC2FEE2"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06B8F674"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00D36529"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48DC7F08"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4E022508"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43538204"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75AFB2A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066DE9B"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576C40A"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84B847B"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74263C25"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9DE52FF"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6122EEB4" w14:textId="77777777" w:rsidR="00251D72" w:rsidRDefault="00251D72">
            <w:pPr>
              <w:pStyle w:val="a3"/>
              <w:spacing w:before="0" w:beforeAutospacing="0" w:after="0" w:afterAutospacing="0"/>
              <w:jc w:val="center"/>
            </w:pPr>
            <w:r>
              <w:t> </w:t>
            </w:r>
          </w:p>
        </w:tc>
      </w:tr>
      <w:tr w:rsidR="00251D72" w14:paraId="424DA514" w14:textId="77777777">
        <w:trPr>
          <w:divId w:val="1187598821"/>
          <w:jc w:val="center"/>
        </w:trPr>
        <w:tc>
          <w:tcPr>
            <w:tcW w:w="348" w:type="pct"/>
            <w:shd w:val="clear" w:color="auto" w:fill="FFFFFF"/>
            <w:tcMar>
              <w:top w:w="15" w:type="dxa"/>
              <w:left w:w="0" w:type="dxa"/>
              <w:bottom w:w="0" w:type="dxa"/>
              <w:right w:w="15" w:type="dxa"/>
            </w:tcMar>
            <w:hideMark/>
          </w:tcPr>
          <w:p w14:paraId="06CAB70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10.05*</w:t>
            </w:r>
          </w:p>
        </w:tc>
        <w:tc>
          <w:tcPr>
            <w:tcW w:w="28" w:type="pct"/>
            <w:shd w:val="clear" w:color="auto" w:fill="FFFFFF"/>
            <w:tcMar>
              <w:top w:w="15" w:type="dxa"/>
              <w:left w:w="0" w:type="dxa"/>
              <w:bottom w:w="0" w:type="dxa"/>
              <w:right w:w="15" w:type="dxa"/>
            </w:tcMar>
            <w:vAlign w:val="bottom"/>
            <w:hideMark/>
          </w:tcPr>
          <w:p w14:paraId="29DBD09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70DF3821" w14:textId="77777777" w:rsidR="00251D72" w:rsidRDefault="00251D72">
            <w:pPr>
              <w:pStyle w:val="a3"/>
              <w:spacing w:before="0" w:beforeAutospacing="0" w:after="0" w:afterAutospacing="0"/>
              <w:jc w:val="both"/>
              <w:rPr>
                <w:rFonts w:ascii="Calibri" w:hAnsi="Calibri" w:cs="Calibri"/>
                <w:sz w:val="20"/>
                <w:szCs w:val="20"/>
              </w:rPr>
            </w:pPr>
            <w:hyperlink r:id="rId26" w:history="1">
              <w:r>
                <w:rPr>
                  <w:rStyle w:val="a4"/>
                  <w:rFonts w:ascii="Calibri" w:hAnsi="Calibri" w:cs="Calibri"/>
                  <w:sz w:val="20"/>
                  <w:szCs w:val="20"/>
                </w:rPr>
                <w:t>Form of Stock Option Agreement under the Amended and Restated 2000 Long-Term Equity Incentive Plan for U.S. Executive Vice Presidents and Section 16 Officers</w:t>
              </w:r>
            </w:hyperlink>
          </w:p>
        </w:tc>
        <w:tc>
          <w:tcPr>
            <w:tcW w:w="34" w:type="pct"/>
            <w:shd w:val="clear" w:color="auto" w:fill="FFFFFF"/>
            <w:tcMar>
              <w:top w:w="15" w:type="dxa"/>
              <w:left w:w="0" w:type="dxa"/>
              <w:bottom w:w="0" w:type="dxa"/>
              <w:right w:w="15" w:type="dxa"/>
            </w:tcMar>
            <w:vAlign w:val="bottom"/>
            <w:hideMark/>
          </w:tcPr>
          <w:p w14:paraId="3E79380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4B686AD8"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left w:w="0" w:type="dxa"/>
              <w:bottom w:w="0" w:type="dxa"/>
              <w:right w:w="15" w:type="dxa"/>
            </w:tcMar>
            <w:vAlign w:val="bottom"/>
            <w:hideMark/>
          </w:tcPr>
          <w:p w14:paraId="7FD7C0AC"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13078F62"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241450AF"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A68184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10.05</w:t>
            </w:r>
          </w:p>
        </w:tc>
        <w:tc>
          <w:tcPr>
            <w:tcW w:w="34" w:type="pct"/>
            <w:shd w:val="clear" w:color="auto" w:fill="FFFFFF"/>
            <w:tcMar>
              <w:top w:w="15" w:type="dxa"/>
              <w:left w:w="0" w:type="dxa"/>
              <w:bottom w:w="0" w:type="dxa"/>
              <w:right w:w="15" w:type="dxa"/>
            </w:tcMar>
            <w:hideMark/>
          </w:tcPr>
          <w:p w14:paraId="46771E73"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62D7FB6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9/18/17</w:t>
            </w:r>
          </w:p>
        </w:tc>
        <w:tc>
          <w:tcPr>
            <w:tcW w:w="34" w:type="pct"/>
            <w:shd w:val="clear" w:color="auto" w:fill="FFFFFF"/>
            <w:tcMar>
              <w:top w:w="15" w:type="dxa"/>
              <w:left w:w="0" w:type="dxa"/>
              <w:bottom w:w="0" w:type="dxa"/>
              <w:right w:w="15" w:type="dxa"/>
            </w:tcMar>
            <w:hideMark/>
          </w:tcPr>
          <w:p w14:paraId="12D40E76"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6C3B8441"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01B8AAD0" w14:textId="77777777">
        <w:trPr>
          <w:divId w:val="1187598821"/>
          <w:jc w:val="center"/>
        </w:trPr>
        <w:tc>
          <w:tcPr>
            <w:tcW w:w="348" w:type="pct"/>
            <w:shd w:val="clear" w:color="auto" w:fill="FFFFFF"/>
            <w:tcMar>
              <w:top w:w="15" w:type="dxa"/>
              <w:left w:w="0" w:type="dxa"/>
              <w:bottom w:w="0" w:type="dxa"/>
              <w:right w:w="15" w:type="dxa"/>
            </w:tcMar>
            <w:hideMark/>
          </w:tcPr>
          <w:p w14:paraId="37C2C6A9"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464C056E"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6D79241A"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5B6ADCCD"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2DA578EB"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401C9E0C"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24E8019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390A490"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0F060B7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5F1D3E0"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595A32CE"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45C018B"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8B4233E" w14:textId="77777777" w:rsidR="00251D72" w:rsidRDefault="00251D72">
            <w:pPr>
              <w:pStyle w:val="a3"/>
              <w:spacing w:before="0" w:beforeAutospacing="0" w:after="0" w:afterAutospacing="0"/>
              <w:jc w:val="center"/>
            </w:pPr>
            <w:r>
              <w:t> </w:t>
            </w:r>
          </w:p>
        </w:tc>
      </w:tr>
      <w:tr w:rsidR="00251D72" w14:paraId="75570F9B" w14:textId="77777777">
        <w:trPr>
          <w:divId w:val="1187598821"/>
          <w:jc w:val="center"/>
        </w:trPr>
        <w:tc>
          <w:tcPr>
            <w:tcW w:w="348" w:type="pct"/>
            <w:shd w:val="clear" w:color="auto" w:fill="FFFFFF"/>
            <w:tcMar>
              <w:top w:w="15" w:type="dxa"/>
              <w:left w:w="0" w:type="dxa"/>
              <w:bottom w:w="0" w:type="dxa"/>
              <w:right w:w="15" w:type="dxa"/>
            </w:tcMar>
            <w:hideMark/>
          </w:tcPr>
          <w:p w14:paraId="247DA443"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10.06*</w:t>
            </w:r>
          </w:p>
        </w:tc>
        <w:tc>
          <w:tcPr>
            <w:tcW w:w="28" w:type="pct"/>
            <w:shd w:val="clear" w:color="auto" w:fill="FFFFFF"/>
            <w:tcMar>
              <w:top w:w="15" w:type="dxa"/>
              <w:left w:w="0" w:type="dxa"/>
              <w:bottom w:w="0" w:type="dxa"/>
              <w:right w:w="15" w:type="dxa"/>
            </w:tcMar>
            <w:vAlign w:val="bottom"/>
            <w:hideMark/>
          </w:tcPr>
          <w:p w14:paraId="031368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1AA64008" w14:textId="77777777" w:rsidR="00251D72" w:rsidRDefault="00251D72">
            <w:pPr>
              <w:pStyle w:val="a3"/>
              <w:spacing w:before="0" w:beforeAutospacing="0" w:after="0" w:afterAutospacing="0"/>
              <w:jc w:val="both"/>
              <w:rPr>
                <w:rFonts w:ascii="Calibri" w:hAnsi="Calibri" w:cs="Calibri"/>
                <w:sz w:val="20"/>
                <w:szCs w:val="20"/>
              </w:rPr>
            </w:pPr>
            <w:hyperlink r:id="rId27" w:history="1">
              <w:r>
                <w:rPr>
                  <w:rStyle w:val="a4"/>
                  <w:rFonts w:ascii="Calibri" w:hAnsi="Calibri" w:cs="Calibri"/>
                  <w:sz w:val="20"/>
                  <w:szCs w:val="20"/>
                </w:rPr>
                <w:t>Form of Stock Option Agreement under the Oracle Corporation Amended and Restated 1993 Directors’ Stock Plan</w:t>
              </w:r>
            </w:hyperlink>
          </w:p>
        </w:tc>
        <w:tc>
          <w:tcPr>
            <w:tcW w:w="34" w:type="pct"/>
            <w:shd w:val="clear" w:color="auto" w:fill="FFFFFF"/>
            <w:tcMar>
              <w:top w:w="15" w:type="dxa"/>
              <w:left w:w="0" w:type="dxa"/>
              <w:bottom w:w="0" w:type="dxa"/>
              <w:right w:w="15" w:type="dxa"/>
            </w:tcMar>
            <w:vAlign w:val="bottom"/>
            <w:hideMark/>
          </w:tcPr>
          <w:p w14:paraId="76F321D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68650E2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10-K</w:t>
            </w:r>
          </w:p>
        </w:tc>
        <w:tc>
          <w:tcPr>
            <w:tcW w:w="34" w:type="pct"/>
            <w:shd w:val="clear" w:color="auto" w:fill="FFFFFF"/>
            <w:tcMar>
              <w:top w:w="15" w:type="dxa"/>
              <w:left w:w="0" w:type="dxa"/>
              <w:bottom w:w="0" w:type="dxa"/>
              <w:right w:w="15" w:type="dxa"/>
            </w:tcMar>
            <w:vAlign w:val="bottom"/>
            <w:hideMark/>
          </w:tcPr>
          <w:p w14:paraId="07DD46CA"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4EF16B9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1EB8EF73"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7C6CAB9"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10.06</w:t>
            </w:r>
          </w:p>
        </w:tc>
        <w:tc>
          <w:tcPr>
            <w:tcW w:w="34" w:type="pct"/>
            <w:shd w:val="clear" w:color="auto" w:fill="FFFFFF"/>
            <w:tcMar>
              <w:top w:w="15" w:type="dxa"/>
              <w:left w:w="0" w:type="dxa"/>
              <w:bottom w:w="0" w:type="dxa"/>
              <w:right w:w="15" w:type="dxa"/>
            </w:tcMar>
            <w:hideMark/>
          </w:tcPr>
          <w:p w14:paraId="605BDAAB"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3EE0CC8E"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6/25/15</w:t>
            </w:r>
          </w:p>
        </w:tc>
        <w:tc>
          <w:tcPr>
            <w:tcW w:w="34" w:type="pct"/>
            <w:shd w:val="clear" w:color="auto" w:fill="FFFFFF"/>
            <w:tcMar>
              <w:top w:w="15" w:type="dxa"/>
              <w:left w:w="0" w:type="dxa"/>
              <w:bottom w:w="0" w:type="dxa"/>
              <w:right w:w="15" w:type="dxa"/>
            </w:tcMar>
            <w:hideMark/>
          </w:tcPr>
          <w:p w14:paraId="511435C8"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F601D7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75FB835D" w14:textId="77777777">
        <w:trPr>
          <w:divId w:val="1187598821"/>
          <w:jc w:val="center"/>
        </w:trPr>
        <w:tc>
          <w:tcPr>
            <w:tcW w:w="348" w:type="pct"/>
            <w:shd w:val="clear" w:color="auto" w:fill="FFFFFF"/>
            <w:tcMar>
              <w:top w:w="15" w:type="dxa"/>
              <w:left w:w="0" w:type="dxa"/>
              <w:bottom w:w="0" w:type="dxa"/>
              <w:right w:w="15" w:type="dxa"/>
            </w:tcMar>
            <w:hideMark/>
          </w:tcPr>
          <w:p w14:paraId="27FEA20C"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6E9B8032"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5E91F633"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209EDC12"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096D5457"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4249511E"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11B9B8A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CECABF7"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E8DF467"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6E5ECCE"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1DBA8F6D"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91D145A"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BA28CAD" w14:textId="77777777" w:rsidR="00251D72" w:rsidRDefault="00251D72">
            <w:pPr>
              <w:pStyle w:val="a3"/>
              <w:spacing w:before="0" w:beforeAutospacing="0" w:after="0" w:afterAutospacing="0"/>
              <w:jc w:val="center"/>
            </w:pPr>
            <w:r>
              <w:t> </w:t>
            </w:r>
          </w:p>
        </w:tc>
      </w:tr>
      <w:tr w:rsidR="00251D72" w14:paraId="7CB39020" w14:textId="77777777">
        <w:trPr>
          <w:divId w:val="1187598821"/>
          <w:jc w:val="center"/>
        </w:trPr>
        <w:tc>
          <w:tcPr>
            <w:tcW w:w="348" w:type="pct"/>
            <w:shd w:val="clear" w:color="auto" w:fill="FFFFFF"/>
            <w:tcMar>
              <w:top w:w="15" w:type="dxa"/>
              <w:left w:w="0" w:type="dxa"/>
              <w:bottom w:w="0" w:type="dxa"/>
              <w:right w:w="15" w:type="dxa"/>
            </w:tcMar>
            <w:hideMark/>
          </w:tcPr>
          <w:p w14:paraId="4CEB81AB"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10.07*</w:t>
            </w:r>
          </w:p>
        </w:tc>
        <w:tc>
          <w:tcPr>
            <w:tcW w:w="28" w:type="pct"/>
            <w:shd w:val="clear" w:color="auto" w:fill="FFFFFF"/>
            <w:tcMar>
              <w:top w:w="15" w:type="dxa"/>
              <w:left w:w="0" w:type="dxa"/>
              <w:bottom w:w="0" w:type="dxa"/>
              <w:right w:w="15" w:type="dxa"/>
            </w:tcMar>
            <w:vAlign w:val="bottom"/>
            <w:hideMark/>
          </w:tcPr>
          <w:p w14:paraId="01DA52C5"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2FA5F448" w14:textId="77777777" w:rsidR="00251D72" w:rsidRDefault="00251D72">
            <w:pPr>
              <w:pStyle w:val="a3"/>
              <w:spacing w:before="0" w:beforeAutospacing="0" w:after="0" w:afterAutospacing="0"/>
              <w:jc w:val="both"/>
              <w:rPr>
                <w:rFonts w:ascii="Calibri" w:hAnsi="Calibri" w:cs="Calibri"/>
                <w:sz w:val="20"/>
                <w:szCs w:val="20"/>
              </w:rPr>
            </w:pPr>
            <w:hyperlink r:id="rId28" w:history="1">
              <w:r>
                <w:rPr>
                  <w:rStyle w:val="a4"/>
                  <w:rFonts w:ascii="Calibri" w:hAnsi="Calibri" w:cs="Calibri"/>
                  <w:sz w:val="20"/>
                  <w:szCs w:val="20"/>
                </w:rPr>
                <w:t>Form of Indemnity Agreement for Directors and Executive Officers</w:t>
              </w:r>
            </w:hyperlink>
          </w:p>
        </w:tc>
        <w:tc>
          <w:tcPr>
            <w:tcW w:w="34" w:type="pct"/>
            <w:shd w:val="clear" w:color="auto" w:fill="FFFFFF"/>
            <w:tcMar>
              <w:top w:w="15" w:type="dxa"/>
              <w:left w:w="0" w:type="dxa"/>
              <w:bottom w:w="0" w:type="dxa"/>
              <w:right w:w="15" w:type="dxa"/>
            </w:tcMar>
            <w:vAlign w:val="bottom"/>
            <w:hideMark/>
          </w:tcPr>
          <w:p w14:paraId="0C99482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6F71AA0D"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left w:w="0" w:type="dxa"/>
              <w:bottom w:w="0" w:type="dxa"/>
              <w:right w:w="15" w:type="dxa"/>
            </w:tcMar>
            <w:vAlign w:val="bottom"/>
            <w:hideMark/>
          </w:tcPr>
          <w:p w14:paraId="7695A32A"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65A17891"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left w:w="0" w:type="dxa"/>
              <w:bottom w:w="0" w:type="dxa"/>
              <w:right w:w="15" w:type="dxa"/>
            </w:tcMar>
            <w:hideMark/>
          </w:tcPr>
          <w:p w14:paraId="7E9B4BAE"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26B35FD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10.07</w:t>
            </w:r>
          </w:p>
        </w:tc>
        <w:tc>
          <w:tcPr>
            <w:tcW w:w="34" w:type="pct"/>
            <w:shd w:val="clear" w:color="auto" w:fill="FFFFFF"/>
            <w:tcMar>
              <w:top w:w="15" w:type="dxa"/>
              <w:left w:w="0" w:type="dxa"/>
              <w:bottom w:w="0" w:type="dxa"/>
              <w:right w:w="15" w:type="dxa"/>
            </w:tcMar>
            <w:hideMark/>
          </w:tcPr>
          <w:p w14:paraId="4A70072E"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6D04E4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12/23/11</w:t>
            </w:r>
          </w:p>
        </w:tc>
        <w:tc>
          <w:tcPr>
            <w:tcW w:w="34" w:type="pct"/>
            <w:shd w:val="clear" w:color="auto" w:fill="FFFFFF"/>
            <w:tcMar>
              <w:top w:w="15" w:type="dxa"/>
              <w:left w:w="0" w:type="dxa"/>
              <w:bottom w:w="0" w:type="dxa"/>
              <w:right w:w="15" w:type="dxa"/>
            </w:tcMar>
            <w:hideMark/>
          </w:tcPr>
          <w:p w14:paraId="40578FBF"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7A3274B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1FB3E758" w14:textId="77777777">
        <w:trPr>
          <w:divId w:val="1187598821"/>
          <w:jc w:val="center"/>
        </w:trPr>
        <w:tc>
          <w:tcPr>
            <w:tcW w:w="348" w:type="pct"/>
            <w:shd w:val="clear" w:color="auto" w:fill="FFFFFF"/>
            <w:tcMar>
              <w:top w:w="15" w:type="dxa"/>
              <w:left w:w="0" w:type="dxa"/>
              <w:bottom w:w="0" w:type="dxa"/>
              <w:right w:w="15" w:type="dxa"/>
            </w:tcMar>
            <w:hideMark/>
          </w:tcPr>
          <w:p w14:paraId="0FAD1623"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7E36EF96"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1C925A82"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35A7015F"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62EC72AD"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23F83688"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0450D787"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C68FA89"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52601EDA"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C8C7D2B"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4AAAAA5"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261557B"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4B192BD8" w14:textId="77777777" w:rsidR="00251D72" w:rsidRDefault="00251D72">
            <w:pPr>
              <w:pStyle w:val="a3"/>
              <w:spacing w:before="0" w:beforeAutospacing="0" w:after="0" w:afterAutospacing="0"/>
              <w:jc w:val="center"/>
            </w:pPr>
            <w:r>
              <w:t> </w:t>
            </w:r>
          </w:p>
        </w:tc>
      </w:tr>
      <w:tr w:rsidR="00251D72" w14:paraId="0EEE7F3F" w14:textId="77777777">
        <w:trPr>
          <w:divId w:val="1187598821"/>
          <w:jc w:val="center"/>
        </w:trPr>
        <w:tc>
          <w:tcPr>
            <w:tcW w:w="348" w:type="pct"/>
            <w:shd w:val="clear" w:color="auto" w:fill="FFFFFF"/>
            <w:tcMar>
              <w:top w:w="15" w:type="dxa"/>
              <w:left w:w="0" w:type="dxa"/>
              <w:bottom w:w="0" w:type="dxa"/>
              <w:right w:w="15" w:type="dxa"/>
            </w:tcMar>
            <w:hideMark/>
          </w:tcPr>
          <w:p w14:paraId="53BEE7B2"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10.08*</w:t>
            </w:r>
          </w:p>
        </w:tc>
        <w:tc>
          <w:tcPr>
            <w:tcW w:w="28" w:type="pct"/>
            <w:shd w:val="clear" w:color="auto" w:fill="FFFFFF"/>
            <w:tcMar>
              <w:top w:w="15" w:type="dxa"/>
              <w:left w:w="0" w:type="dxa"/>
              <w:bottom w:w="0" w:type="dxa"/>
              <w:right w:w="15" w:type="dxa"/>
            </w:tcMar>
            <w:vAlign w:val="bottom"/>
            <w:hideMark/>
          </w:tcPr>
          <w:p w14:paraId="5DCB718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60CE3389" w14:textId="77777777" w:rsidR="00251D72" w:rsidRDefault="00251D72">
            <w:pPr>
              <w:pStyle w:val="a3"/>
              <w:spacing w:before="0" w:beforeAutospacing="0" w:after="0" w:afterAutospacing="0"/>
              <w:jc w:val="both"/>
              <w:rPr>
                <w:rFonts w:ascii="Calibri" w:hAnsi="Calibri" w:cs="Calibri"/>
                <w:sz w:val="20"/>
                <w:szCs w:val="20"/>
              </w:rPr>
            </w:pPr>
            <w:hyperlink r:id="rId29" w:history="1">
              <w:r>
                <w:rPr>
                  <w:rStyle w:val="a4"/>
                  <w:rFonts w:ascii="Calibri" w:hAnsi="Calibri" w:cs="Calibri"/>
                  <w:sz w:val="20"/>
                  <w:szCs w:val="20"/>
                </w:rPr>
                <w:t>Offer letter dated September 2, 2010 to Mark V. Hurd and employment agreement dated September 3, 2010</w:t>
              </w:r>
            </w:hyperlink>
          </w:p>
        </w:tc>
        <w:tc>
          <w:tcPr>
            <w:tcW w:w="34" w:type="pct"/>
            <w:shd w:val="clear" w:color="auto" w:fill="FFFFFF"/>
            <w:tcMar>
              <w:top w:w="15" w:type="dxa"/>
              <w:left w:w="0" w:type="dxa"/>
              <w:bottom w:w="0" w:type="dxa"/>
              <w:right w:w="15" w:type="dxa"/>
            </w:tcMar>
            <w:vAlign w:val="bottom"/>
            <w:hideMark/>
          </w:tcPr>
          <w:p w14:paraId="619BE828"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35263B1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left w:w="0" w:type="dxa"/>
              <w:bottom w:w="0" w:type="dxa"/>
              <w:right w:w="15" w:type="dxa"/>
            </w:tcMar>
            <w:vAlign w:val="bottom"/>
            <w:hideMark/>
          </w:tcPr>
          <w:p w14:paraId="16B6E004"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00BCC56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left w:w="0" w:type="dxa"/>
              <w:bottom w:w="0" w:type="dxa"/>
              <w:right w:w="15" w:type="dxa"/>
            </w:tcMar>
            <w:hideMark/>
          </w:tcPr>
          <w:p w14:paraId="64EEEDD7"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D274BFD"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10.28</w:t>
            </w:r>
          </w:p>
        </w:tc>
        <w:tc>
          <w:tcPr>
            <w:tcW w:w="34" w:type="pct"/>
            <w:shd w:val="clear" w:color="auto" w:fill="FFFFFF"/>
            <w:tcMar>
              <w:top w:w="15" w:type="dxa"/>
              <w:left w:w="0" w:type="dxa"/>
              <w:bottom w:w="0" w:type="dxa"/>
              <w:right w:w="15" w:type="dxa"/>
            </w:tcMar>
            <w:hideMark/>
          </w:tcPr>
          <w:p w14:paraId="279B0A05"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1DC24E2"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9/8/10</w:t>
            </w:r>
          </w:p>
        </w:tc>
        <w:tc>
          <w:tcPr>
            <w:tcW w:w="34" w:type="pct"/>
            <w:shd w:val="clear" w:color="auto" w:fill="FFFFFF"/>
            <w:tcMar>
              <w:top w:w="15" w:type="dxa"/>
              <w:left w:w="0" w:type="dxa"/>
              <w:bottom w:w="0" w:type="dxa"/>
              <w:right w:w="15" w:type="dxa"/>
            </w:tcMar>
            <w:hideMark/>
          </w:tcPr>
          <w:p w14:paraId="757F9504"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3A84AD0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0D4AA95A" w14:textId="77777777">
        <w:trPr>
          <w:divId w:val="1187598821"/>
          <w:jc w:val="center"/>
        </w:trPr>
        <w:tc>
          <w:tcPr>
            <w:tcW w:w="348" w:type="pct"/>
            <w:shd w:val="clear" w:color="auto" w:fill="FFFFFF"/>
            <w:tcMar>
              <w:top w:w="15" w:type="dxa"/>
              <w:left w:w="0" w:type="dxa"/>
              <w:bottom w:w="0" w:type="dxa"/>
              <w:right w:w="15" w:type="dxa"/>
            </w:tcMar>
            <w:hideMark/>
          </w:tcPr>
          <w:p w14:paraId="6E9452F9"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4B401869"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74F55B05"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03B1B7B8"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53E1CCB5"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187724CE"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2DCBBFA4"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C83B105"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632B00BB"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3C7DFC7"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25E0809A"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0B26D56"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48194A78" w14:textId="77777777" w:rsidR="00251D72" w:rsidRDefault="00251D72">
            <w:pPr>
              <w:pStyle w:val="a3"/>
              <w:spacing w:before="0" w:beforeAutospacing="0" w:after="0" w:afterAutospacing="0"/>
              <w:jc w:val="center"/>
            </w:pPr>
            <w:r>
              <w:t> </w:t>
            </w:r>
          </w:p>
        </w:tc>
      </w:tr>
      <w:tr w:rsidR="00251D72" w14:paraId="53F8EB09" w14:textId="77777777">
        <w:trPr>
          <w:divId w:val="1187598821"/>
          <w:jc w:val="center"/>
        </w:trPr>
        <w:tc>
          <w:tcPr>
            <w:tcW w:w="348" w:type="pct"/>
            <w:shd w:val="clear" w:color="auto" w:fill="FFFFFF"/>
            <w:tcMar>
              <w:top w:w="15" w:type="dxa"/>
              <w:left w:w="0" w:type="dxa"/>
              <w:bottom w:w="0" w:type="dxa"/>
              <w:right w:w="15" w:type="dxa"/>
            </w:tcMar>
            <w:hideMark/>
          </w:tcPr>
          <w:p w14:paraId="044F875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10.09*</w:t>
            </w:r>
          </w:p>
        </w:tc>
        <w:tc>
          <w:tcPr>
            <w:tcW w:w="28" w:type="pct"/>
            <w:shd w:val="clear" w:color="auto" w:fill="FFFFFF"/>
            <w:tcMar>
              <w:top w:w="15" w:type="dxa"/>
              <w:left w:w="0" w:type="dxa"/>
              <w:bottom w:w="0" w:type="dxa"/>
              <w:right w:w="15" w:type="dxa"/>
            </w:tcMar>
            <w:vAlign w:val="bottom"/>
            <w:hideMark/>
          </w:tcPr>
          <w:p w14:paraId="7A06C294"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7063A2A5" w14:textId="77777777" w:rsidR="00251D72" w:rsidRDefault="00251D72">
            <w:pPr>
              <w:pStyle w:val="a3"/>
              <w:spacing w:before="0" w:beforeAutospacing="0" w:after="0" w:afterAutospacing="0"/>
              <w:jc w:val="both"/>
              <w:rPr>
                <w:rFonts w:ascii="Calibri" w:hAnsi="Calibri" w:cs="Calibri"/>
                <w:sz w:val="20"/>
                <w:szCs w:val="20"/>
              </w:rPr>
            </w:pPr>
            <w:hyperlink r:id="rId30" w:history="1">
              <w:r>
                <w:rPr>
                  <w:rStyle w:val="a4"/>
                  <w:rFonts w:ascii="Calibri" w:hAnsi="Calibri" w:cs="Calibri"/>
                  <w:sz w:val="20"/>
                  <w:szCs w:val="20"/>
                </w:rPr>
                <w:t>Oracle Corporation Amended and Restated Executive Bonus Plan, as amended and restated as of February 12, 2019</w:t>
              </w:r>
            </w:hyperlink>
          </w:p>
        </w:tc>
        <w:tc>
          <w:tcPr>
            <w:tcW w:w="34" w:type="pct"/>
            <w:shd w:val="clear" w:color="auto" w:fill="FFFFFF"/>
            <w:tcMar>
              <w:top w:w="15" w:type="dxa"/>
              <w:left w:w="0" w:type="dxa"/>
              <w:bottom w:w="0" w:type="dxa"/>
              <w:right w:w="15" w:type="dxa"/>
            </w:tcMar>
            <w:vAlign w:val="bottom"/>
            <w:hideMark/>
          </w:tcPr>
          <w:p w14:paraId="39638F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3B96286E"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left w:w="0" w:type="dxa"/>
              <w:bottom w:w="0" w:type="dxa"/>
              <w:right w:w="15" w:type="dxa"/>
            </w:tcMar>
            <w:vAlign w:val="bottom"/>
            <w:hideMark/>
          </w:tcPr>
          <w:p w14:paraId="0A99E4EC"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4CEFE6D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2A785772"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65BF7BDD"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10.09</w:t>
            </w:r>
          </w:p>
        </w:tc>
        <w:tc>
          <w:tcPr>
            <w:tcW w:w="34" w:type="pct"/>
            <w:shd w:val="clear" w:color="auto" w:fill="FFFFFF"/>
            <w:tcMar>
              <w:top w:w="15" w:type="dxa"/>
              <w:left w:w="0" w:type="dxa"/>
              <w:bottom w:w="0" w:type="dxa"/>
              <w:right w:w="15" w:type="dxa"/>
            </w:tcMar>
            <w:hideMark/>
          </w:tcPr>
          <w:p w14:paraId="7DFFCA1D"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58F9ABE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3/18/19</w:t>
            </w:r>
          </w:p>
        </w:tc>
        <w:tc>
          <w:tcPr>
            <w:tcW w:w="34" w:type="pct"/>
            <w:shd w:val="clear" w:color="auto" w:fill="FFFFFF"/>
            <w:tcMar>
              <w:top w:w="15" w:type="dxa"/>
              <w:left w:w="0" w:type="dxa"/>
              <w:bottom w:w="0" w:type="dxa"/>
              <w:right w:w="15" w:type="dxa"/>
            </w:tcMar>
            <w:hideMark/>
          </w:tcPr>
          <w:p w14:paraId="7D449003"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4A55ADC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599B5780" w14:textId="77777777">
        <w:trPr>
          <w:divId w:val="1187598821"/>
          <w:jc w:val="center"/>
        </w:trPr>
        <w:tc>
          <w:tcPr>
            <w:tcW w:w="348" w:type="pct"/>
            <w:shd w:val="clear" w:color="auto" w:fill="FFFFFF"/>
            <w:tcMar>
              <w:top w:w="15" w:type="dxa"/>
              <w:left w:w="0" w:type="dxa"/>
              <w:bottom w:w="0" w:type="dxa"/>
              <w:right w:w="15" w:type="dxa"/>
            </w:tcMar>
            <w:hideMark/>
          </w:tcPr>
          <w:p w14:paraId="0F5D8B25"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12AFB9E0"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7A7A7906"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4781D34A"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5A939E5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6C2D5A7F"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22F5A88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54E4C22"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67CB8413"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596B0EF"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10E871C"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561FF30"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3B8788E4" w14:textId="77777777" w:rsidR="00251D72" w:rsidRDefault="00251D72">
            <w:pPr>
              <w:pStyle w:val="a3"/>
              <w:spacing w:before="0" w:beforeAutospacing="0" w:after="0" w:afterAutospacing="0"/>
              <w:jc w:val="center"/>
            </w:pPr>
            <w:r>
              <w:t> </w:t>
            </w:r>
          </w:p>
        </w:tc>
      </w:tr>
      <w:tr w:rsidR="00251D72" w14:paraId="3A02C4EB" w14:textId="77777777">
        <w:trPr>
          <w:divId w:val="1187598821"/>
          <w:jc w:val="center"/>
        </w:trPr>
        <w:tc>
          <w:tcPr>
            <w:tcW w:w="348" w:type="pct"/>
            <w:shd w:val="clear" w:color="auto" w:fill="FFFFFF"/>
            <w:tcMar>
              <w:top w:w="15" w:type="dxa"/>
              <w:left w:w="0" w:type="dxa"/>
              <w:bottom w:w="0" w:type="dxa"/>
              <w:right w:w="15" w:type="dxa"/>
            </w:tcMar>
            <w:hideMark/>
          </w:tcPr>
          <w:p w14:paraId="3778A25E"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10.10*</w:t>
            </w:r>
          </w:p>
        </w:tc>
        <w:tc>
          <w:tcPr>
            <w:tcW w:w="28" w:type="pct"/>
            <w:shd w:val="clear" w:color="auto" w:fill="FFFFFF"/>
            <w:tcMar>
              <w:top w:w="15" w:type="dxa"/>
              <w:left w:w="0" w:type="dxa"/>
              <w:bottom w:w="0" w:type="dxa"/>
              <w:right w:w="15" w:type="dxa"/>
            </w:tcMar>
            <w:vAlign w:val="bottom"/>
            <w:hideMark/>
          </w:tcPr>
          <w:p w14:paraId="29F9B3F6"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6B79A69A" w14:textId="77777777" w:rsidR="00251D72" w:rsidRDefault="00251D72">
            <w:pPr>
              <w:pStyle w:val="a3"/>
              <w:spacing w:before="0" w:beforeAutospacing="0" w:after="0" w:afterAutospacing="0"/>
              <w:jc w:val="both"/>
              <w:rPr>
                <w:rFonts w:ascii="Calibri" w:hAnsi="Calibri" w:cs="Calibri"/>
                <w:sz w:val="20"/>
                <w:szCs w:val="20"/>
              </w:rPr>
            </w:pPr>
            <w:hyperlink r:id="rId31" w:history="1">
              <w:r>
                <w:rPr>
                  <w:rStyle w:val="a4"/>
                  <w:rFonts w:ascii="Calibri" w:hAnsi="Calibri" w:cs="Calibri"/>
                  <w:sz w:val="20"/>
                  <w:szCs w:val="20"/>
                </w:rPr>
                <w:t>Oracle Corporation Stock Unit Award Deferred Compensation Plan, as amended and restated as of July 1, 2015</w:t>
              </w:r>
            </w:hyperlink>
          </w:p>
        </w:tc>
        <w:tc>
          <w:tcPr>
            <w:tcW w:w="34" w:type="pct"/>
            <w:shd w:val="clear" w:color="auto" w:fill="FFFFFF"/>
            <w:tcMar>
              <w:top w:w="15" w:type="dxa"/>
              <w:left w:w="0" w:type="dxa"/>
              <w:bottom w:w="0" w:type="dxa"/>
              <w:right w:w="15" w:type="dxa"/>
            </w:tcMar>
            <w:vAlign w:val="bottom"/>
            <w:hideMark/>
          </w:tcPr>
          <w:p w14:paraId="34F951A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5BBEBA0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left w:w="0" w:type="dxa"/>
              <w:bottom w:w="0" w:type="dxa"/>
              <w:right w:w="15" w:type="dxa"/>
            </w:tcMar>
            <w:vAlign w:val="bottom"/>
            <w:hideMark/>
          </w:tcPr>
          <w:p w14:paraId="3EF28AA3"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79BD539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6F3DF4BE"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6E31223"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10.15</w:t>
            </w:r>
          </w:p>
        </w:tc>
        <w:tc>
          <w:tcPr>
            <w:tcW w:w="34" w:type="pct"/>
            <w:shd w:val="clear" w:color="auto" w:fill="FFFFFF"/>
            <w:tcMar>
              <w:top w:w="15" w:type="dxa"/>
              <w:left w:w="0" w:type="dxa"/>
              <w:bottom w:w="0" w:type="dxa"/>
              <w:right w:w="15" w:type="dxa"/>
            </w:tcMar>
            <w:hideMark/>
          </w:tcPr>
          <w:p w14:paraId="403B9EF5"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A4DF97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9/18/15</w:t>
            </w:r>
          </w:p>
        </w:tc>
        <w:tc>
          <w:tcPr>
            <w:tcW w:w="34" w:type="pct"/>
            <w:shd w:val="clear" w:color="auto" w:fill="FFFFFF"/>
            <w:tcMar>
              <w:top w:w="15" w:type="dxa"/>
              <w:left w:w="0" w:type="dxa"/>
              <w:bottom w:w="0" w:type="dxa"/>
              <w:right w:w="15" w:type="dxa"/>
            </w:tcMar>
            <w:hideMark/>
          </w:tcPr>
          <w:p w14:paraId="2C68299E"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33114EA4"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bl>
    <w:p w14:paraId="17492EF6"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121</w:t>
      </w:r>
    </w:p>
    <w:p w14:paraId="6D9B40B2" w14:textId="77777777" w:rsidR="00251D72" w:rsidRDefault="00251D72">
      <w:pPr>
        <w:rPr>
          <w:rFonts w:ascii="Times New Roman" w:eastAsia="Times New Roman" w:hAnsi="Times New Roman" w:cs="Times New Roman"/>
          <w:sz w:val="24"/>
          <w:szCs w:val="24"/>
        </w:rPr>
      </w:pPr>
      <w:r>
        <w:rPr>
          <w:rFonts w:eastAsia="Times New Roman"/>
        </w:rPr>
        <w:pict w14:anchorId="186CBF8B">
          <v:rect id="_x0000_i1147" style="width:415.3pt;height:1.5pt" o:hralign="center" o:hrstd="t" o:hr="t" fillcolor="#a0a0a0" stroked="f"/>
        </w:pict>
      </w:r>
    </w:p>
    <w:p w14:paraId="780DE8BE"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 </w:t>
        </w:r>
      </w:hyperlink>
    </w:p>
    <w:p w14:paraId="48A6B96F"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3F24AD44" w14:textId="77777777" w:rsidR="00251D72" w:rsidRDefault="00251D72">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587"/>
        <w:gridCol w:w="75"/>
        <w:gridCol w:w="2857"/>
        <w:gridCol w:w="75"/>
        <w:gridCol w:w="788"/>
        <w:gridCol w:w="75"/>
        <w:gridCol w:w="790"/>
        <w:gridCol w:w="75"/>
        <w:gridCol w:w="587"/>
        <w:gridCol w:w="75"/>
        <w:gridCol w:w="677"/>
        <w:gridCol w:w="75"/>
        <w:gridCol w:w="1570"/>
      </w:tblGrid>
      <w:tr w:rsidR="00251D72" w14:paraId="2C41BD85" w14:textId="77777777">
        <w:trPr>
          <w:divId w:val="1779179352"/>
          <w:jc w:val="center"/>
        </w:trPr>
        <w:tc>
          <w:tcPr>
            <w:tcW w:w="348" w:type="pct"/>
            <w:shd w:val="clear" w:color="auto" w:fill="FFFFFF"/>
            <w:tcMar>
              <w:top w:w="15" w:type="dxa"/>
              <w:left w:w="0" w:type="dxa"/>
              <w:bottom w:w="0" w:type="dxa"/>
              <w:right w:w="15" w:type="dxa"/>
            </w:tcMar>
            <w:vAlign w:val="bottom"/>
            <w:hideMark/>
          </w:tcPr>
          <w:p w14:paraId="7D17F0A7" w14:textId="77777777" w:rsidR="00251D72" w:rsidRDefault="00251D72">
            <w:pPr>
              <w:pStyle w:val="a3"/>
            </w:pPr>
            <w:r>
              <w:t> </w:t>
            </w:r>
          </w:p>
        </w:tc>
        <w:tc>
          <w:tcPr>
            <w:tcW w:w="28" w:type="pct"/>
            <w:shd w:val="clear" w:color="auto" w:fill="FFFFFF"/>
            <w:tcMar>
              <w:top w:w="15" w:type="dxa"/>
              <w:left w:w="0" w:type="dxa"/>
              <w:bottom w:w="0" w:type="dxa"/>
              <w:right w:w="15" w:type="dxa"/>
            </w:tcMar>
            <w:vAlign w:val="bottom"/>
            <w:hideMark/>
          </w:tcPr>
          <w:p w14:paraId="1A78268A" w14:textId="77777777" w:rsidR="00251D72" w:rsidRDefault="00251D72">
            <w:pPr>
              <w:pStyle w:val="a3"/>
            </w:pPr>
            <w:r>
              <w:t> </w:t>
            </w:r>
          </w:p>
        </w:tc>
        <w:tc>
          <w:tcPr>
            <w:tcW w:w="1777" w:type="pct"/>
            <w:shd w:val="clear" w:color="auto" w:fill="FFFFFF"/>
            <w:tcMar>
              <w:top w:w="15" w:type="dxa"/>
              <w:left w:w="0" w:type="dxa"/>
              <w:bottom w:w="0" w:type="dxa"/>
              <w:right w:w="15" w:type="dxa"/>
            </w:tcMar>
            <w:vAlign w:val="bottom"/>
            <w:hideMark/>
          </w:tcPr>
          <w:p w14:paraId="0E6B36F4" w14:textId="77777777" w:rsidR="00251D72" w:rsidRDefault="00251D72">
            <w:pPr>
              <w:pStyle w:val="a3"/>
            </w:pPr>
            <w:r>
              <w:t> </w:t>
            </w:r>
          </w:p>
        </w:tc>
        <w:tc>
          <w:tcPr>
            <w:tcW w:w="34" w:type="pct"/>
            <w:shd w:val="clear" w:color="auto" w:fill="FFFFFF"/>
            <w:tcMar>
              <w:top w:w="15" w:type="dxa"/>
              <w:left w:w="0" w:type="dxa"/>
              <w:bottom w:w="0" w:type="dxa"/>
              <w:right w:w="15" w:type="dxa"/>
            </w:tcMar>
            <w:vAlign w:val="bottom"/>
            <w:hideMark/>
          </w:tcPr>
          <w:p w14:paraId="4227F8AC" w14:textId="77777777" w:rsidR="00251D72" w:rsidRDefault="00251D72">
            <w:pPr>
              <w:pStyle w:val="a3"/>
            </w:pPr>
            <w:r>
              <w:t> </w:t>
            </w:r>
          </w:p>
        </w:tc>
        <w:tc>
          <w:tcPr>
            <w:tcW w:w="2814" w:type="pct"/>
            <w:gridSpan w:val="9"/>
            <w:tcBorders>
              <w:bottom w:val="single" w:sz="6" w:space="0" w:color="000000"/>
            </w:tcBorders>
            <w:shd w:val="clear" w:color="auto" w:fill="FFFFFF"/>
            <w:tcMar>
              <w:top w:w="15" w:type="dxa"/>
              <w:left w:w="0" w:type="dxa"/>
              <w:bottom w:w="0" w:type="dxa"/>
              <w:right w:w="15" w:type="dxa"/>
            </w:tcMar>
            <w:vAlign w:val="bottom"/>
            <w:hideMark/>
          </w:tcPr>
          <w:p w14:paraId="127BA3A5"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251D72" w14:paraId="51A3057B" w14:textId="77777777">
        <w:trPr>
          <w:divId w:val="1779179352"/>
          <w:jc w:val="center"/>
        </w:trPr>
        <w:tc>
          <w:tcPr>
            <w:tcW w:w="348" w:type="pct"/>
            <w:tcBorders>
              <w:bottom w:val="single" w:sz="6" w:space="0" w:color="000000"/>
            </w:tcBorders>
            <w:shd w:val="clear" w:color="auto" w:fill="FFFFFF"/>
            <w:tcMar>
              <w:top w:w="15" w:type="dxa"/>
              <w:left w:w="0" w:type="dxa"/>
              <w:bottom w:w="0" w:type="dxa"/>
              <w:right w:w="15" w:type="dxa"/>
            </w:tcMar>
            <w:vAlign w:val="bottom"/>
            <w:hideMark/>
          </w:tcPr>
          <w:p w14:paraId="71106337"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8" w:type="pct"/>
            <w:shd w:val="clear" w:color="auto" w:fill="FFFFFF"/>
            <w:tcMar>
              <w:top w:w="15" w:type="dxa"/>
              <w:left w:w="0" w:type="dxa"/>
              <w:bottom w:w="0" w:type="dxa"/>
              <w:right w:w="15" w:type="dxa"/>
            </w:tcMar>
            <w:vAlign w:val="bottom"/>
            <w:hideMark/>
          </w:tcPr>
          <w:p w14:paraId="1CBB3543" w14:textId="77777777" w:rsidR="00251D72" w:rsidRDefault="00251D72">
            <w:pPr>
              <w:pStyle w:val="a3"/>
            </w:pPr>
            <w:r>
              <w:t> </w:t>
            </w:r>
          </w:p>
        </w:tc>
        <w:tc>
          <w:tcPr>
            <w:tcW w:w="1777" w:type="pct"/>
            <w:tcBorders>
              <w:bottom w:val="single" w:sz="6" w:space="0" w:color="000000"/>
            </w:tcBorders>
            <w:shd w:val="clear" w:color="auto" w:fill="FFFFFF"/>
            <w:tcMar>
              <w:top w:w="15" w:type="dxa"/>
              <w:left w:w="0" w:type="dxa"/>
              <w:bottom w:w="0" w:type="dxa"/>
              <w:right w:w="15" w:type="dxa"/>
            </w:tcMar>
            <w:vAlign w:val="bottom"/>
            <w:hideMark/>
          </w:tcPr>
          <w:p w14:paraId="54F6FD9E"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 Description</w:t>
            </w:r>
          </w:p>
        </w:tc>
        <w:tc>
          <w:tcPr>
            <w:tcW w:w="34" w:type="pct"/>
            <w:shd w:val="clear" w:color="auto" w:fill="FFFFFF"/>
            <w:tcMar>
              <w:top w:w="15" w:type="dxa"/>
              <w:left w:w="0" w:type="dxa"/>
              <w:bottom w:w="0" w:type="dxa"/>
              <w:right w:w="15" w:type="dxa"/>
            </w:tcMar>
            <w:vAlign w:val="bottom"/>
            <w:hideMark/>
          </w:tcPr>
          <w:p w14:paraId="226C6BAB" w14:textId="77777777" w:rsidR="00251D72" w:rsidRDefault="00251D72">
            <w:pPr>
              <w:pStyle w:val="a3"/>
            </w:pPr>
            <w:r>
              <w:t> </w:t>
            </w:r>
          </w:p>
        </w:tc>
        <w:tc>
          <w:tcPr>
            <w:tcW w:w="531"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46B4DB9"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13917A71" w14:textId="77777777" w:rsidR="00251D72" w:rsidRDefault="00251D72">
            <w:pPr>
              <w:pStyle w:val="a3"/>
            </w:pPr>
            <w:r>
              <w:t> </w:t>
            </w:r>
          </w:p>
        </w:tc>
        <w:tc>
          <w:tcPr>
            <w:tcW w:w="53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12F86C"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25D129FE" w14:textId="77777777" w:rsidR="00251D72" w:rsidRDefault="00251D72">
            <w:pPr>
              <w:pStyle w:val="a3"/>
            </w:pPr>
            <w:r>
              <w:t> </w:t>
            </w:r>
          </w:p>
        </w:tc>
        <w:tc>
          <w:tcPr>
            <w:tcW w:w="354"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444B82F"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3B5AC4C8" w14:textId="77777777" w:rsidR="00251D72" w:rsidRDefault="00251D72">
            <w:pPr>
              <w:pStyle w:val="a3"/>
            </w:pPr>
            <w:r>
              <w:t> </w:t>
            </w:r>
          </w:p>
        </w:tc>
        <w:tc>
          <w:tcPr>
            <w:tcW w:w="41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3C011A"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4" w:type="pct"/>
            <w:shd w:val="clear" w:color="auto" w:fill="FFFFFF"/>
            <w:tcMar>
              <w:top w:w="15" w:type="dxa"/>
              <w:left w:w="0" w:type="dxa"/>
              <w:bottom w:w="0" w:type="dxa"/>
              <w:right w:w="15" w:type="dxa"/>
            </w:tcMar>
            <w:vAlign w:val="bottom"/>
            <w:hideMark/>
          </w:tcPr>
          <w:p w14:paraId="2D03111F" w14:textId="77777777" w:rsidR="00251D72" w:rsidRDefault="00251D72">
            <w:pPr>
              <w:pStyle w:val="a3"/>
            </w:pPr>
            <w:r>
              <w:t> </w:t>
            </w:r>
          </w:p>
        </w:tc>
        <w:tc>
          <w:tcPr>
            <w:tcW w:w="84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B4A175"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251D72" w14:paraId="5B91203F" w14:textId="77777777">
        <w:trPr>
          <w:divId w:val="1779179352"/>
          <w:jc w:val="center"/>
        </w:trPr>
        <w:tc>
          <w:tcPr>
            <w:tcW w:w="348" w:type="pct"/>
            <w:shd w:val="clear" w:color="auto" w:fill="FFFFFF"/>
            <w:tcMar>
              <w:top w:w="15" w:type="dxa"/>
              <w:left w:w="0" w:type="dxa"/>
              <w:bottom w:w="0" w:type="dxa"/>
              <w:right w:w="15" w:type="dxa"/>
            </w:tcMar>
            <w:hideMark/>
          </w:tcPr>
          <w:p w14:paraId="761622D0"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4A426B51"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711BCFAD"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52FB041A"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02D934C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61CAC69A"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3B31FC0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79D9F17"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44ECD7F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D264226"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FC48BB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230B223"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612ECD91" w14:textId="77777777" w:rsidR="00251D72" w:rsidRDefault="00251D72">
            <w:pPr>
              <w:pStyle w:val="a3"/>
              <w:spacing w:before="0" w:beforeAutospacing="0" w:after="0" w:afterAutospacing="0"/>
              <w:jc w:val="center"/>
            </w:pPr>
            <w:r>
              <w:t> </w:t>
            </w:r>
          </w:p>
        </w:tc>
      </w:tr>
      <w:tr w:rsidR="00251D72" w14:paraId="0F8AC4BC" w14:textId="77777777">
        <w:trPr>
          <w:divId w:val="1779179352"/>
          <w:jc w:val="center"/>
        </w:trPr>
        <w:tc>
          <w:tcPr>
            <w:tcW w:w="348" w:type="pct"/>
            <w:shd w:val="clear" w:color="auto" w:fill="FFFFFF"/>
            <w:tcMar>
              <w:top w:w="15" w:type="dxa"/>
              <w:left w:w="0" w:type="dxa"/>
              <w:bottom w:w="0" w:type="dxa"/>
              <w:right w:w="15" w:type="dxa"/>
            </w:tcMar>
            <w:hideMark/>
          </w:tcPr>
          <w:p w14:paraId="698EF24B"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10.11*</w:t>
            </w:r>
          </w:p>
        </w:tc>
        <w:tc>
          <w:tcPr>
            <w:tcW w:w="28" w:type="pct"/>
            <w:shd w:val="clear" w:color="auto" w:fill="FFFFFF"/>
            <w:tcMar>
              <w:top w:w="15" w:type="dxa"/>
              <w:left w:w="0" w:type="dxa"/>
              <w:bottom w:w="0" w:type="dxa"/>
              <w:right w:w="15" w:type="dxa"/>
            </w:tcMar>
            <w:vAlign w:val="bottom"/>
            <w:hideMark/>
          </w:tcPr>
          <w:p w14:paraId="2BF2062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7EE3F1DE" w14:textId="77777777" w:rsidR="00251D72" w:rsidRDefault="00251D72">
            <w:pPr>
              <w:pStyle w:val="a3"/>
              <w:spacing w:before="0" w:beforeAutospacing="0" w:after="0" w:afterAutospacing="0"/>
              <w:jc w:val="both"/>
              <w:rPr>
                <w:rFonts w:ascii="Calibri" w:hAnsi="Calibri" w:cs="Calibri"/>
                <w:sz w:val="20"/>
                <w:szCs w:val="20"/>
              </w:rPr>
            </w:pPr>
            <w:hyperlink r:id="rId32" w:history="1">
              <w:r>
                <w:rPr>
                  <w:rStyle w:val="a4"/>
                  <w:rFonts w:ascii="Calibri" w:hAnsi="Calibri" w:cs="Calibri"/>
                  <w:sz w:val="20"/>
                  <w:szCs w:val="20"/>
                </w:rPr>
                <w:t>Form of Performance-Based Stock Unit Award Agreement under the Amended and Restated 2000 Long-Term Equity Incentive Plan for Section 16 Officers</w:t>
              </w:r>
            </w:hyperlink>
          </w:p>
        </w:tc>
        <w:tc>
          <w:tcPr>
            <w:tcW w:w="34" w:type="pct"/>
            <w:shd w:val="clear" w:color="auto" w:fill="FFFFFF"/>
            <w:tcMar>
              <w:top w:w="15" w:type="dxa"/>
              <w:left w:w="0" w:type="dxa"/>
              <w:bottom w:w="0" w:type="dxa"/>
              <w:right w:w="15" w:type="dxa"/>
            </w:tcMar>
            <w:vAlign w:val="bottom"/>
            <w:hideMark/>
          </w:tcPr>
          <w:p w14:paraId="09C2C5B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1027BEE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left w:w="0" w:type="dxa"/>
              <w:bottom w:w="0" w:type="dxa"/>
              <w:right w:w="15" w:type="dxa"/>
            </w:tcMar>
            <w:vAlign w:val="bottom"/>
            <w:hideMark/>
          </w:tcPr>
          <w:p w14:paraId="5FD3209F"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41974DE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64945E19"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2AEAD45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10.16</w:t>
            </w:r>
          </w:p>
        </w:tc>
        <w:tc>
          <w:tcPr>
            <w:tcW w:w="34" w:type="pct"/>
            <w:shd w:val="clear" w:color="auto" w:fill="FFFFFF"/>
            <w:tcMar>
              <w:top w:w="15" w:type="dxa"/>
              <w:left w:w="0" w:type="dxa"/>
              <w:bottom w:w="0" w:type="dxa"/>
              <w:right w:w="15" w:type="dxa"/>
            </w:tcMar>
            <w:hideMark/>
          </w:tcPr>
          <w:p w14:paraId="0DE1506C"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17D6FCE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9/23/14</w:t>
            </w:r>
          </w:p>
        </w:tc>
        <w:tc>
          <w:tcPr>
            <w:tcW w:w="34" w:type="pct"/>
            <w:shd w:val="clear" w:color="auto" w:fill="FFFFFF"/>
            <w:tcMar>
              <w:top w:w="15" w:type="dxa"/>
              <w:left w:w="0" w:type="dxa"/>
              <w:bottom w:w="0" w:type="dxa"/>
              <w:right w:w="15" w:type="dxa"/>
            </w:tcMar>
            <w:hideMark/>
          </w:tcPr>
          <w:p w14:paraId="2DB0F034"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77FBBCE6"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6DFCF446" w14:textId="77777777">
        <w:trPr>
          <w:divId w:val="1779179352"/>
          <w:jc w:val="center"/>
        </w:trPr>
        <w:tc>
          <w:tcPr>
            <w:tcW w:w="348" w:type="pct"/>
            <w:shd w:val="clear" w:color="auto" w:fill="FFFFFF"/>
            <w:tcMar>
              <w:top w:w="15" w:type="dxa"/>
              <w:left w:w="0" w:type="dxa"/>
              <w:bottom w:w="0" w:type="dxa"/>
              <w:right w:w="15" w:type="dxa"/>
            </w:tcMar>
            <w:hideMark/>
          </w:tcPr>
          <w:p w14:paraId="59AA1977"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6D9FDAC5"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2898B107"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04CC1DF5"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25A5ED43"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698BF216"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38D3328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946142D"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080BF7E"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563F00A4"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4A08727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11B0AE1"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457D2B8F" w14:textId="77777777" w:rsidR="00251D72" w:rsidRDefault="00251D72">
            <w:pPr>
              <w:pStyle w:val="a3"/>
              <w:spacing w:before="0" w:beforeAutospacing="0" w:after="0" w:afterAutospacing="0"/>
              <w:jc w:val="center"/>
            </w:pPr>
            <w:r>
              <w:t> </w:t>
            </w:r>
          </w:p>
        </w:tc>
      </w:tr>
      <w:tr w:rsidR="00251D72" w14:paraId="543BD2D0" w14:textId="77777777">
        <w:trPr>
          <w:divId w:val="1779179352"/>
          <w:jc w:val="center"/>
        </w:trPr>
        <w:tc>
          <w:tcPr>
            <w:tcW w:w="348" w:type="pct"/>
            <w:shd w:val="clear" w:color="auto" w:fill="FFFFFF"/>
            <w:tcMar>
              <w:top w:w="15" w:type="dxa"/>
              <w:left w:w="0" w:type="dxa"/>
              <w:bottom w:w="0" w:type="dxa"/>
              <w:right w:w="15" w:type="dxa"/>
            </w:tcMar>
            <w:hideMark/>
          </w:tcPr>
          <w:p w14:paraId="1C340DC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10.12*</w:t>
            </w:r>
          </w:p>
        </w:tc>
        <w:tc>
          <w:tcPr>
            <w:tcW w:w="28" w:type="pct"/>
            <w:shd w:val="clear" w:color="auto" w:fill="FFFFFF"/>
            <w:tcMar>
              <w:top w:w="15" w:type="dxa"/>
              <w:left w:w="0" w:type="dxa"/>
              <w:bottom w:w="0" w:type="dxa"/>
              <w:right w:w="15" w:type="dxa"/>
            </w:tcMar>
            <w:vAlign w:val="bottom"/>
            <w:hideMark/>
          </w:tcPr>
          <w:p w14:paraId="140157F3"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1297B1CA" w14:textId="77777777" w:rsidR="00251D72" w:rsidRDefault="00251D72">
            <w:pPr>
              <w:pStyle w:val="a3"/>
              <w:spacing w:before="0" w:beforeAutospacing="0" w:after="0" w:afterAutospacing="0"/>
              <w:jc w:val="both"/>
              <w:rPr>
                <w:rFonts w:ascii="Calibri" w:hAnsi="Calibri" w:cs="Calibri"/>
                <w:sz w:val="20"/>
                <w:szCs w:val="20"/>
              </w:rPr>
            </w:pPr>
            <w:hyperlink r:id="rId33" w:history="1">
              <w:r>
                <w:rPr>
                  <w:rStyle w:val="a4"/>
                  <w:rFonts w:ascii="Calibri" w:hAnsi="Calibri" w:cs="Calibri"/>
                  <w:sz w:val="20"/>
                  <w:szCs w:val="20"/>
                </w:rPr>
                <w:t>Form of Restricted Stock Unit Award Agreement under the Oracle Corporation Amended and Restated 1993 Directors’ Stock Plan</w:t>
              </w:r>
            </w:hyperlink>
          </w:p>
        </w:tc>
        <w:tc>
          <w:tcPr>
            <w:tcW w:w="34" w:type="pct"/>
            <w:shd w:val="clear" w:color="auto" w:fill="FFFFFF"/>
            <w:tcMar>
              <w:top w:w="15" w:type="dxa"/>
              <w:left w:w="0" w:type="dxa"/>
              <w:bottom w:w="0" w:type="dxa"/>
              <w:right w:w="15" w:type="dxa"/>
            </w:tcMar>
            <w:vAlign w:val="bottom"/>
            <w:hideMark/>
          </w:tcPr>
          <w:p w14:paraId="608C41D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7FC5A193"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10-K</w:t>
            </w:r>
          </w:p>
        </w:tc>
        <w:tc>
          <w:tcPr>
            <w:tcW w:w="34" w:type="pct"/>
            <w:shd w:val="clear" w:color="auto" w:fill="FFFFFF"/>
            <w:tcMar>
              <w:top w:w="15" w:type="dxa"/>
              <w:left w:w="0" w:type="dxa"/>
              <w:bottom w:w="0" w:type="dxa"/>
              <w:right w:w="15" w:type="dxa"/>
            </w:tcMar>
            <w:vAlign w:val="bottom"/>
            <w:hideMark/>
          </w:tcPr>
          <w:p w14:paraId="5BD47C83"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01B98E0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468A4D41"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42C27E9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10.17</w:t>
            </w:r>
          </w:p>
        </w:tc>
        <w:tc>
          <w:tcPr>
            <w:tcW w:w="34" w:type="pct"/>
            <w:shd w:val="clear" w:color="auto" w:fill="FFFFFF"/>
            <w:tcMar>
              <w:top w:w="15" w:type="dxa"/>
              <w:left w:w="0" w:type="dxa"/>
              <w:bottom w:w="0" w:type="dxa"/>
              <w:right w:w="15" w:type="dxa"/>
            </w:tcMar>
            <w:hideMark/>
          </w:tcPr>
          <w:p w14:paraId="3A807998"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6DC5A24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6/25/15</w:t>
            </w:r>
          </w:p>
        </w:tc>
        <w:tc>
          <w:tcPr>
            <w:tcW w:w="34" w:type="pct"/>
            <w:shd w:val="clear" w:color="auto" w:fill="FFFFFF"/>
            <w:tcMar>
              <w:top w:w="15" w:type="dxa"/>
              <w:left w:w="0" w:type="dxa"/>
              <w:bottom w:w="0" w:type="dxa"/>
              <w:right w:w="15" w:type="dxa"/>
            </w:tcMar>
            <w:hideMark/>
          </w:tcPr>
          <w:p w14:paraId="51EF1A0A"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5CC6DDE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72019CAF" w14:textId="77777777">
        <w:trPr>
          <w:divId w:val="1779179352"/>
          <w:jc w:val="center"/>
        </w:trPr>
        <w:tc>
          <w:tcPr>
            <w:tcW w:w="348" w:type="pct"/>
            <w:shd w:val="clear" w:color="auto" w:fill="FFFFFF"/>
            <w:tcMar>
              <w:top w:w="15" w:type="dxa"/>
              <w:left w:w="0" w:type="dxa"/>
              <w:bottom w:w="0" w:type="dxa"/>
              <w:right w:w="15" w:type="dxa"/>
            </w:tcMar>
            <w:hideMark/>
          </w:tcPr>
          <w:p w14:paraId="161364FC"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0115CED9"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3CAD1042"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56557B02"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285CE88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0F512CA2"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3829EF0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BC4F2BC"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0DA0D97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EC24792"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2E409A7C"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F7356FE"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6DD4736" w14:textId="77777777" w:rsidR="00251D72" w:rsidRDefault="00251D72">
            <w:pPr>
              <w:pStyle w:val="a3"/>
              <w:spacing w:before="0" w:beforeAutospacing="0" w:after="0" w:afterAutospacing="0"/>
              <w:jc w:val="center"/>
            </w:pPr>
            <w:r>
              <w:t> </w:t>
            </w:r>
          </w:p>
        </w:tc>
      </w:tr>
      <w:tr w:rsidR="00251D72" w14:paraId="31230F22" w14:textId="77777777">
        <w:trPr>
          <w:divId w:val="1779179352"/>
          <w:jc w:val="center"/>
        </w:trPr>
        <w:tc>
          <w:tcPr>
            <w:tcW w:w="348" w:type="pct"/>
            <w:shd w:val="clear" w:color="auto" w:fill="FFFFFF"/>
            <w:tcMar>
              <w:top w:w="15" w:type="dxa"/>
              <w:left w:w="0" w:type="dxa"/>
              <w:bottom w:w="0" w:type="dxa"/>
              <w:right w:w="15" w:type="dxa"/>
            </w:tcMar>
            <w:hideMark/>
          </w:tcPr>
          <w:p w14:paraId="42E4DD03"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10.13*</w:t>
            </w:r>
          </w:p>
        </w:tc>
        <w:tc>
          <w:tcPr>
            <w:tcW w:w="28" w:type="pct"/>
            <w:shd w:val="clear" w:color="auto" w:fill="FFFFFF"/>
            <w:tcMar>
              <w:top w:w="15" w:type="dxa"/>
              <w:left w:w="0" w:type="dxa"/>
              <w:bottom w:w="0" w:type="dxa"/>
              <w:right w:w="15" w:type="dxa"/>
            </w:tcMar>
            <w:vAlign w:val="bottom"/>
            <w:hideMark/>
          </w:tcPr>
          <w:p w14:paraId="60FF843E"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45813BA7" w14:textId="77777777" w:rsidR="00251D72" w:rsidRDefault="00251D72">
            <w:pPr>
              <w:pStyle w:val="a3"/>
              <w:spacing w:before="0" w:beforeAutospacing="0" w:after="0" w:afterAutospacing="0"/>
              <w:jc w:val="both"/>
              <w:rPr>
                <w:rFonts w:ascii="Calibri" w:hAnsi="Calibri" w:cs="Calibri"/>
                <w:sz w:val="20"/>
                <w:szCs w:val="20"/>
              </w:rPr>
            </w:pPr>
            <w:hyperlink r:id="rId34" w:history="1">
              <w:r>
                <w:rPr>
                  <w:rStyle w:val="a4"/>
                  <w:rFonts w:ascii="Calibri" w:hAnsi="Calibri" w:cs="Calibri"/>
                  <w:sz w:val="20"/>
                  <w:szCs w:val="20"/>
                </w:rPr>
                <w:t>Form of Performance-Based Stock Option Agreement under the Amended and Restated 2000 Long-Term Equity Incentive Plan for Named Executive Officers</w:t>
              </w:r>
            </w:hyperlink>
          </w:p>
        </w:tc>
        <w:tc>
          <w:tcPr>
            <w:tcW w:w="34" w:type="pct"/>
            <w:shd w:val="clear" w:color="auto" w:fill="FFFFFF"/>
            <w:tcMar>
              <w:top w:w="15" w:type="dxa"/>
              <w:left w:w="0" w:type="dxa"/>
              <w:bottom w:w="0" w:type="dxa"/>
              <w:right w:w="15" w:type="dxa"/>
            </w:tcMar>
            <w:vAlign w:val="bottom"/>
            <w:hideMark/>
          </w:tcPr>
          <w:p w14:paraId="09DA5C8C"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191D2966"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left w:w="0" w:type="dxa"/>
              <w:bottom w:w="0" w:type="dxa"/>
              <w:right w:w="15" w:type="dxa"/>
            </w:tcMar>
            <w:vAlign w:val="bottom"/>
            <w:hideMark/>
          </w:tcPr>
          <w:p w14:paraId="0EC9ECEC"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7392DC6B"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641EE809"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10B88228"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10.16</w:t>
            </w:r>
          </w:p>
        </w:tc>
        <w:tc>
          <w:tcPr>
            <w:tcW w:w="34" w:type="pct"/>
            <w:shd w:val="clear" w:color="auto" w:fill="FFFFFF"/>
            <w:tcMar>
              <w:top w:w="15" w:type="dxa"/>
              <w:left w:w="0" w:type="dxa"/>
              <w:bottom w:w="0" w:type="dxa"/>
              <w:right w:w="15" w:type="dxa"/>
            </w:tcMar>
            <w:hideMark/>
          </w:tcPr>
          <w:p w14:paraId="1165E6B1"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D4FC39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9/18/17</w:t>
            </w:r>
          </w:p>
        </w:tc>
        <w:tc>
          <w:tcPr>
            <w:tcW w:w="34" w:type="pct"/>
            <w:shd w:val="clear" w:color="auto" w:fill="FFFFFF"/>
            <w:tcMar>
              <w:top w:w="15" w:type="dxa"/>
              <w:left w:w="0" w:type="dxa"/>
              <w:bottom w:w="0" w:type="dxa"/>
              <w:right w:w="15" w:type="dxa"/>
            </w:tcMar>
            <w:hideMark/>
          </w:tcPr>
          <w:p w14:paraId="480EF635"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108293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6113273A" w14:textId="77777777">
        <w:trPr>
          <w:divId w:val="1779179352"/>
          <w:jc w:val="center"/>
        </w:trPr>
        <w:tc>
          <w:tcPr>
            <w:tcW w:w="348" w:type="pct"/>
            <w:shd w:val="clear" w:color="auto" w:fill="FFFFFF"/>
            <w:tcMar>
              <w:top w:w="15" w:type="dxa"/>
              <w:left w:w="0" w:type="dxa"/>
              <w:bottom w:w="0" w:type="dxa"/>
              <w:right w:w="15" w:type="dxa"/>
            </w:tcMar>
            <w:hideMark/>
          </w:tcPr>
          <w:p w14:paraId="29085C80"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40D174FA"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3E816E2E"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066CA44B"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10E792F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1EFDA64F"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03E1EE5C"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D81E1BE"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4ABDF0D8"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3CD587F"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27C8EBA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2057F0B"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7E7C23C" w14:textId="77777777" w:rsidR="00251D72" w:rsidRDefault="00251D72">
            <w:pPr>
              <w:pStyle w:val="a3"/>
              <w:spacing w:before="0" w:beforeAutospacing="0" w:after="0" w:afterAutospacing="0"/>
              <w:jc w:val="center"/>
            </w:pPr>
            <w:r>
              <w:t> </w:t>
            </w:r>
          </w:p>
        </w:tc>
      </w:tr>
      <w:tr w:rsidR="00251D72" w14:paraId="7A7CEEED" w14:textId="77777777">
        <w:trPr>
          <w:divId w:val="1779179352"/>
          <w:jc w:val="center"/>
        </w:trPr>
        <w:tc>
          <w:tcPr>
            <w:tcW w:w="348" w:type="pct"/>
            <w:shd w:val="clear" w:color="auto" w:fill="FFFFFF"/>
            <w:tcMar>
              <w:top w:w="15" w:type="dxa"/>
              <w:left w:w="0" w:type="dxa"/>
              <w:bottom w:w="0" w:type="dxa"/>
              <w:right w:w="15" w:type="dxa"/>
            </w:tcMar>
            <w:hideMark/>
          </w:tcPr>
          <w:p w14:paraId="36D4B516"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10.14*</w:t>
            </w:r>
          </w:p>
        </w:tc>
        <w:tc>
          <w:tcPr>
            <w:tcW w:w="28" w:type="pct"/>
            <w:shd w:val="clear" w:color="auto" w:fill="FFFFFF"/>
            <w:tcMar>
              <w:top w:w="15" w:type="dxa"/>
              <w:left w:w="0" w:type="dxa"/>
              <w:bottom w:w="0" w:type="dxa"/>
              <w:right w:w="15" w:type="dxa"/>
            </w:tcMar>
            <w:vAlign w:val="bottom"/>
            <w:hideMark/>
          </w:tcPr>
          <w:p w14:paraId="1933DEBE"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75F4D904" w14:textId="77777777" w:rsidR="00251D72" w:rsidRDefault="00251D72">
            <w:pPr>
              <w:pStyle w:val="a3"/>
              <w:spacing w:before="0" w:beforeAutospacing="0" w:after="0" w:afterAutospacing="0"/>
              <w:jc w:val="both"/>
              <w:rPr>
                <w:rFonts w:ascii="Calibri" w:hAnsi="Calibri" w:cs="Calibri"/>
                <w:sz w:val="20"/>
                <w:szCs w:val="20"/>
              </w:rPr>
            </w:pPr>
            <w:hyperlink r:id="rId35" w:history="1">
              <w:r>
                <w:rPr>
                  <w:rStyle w:val="a4"/>
                  <w:rFonts w:ascii="Calibri" w:hAnsi="Calibri" w:cs="Calibri"/>
                  <w:sz w:val="20"/>
                  <w:szCs w:val="20"/>
                </w:rPr>
                <w:t>Form of Stock Unit Award Agreement under the Amended and Restated 2000 Long-Term Equity Incentive Plan for U.S. Employees (Including Section 16 Officers)</w:t>
              </w:r>
            </w:hyperlink>
          </w:p>
        </w:tc>
        <w:tc>
          <w:tcPr>
            <w:tcW w:w="34" w:type="pct"/>
            <w:shd w:val="clear" w:color="auto" w:fill="FFFFFF"/>
            <w:tcMar>
              <w:top w:w="15" w:type="dxa"/>
              <w:left w:w="0" w:type="dxa"/>
              <w:bottom w:w="0" w:type="dxa"/>
              <w:right w:w="15" w:type="dxa"/>
            </w:tcMar>
            <w:vAlign w:val="bottom"/>
            <w:hideMark/>
          </w:tcPr>
          <w:p w14:paraId="4D365EEC"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39E44FF0"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left w:w="0" w:type="dxa"/>
              <w:bottom w:w="0" w:type="dxa"/>
              <w:right w:w="15" w:type="dxa"/>
            </w:tcMar>
            <w:vAlign w:val="bottom"/>
            <w:hideMark/>
          </w:tcPr>
          <w:p w14:paraId="06DB799E"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2CD54431"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left w:w="0" w:type="dxa"/>
              <w:bottom w:w="0" w:type="dxa"/>
              <w:right w:w="15" w:type="dxa"/>
            </w:tcMar>
            <w:hideMark/>
          </w:tcPr>
          <w:p w14:paraId="0CA5E292"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52F1BB8D"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10.17</w:t>
            </w:r>
          </w:p>
        </w:tc>
        <w:tc>
          <w:tcPr>
            <w:tcW w:w="34" w:type="pct"/>
            <w:shd w:val="clear" w:color="auto" w:fill="FFFFFF"/>
            <w:tcMar>
              <w:top w:w="15" w:type="dxa"/>
              <w:left w:w="0" w:type="dxa"/>
              <w:bottom w:w="0" w:type="dxa"/>
              <w:right w:w="15" w:type="dxa"/>
            </w:tcMar>
            <w:hideMark/>
          </w:tcPr>
          <w:p w14:paraId="1EB4F920"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1FC5FF7E"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9/18/17</w:t>
            </w:r>
          </w:p>
        </w:tc>
        <w:tc>
          <w:tcPr>
            <w:tcW w:w="34" w:type="pct"/>
            <w:shd w:val="clear" w:color="auto" w:fill="FFFFFF"/>
            <w:tcMar>
              <w:top w:w="15" w:type="dxa"/>
              <w:left w:w="0" w:type="dxa"/>
              <w:bottom w:w="0" w:type="dxa"/>
              <w:right w:w="15" w:type="dxa"/>
            </w:tcMar>
            <w:hideMark/>
          </w:tcPr>
          <w:p w14:paraId="09E74777"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8AD46AC"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251D72" w14:paraId="29DC48D2" w14:textId="77777777">
        <w:trPr>
          <w:divId w:val="1779179352"/>
          <w:jc w:val="center"/>
        </w:trPr>
        <w:tc>
          <w:tcPr>
            <w:tcW w:w="348" w:type="pct"/>
            <w:shd w:val="clear" w:color="auto" w:fill="FFFFFF"/>
            <w:tcMar>
              <w:top w:w="15" w:type="dxa"/>
              <w:left w:w="0" w:type="dxa"/>
              <w:bottom w:w="0" w:type="dxa"/>
              <w:right w:w="15" w:type="dxa"/>
            </w:tcMar>
            <w:hideMark/>
          </w:tcPr>
          <w:p w14:paraId="25E6EE03"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2745C2EE"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3A53F622"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42164FBE"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6CFDFA3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66763500"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5FDC336A"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DAD515C"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1D1706D3"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76D7C4F"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5E46AA4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57FE6B5C"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566989E7" w14:textId="77777777" w:rsidR="00251D72" w:rsidRDefault="00251D72">
            <w:pPr>
              <w:pStyle w:val="a3"/>
              <w:spacing w:before="0" w:beforeAutospacing="0" w:after="0" w:afterAutospacing="0"/>
              <w:jc w:val="center"/>
            </w:pPr>
            <w:r>
              <w:t> </w:t>
            </w:r>
          </w:p>
        </w:tc>
      </w:tr>
      <w:tr w:rsidR="00251D72" w14:paraId="03017D59" w14:textId="77777777">
        <w:trPr>
          <w:divId w:val="1779179352"/>
          <w:jc w:val="center"/>
        </w:trPr>
        <w:tc>
          <w:tcPr>
            <w:tcW w:w="348" w:type="pct"/>
            <w:shd w:val="clear" w:color="auto" w:fill="FFFFFF"/>
            <w:tcMar>
              <w:top w:w="15" w:type="dxa"/>
              <w:left w:w="0" w:type="dxa"/>
              <w:bottom w:w="0" w:type="dxa"/>
              <w:right w:w="15" w:type="dxa"/>
            </w:tcMar>
            <w:hideMark/>
          </w:tcPr>
          <w:p w14:paraId="02E27B55"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21.01‡</w:t>
            </w:r>
          </w:p>
        </w:tc>
        <w:tc>
          <w:tcPr>
            <w:tcW w:w="28" w:type="pct"/>
            <w:shd w:val="clear" w:color="auto" w:fill="FFFFFF"/>
            <w:tcMar>
              <w:top w:w="15" w:type="dxa"/>
              <w:left w:w="0" w:type="dxa"/>
              <w:bottom w:w="0" w:type="dxa"/>
              <w:right w:w="15" w:type="dxa"/>
            </w:tcMar>
            <w:vAlign w:val="bottom"/>
            <w:hideMark/>
          </w:tcPr>
          <w:p w14:paraId="45A2139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75D66C09" w14:textId="77777777" w:rsidR="00251D72" w:rsidRDefault="00251D72">
            <w:pPr>
              <w:pStyle w:val="a3"/>
              <w:spacing w:before="0" w:beforeAutospacing="0" w:after="0" w:afterAutospacing="0"/>
              <w:jc w:val="both"/>
              <w:rPr>
                <w:rFonts w:ascii="Calibri" w:hAnsi="Calibri" w:cs="Calibri"/>
                <w:sz w:val="20"/>
                <w:szCs w:val="20"/>
              </w:rPr>
            </w:pPr>
            <w:hyperlink r:id="rId36" w:history="1">
              <w:r>
                <w:rPr>
                  <w:rStyle w:val="a4"/>
                  <w:rFonts w:ascii="Calibri" w:hAnsi="Calibri" w:cs="Calibri"/>
                  <w:sz w:val="20"/>
                  <w:szCs w:val="20"/>
                </w:rPr>
                <w:t>Subsidiaries of the Registrant</w:t>
              </w:r>
            </w:hyperlink>
          </w:p>
        </w:tc>
        <w:tc>
          <w:tcPr>
            <w:tcW w:w="34" w:type="pct"/>
            <w:shd w:val="clear" w:color="auto" w:fill="FFFFFF"/>
            <w:tcMar>
              <w:top w:w="15" w:type="dxa"/>
              <w:left w:w="0" w:type="dxa"/>
              <w:bottom w:w="0" w:type="dxa"/>
              <w:right w:w="15" w:type="dxa"/>
            </w:tcMar>
            <w:vAlign w:val="bottom"/>
            <w:hideMark/>
          </w:tcPr>
          <w:p w14:paraId="3DFB807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747D38EA"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02FD4C5E"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4A67603B"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AE3861B"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059CC66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A73216C"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5DD6103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837E71D"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13AA3009" w14:textId="77777777" w:rsidR="00251D72" w:rsidRDefault="00251D72">
            <w:pPr>
              <w:pStyle w:val="a3"/>
              <w:spacing w:before="0" w:beforeAutospacing="0" w:after="0" w:afterAutospacing="0"/>
              <w:jc w:val="center"/>
            </w:pPr>
            <w:r>
              <w:t> </w:t>
            </w:r>
          </w:p>
        </w:tc>
      </w:tr>
      <w:tr w:rsidR="00251D72" w14:paraId="27CDB57A" w14:textId="77777777">
        <w:trPr>
          <w:divId w:val="1779179352"/>
          <w:jc w:val="center"/>
        </w:trPr>
        <w:tc>
          <w:tcPr>
            <w:tcW w:w="348" w:type="pct"/>
            <w:shd w:val="clear" w:color="auto" w:fill="FFFFFF"/>
            <w:tcMar>
              <w:top w:w="15" w:type="dxa"/>
              <w:left w:w="0" w:type="dxa"/>
              <w:bottom w:w="0" w:type="dxa"/>
              <w:right w:w="15" w:type="dxa"/>
            </w:tcMar>
            <w:hideMark/>
          </w:tcPr>
          <w:p w14:paraId="6B327C06"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0ACCD0F8"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6E797BF4"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459532E1"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07CDC9AB"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7CBE561F"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2CFADB8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EC46BB0"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406407C5"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588AD952"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61C006F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ED71176"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3BC5A167" w14:textId="77777777" w:rsidR="00251D72" w:rsidRDefault="00251D72">
            <w:pPr>
              <w:pStyle w:val="a3"/>
              <w:spacing w:before="0" w:beforeAutospacing="0" w:after="0" w:afterAutospacing="0"/>
              <w:jc w:val="center"/>
            </w:pPr>
            <w:r>
              <w:t> </w:t>
            </w:r>
          </w:p>
        </w:tc>
      </w:tr>
      <w:tr w:rsidR="00251D72" w14:paraId="13852E4D" w14:textId="77777777">
        <w:trPr>
          <w:divId w:val="1779179352"/>
          <w:jc w:val="center"/>
        </w:trPr>
        <w:tc>
          <w:tcPr>
            <w:tcW w:w="348" w:type="pct"/>
            <w:shd w:val="clear" w:color="auto" w:fill="FFFFFF"/>
            <w:tcMar>
              <w:top w:w="15" w:type="dxa"/>
              <w:left w:w="0" w:type="dxa"/>
              <w:bottom w:w="0" w:type="dxa"/>
              <w:right w:w="15" w:type="dxa"/>
            </w:tcMar>
            <w:hideMark/>
          </w:tcPr>
          <w:p w14:paraId="19B7C09F"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23.01‡</w:t>
            </w:r>
          </w:p>
        </w:tc>
        <w:tc>
          <w:tcPr>
            <w:tcW w:w="28" w:type="pct"/>
            <w:shd w:val="clear" w:color="auto" w:fill="FFFFFF"/>
            <w:tcMar>
              <w:top w:w="15" w:type="dxa"/>
              <w:left w:w="0" w:type="dxa"/>
              <w:bottom w:w="0" w:type="dxa"/>
              <w:right w:w="15" w:type="dxa"/>
            </w:tcMar>
            <w:vAlign w:val="bottom"/>
            <w:hideMark/>
          </w:tcPr>
          <w:p w14:paraId="3965493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7DB57D77" w14:textId="77777777" w:rsidR="00251D72" w:rsidRDefault="00251D72">
            <w:pPr>
              <w:pStyle w:val="a3"/>
              <w:spacing w:before="0" w:beforeAutospacing="0" w:after="0" w:afterAutospacing="0"/>
              <w:jc w:val="both"/>
              <w:rPr>
                <w:rFonts w:ascii="Calibri" w:hAnsi="Calibri" w:cs="Calibri"/>
                <w:sz w:val="20"/>
                <w:szCs w:val="20"/>
              </w:rPr>
            </w:pPr>
            <w:hyperlink r:id="rId37" w:history="1">
              <w:r>
                <w:rPr>
                  <w:rStyle w:val="a4"/>
                  <w:rFonts w:ascii="Calibri" w:hAnsi="Calibri" w:cs="Calibri"/>
                  <w:sz w:val="20"/>
                  <w:szCs w:val="20"/>
                </w:rPr>
                <w:t>Consent of Independent Registered Public Accounting Firm</w:t>
              </w:r>
            </w:hyperlink>
          </w:p>
        </w:tc>
        <w:tc>
          <w:tcPr>
            <w:tcW w:w="34" w:type="pct"/>
            <w:shd w:val="clear" w:color="auto" w:fill="FFFFFF"/>
            <w:tcMar>
              <w:top w:w="15" w:type="dxa"/>
              <w:left w:w="0" w:type="dxa"/>
              <w:bottom w:w="0" w:type="dxa"/>
              <w:right w:w="15" w:type="dxa"/>
            </w:tcMar>
            <w:vAlign w:val="bottom"/>
            <w:hideMark/>
          </w:tcPr>
          <w:p w14:paraId="369B45ED"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7DD66D23"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2625C1F7"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118EEA17"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2B7212A"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680139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A7B43D7"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15E688B8"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817A6C0"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4E64FE86" w14:textId="77777777" w:rsidR="00251D72" w:rsidRDefault="00251D72">
            <w:pPr>
              <w:pStyle w:val="a3"/>
              <w:spacing w:before="0" w:beforeAutospacing="0" w:after="0" w:afterAutospacing="0"/>
              <w:jc w:val="center"/>
            </w:pPr>
            <w:r>
              <w:t> </w:t>
            </w:r>
          </w:p>
        </w:tc>
      </w:tr>
      <w:tr w:rsidR="00251D72" w14:paraId="268A13CC" w14:textId="77777777">
        <w:trPr>
          <w:divId w:val="1779179352"/>
          <w:jc w:val="center"/>
        </w:trPr>
        <w:tc>
          <w:tcPr>
            <w:tcW w:w="348" w:type="pct"/>
            <w:shd w:val="clear" w:color="auto" w:fill="FFFFFF"/>
            <w:tcMar>
              <w:top w:w="15" w:type="dxa"/>
              <w:left w:w="0" w:type="dxa"/>
              <w:bottom w:w="0" w:type="dxa"/>
              <w:right w:w="15" w:type="dxa"/>
            </w:tcMar>
            <w:hideMark/>
          </w:tcPr>
          <w:p w14:paraId="774E0EB8"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0897A561"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3CB02985"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4D359E65"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1D0A62A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32788CD2"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55BF256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10C08AA"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65B52677"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19192B9"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78B6A7D5"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251947D"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5EBA277F" w14:textId="77777777" w:rsidR="00251D72" w:rsidRDefault="00251D72">
            <w:pPr>
              <w:pStyle w:val="a3"/>
              <w:spacing w:before="0" w:beforeAutospacing="0" w:after="0" w:afterAutospacing="0"/>
              <w:jc w:val="center"/>
            </w:pPr>
            <w:r>
              <w:t> </w:t>
            </w:r>
          </w:p>
        </w:tc>
      </w:tr>
      <w:tr w:rsidR="00251D72" w14:paraId="5041A671" w14:textId="77777777">
        <w:trPr>
          <w:divId w:val="1779179352"/>
          <w:jc w:val="center"/>
        </w:trPr>
        <w:tc>
          <w:tcPr>
            <w:tcW w:w="348" w:type="pct"/>
            <w:shd w:val="clear" w:color="auto" w:fill="FFFFFF"/>
            <w:tcMar>
              <w:top w:w="15" w:type="dxa"/>
              <w:left w:w="0" w:type="dxa"/>
              <w:bottom w:w="0" w:type="dxa"/>
              <w:right w:w="15" w:type="dxa"/>
            </w:tcMar>
            <w:hideMark/>
          </w:tcPr>
          <w:p w14:paraId="1A2638B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31.01‡</w:t>
            </w:r>
          </w:p>
        </w:tc>
        <w:tc>
          <w:tcPr>
            <w:tcW w:w="28" w:type="pct"/>
            <w:shd w:val="clear" w:color="auto" w:fill="FFFFFF"/>
            <w:tcMar>
              <w:top w:w="15" w:type="dxa"/>
              <w:left w:w="0" w:type="dxa"/>
              <w:bottom w:w="0" w:type="dxa"/>
              <w:right w:w="15" w:type="dxa"/>
            </w:tcMar>
            <w:vAlign w:val="bottom"/>
            <w:hideMark/>
          </w:tcPr>
          <w:p w14:paraId="475AF337"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07314EF0" w14:textId="77777777" w:rsidR="00251D72" w:rsidRDefault="00251D72">
            <w:pPr>
              <w:pStyle w:val="a3"/>
              <w:spacing w:before="0" w:beforeAutospacing="0" w:after="0" w:afterAutospacing="0"/>
              <w:jc w:val="both"/>
              <w:rPr>
                <w:rFonts w:ascii="Calibri" w:hAnsi="Calibri" w:cs="Calibri"/>
                <w:sz w:val="20"/>
                <w:szCs w:val="20"/>
              </w:rPr>
            </w:pPr>
            <w:hyperlink r:id="rId38" w:history="1">
              <w:r>
                <w:rPr>
                  <w:rStyle w:val="a4"/>
                  <w:rFonts w:ascii="Calibri" w:hAnsi="Calibri" w:cs="Calibri"/>
                  <w:sz w:val="20"/>
                  <w:szCs w:val="20"/>
                </w:rPr>
                <w:t>Rule 13a-14(a)/15d-14(a) Certification of Principal Executive Officer</w:t>
              </w:r>
            </w:hyperlink>
          </w:p>
        </w:tc>
        <w:tc>
          <w:tcPr>
            <w:tcW w:w="34" w:type="pct"/>
            <w:shd w:val="clear" w:color="auto" w:fill="FFFFFF"/>
            <w:tcMar>
              <w:top w:w="15" w:type="dxa"/>
              <w:left w:w="0" w:type="dxa"/>
              <w:bottom w:w="0" w:type="dxa"/>
              <w:right w:w="15" w:type="dxa"/>
            </w:tcMar>
            <w:vAlign w:val="bottom"/>
            <w:hideMark/>
          </w:tcPr>
          <w:p w14:paraId="09AE0B6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74F758EF"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501BBAB7"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52D6DBEA"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7BF8D42"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2A9ACA03"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F448EF0"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542C495B"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4206FC6E"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210ECFAB" w14:textId="77777777" w:rsidR="00251D72" w:rsidRDefault="00251D72">
            <w:pPr>
              <w:pStyle w:val="a3"/>
              <w:spacing w:before="0" w:beforeAutospacing="0" w:after="0" w:afterAutospacing="0"/>
              <w:jc w:val="center"/>
            </w:pPr>
            <w:r>
              <w:t> </w:t>
            </w:r>
          </w:p>
        </w:tc>
      </w:tr>
      <w:tr w:rsidR="00251D72" w14:paraId="44F25909" w14:textId="77777777">
        <w:trPr>
          <w:divId w:val="1779179352"/>
          <w:jc w:val="center"/>
        </w:trPr>
        <w:tc>
          <w:tcPr>
            <w:tcW w:w="348" w:type="pct"/>
            <w:shd w:val="clear" w:color="auto" w:fill="FFFFFF"/>
            <w:tcMar>
              <w:top w:w="15" w:type="dxa"/>
              <w:left w:w="0" w:type="dxa"/>
              <w:bottom w:w="0" w:type="dxa"/>
              <w:right w:w="15" w:type="dxa"/>
            </w:tcMar>
            <w:hideMark/>
          </w:tcPr>
          <w:p w14:paraId="019B164B"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35B2FB89"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2E688AC4"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7BA057E4"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5158CC1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569AC81A"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0AFB724D"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B5CBA2E"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5F5F581E"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67C455D5"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721DAB8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74A9AD5"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0422C529" w14:textId="77777777" w:rsidR="00251D72" w:rsidRDefault="00251D72">
            <w:pPr>
              <w:pStyle w:val="a3"/>
              <w:spacing w:before="0" w:beforeAutospacing="0" w:after="0" w:afterAutospacing="0"/>
              <w:jc w:val="center"/>
            </w:pPr>
            <w:r>
              <w:t> </w:t>
            </w:r>
          </w:p>
        </w:tc>
      </w:tr>
      <w:tr w:rsidR="00251D72" w14:paraId="49F34A16" w14:textId="77777777">
        <w:trPr>
          <w:divId w:val="1779179352"/>
          <w:jc w:val="center"/>
        </w:trPr>
        <w:tc>
          <w:tcPr>
            <w:tcW w:w="348" w:type="pct"/>
            <w:shd w:val="clear" w:color="auto" w:fill="FFFFFF"/>
            <w:tcMar>
              <w:top w:w="15" w:type="dxa"/>
              <w:left w:w="0" w:type="dxa"/>
              <w:bottom w:w="0" w:type="dxa"/>
              <w:right w:w="15" w:type="dxa"/>
            </w:tcMar>
            <w:hideMark/>
          </w:tcPr>
          <w:p w14:paraId="204E8F61"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31.02‡</w:t>
            </w:r>
          </w:p>
        </w:tc>
        <w:tc>
          <w:tcPr>
            <w:tcW w:w="28" w:type="pct"/>
            <w:shd w:val="clear" w:color="auto" w:fill="FFFFFF"/>
            <w:tcMar>
              <w:top w:w="15" w:type="dxa"/>
              <w:left w:w="0" w:type="dxa"/>
              <w:bottom w:w="0" w:type="dxa"/>
              <w:right w:w="15" w:type="dxa"/>
            </w:tcMar>
            <w:vAlign w:val="bottom"/>
            <w:hideMark/>
          </w:tcPr>
          <w:p w14:paraId="00DF3F4E"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0F8C3641" w14:textId="77777777" w:rsidR="00251D72" w:rsidRDefault="00251D72">
            <w:pPr>
              <w:pStyle w:val="a3"/>
              <w:spacing w:before="0" w:beforeAutospacing="0" w:after="0" w:afterAutospacing="0"/>
              <w:jc w:val="both"/>
              <w:rPr>
                <w:rFonts w:ascii="Calibri" w:hAnsi="Calibri" w:cs="Calibri"/>
                <w:sz w:val="20"/>
                <w:szCs w:val="20"/>
              </w:rPr>
            </w:pPr>
            <w:hyperlink r:id="rId39" w:history="1">
              <w:r>
                <w:rPr>
                  <w:rStyle w:val="a4"/>
                  <w:rFonts w:ascii="Calibri" w:hAnsi="Calibri" w:cs="Calibri"/>
                  <w:sz w:val="20"/>
                  <w:szCs w:val="20"/>
                </w:rPr>
                <w:t>Rule 13a-14(a)/15d-14(a) Certification of Principal Executive and Financial Officer</w:t>
              </w:r>
            </w:hyperlink>
          </w:p>
        </w:tc>
        <w:tc>
          <w:tcPr>
            <w:tcW w:w="34" w:type="pct"/>
            <w:shd w:val="clear" w:color="auto" w:fill="FFFFFF"/>
            <w:tcMar>
              <w:top w:w="15" w:type="dxa"/>
              <w:left w:w="0" w:type="dxa"/>
              <w:bottom w:w="0" w:type="dxa"/>
              <w:right w:w="15" w:type="dxa"/>
            </w:tcMar>
            <w:vAlign w:val="bottom"/>
            <w:hideMark/>
          </w:tcPr>
          <w:p w14:paraId="110A27D2"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4DA657DA"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01851D01"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6AB66037"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196084D"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23C973FA"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272F6FF"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0F7A3875"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5ED48D3D"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1B3B3880" w14:textId="77777777" w:rsidR="00251D72" w:rsidRDefault="00251D72">
            <w:pPr>
              <w:pStyle w:val="a3"/>
              <w:spacing w:before="0" w:beforeAutospacing="0" w:after="0" w:afterAutospacing="0"/>
              <w:jc w:val="center"/>
            </w:pPr>
            <w:r>
              <w:t> </w:t>
            </w:r>
          </w:p>
        </w:tc>
      </w:tr>
      <w:tr w:rsidR="00251D72" w14:paraId="41569767" w14:textId="77777777">
        <w:trPr>
          <w:divId w:val="1779179352"/>
          <w:jc w:val="center"/>
        </w:trPr>
        <w:tc>
          <w:tcPr>
            <w:tcW w:w="348" w:type="pct"/>
            <w:shd w:val="clear" w:color="auto" w:fill="FFFFFF"/>
            <w:tcMar>
              <w:top w:w="15" w:type="dxa"/>
              <w:left w:w="0" w:type="dxa"/>
              <w:bottom w:w="0" w:type="dxa"/>
              <w:right w:w="15" w:type="dxa"/>
            </w:tcMar>
            <w:hideMark/>
          </w:tcPr>
          <w:p w14:paraId="156E01B1" w14:textId="77777777" w:rsidR="00251D72" w:rsidRDefault="00251D72">
            <w:pPr>
              <w:pStyle w:val="a3"/>
              <w:spacing w:before="0" w:beforeAutospacing="0" w:after="0" w:afterAutospacing="0"/>
              <w:jc w:val="center"/>
            </w:pPr>
            <w:r>
              <w:t> </w:t>
            </w:r>
          </w:p>
        </w:tc>
        <w:tc>
          <w:tcPr>
            <w:tcW w:w="28" w:type="pct"/>
            <w:shd w:val="clear" w:color="auto" w:fill="FFFFFF"/>
            <w:tcMar>
              <w:top w:w="15" w:type="dxa"/>
              <w:left w:w="0" w:type="dxa"/>
              <w:bottom w:w="0" w:type="dxa"/>
              <w:right w:w="15" w:type="dxa"/>
            </w:tcMar>
            <w:vAlign w:val="bottom"/>
            <w:hideMark/>
          </w:tcPr>
          <w:p w14:paraId="384392A8"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135E0915"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198F1A23"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21EA6A56"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38FE32DE"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0AF24F6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CDC2930"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524CDF5"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FFE20B3"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73392DB2"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739AE81E"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18C7BAD1" w14:textId="77777777" w:rsidR="00251D72" w:rsidRDefault="00251D72">
            <w:pPr>
              <w:pStyle w:val="a3"/>
              <w:spacing w:before="0" w:beforeAutospacing="0" w:after="0" w:afterAutospacing="0"/>
              <w:jc w:val="center"/>
            </w:pPr>
            <w:r>
              <w:t> </w:t>
            </w:r>
          </w:p>
        </w:tc>
      </w:tr>
      <w:tr w:rsidR="00251D72" w14:paraId="6F8128BD" w14:textId="77777777">
        <w:trPr>
          <w:divId w:val="1779179352"/>
          <w:jc w:val="center"/>
        </w:trPr>
        <w:tc>
          <w:tcPr>
            <w:tcW w:w="348" w:type="pct"/>
            <w:shd w:val="clear" w:color="auto" w:fill="FFFFFF"/>
            <w:tcMar>
              <w:top w:w="15" w:type="dxa"/>
              <w:left w:w="0" w:type="dxa"/>
              <w:bottom w:w="0" w:type="dxa"/>
              <w:right w:w="15" w:type="dxa"/>
            </w:tcMar>
            <w:hideMark/>
          </w:tcPr>
          <w:p w14:paraId="31FB1C17"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32.01†</w:t>
            </w:r>
          </w:p>
        </w:tc>
        <w:tc>
          <w:tcPr>
            <w:tcW w:w="28" w:type="pct"/>
            <w:shd w:val="clear" w:color="auto" w:fill="FFFFFF"/>
            <w:tcMar>
              <w:top w:w="15" w:type="dxa"/>
              <w:left w:w="0" w:type="dxa"/>
              <w:bottom w:w="0" w:type="dxa"/>
              <w:right w:w="15" w:type="dxa"/>
            </w:tcMar>
            <w:vAlign w:val="bottom"/>
            <w:hideMark/>
          </w:tcPr>
          <w:p w14:paraId="097177C0"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610BA89C" w14:textId="77777777" w:rsidR="00251D72" w:rsidRDefault="00251D72">
            <w:pPr>
              <w:pStyle w:val="a3"/>
              <w:spacing w:before="0" w:beforeAutospacing="0" w:after="0" w:afterAutospacing="0"/>
              <w:jc w:val="both"/>
              <w:rPr>
                <w:rFonts w:ascii="Calibri" w:hAnsi="Calibri" w:cs="Calibri"/>
                <w:sz w:val="20"/>
                <w:szCs w:val="20"/>
              </w:rPr>
            </w:pPr>
            <w:hyperlink r:id="rId40" w:history="1">
              <w:r>
                <w:rPr>
                  <w:rStyle w:val="a4"/>
                  <w:rFonts w:ascii="Calibri" w:hAnsi="Calibri" w:cs="Calibri"/>
                  <w:sz w:val="20"/>
                  <w:szCs w:val="20"/>
                </w:rPr>
                <w:t>Section 1350 Certification of Principal Executive Officers and Principal Financial Officer</w:t>
              </w:r>
            </w:hyperlink>
          </w:p>
        </w:tc>
        <w:tc>
          <w:tcPr>
            <w:tcW w:w="34" w:type="pct"/>
            <w:shd w:val="clear" w:color="auto" w:fill="FFFFFF"/>
            <w:tcMar>
              <w:top w:w="15" w:type="dxa"/>
              <w:left w:w="0" w:type="dxa"/>
              <w:bottom w:w="0" w:type="dxa"/>
              <w:right w:w="15" w:type="dxa"/>
            </w:tcMar>
            <w:vAlign w:val="bottom"/>
            <w:hideMark/>
          </w:tcPr>
          <w:p w14:paraId="17505AC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00B7C35D"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24CE814E"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214361DC"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310DEFB4"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EB1A61D"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03EA74E"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7EA5017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B366A42"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11972C0A" w14:textId="77777777" w:rsidR="00251D72" w:rsidRDefault="00251D72">
            <w:pPr>
              <w:pStyle w:val="a3"/>
              <w:spacing w:before="0" w:beforeAutospacing="0" w:after="0" w:afterAutospacing="0"/>
              <w:jc w:val="center"/>
            </w:pPr>
            <w:r>
              <w:t> </w:t>
            </w:r>
          </w:p>
        </w:tc>
      </w:tr>
    </w:tbl>
    <w:p w14:paraId="4904C1D6"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122</w:t>
      </w:r>
    </w:p>
    <w:p w14:paraId="568D0D3A" w14:textId="77777777" w:rsidR="00251D72" w:rsidRDefault="00251D72">
      <w:pPr>
        <w:rPr>
          <w:rFonts w:ascii="Times New Roman" w:eastAsia="Times New Roman" w:hAnsi="Times New Roman" w:cs="Times New Roman"/>
          <w:sz w:val="24"/>
          <w:szCs w:val="24"/>
        </w:rPr>
      </w:pPr>
      <w:r>
        <w:rPr>
          <w:rFonts w:eastAsia="Times New Roman"/>
        </w:rPr>
        <w:pict w14:anchorId="1EFCECEC">
          <v:rect id="_x0000_i1148" style="width:415.3pt;height:1.5pt" o:hralign="center" o:hrstd="t" o:hr="t" fillcolor="#a0a0a0" stroked="f"/>
        </w:pict>
      </w:r>
    </w:p>
    <w:p w14:paraId="7C4145C7"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 </w:t>
        </w:r>
      </w:hyperlink>
    </w:p>
    <w:p w14:paraId="6F1EF015"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10ED3B29" w14:textId="77777777" w:rsidR="00251D72" w:rsidRDefault="00251D72">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587"/>
        <w:gridCol w:w="75"/>
        <w:gridCol w:w="2930"/>
        <w:gridCol w:w="75"/>
        <w:gridCol w:w="860"/>
        <w:gridCol w:w="75"/>
        <w:gridCol w:w="862"/>
        <w:gridCol w:w="75"/>
        <w:gridCol w:w="587"/>
        <w:gridCol w:w="75"/>
        <w:gridCol w:w="647"/>
        <w:gridCol w:w="75"/>
        <w:gridCol w:w="1383"/>
      </w:tblGrid>
      <w:tr w:rsidR="00251D72" w14:paraId="228A2660" w14:textId="77777777">
        <w:trPr>
          <w:divId w:val="1246914894"/>
          <w:jc w:val="center"/>
        </w:trPr>
        <w:tc>
          <w:tcPr>
            <w:tcW w:w="348" w:type="pct"/>
            <w:shd w:val="clear" w:color="auto" w:fill="FFFFFF"/>
            <w:tcMar>
              <w:top w:w="15" w:type="dxa"/>
              <w:left w:w="0" w:type="dxa"/>
              <w:bottom w:w="0" w:type="dxa"/>
              <w:right w:w="15" w:type="dxa"/>
            </w:tcMar>
            <w:vAlign w:val="bottom"/>
            <w:hideMark/>
          </w:tcPr>
          <w:p w14:paraId="78034C2A" w14:textId="77777777" w:rsidR="00251D72" w:rsidRDefault="00251D72">
            <w:pPr>
              <w:pStyle w:val="a3"/>
            </w:pPr>
            <w:r>
              <w:t> </w:t>
            </w:r>
          </w:p>
        </w:tc>
        <w:tc>
          <w:tcPr>
            <w:tcW w:w="28" w:type="pct"/>
            <w:shd w:val="clear" w:color="auto" w:fill="FFFFFF"/>
            <w:tcMar>
              <w:top w:w="15" w:type="dxa"/>
              <w:left w:w="0" w:type="dxa"/>
              <w:bottom w:w="0" w:type="dxa"/>
              <w:right w:w="15" w:type="dxa"/>
            </w:tcMar>
            <w:vAlign w:val="bottom"/>
            <w:hideMark/>
          </w:tcPr>
          <w:p w14:paraId="318DD0E8" w14:textId="77777777" w:rsidR="00251D72" w:rsidRDefault="00251D72">
            <w:pPr>
              <w:pStyle w:val="a3"/>
            </w:pPr>
            <w:r>
              <w:t> </w:t>
            </w:r>
          </w:p>
        </w:tc>
        <w:tc>
          <w:tcPr>
            <w:tcW w:w="1777" w:type="pct"/>
            <w:shd w:val="clear" w:color="auto" w:fill="FFFFFF"/>
            <w:tcMar>
              <w:top w:w="15" w:type="dxa"/>
              <w:left w:w="0" w:type="dxa"/>
              <w:bottom w:w="0" w:type="dxa"/>
              <w:right w:w="15" w:type="dxa"/>
            </w:tcMar>
            <w:vAlign w:val="bottom"/>
            <w:hideMark/>
          </w:tcPr>
          <w:p w14:paraId="2894329E" w14:textId="77777777" w:rsidR="00251D72" w:rsidRDefault="00251D72">
            <w:pPr>
              <w:pStyle w:val="a3"/>
            </w:pPr>
            <w:r>
              <w:t> </w:t>
            </w:r>
          </w:p>
        </w:tc>
        <w:tc>
          <w:tcPr>
            <w:tcW w:w="34" w:type="pct"/>
            <w:shd w:val="clear" w:color="auto" w:fill="FFFFFF"/>
            <w:tcMar>
              <w:top w:w="15" w:type="dxa"/>
              <w:left w:w="0" w:type="dxa"/>
              <w:bottom w:w="0" w:type="dxa"/>
              <w:right w:w="15" w:type="dxa"/>
            </w:tcMar>
            <w:vAlign w:val="bottom"/>
            <w:hideMark/>
          </w:tcPr>
          <w:p w14:paraId="5866A52C" w14:textId="77777777" w:rsidR="00251D72" w:rsidRDefault="00251D72">
            <w:pPr>
              <w:pStyle w:val="a3"/>
            </w:pPr>
            <w:r>
              <w:t> </w:t>
            </w:r>
          </w:p>
        </w:tc>
        <w:tc>
          <w:tcPr>
            <w:tcW w:w="2814" w:type="pct"/>
            <w:gridSpan w:val="9"/>
            <w:tcBorders>
              <w:bottom w:val="single" w:sz="6" w:space="0" w:color="000000"/>
            </w:tcBorders>
            <w:shd w:val="clear" w:color="auto" w:fill="FFFFFF"/>
            <w:tcMar>
              <w:top w:w="15" w:type="dxa"/>
              <w:left w:w="0" w:type="dxa"/>
              <w:bottom w:w="0" w:type="dxa"/>
              <w:right w:w="15" w:type="dxa"/>
            </w:tcMar>
            <w:vAlign w:val="bottom"/>
            <w:hideMark/>
          </w:tcPr>
          <w:p w14:paraId="74DB77A7"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251D72" w14:paraId="6A3C98B9" w14:textId="77777777">
        <w:trPr>
          <w:divId w:val="1246914894"/>
          <w:jc w:val="center"/>
        </w:trPr>
        <w:tc>
          <w:tcPr>
            <w:tcW w:w="348" w:type="pct"/>
            <w:tcBorders>
              <w:bottom w:val="single" w:sz="6" w:space="0" w:color="000000"/>
            </w:tcBorders>
            <w:shd w:val="clear" w:color="auto" w:fill="FFFFFF"/>
            <w:tcMar>
              <w:top w:w="15" w:type="dxa"/>
              <w:left w:w="0" w:type="dxa"/>
              <w:bottom w:w="0" w:type="dxa"/>
              <w:right w:w="15" w:type="dxa"/>
            </w:tcMar>
            <w:vAlign w:val="bottom"/>
            <w:hideMark/>
          </w:tcPr>
          <w:p w14:paraId="28EEE926"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8" w:type="pct"/>
            <w:shd w:val="clear" w:color="auto" w:fill="FFFFFF"/>
            <w:tcMar>
              <w:top w:w="15" w:type="dxa"/>
              <w:left w:w="0" w:type="dxa"/>
              <w:bottom w:w="0" w:type="dxa"/>
              <w:right w:w="15" w:type="dxa"/>
            </w:tcMar>
            <w:vAlign w:val="bottom"/>
            <w:hideMark/>
          </w:tcPr>
          <w:p w14:paraId="70731A16" w14:textId="77777777" w:rsidR="00251D72" w:rsidRDefault="00251D72">
            <w:pPr>
              <w:pStyle w:val="a3"/>
            </w:pPr>
            <w:r>
              <w:t> </w:t>
            </w:r>
          </w:p>
        </w:tc>
        <w:tc>
          <w:tcPr>
            <w:tcW w:w="1777" w:type="pct"/>
            <w:tcBorders>
              <w:bottom w:val="single" w:sz="6" w:space="0" w:color="000000"/>
            </w:tcBorders>
            <w:shd w:val="clear" w:color="auto" w:fill="FFFFFF"/>
            <w:tcMar>
              <w:top w:w="15" w:type="dxa"/>
              <w:left w:w="0" w:type="dxa"/>
              <w:bottom w:w="0" w:type="dxa"/>
              <w:right w:w="15" w:type="dxa"/>
            </w:tcMar>
            <w:vAlign w:val="bottom"/>
            <w:hideMark/>
          </w:tcPr>
          <w:p w14:paraId="0ABCC28B"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 Description</w:t>
            </w:r>
          </w:p>
        </w:tc>
        <w:tc>
          <w:tcPr>
            <w:tcW w:w="34" w:type="pct"/>
            <w:shd w:val="clear" w:color="auto" w:fill="FFFFFF"/>
            <w:tcMar>
              <w:top w:w="15" w:type="dxa"/>
              <w:left w:w="0" w:type="dxa"/>
              <w:bottom w:w="0" w:type="dxa"/>
              <w:right w:w="15" w:type="dxa"/>
            </w:tcMar>
            <w:vAlign w:val="bottom"/>
            <w:hideMark/>
          </w:tcPr>
          <w:p w14:paraId="06800E6A" w14:textId="77777777" w:rsidR="00251D72" w:rsidRDefault="00251D72">
            <w:pPr>
              <w:pStyle w:val="a3"/>
            </w:pPr>
            <w:r>
              <w:t> </w:t>
            </w:r>
          </w:p>
        </w:tc>
        <w:tc>
          <w:tcPr>
            <w:tcW w:w="531"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9B5A9A8"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493A983A" w14:textId="77777777" w:rsidR="00251D72" w:rsidRDefault="00251D72">
            <w:pPr>
              <w:pStyle w:val="a3"/>
            </w:pPr>
            <w:r>
              <w:t> </w:t>
            </w:r>
          </w:p>
        </w:tc>
        <w:tc>
          <w:tcPr>
            <w:tcW w:w="53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7EECF32"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4F8FA11B" w14:textId="77777777" w:rsidR="00251D72" w:rsidRDefault="00251D72">
            <w:pPr>
              <w:pStyle w:val="a3"/>
            </w:pPr>
            <w:r>
              <w:t> </w:t>
            </w:r>
          </w:p>
        </w:tc>
        <w:tc>
          <w:tcPr>
            <w:tcW w:w="354"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42470E2"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150B7368" w14:textId="77777777" w:rsidR="00251D72" w:rsidRDefault="00251D72">
            <w:pPr>
              <w:pStyle w:val="a3"/>
            </w:pPr>
            <w:r>
              <w:t> </w:t>
            </w:r>
          </w:p>
        </w:tc>
        <w:tc>
          <w:tcPr>
            <w:tcW w:w="41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57266F"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4" w:type="pct"/>
            <w:shd w:val="clear" w:color="auto" w:fill="FFFFFF"/>
            <w:tcMar>
              <w:top w:w="15" w:type="dxa"/>
              <w:left w:w="0" w:type="dxa"/>
              <w:bottom w:w="0" w:type="dxa"/>
              <w:right w:w="15" w:type="dxa"/>
            </w:tcMar>
            <w:vAlign w:val="bottom"/>
            <w:hideMark/>
          </w:tcPr>
          <w:p w14:paraId="716A5F5E" w14:textId="77777777" w:rsidR="00251D72" w:rsidRDefault="00251D72">
            <w:pPr>
              <w:pStyle w:val="a3"/>
            </w:pPr>
            <w:r>
              <w:t> </w:t>
            </w:r>
          </w:p>
        </w:tc>
        <w:tc>
          <w:tcPr>
            <w:tcW w:w="84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D97A7C" w14:textId="77777777" w:rsidR="00251D72" w:rsidRDefault="00251D72">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251D72" w14:paraId="24C763D8" w14:textId="77777777">
        <w:trPr>
          <w:divId w:val="1246914894"/>
          <w:jc w:val="center"/>
        </w:trPr>
        <w:tc>
          <w:tcPr>
            <w:tcW w:w="348" w:type="pct"/>
            <w:shd w:val="clear" w:color="auto" w:fill="FFFFFF"/>
            <w:tcMar>
              <w:top w:w="15" w:type="dxa"/>
              <w:left w:w="0" w:type="dxa"/>
              <w:bottom w:w="0" w:type="dxa"/>
              <w:right w:w="15" w:type="dxa"/>
            </w:tcMar>
            <w:hideMark/>
          </w:tcPr>
          <w:p w14:paraId="31BBDB75" w14:textId="77777777" w:rsidR="00251D72" w:rsidRDefault="00251D72">
            <w:pPr>
              <w:pStyle w:val="a3"/>
              <w:spacing w:before="0" w:beforeAutospacing="0" w:after="0" w:afterAutospacing="0"/>
            </w:pPr>
            <w:r>
              <w:t> </w:t>
            </w:r>
          </w:p>
        </w:tc>
        <w:tc>
          <w:tcPr>
            <w:tcW w:w="28" w:type="pct"/>
            <w:shd w:val="clear" w:color="auto" w:fill="FFFFFF"/>
            <w:tcMar>
              <w:top w:w="15" w:type="dxa"/>
              <w:left w:w="0" w:type="dxa"/>
              <w:bottom w:w="0" w:type="dxa"/>
              <w:right w:w="15" w:type="dxa"/>
            </w:tcMar>
            <w:vAlign w:val="bottom"/>
            <w:hideMark/>
          </w:tcPr>
          <w:p w14:paraId="0EDEE0B6" w14:textId="77777777" w:rsidR="00251D72" w:rsidRDefault="00251D72">
            <w:pPr>
              <w:pStyle w:val="a3"/>
              <w:spacing w:before="0" w:beforeAutospacing="0" w:after="0" w:afterAutospacing="0"/>
            </w:pPr>
            <w:r>
              <w:t> </w:t>
            </w:r>
          </w:p>
        </w:tc>
        <w:tc>
          <w:tcPr>
            <w:tcW w:w="1777" w:type="pct"/>
            <w:shd w:val="clear" w:color="auto" w:fill="FFFFFF"/>
            <w:tcMar>
              <w:top w:w="15" w:type="dxa"/>
              <w:left w:w="0" w:type="dxa"/>
              <w:bottom w:w="0" w:type="dxa"/>
              <w:right w:w="15" w:type="dxa"/>
            </w:tcMar>
            <w:vAlign w:val="bottom"/>
            <w:hideMark/>
          </w:tcPr>
          <w:p w14:paraId="175F6B5B" w14:textId="77777777" w:rsidR="00251D72" w:rsidRDefault="00251D72">
            <w:pPr>
              <w:pStyle w:val="a3"/>
              <w:spacing w:before="0" w:beforeAutospacing="0" w:after="0" w:afterAutospacing="0"/>
              <w:jc w:val="both"/>
            </w:pPr>
            <w:r>
              <w:t> </w:t>
            </w:r>
          </w:p>
        </w:tc>
        <w:tc>
          <w:tcPr>
            <w:tcW w:w="34" w:type="pct"/>
            <w:shd w:val="clear" w:color="auto" w:fill="FFFFFF"/>
            <w:tcMar>
              <w:top w:w="15" w:type="dxa"/>
              <w:left w:w="0" w:type="dxa"/>
              <w:bottom w:w="0" w:type="dxa"/>
              <w:right w:w="15" w:type="dxa"/>
            </w:tcMar>
            <w:vAlign w:val="bottom"/>
            <w:hideMark/>
          </w:tcPr>
          <w:p w14:paraId="42A62F3E" w14:textId="77777777" w:rsidR="00251D72" w:rsidRDefault="00251D72">
            <w:pPr>
              <w:pStyle w:val="a3"/>
              <w:spacing w:before="0" w:beforeAutospacing="0" w:after="0" w:afterAutospacing="0"/>
            </w:pPr>
            <w:r>
              <w:t> </w:t>
            </w:r>
          </w:p>
        </w:tc>
        <w:tc>
          <w:tcPr>
            <w:tcW w:w="531" w:type="pct"/>
            <w:shd w:val="clear" w:color="auto" w:fill="FFFFFF"/>
            <w:tcMar>
              <w:top w:w="15" w:type="dxa"/>
              <w:left w:w="0" w:type="dxa"/>
              <w:bottom w:w="0" w:type="dxa"/>
              <w:right w:w="15" w:type="dxa"/>
            </w:tcMar>
            <w:hideMark/>
          </w:tcPr>
          <w:p w14:paraId="7C6F254D"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4EF6FBA0" w14:textId="77777777" w:rsidR="00251D72" w:rsidRDefault="00251D72">
            <w:pPr>
              <w:pStyle w:val="a3"/>
              <w:spacing w:before="0" w:beforeAutospacing="0" w:after="0" w:afterAutospacing="0"/>
              <w:jc w:val="both"/>
            </w:pPr>
            <w:r>
              <w:t> </w:t>
            </w:r>
          </w:p>
        </w:tc>
        <w:tc>
          <w:tcPr>
            <w:tcW w:w="532" w:type="pct"/>
            <w:shd w:val="clear" w:color="auto" w:fill="FFFFFF"/>
            <w:tcMar>
              <w:top w:w="15" w:type="dxa"/>
              <w:left w:w="0" w:type="dxa"/>
              <w:bottom w:w="0" w:type="dxa"/>
              <w:right w:w="15" w:type="dxa"/>
            </w:tcMar>
            <w:hideMark/>
          </w:tcPr>
          <w:p w14:paraId="741FFE5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0A6C576D"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79629695"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5637D5DA"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3713F2A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34FA338"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71354C92" w14:textId="77777777" w:rsidR="00251D72" w:rsidRDefault="00251D72">
            <w:pPr>
              <w:pStyle w:val="a3"/>
              <w:spacing w:before="0" w:beforeAutospacing="0" w:after="0" w:afterAutospacing="0"/>
              <w:jc w:val="center"/>
            </w:pPr>
            <w:r>
              <w:t> </w:t>
            </w:r>
          </w:p>
        </w:tc>
      </w:tr>
      <w:tr w:rsidR="00251D72" w14:paraId="1E7F79FD" w14:textId="77777777">
        <w:trPr>
          <w:divId w:val="1246914894"/>
          <w:jc w:val="center"/>
        </w:trPr>
        <w:tc>
          <w:tcPr>
            <w:tcW w:w="348" w:type="pct"/>
            <w:shd w:val="clear" w:color="auto" w:fill="FFFFFF"/>
            <w:tcMar>
              <w:top w:w="15" w:type="dxa"/>
              <w:left w:w="0" w:type="dxa"/>
              <w:bottom w:w="0" w:type="dxa"/>
              <w:right w:w="15" w:type="dxa"/>
            </w:tcMar>
            <w:hideMark/>
          </w:tcPr>
          <w:p w14:paraId="104E110A" w14:textId="77777777" w:rsidR="00251D72" w:rsidRDefault="00251D72">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101‡</w:t>
            </w:r>
          </w:p>
        </w:tc>
        <w:tc>
          <w:tcPr>
            <w:tcW w:w="28" w:type="pct"/>
            <w:shd w:val="clear" w:color="auto" w:fill="FFFFFF"/>
            <w:tcMar>
              <w:top w:w="15" w:type="dxa"/>
              <w:left w:w="0" w:type="dxa"/>
              <w:bottom w:w="0" w:type="dxa"/>
              <w:right w:w="15" w:type="dxa"/>
            </w:tcMar>
            <w:vAlign w:val="bottom"/>
            <w:hideMark/>
          </w:tcPr>
          <w:p w14:paraId="1DF06F9F"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left w:w="0" w:type="dxa"/>
              <w:bottom w:w="0" w:type="dxa"/>
              <w:right w:w="15" w:type="dxa"/>
            </w:tcMar>
            <w:vAlign w:val="bottom"/>
            <w:hideMark/>
          </w:tcPr>
          <w:p w14:paraId="2BF6E913"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Interactive Data Files Pursuant to Rule 405 of Regulation S-T: (1) Consolidated Balance Sheets as of May 31, 2019 and 2018, (2) Consolidated Statements of Operations for the years ended May 31, 2019, 2018 and 2017, (3) Consolidated Statements of Comprehensive Income for the years ended May 31, 2019, 2018 and 2017, (4) Consolidated Statements of Equity for the years ended May 31, 2019, 2018 and 2017, (5) Consolidated Statements of Cash Flows for the years ended May 31, 2019, 2018 and 2017, (6) Notes to Consolidated Financial Statements and (7) Financial Statement Schedule II</w:t>
            </w:r>
          </w:p>
        </w:tc>
        <w:tc>
          <w:tcPr>
            <w:tcW w:w="34" w:type="pct"/>
            <w:shd w:val="clear" w:color="auto" w:fill="FFFFFF"/>
            <w:tcMar>
              <w:top w:w="15" w:type="dxa"/>
              <w:left w:w="0" w:type="dxa"/>
              <w:bottom w:w="0" w:type="dxa"/>
              <w:right w:w="15" w:type="dxa"/>
            </w:tcMar>
            <w:vAlign w:val="bottom"/>
            <w:hideMark/>
          </w:tcPr>
          <w:p w14:paraId="3A584E3A" w14:textId="77777777" w:rsidR="00251D72" w:rsidRDefault="00251D7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left w:w="0" w:type="dxa"/>
              <w:bottom w:w="0" w:type="dxa"/>
              <w:right w:w="15" w:type="dxa"/>
            </w:tcMar>
            <w:hideMark/>
          </w:tcPr>
          <w:p w14:paraId="68BDD61E"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vAlign w:val="bottom"/>
            <w:hideMark/>
          </w:tcPr>
          <w:p w14:paraId="55CC2EF0" w14:textId="77777777" w:rsidR="00251D72" w:rsidRDefault="00251D72">
            <w:pPr>
              <w:pStyle w:val="a3"/>
              <w:spacing w:before="0" w:beforeAutospacing="0" w:after="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left w:w="0" w:type="dxa"/>
              <w:bottom w:w="0" w:type="dxa"/>
              <w:right w:w="15" w:type="dxa"/>
            </w:tcMar>
            <w:hideMark/>
          </w:tcPr>
          <w:p w14:paraId="15319890"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2AB68AF4" w14:textId="77777777" w:rsidR="00251D72" w:rsidRDefault="00251D72">
            <w:pPr>
              <w:pStyle w:val="a3"/>
              <w:spacing w:before="0" w:beforeAutospacing="0" w:after="0" w:afterAutospacing="0"/>
              <w:jc w:val="center"/>
            </w:pPr>
            <w:r>
              <w:t> </w:t>
            </w:r>
          </w:p>
        </w:tc>
        <w:tc>
          <w:tcPr>
            <w:tcW w:w="354" w:type="pct"/>
            <w:shd w:val="clear" w:color="auto" w:fill="FFFFFF"/>
            <w:tcMar>
              <w:top w:w="15" w:type="dxa"/>
              <w:left w:w="0" w:type="dxa"/>
              <w:bottom w:w="0" w:type="dxa"/>
              <w:right w:w="15" w:type="dxa"/>
            </w:tcMar>
            <w:hideMark/>
          </w:tcPr>
          <w:p w14:paraId="37FD86C9"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428A630" w14:textId="77777777" w:rsidR="00251D72" w:rsidRDefault="00251D72">
            <w:pPr>
              <w:pStyle w:val="a3"/>
              <w:spacing w:before="0" w:beforeAutospacing="0" w:after="0" w:afterAutospacing="0"/>
              <w:jc w:val="center"/>
            </w:pPr>
            <w:r>
              <w:t> </w:t>
            </w:r>
          </w:p>
        </w:tc>
        <w:tc>
          <w:tcPr>
            <w:tcW w:w="415" w:type="pct"/>
            <w:shd w:val="clear" w:color="auto" w:fill="FFFFFF"/>
            <w:tcMar>
              <w:top w:w="15" w:type="dxa"/>
              <w:left w:w="0" w:type="dxa"/>
              <w:bottom w:w="0" w:type="dxa"/>
              <w:right w:w="15" w:type="dxa"/>
            </w:tcMar>
            <w:hideMark/>
          </w:tcPr>
          <w:p w14:paraId="767C38C1" w14:textId="77777777" w:rsidR="00251D72" w:rsidRDefault="00251D72">
            <w:pPr>
              <w:pStyle w:val="a3"/>
              <w:spacing w:before="0" w:beforeAutospacing="0" w:after="0" w:afterAutospacing="0"/>
              <w:jc w:val="center"/>
            </w:pPr>
            <w:r>
              <w:t> </w:t>
            </w:r>
          </w:p>
        </w:tc>
        <w:tc>
          <w:tcPr>
            <w:tcW w:w="34" w:type="pct"/>
            <w:shd w:val="clear" w:color="auto" w:fill="FFFFFF"/>
            <w:tcMar>
              <w:top w:w="15" w:type="dxa"/>
              <w:left w:w="0" w:type="dxa"/>
              <w:bottom w:w="0" w:type="dxa"/>
              <w:right w:w="15" w:type="dxa"/>
            </w:tcMar>
            <w:hideMark/>
          </w:tcPr>
          <w:p w14:paraId="169A4298" w14:textId="77777777" w:rsidR="00251D72" w:rsidRDefault="00251D72">
            <w:pPr>
              <w:pStyle w:val="a3"/>
              <w:spacing w:before="0" w:beforeAutospacing="0" w:after="0" w:afterAutospacing="0"/>
              <w:jc w:val="center"/>
            </w:pPr>
            <w:r>
              <w:t> </w:t>
            </w:r>
          </w:p>
        </w:tc>
        <w:tc>
          <w:tcPr>
            <w:tcW w:w="845" w:type="pct"/>
            <w:shd w:val="clear" w:color="auto" w:fill="FFFFFF"/>
            <w:tcMar>
              <w:top w:w="15" w:type="dxa"/>
              <w:left w:w="0" w:type="dxa"/>
              <w:bottom w:w="0" w:type="dxa"/>
              <w:right w:w="15" w:type="dxa"/>
            </w:tcMar>
            <w:hideMark/>
          </w:tcPr>
          <w:p w14:paraId="36F98C13" w14:textId="77777777" w:rsidR="00251D72" w:rsidRDefault="00251D72">
            <w:pPr>
              <w:pStyle w:val="a3"/>
              <w:spacing w:before="0" w:beforeAutospacing="0" w:after="0" w:afterAutospacing="0"/>
              <w:jc w:val="center"/>
            </w:pPr>
            <w:r>
              <w:t> </w:t>
            </w:r>
          </w:p>
        </w:tc>
      </w:tr>
    </w:tbl>
    <w:p w14:paraId="1B77A485" w14:textId="77777777" w:rsidR="00251D72" w:rsidRDefault="00251D72">
      <w:pPr>
        <w:pStyle w:val="a3"/>
        <w:pBdr>
          <w:bottom w:val="single" w:sz="6" w:space="1" w:color="auto"/>
        </w:pBdr>
        <w:spacing w:before="0" w:beforeAutospacing="0" w:after="0" w:afterAutospacing="0"/>
        <w:ind w:right="1095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251D72" w14:paraId="339D409B" w14:textId="77777777">
        <w:tc>
          <w:tcPr>
            <w:tcW w:w="192" w:type="pct"/>
            <w:noWrap/>
            <w:hideMark/>
          </w:tcPr>
          <w:p w14:paraId="57EF5257" w14:textId="77777777" w:rsidR="00251D72" w:rsidRDefault="00251D72">
            <w:pPr>
              <w:pStyle w:val="a3"/>
              <w:spacing w:before="40" w:beforeAutospacing="0" w:afterAutospacing="0"/>
              <w:rPr>
                <w:rFonts w:ascii="Calibri" w:hAnsi="Calibri" w:cs="Calibri"/>
                <w:sz w:val="16"/>
                <w:szCs w:val="16"/>
              </w:rPr>
            </w:pPr>
            <w:r>
              <w:rPr>
                <w:rFonts w:ascii="Calibri" w:hAnsi="Calibri" w:cs="Calibri"/>
                <w:sz w:val="16"/>
                <w:szCs w:val="16"/>
              </w:rPr>
              <w:t>*</w:t>
            </w:r>
          </w:p>
        </w:tc>
        <w:tc>
          <w:tcPr>
            <w:tcW w:w="0" w:type="auto"/>
            <w:hideMark/>
          </w:tcPr>
          <w:p w14:paraId="1336AD26" w14:textId="77777777" w:rsidR="00251D72" w:rsidRDefault="00251D72">
            <w:pPr>
              <w:pStyle w:val="a3"/>
              <w:spacing w:before="40" w:beforeAutospacing="0" w:afterAutospacing="0"/>
              <w:rPr>
                <w:rFonts w:ascii="Calibri" w:hAnsi="Calibri" w:cs="Calibri"/>
                <w:sz w:val="16"/>
                <w:szCs w:val="16"/>
              </w:rPr>
            </w:pPr>
            <w:r>
              <w:rPr>
                <w:rFonts w:ascii="Calibri" w:hAnsi="Calibri" w:cs="Calibri"/>
                <w:sz w:val="16"/>
                <w:szCs w:val="16"/>
              </w:rPr>
              <w:t>Indicates management contract or compensatory plan or arrangement.</w:t>
            </w:r>
          </w:p>
        </w:tc>
      </w:tr>
    </w:tbl>
    <w:p w14:paraId="32C43DD2"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023D33EC" w14:textId="77777777">
        <w:tc>
          <w:tcPr>
            <w:tcW w:w="192" w:type="pct"/>
            <w:noWrap/>
            <w:hideMark/>
          </w:tcPr>
          <w:p w14:paraId="2D846E04" w14:textId="77777777" w:rsidR="00251D72" w:rsidRDefault="00251D72">
            <w:pPr>
              <w:pStyle w:val="a3"/>
              <w:spacing w:before="0" w:beforeAutospacing="0" w:afterAutospacing="0"/>
              <w:rPr>
                <w:rFonts w:ascii="Calibri" w:hAnsi="Calibri" w:cs="Calibri"/>
                <w:sz w:val="16"/>
                <w:szCs w:val="16"/>
              </w:rPr>
            </w:pPr>
            <w:r>
              <w:rPr>
                <w:rFonts w:ascii="Calibri" w:hAnsi="Calibri" w:cs="Calibri"/>
                <w:sz w:val="16"/>
                <w:szCs w:val="16"/>
              </w:rPr>
              <w:t>‡</w:t>
            </w:r>
          </w:p>
        </w:tc>
        <w:tc>
          <w:tcPr>
            <w:tcW w:w="0" w:type="auto"/>
            <w:hideMark/>
          </w:tcPr>
          <w:p w14:paraId="4C7D694B" w14:textId="77777777" w:rsidR="00251D72" w:rsidRDefault="00251D72">
            <w:pPr>
              <w:pStyle w:val="a3"/>
              <w:spacing w:before="0" w:beforeAutospacing="0" w:afterAutospacing="0"/>
              <w:rPr>
                <w:rFonts w:ascii="Calibri" w:hAnsi="Calibri" w:cs="Calibri"/>
                <w:sz w:val="16"/>
                <w:szCs w:val="16"/>
              </w:rPr>
            </w:pPr>
            <w:r>
              <w:rPr>
                <w:rFonts w:ascii="Calibri" w:hAnsi="Calibri" w:cs="Calibri"/>
                <w:sz w:val="16"/>
                <w:szCs w:val="16"/>
              </w:rPr>
              <w:t>Filed herewith.</w:t>
            </w:r>
          </w:p>
        </w:tc>
      </w:tr>
    </w:tbl>
    <w:p w14:paraId="00FD97C4" w14:textId="77777777" w:rsidR="00251D72" w:rsidRDefault="00251D72">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251D72" w14:paraId="6635C23A" w14:textId="77777777">
        <w:tc>
          <w:tcPr>
            <w:tcW w:w="192" w:type="pct"/>
            <w:noWrap/>
            <w:hideMark/>
          </w:tcPr>
          <w:p w14:paraId="1BB3E212" w14:textId="77777777" w:rsidR="00251D72" w:rsidRDefault="00251D72">
            <w:pPr>
              <w:pStyle w:val="a3"/>
              <w:spacing w:before="0" w:beforeAutospacing="0" w:afterAutospacing="0"/>
              <w:rPr>
                <w:rFonts w:ascii="Calibri" w:hAnsi="Calibri" w:cs="Calibri"/>
                <w:color w:val="000000"/>
                <w:sz w:val="16"/>
                <w:szCs w:val="16"/>
              </w:rPr>
            </w:pPr>
            <w:r>
              <w:rPr>
                <w:rFonts w:ascii="Calibri" w:hAnsi="Calibri" w:cs="Calibri"/>
                <w:color w:val="000000"/>
                <w:sz w:val="16"/>
                <w:szCs w:val="16"/>
              </w:rPr>
              <w:t>†</w:t>
            </w:r>
          </w:p>
        </w:tc>
        <w:tc>
          <w:tcPr>
            <w:tcW w:w="0" w:type="auto"/>
            <w:hideMark/>
          </w:tcPr>
          <w:p w14:paraId="5EF488ED" w14:textId="77777777" w:rsidR="00251D72" w:rsidRDefault="00251D72">
            <w:pPr>
              <w:pStyle w:val="a3"/>
              <w:spacing w:before="0" w:beforeAutospacing="0" w:afterAutospacing="0"/>
              <w:rPr>
                <w:rFonts w:ascii="Calibri" w:hAnsi="Calibri" w:cs="Calibri"/>
                <w:color w:val="000000"/>
                <w:sz w:val="16"/>
                <w:szCs w:val="16"/>
              </w:rPr>
            </w:pPr>
            <w:r>
              <w:rPr>
                <w:rFonts w:ascii="Calibri" w:hAnsi="Calibri" w:cs="Calibri"/>
                <w:color w:val="000000"/>
                <w:sz w:val="16"/>
                <w:szCs w:val="16"/>
              </w:rPr>
              <w:t>Furnished herewith.</w:t>
            </w:r>
          </w:p>
        </w:tc>
      </w:tr>
    </w:tbl>
    <w:p w14:paraId="37691039" w14:textId="77777777" w:rsidR="00251D72" w:rsidRDefault="00251D72">
      <w:pPr>
        <w:pStyle w:val="a3"/>
        <w:spacing w:before="240" w:beforeAutospacing="0" w:after="0" w:afterAutospacing="0"/>
        <w:jc w:val="both"/>
      </w:pPr>
      <w:r>
        <w:t> </w:t>
      </w:r>
    </w:p>
    <w:p w14:paraId="54A03CCA"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123</w:t>
      </w:r>
    </w:p>
    <w:p w14:paraId="2248E24F" w14:textId="77777777" w:rsidR="00251D72" w:rsidRDefault="00251D72">
      <w:pPr>
        <w:rPr>
          <w:rFonts w:ascii="Times New Roman" w:eastAsia="Times New Roman" w:hAnsi="Times New Roman" w:cs="Times New Roman"/>
          <w:sz w:val="24"/>
          <w:szCs w:val="24"/>
        </w:rPr>
      </w:pPr>
      <w:r>
        <w:rPr>
          <w:rFonts w:eastAsia="Times New Roman"/>
        </w:rPr>
        <w:pict w14:anchorId="6819E0C4">
          <v:rect id="_x0000_i1149" style="width:415.3pt;height:1.5pt" o:hralign="center" o:hrstd="t" o:hr="t" fillcolor="#a0a0a0" stroked="f"/>
        </w:pict>
      </w:r>
    </w:p>
    <w:p w14:paraId="611EAAC4" w14:textId="77777777" w:rsidR="00251D72" w:rsidRDefault="00251D72">
      <w:pPr>
        <w:pStyle w:val="a3"/>
        <w:spacing w:before="0" w:beforeAutospacing="0" w:after="120" w:afterAutospacing="0"/>
        <w:rPr>
          <w:rFonts w:ascii="Calibri" w:hAnsi="Calibri" w:cs="Calibri"/>
          <w:sz w:val="18"/>
          <w:szCs w:val="18"/>
        </w:rPr>
      </w:pPr>
      <w:hyperlink w:anchor="TABLE_OF_CONTENTS" w:history="1">
        <w:r>
          <w:rPr>
            <w:rStyle w:val="a4"/>
            <w:rFonts w:ascii="Calibri" w:hAnsi="Calibri" w:cs="Calibri"/>
            <w:sz w:val="18"/>
            <w:szCs w:val="18"/>
          </w:rPr>
          <w:t>Table of Contents </w:t>
        </w:r>
      </w:hyperlink>
    </w:p>
    <w:p w14:paraId="708A18A3" w14:textId="77777777" w:rsidR="00251D72" w:rsidRDefault="00251D72">
      <w:pPr>
        <w:pStyle w:val="a3"/>
        <w:spacing w:before="0" w:beforeAutospacing="0" w:after="0" w:afterAutospacing="0"/>
        <w:rPr>
          <w:rFonts w:ascii="Calibri" w:hAnsi="Calibri" w:cs="Calibri"/>
          <w:sz w:val="18"/>
          <w:szCs w:val="18"/>
        </w:rPr>
      </w:pPr>
      <w:hyperlink w:anchor="ITEM_15_EXHIBITS_FINANCIAL_STATEMENT_SC" w:history="1">
        <w:r>
          <w:rPr>
            <w:rStyle w:val="a4"/>
            <w:rFonts w:ascii="Calibri" w:hAnsi="Calibri" w:cs="Calibri"/>
            <w:sz w:val="18"/>
            <w:szCs w:val="18"/>
          </w:rPr>
          <w:t>Index to Financial Statements</w:t>
        </w:r>
      </w:hyperlink>
    </w:p>
    <w:p w14:paraId="7CE01395" w14:textId="77777777" w:rsidR="00251D72" w:rsidRDefault="00251D72">
      <w:pPr>
        <w:pStyle w:val="a3"/>
        <w:spacing w:before="0" w:beforeAutospacing="0" w:after="0" w:afterAutospacing="0"/>
      </w:pPr>
      <w:r>
        <w:t> </w:t>
      </w:r>
    </w:p>
    <w:p w14:paraId="3B5C2A66" w14:textId="77777777" w:rsidR="00251D72" w:rsidRDefault="00251D72">
      <w:pPr>
        <w:pStyle w:val="a3"/>
        <w:spacing w:before="0" w:beforeAutospacing="0" w:after="0" w:afterAutospacing="0"/>
        <w:jc w:val="center"/>
        <w:rPr>
          <w:rFonts w:ascii="Calibri" w:hAnsi="Calibri" w:cs="Calibri"/>
          <w:b/>
          <w:bCs/>
          <w:sz w:val="20"/>
          <w:szCs w:val="20"/>
        </w:rPr>
      </w:pPr>
      <w:bookmarkStart w:id="166" w:name="_AEIOULastRenderedPageBreakAEIOU122"/>
      <w:bookmarkStart w:id="167" w:name="SIGNATURES"/>
      <w:bookmarkEnd w:id="166"/>
      <w:bookmarkEnd w:id="167"/>
      <w:r>
        <w:rPr>
          <w:rFonts w:ascii="Calibri" w:hAnsi="Calibri" w:cs="Calibri"/>
          <w:b/>
          <w:bCs/>
          <w:sz w:val="20"/>
          <w:szCs w:val="20"/>
        </w:rPr>
        <w:t>SIGNATURES</w:t>
      </w:r>
    </w:p>
    <w:p w14:paraId="59D35ADA" w14:textId="77777777" w:rsidR="00251D72" w:rsidRDefault="00251D72">
      <w:pPr>
        <w:pStyle w:val="a3"/>
        <w:spacing w:beforeAutospacing="0" w:after="0" w:afterAutospacing="0"/>
        <w:rPr>
          <w:rFonts w:ascii="Calibri" w:hAnsi="Calibri" w:cs="Calibri"/>
          <w:sz w:val="20"/>
          <w:szCs w:val="20"/>
        </w:rPr>
      </w:pPr>
      <w:r>
        <w:rPr>
          <w:rFonts w:ascii="Calibri" w:hAnsi="Calibri" w:cs="Calibri"/>
          <w:sz w:val="20"/>
          <w:szCs w:val="20"/>
        </w:rPr>
        <w:t>Pursuant to the requirements of Section 13 or 15(d) of the Securities Exchange Act of 1934, the registrant has duly caused this report to be signed on its behalf by the undersigned, thereunto duly authorized.</w:t>
      </w:r>
    </w:p>
    <w:p w14:paraId="1C514832" w14:textId="77777777" w:rsidR="00251D72" w:rsidRDefault="00251D72">
      <w:pPr>
        <w:pStyle w:val="a3"/>
        <w:spacing w:before="0" w:beforeAutospacing="0" w:after="0" w:afterAutospacing="0"/>
        <w:rPr>
          <w:sz w:val="10"/>
          <w:szCs w:val="10"/>
        </w:rPr>
      </w:pPr>
      <w:r>
        <w:rPr>
          <w:sz w:val="10"/>
          <w:szCs w:val="10"/>
        </w:rPr>
        <w:t> </w:t>
      </w:r>
    </w:p>
    <w:tbl>
      <w:tblPr>
        <w:tblW w:w="5000" w:type="pct"/>
        <w:jc w:val="center"/>
        <w:tblCellMar>
          <w:left w:w="0" w:type="dxa"/>
          <w:right w:w="0" w:type="dxa"/>
        </w:tblCellMar>
        <w:tblLook w:val="04A0" w:firstRow="1" w:lastRow="0" w:firstColumn="1" w:lastColumn="0" w:noHBand="0" w:noVBand="1"/>
      </w:tblPr>
      <w:tblGrid>
        <w:gridCol w:w="4484"/>
        <w:gridCol w:w="81"/>
        <w:gridCol w:w="256"/>
        <w:gridCol w:w="81"/>
        <w:gridCol w:w="3404"/>
      </w:tblGrid>
      <w:tr w:rsidR="00251D72" w14:paraId="174D434A" w14:textId="77777777">
        <w:trPr>
          <w:divId w:val="968631850"/>
          <w:jc w:val="center"/>
        </w:trPr>
        <w:tc>
          <w:tcPr>
            <w:tcW w:w="2699" w:type="pct"/>
            <w:hideMark/>
          </w:tcPr>
          <w:p w14:paraId="754B6853" w14:textId="77777777" w:rsidR="00251D72" w:rsidRDefault="00251D72">
            <w:pPr>
              <w:pStyle w:val="a3"/>
              <w:spacing w:before="0" w:beforeAutospacing="0" w:after="0" w:afterAutospacing="0"/>
            </w:pPr>
            <w:r>
              <w:t> </w:t>
            </w:r>
          </w:p>
        </w:tc>
        <w:tc>
          <w:tcPr>
            <w:tcW w:w="49" w:type="pct"/>
            <w:hideMark/>
          </w:tcPr>
          <w:p w14:paraId="68EE20E6" w14:textId="77777777" w:rsidR="00251D72" w:rsidRDefault="00251D72">
            <w:pPr>
              <w:pStyle w:val="a3"/>
              <w:spacing w:before="0" w:beforeAutospacing="0" w:after="0" w:afterAutospacing="0"/>
            </w:pPr>
            <w:r>
              <w:t> </w:t>
            </w:r>
          </w:p>
        </w:tc>
        <w:tc>
          <w:tcPr>
            <w:tcW w:w="2253" w:type="pct"/>
            <w:gridSpan w:val="3"/>
            <w:hideMark/>
          </w:tcPr>
          <w:p w14:paraId="1271155D" w14:textId="77777777" w:rsidR="00251D72" w:rsidRDefault="00251D72">
            <w:pPr>
              <w:pStyle w:val="a3"/>
              <w:spacing w:before="0" w:beforeAutospacing="0" w:after="0" w:afterAutospacing="0"/>
              <w:rPr>
                <w:rFonts w:ascii="Calibri" w:hAnsi="Calibri" w:cs="Calibri"/>
                <w:b/>
                <w:bCs/>
                <w:sz w:val="20"/>
                <w:szCs w:val="20"/>
              </w:rPr>
            </w:pPr>
            <w:r>
              <w:rPr>
                <w:rFonts w:ascii="Calibri" w:hAnsi="Calibri" w:cs="Calibri"/>
                <w:b/>
                <w:bCs/>
                <w:sz w:val="20"/>
                <w:szCs w:val="20"/>
              </w:rPr>
              <w:t>ORACLE CORPORATION</w:t>
            </w:r>
          </w:p>
        </w:tc>
      </w:tr>
      <w:tr w:rsidR="00251D72" w14:paraId="549660C8" w14:textId="77777777">
        <w:trPr>
          <w:divId w:val="968631850"/>
          <w:jc w:val="center"/>
        </w:trPr>
        <w:tc>
          <w:tcPr>
            <w:tcW w:w="2699" w:type="pct"/>
            <w:hideMark/>
          </w:tcPr>
          <w:p w14:paraId="0A1B31B2" w14:textId="77777777" w:rsidR="00251D72" w:rsidRDefault="00251D72">
            <w:pPr>
              <w:pStyle w:val="a3"/>
              <w:spacing w:before="0" w:beforeAutospacing="0" w:after="0" w:afterAutospacing="0"/>
              <w:rPr>
                <w:sz w:val="10"/>
                <w:szCs w:val="10"/>
              </w:rPr>
            </w:pPr>
            <w:r>
              <w:rPr>
                <w:sz w:val="10"/>
                <w:szCs w:val="10"/>
              </w:rPr>
              <w:t> </w:t>
            </w:r>
          </w:p>
        </w:tc>
        <w:tc>
          <w:tcPr>
            <w:tcW w:w="49" w:type="pct"/>
            <w:hideMark/>
          </w:tcPr>
          <w:p w14:paraId="504E3BE6" w14:textId="77777777" w:rsidR="00251D72" w:rsidRDefault="00251D72">
            <w:pPr>
              <w:pStyle w:val="a3"/>
              <w:spacing w:before="0" w:beforeAutospacing="0" w:after="0" w:afterAutospacing="0"/>
              <w:rPr>
                <w:sz w:val="10"/>
                <w:szCs w:val="10"/>
              </w:rPr>
            </w:pPr>
            <w:r>
              <w:rPr>
                <w:sz w:val="10"/>
                <w:szCs w:val="10"/>
              </w:rPr>
              <w:t> </w:t>
            </w:r>
          </w:p>
        </w:tc>
        <w:tc>
          <w:tcPr>
            <w:tcW w:w="154" w:type="pct"/>
            <w:hideMark/>
          </w:tcPr>
          <w:p w14:paraId="645CD645" w14:textId="77777777" w:rsidR="00251D72" w:rsidRDefault="00251D72">
            <w:pPr>
              <w:pStyle w:val="a3"/>
              <w:spacing w:before="0" w:beforeAutospacing="0" w:after="0" w:afterAutospacing="0"/>
              <w:rPr>
                <w:sz w:val="10"/>
                <w:szCs w:val="10"/>
              </w:rPr>
            </w:pPr>
            <w:r>
              <w:rPr>
                <w:sz w:val="10"/>
                <w:szCs w:val="10"/>
              </w:rPr>
              <w:t> </w:t>
            </w:r>
          </w:p>
        </w:tc>
        <w:tc>
          <w:tcPr>
            <w:tcW w:w="49" w:type="pct"/>
            <w:hideMark/>
          </w:tcPr>
          <w:p w14:paraId="58950E99" w14:textId="77777777" w:rsidR="00251D72" w:rsidRDefault="00251D72">
            <w:pPr>
              <w:pStyle w:val="a3"/>
              <w:spacing w:before="0" w:beforeAutospacing="0" w:after="0" w:afterAutospacing="0"/>
              <w:rPr>
                <w:sz w:val="10"/>
                <w:szCs w:val="10"/>
              </w:rPr>
            </w:pPr>
            <w:r>
              <w:rPr>
                <w:sz w:val="10"/>
                <w:szCs w:val="10"/>
              </w:rPr>
              <w:t> </w:t>
            </w:r>
          </w:p>
        </w:tc>
        <w:tc>
          <w:tcPr>
            <w:tcW w:w="2049" w:type="pct"/>
            <w:hideMark/>
          </w:tcPr>
          <w:p w14:paraId="695DF53F" w14:textId="77777777" w:rsidR="00251D72" w:rsidRDefault="00251D72">
            <w:pPr>
              <w:pStyle w:val="a3"/>
              <w:spacing w:before="0" w:beforeAutospacing="0" w:after="0" w:afterAutospacing="0"/>
              <w:rPr>
                <w:sz w:val="10"/>
                <w:szCs w:val="10"/>
              </w:rPr>
            </w:pPr>
            <w:r>
              <w:rPr>
                <w:sz w:val="10"/>
                <w:szCs w:val="10"/>
              </w:rPr>
              <w:t> </w:t>
            </w:r>
          </w:p>
        </w:tc>
      </w:tr>
      <w:tr w:rsidR="00251D72" w14:paraId="357078D0" w14:textId="77777777">
        <w:trPr>
          <w:divId w:val="968631850"/>
          <w:jc w:val="center"/>
        </w:trPr>
        <w:tc>
          <w:tcPr>
            <w:tcW w:w="2699" w:type="pct"/>
            <w:hideMark/>
          </w:tcPr>
          <w:p w14:paraId="280BABE7"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 xml:space="preserve">Date: </w:t>
            </w:r>
            <w:r>
              <w:rPr>
                <w:rFonts w:ascii="Calibri" w:hAnsi="Calibri" w:cs="Calibri"/>
                <w:sz w:val="19"/>
                <w:szCs w:val="19"/>
              </w:rPr>
              <w:t>June 21, 2019</w:t>
            </w:r>
          </w:p>
        </w:tc>
        <w:tc>
          <w:tcPr>
            <w:tcW w:w="49" w:type="pct"/>
            <w:hideMark/>
          </w:tcPr>
          <w:p w14:paraId="62CE8F30" w14:textId="77777777" w:rsidR="00251D72" w:rsidRDefault="00251D72">
            <w:pPr>
              <w:pStyle w:val="a3"/>
              <w:spacing w:before="0" w:beforeAutospacing="0" w:after="0" w:afterAutospacing="0"/>
            </w:pPr>
            <w:r>
              <w:t> </w:t>
            </w:r>
          </w:p>
        </w:tc>
        <w:tc>
          <w:tcPr>
            <w:tcW w:w="154" w:type="pct"/>
            <w:hideMark/>
          </w:tcPr>
          <w:p w14:paraId="29580F36"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By:</w:t>
            </w:r>
          </w:p>
        </w:tc>
        <w:tc>
          <w:tcPr>
            <w:tcW w:w="49" w:type="pct"/>
            <w:hideMark/>
          </w:tcPr>
          <w:p w14:paraId="324C5E3D" w14:textId="77777777" w:rsidR="00251D72" w:rsidRDefault="00251D72">
            <w:pPr>
              <w:pStyle w:val="a3"/>
              <w:spacing w:before="0" w:beforeAutospacing="0" w:after="0" w:afterAutospacing="0"/>
            </w:pPr>
            <w:r>
              <w:t> </w:t>
            </w:r>
          </w:p>
        </w:tc>
        <w:tc>
          <w:tcPr>
            <w:tcW w:w="2049" w:type="pct"/>
            <w:tcBorders>
              <w:bottom w:val="single" w:sz="6" w:space="0" w:color="000000"/>
            </w:tcBorders>
            <w:hideMark/>
          </w:tcPr>
          <w:p w14:paraId="36C818E9"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251D72" w14:paraId="366728CA" w14:textId="77777777">
        <w:trPr>
          <w:divId w:val="968631850"/>
          <w:jc w:val="center"/>
        </w:trPr>
        <w:tc>
          <w:tcPr>
            <w:tcW w:w="2699" w:type="pct"/>
            <w:hideMark/>
          </w:tcPr>
          <w:p w14:paraId="36D7990E" w14:textId="77777777" w:rsidR="00251D72" w:rsidRDefault="00251D72">
            <w:pPr>
              <w:pStyle w:val="a3"/>
              <w:spacing w:before="0" w:beforeAutospacing="0" w:after="0" w:afterAutospacing="0"/>
            </w:pPr>
            <w:r>
              <w:t> </w:t>
            </w:r>
          </w:p>
        </w:tc>
        <w:tc>
          <w:tcPr>
            <w:tcW w:w="49" w:type="pct"/>
            <w:hideMark/>
          </w:tcPr>
          <w:p w14:paraId="08179198" w14:textId="77777777" w:rsidR="00251D72" w:rsidRDefault="00251D72">
            <w:pPr>
              <w:pStyle w:val="a3"/>
              <w:spacing w:before="0" w:beforeAutospacing="0" w:after="0" w:afterAutospacing="0"/>
            </w:pPr>
            <w:r>
              <w:t> </w:t>
            </w:r>
          </w:p>
        </w:tc>
        <w:tc>
          <w:tcPr>
            <w:tcW w:w="154" w:type="pct"/>
            <w:hideMark/>
          </w:tcPr>
          <w:p w14:paraId="0B393017" w14:textId="77777777" w:rsidR="00251D72" w:rsidRDefault="00251D72">
            <w:pPr>
              <w:pStyle w:val="a3"/>
              <w:spacing w:before="0" w:beforeAutospacing="0" w:after="0" w:afterAutospacing="0"/>
            </w:pPr>
            <w:r>
              <w:t> </w:t>
            </w:r>
          </w:p>
        </w:tc>
        <w:tc>
          <w:tcPr>
            <w:tcW w:w="49" w:type="pct"/>
            <w:hideMark/>
          </w:tcPr>
          <w:p w14:paraId="2BF69ADA" w14:textId="77777777" w:rsidR="00251D72" w:rsidRDefault="00251D72">
            <w:pPr>
              <w:pStyle w:val="a3"/>
              <w:spacing w:before="0" w:beforeAutospacing="0" w:after="0" w:afterAutospacing="0"/>
            </w:pPr>
            <w:r>
              <w:t> </w:t>
            </w:r>
          </w:p>
        </w:tc>
        <w:tc>
          <w:tcPr>
            <w:tcW w:w="2049" w:type="pct"/>
            <w:hideMark/>
          </w:tcPr>
          <w:p w14:paraId="2E9F7563"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Safra A. Catz</w:t>
            </w:r>
          </w:p>
        </w:tc>
      </w:tr>
      <w:tr w:rsidR="00251D72" w14:paraId="64E7DBD5" w14:textId="77777777">
        <w:trPr>
          <w:divId w:val="968631850"/>
          <w:jc w:val="center"/>
        </w:trPr>
        <w:tc>
          <w:tcPr>
            <w:tcW w:w="2699" w:type="pct"/>
            <w:hideMark/>
          </w:tcPr>
          <w:p w14:paraId="2E948E59" w14:textId="77777777" w:rsidR="00251D72" w:rsidRDefault="00251D72">
            <w:pPr>
              <w:pStyle w:val="a3"/>
              <w:spacing w:before="0" w:beforeAutospacing="0" w:after="0" w:afterAutospacing="0"/>
            </w:pPr>
            <w:r>
              <w:t> </w:t>
            </w:r>
          </w:p>
        </w:tc>
        <w:tc>
          <w:tcPr>
            <w:tcW w:w="49" w:type="pct"/>
            <w:hideMark/>
          </w:tcPr>
          <w:p w14:paraId="1425B251" w14:textId="77777777" w:rsidR="00251D72" w:rsidRDefault="00251D72">
            <w:pPr>
              <w:pStyle w:val="a3"/>
              <w:spacing w:before="0" w:beforeAutospacing="0" w:after="0" w:afterAutospacing="0"/>
            </w:pPr>
            <w:r>
              <w:t> </w:t>
            </w:r>
          </w:p>
        </w:tc>
        <w:tc>
          <w:tcPr>
            <w:tcW w:w="154" w:type="pct"/>
            <w:hideMark/>
          </w:tcPr>
          <w:p w14:paraId="053699EE" w14:textId="77777777" w:rsidR="00251D72" w:rsidRDefault="00251D72">
            <w:pPr>
              <w:pStyle w:val="a3"/>
              <w:spacing w:before="0" w:beforeAutospacing="0" w:after="0" w:afterAutospacing="0"/>
            </w:pPr>
            <w:r>
              <w:t> </w:t>
            </w:r>
          </w:p>
        </w:tc>
        <w:tc>
          <w:tcPr>
            <w:tcW w:w="49" w:type="pct"/>
            <w:hideMark/>
          </w:tcPr>
          <w:p w14:paraId="1ABC0466" w14:textId="77777777" w:rsidR="00251D72" w:rsidRDefault="00251D72">
            <w:pPr>
              <w:pStyle w:val="a3"/>
              <w:spacing w:before="0" w:beforeAutospacing="0" w:after="0" w:afterAutospacing="0"/>
            </w:pPr>
            <w:r>
              <w:t> </w:t>
            </w:r>
          </w:p>
        </w:tc>
        <w:tc>
          <w:tcPr>
            <w:tcW w:w="2049" w:type="pct"/>
            <w:hideMark/>
          </w:tcPr>
          <w:p w14:paraId="3A0174BA"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 xml:space="preserve">Chief Executive Officer and Director </w:t>
            </w:r>
          </w:p>
        </w:tc>
      </w:tr>
      <w:tr w:rsidR="00251D72" w14:paraId="737C9E4B" w14:textId="77777777">
        <w:trPr>
          <w:divId w:val="968631850"/>
          <w:jc w:val="center"/>
        </w:trPr>
        <w:tc>
          <w:tcPr>
            <w:tcW w:w="2699" w:type="pct"/>
            <w:hideMark/>
          </w:tcPr>
          <w:p w14:paraId="2DE97989" w14:textId="77777777" w:rsidR="00251D72" w:rsidRDefault="00251D72">
            <w:pPr>
              <w:pStyle w:val="a3"/>
              <w:spacing w:before="0" w:beforeAutospacing="0" w:after="0" w:afterAutospacing="0"/>
            </w:pPr>
            <w:r>
              <w:t> </w:t>
            </w:r>
          </w:p>
        </w:tc>
        <w:tc>
          <w:tcPr>
            <w:tcW w:w="49" w:type="pct"/>
            <w:hideMark/>
          </w:tcPr>
          <w:p w14:paraId="70E8399C" w14:textId="77777777" w:rsidR="00251D72" w:rsidRDefault="00251D72">
            <w:pPr>
              <w:pStyle w:val="a3"/>
              <w:spacing w:before="0" w:beforeAutospacing="0" w:after="0" w:afterAutospacing="0"/>
            </w:pPr>
            <w:r>
              <w:t> </w:t>
            </w:r>
          </w:p>
        </w:tc>
        <w:tc>
          <w:tcPr>
            <w:tcW w:w="154" w:type="pct"/>
            <w:hideMark/>
          </w:tcPr>
          <w:p w14:paraId="17F70265" w14:textId="77777777" w:rsidR="00251D72" w:rsidRDefault="00251D72">
            <w:pPr>
              <w:pStyle w:val="a3"/>
              <w:spacing w:before="0" w:beforeAutospacing="0" w:after="0" w:afterAutospacing="0"/>
            </w:pPr>
            <w:r>
              <w:t> </w:t>
            </w:r>
          </w:p>
        </w:tc>
        <w:tc>
          <w:tcPr>
            <w:tcW w:w="49" w:type="pct"/>
            <w:hideMark/>
          </w:tcPr>
          <w:p w14:paraId="7A23A5BE" w14:textId="77777777" w:rsidR="00251D72" w:rsidRDefault="00251D72">
            <w:pPr>
              <w:pStyle w:val="a3"/>
              <w:spacing w:before="0" w:beforeAutospacing="0" w:after="0" w:afterAutospacing="0"/>
            </w:pPr>
            <w:r>
              <w:t> </w:t>
            </w:r>
          </w:p>
        </w:tc>
        <w:tc>
          <w:tcPr>
            <w:tcW w:w="2049" w:type="pct"/>
            <w:hideMark/>
          </w:tcPr>
          <w:p w14:paraId="449A6E0C"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(Principal Executive and Financial Officer)</w:t>
            </w:r>
          </w:p>
        </w:tc>
      </w:tr>
    </w:tbl>
    <w:p w14:paraId="0ED19E95" w14:textId="77777777" w:rsidR="00251D72" w:rsidRDefault="00251D72">
      <w:pPr>
        <w:pStyle w:val="a3"/>
        <w:spacing w:before="0" w:beforeAutospacing="0" w:after="0" w:afterAutospacing="0"/>
        <w:rPr>
          <w:sz w:val="10"/>
          <w:szCs w:val="10"/>
        </w:rPr>
      </w:pPr>
      <w:r>
        <w:rPr>
          <w:sz w:val="10"/>
          <w:szCs w:val="10"/>
        </w:rPr>
        <w:t> </w:t>
      </w:r>
    </w:p>
    <w:tbl>
      <w:tblPr>
        <w:tblW w:w="5000" w:type="pct"/>
        <w:jc w:val="center"/>
        <w:tblCellMar>
          <w:left w:w="0" w:type="dxa"/>
          <w:right w:w="0" w:type="dxa"/>
        </w:tblCellMar>
        <w:tblLook w:val="04A0" w:firstRow="1" w:lastRow="0" w:firstColumn="1" w:lastColumn="0" w:noHBand="0" w:noVBand="1"/>
      </w:tblPr>
      <w:tblGrid>
        <w:gridCol w:w="4484"/>
        <w:gridCol w:w="81"/>
        <w:gridCol w:w="256"/>
        <w:gridCol w:w="81"/>
        <w:gridCol w:w="3404"/>
      </w:tblGrid>
      <w:tr w:rsidR="00251D72" w14:paraId="40A69424" w14:textId="77777777">
        <w:trPr>
          <w:divId w:val="1492867471"/>
          <w:jc w:val="center"/>
        </w:trPr>
        <w:tc>
          <w:tcPr>
            <w:tcW w:w="2699" w:type="pct"/>
            <w:hideMark/>
          </w:tcPr>
          <w:p w14:paraId="1ABD6D02"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 xml:space="preserve">Date: </w:t>
            </w:r>
            <w:r>
              <w:rPr>
                <w:rFonts w:ascii="Calibri" w:hAnsi="Calibri" w:cs="Calibri"/>
                <w:sz w:val="19"/>
                <w:szCs w:val="19"/>
              </w:rPr>
              <w:t>June 21, 2019</w:t>
            </w:r>
          </w:p>
        </w:tc>
        <w:tc>
          <w:tcPr>
            <w:tcW w:w="49" w:type="pct"/>
            <w:hideMark/>
          </w:tcPr>
          <w:p w14:paraId="700BA603" w14:textId="77777777" w:rsidR="00251D72" w:rsidRDefault="00251D72">
            <w:pPr>
              <w:pStyle w:val="a3"/>
              <w:spacing w:before="0" w:beforeAutospacing="0" w:after="0" w:afterAutospacing="0"/>
            </w:pPr>
            <w:r>
              <w:t> </w:t>
            </w:r>
          </w:p>
        </w:tc>
        <w:tc>
          <w:tcPr>
            <w:tcW w:w="154" w:type="pct"/>
            <w:hideMark/>
          </w:tcPr>
          <w:p w14:paraId="09ECBB74"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By:</w:t>
            </w:r>
          </w:p>
        </w:tc>
        <w:tc>
          <w:tcPr>
            <w:tcW w:w="49" w:type="pct"/>
            <w:hideMark/>
          </w:tcPr>
          <w:p w14:paraId="59DFF614" w14:textId="77777777" w:rsidR="00251D72" w:rsidRDefault="00251D72">
            <w:pPr>
              <w:pStyle w:val="a3"/>
              <w:spacing w:before="0" w:beforeAutospacing="0" w:after="0" w:afterAutospacing="0"/>
            </w:pPr>
            <w:r>
              <w:t> </w:t>
            </w:r>
          </w:p>
        </w:tc>
        <w:tc>
          <w:tcPr>
            <w:tcW w:w="2049" w:type="pct"/>
            <w:tcBorders>
              <w:bottom w:val="single" w:sz="6" w:space="0" w:color="000000"/>
            </w:tcBorders>
            <w:hideMark/>
          </w:tcPr>
          <w:p w14:paraId="7FF04C28" w14:textId="77777777" w:rsidR="00251D72" w:rsidRDefault="00251D72">
            <w:pPr>
              <w:pStyle w:val="a3"/>
              <w:spacing w:before="0" w:beforeAutospacing="0" w:after="0" w:afterAutospacing="0"/>
              <w:rPr>
                <w:rFonts w:ascii="Calibri" w:hAnsi="Calibri" w:cs="Calibri"/>
                <w:sz w:val="19"/>
                <w:szCs w:val="19"/>
              </w:rPr>
            </w:pPr>
            <w:r>
              <w:rPr>
                <w:rFonts w:ascii="Calibri" w:hAnsi="Calibri" w:cs="Calibri"/>
                <w:sz w:val="19"/>
                <w:szCs w:val="19"/>
              </w:rPr>
              <w:t>/</w:t>
            </w:r>
            <w:r>
              <w:rPr>
                <w:rFonts w:ascii="Calibri" w:hAnsi="Calibri" w:cs="Calibri"/>
                <w:sz w:val="20"/>
                <w:szCs w:val="20"/>
              </w:rPr>
              <w:t>s/  </w:t>
            </w:r>
            <w:r>
              <w:rPr>
                <w:rFonts w:ascii="Calibri" w:hAnsi="Calibri" w:cs="Calibri"/>
                <w:smallCaps/>
                <w:sz w:val="20"/>
                <w:szCs w:val="20"/>
              </w:rPr>
              <w:t>Mark V. Hurd</w:t>
            </w:r>
          </w:p>
        </w:tc>
      </w:tr>
      <w:tr w:rsidR="00251D72" w14:paraId="06C119ED" w14:textId="77777777">
        <w:trPr>
          <w:divId w:val="1492867471"/>
          <w:jc w:val="center"/>
        </w:trPr>
        <w:tc>
          <w:tcPr>
            <w:tcW w:w="2699" w:type="pct"/>
            <w:hideMark/>
          </w:tcPr>
          <w:p w14:paraId="518DFB6C" w14:textId="77777777" w:rsidR="00251D72" w:rsidRDefault="00251D72">
            <w:pPr>
              <w:pStyle w:val="a3"/>
              <w:spacing w:before="0" w:beforeAutospacing="0" w:after="0" w:afterAutospacing="0"/>
            </w:pPr>
            <w:r>
              <w:t> </w:t>
            </w:r>
          </w:p>
        </w:tc>
        <w:tc>
          <w:tcPr>
            <w:tcW w:w="49" w:type="pct"/>
            <w:hideMark/>
          </w:tcPr>
          <w:p w14:paraId="4EF34FFA" w14:textId="77777777" w:rsidR="00251D72" w:rsidRDefault="00251D72">
            <w:pPr>
              <w:pStyle w:val="a3"/>
              <w:spacing w:before="0" w:beforeAutospacing="0" w:after="0" w:afterAutospacing="0"/>
            </w:pPr>
            <w:r>
              <w:t> </w:t>
            </w:r>
          </w:p>
        </w:tc>
        <w:tc>
          <w:tcPr>
            <w:tcW w:w="154" w:type="pct"/>
            <w:hideMark/>
          </w:tcPr>
          <w:p w14:paraId="674FF951" w14:textId="77777777" w:rsidR="00251D72" w:rsidRDefault="00251D72">
            <w:pPr>
              <w:pStyle w:val="a3"/>
              <w:spacing w:before="0" w:beforeAutospacing="0" w:after="0" w:afterAutospacing="0"/>
            </w:pPr>
            <w:r>
              <w:t> </w:t>
            </w:r>
          </w:p>
        </w:tc>
        <w:tc>
          <w:tcPr>
            <w:tcW w:w="49" w:type="pct"/>
            <w:hideMark/>
          </w:tcPr>
          <w:p w14:paraId="021C8DEB" w14:textId="77777777" w:rsidR="00251D72" w:rsidRDefault="00251D72">
            <w:pPr>
              <w:pStyle w:val="a3"/>
              <w:spacing w:before="0" w:beforeAutospacing="0" w:after="0" w:afterAutospacing="0"/>
            </w:pPr>
            <w:r>
              <w:t> </w:t>
            </w:r>
          </w:p>
        </w:tc>
        <w:tc>
          <w:tcPr>
            <w:tcW w:w="2049" w:type="pct"/>
            <w:hideMark/>
          </w:tcPr>
          <w:p w14:paraId="1C7D1CA8"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Mark V. Hurd</w:t>
            </w:r>
          </w:p>
        </w:tc>
      </w:tr>
      <w:tr w:rsidR="00251D72" w14:paraId="288578DE" w14:textId="77777777">
        <w:trPr>
          <w:divId w:val="1492867471"/>
          <w:jc w:val="center"/>
        </w:trPr>
        <w:tc>
          <w:tcPr>
            <w:tcW w:w="2699" w:type="pct"/>
            <w:hideMark/>
          </w:tcPr>
          <w:p w14:paraId="390C48C1" w14:textId="77777777" w:rsidR="00251D72" w:rsidRDefault="00251D72">
            <w:pPr>
              <w:pStyle w:val="a3"/>
              <w:spacing w:before="0" w:beforeAutospacing="0" w:after="0" w:afterAutospacing="0"/>
            </w:pPr>
            <w:r>
              <w:t> </w:t>
            </w:r>
          </w:p>
        </w:tc>
        <w:tc>
          <w:tcPr>
            <w:tcW w:w="49" w:type="pct"/>
            <w:hideMark/>
          </w:tcPr>
          <w:p w14:paraId="274FDBAC" w14:textId="77777777" w:rsidR="00251D72" w:rsidRDefault="00251D72">
            <w:pPr>
              <w:pStyle w:val="a3"/>
              <w:spacing w:before="0" w:beforeAutospacing="0" w:after="0" w:afterAutospacing="0"/>
            </w:pPr>
            <w:r>
              <w:t> </w:t>
            </w:r>
          </w:p>
        </w:tc>
        <w:tc>
          <w:tcPr>
            <w:tcW w:w="154" w:type="pct"/>
            <w:hideMark/>
          </w:tcPr>
          <w:p w14:paraId="3DAB1ADE" w14:textId="77777777" w:rsidR="00251D72" w:rsidRDefault="00251D72">
            <w:pPr>
              <w:pStyle w:val="a3"/>
              <w:spacing w:before="0" w:beforeAutospacing="0" w:after="0" w:afterAutospacing="0"/>
            </w:pPr>
            <w:r>
              <w:t> </w:t>
            </w:r>
          </w:p>
        </w:tc>
        <w:tc>
          <w:tcPr>
            <w:tcW w:w="49" w:type="pct"/>
            <w:hideMark/>
          </w:tcPr>
          <w:p w14:paraId="68329821" w14:textId="77777777" w:rsidR="00251D72" w:rsidRDefault="00251D72">
            <w:pPr>
              <w:pStyle w:val="a3"/>
              <w:spacing w:before="0" w:beforeAutospacing="0" w:after="0" w:afterAutospacing="0"/>
            </w:pPr>
            <w:r>
              <w:t> </w:t>
            </w:r>
          </w:p>
        </w:tc>
        <w:tc>
          <w:tcPr>
            <w:tcW w:w="2049" w:type="pct"/>
            <w:hideMark/>
          </w:tcPr>
          <w:p w14:paraId="78030FE3"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Chief Executive Officer and Director</w:t>
            </w:r>
          </w:p>
        </w:tc>
      </w:tr>
      <w:tr w:rsidR="00251D72" w14:paraId="7B9FED52" w14:textId="77777777">
        <w:trPr>
          <w:divId w:val="1492867471"/>
          <w:jc w:val="center"/>
        </w:trPr>
        <w:tc>
          <w:tcPr>
            <w:tcW w:w="2699" w:type="pct"/>
            <w:hideMark/>
          </w:tcPr>
          <w:p w14:paraId="237AAACD" w14:textId="77777777" w:rsidR="00251D72" w:rsidRDefault="00251D72">
            <w:pPr>
              <w:pStyle w:val="a3"/>
              <w:spacing w:before="0" w:beforeAutospacing="0" w:after="0" w:afterAutospacing="0"/>
            </w:pPr>
            <w:r>
              <w:t> </w:t>
            </w:r>
          </w:p>
        </w:tc>
        <w:tc>
          <w:tcPr>
            <w:tcW w:w="49" w:type="pct"/>
            <w:hideMark/>
          </w:tcPr>
          <w:p w14:paraId="33F73F42" w14:textId="77777777" w:rsidR="00251D72" w:rsidRDefault="00251D72">
            <w:pPr>
              <w:pStyle w:val="a3"/>
              <w:spacing w:before="0" w:beforeAutospacing="0" w:after="0" w:afterAutospacing="0"/>
            </w:pPr>
            <w:r>
              <w:t> </w:t>
            </w:r>
          </w:p>
        </w:tc>
        <w:tc>
          <w:tcPr>
            <w:tcW w:w="154" w:type="pct"/>
            <w:hideMark/>
          </w:tcPr>
          <w:p w14:paraId="2F429714" w14:textId="77777777" w:rsidR="00251D72" w:rsidRDefault="00251D72">
            <w:pPr>
              <w:pStyle w:val="a3"/>
              <w:spacing w:before="0" w:beforeAutospacing="0" w:after="0" w:afterAutospacing="0"/>
            </w:pPr>
            <w:r>
              <w:t> </w:t>
            </w:r>
          </w:p>
        </w:tc>
        <w:tc>
          <w:tcPr>
            <w:tcW w:w="49" w:type="pct"/>
            <w:hideMark/>
          </w:tcPr>
          <w:p w14:paraId="28AA9469" w14:textId="77777777" w:rsidR="00251D72" w:rsidRDefault="00251D72">
            <w:pPr>
              <w:pStyle w:val="a3"/>
              <w:spacing w:before="0" w:beforeAutospacing="0" w:after="0" w:afterAutospacing="0"/>
            </w:pPr>
            <w:r>
              <w:t> </w:t>
            </w:r>
          </w:p>
        </w:tc>
        <w:tc>
          <w:tcPr>
            <w:tcW w:w="2049" w:type="pct"/>
            <w:hideMark/>
          </w:tcPr>
          <w:p w14:paraId="330C5830"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(Principal Executive Officer)</w:t>
            </w:r>
          </w:p>
        </w:tc>
      </w:tr>
    </w:tbl>
    <w:p w14:paraId="4160525C" w14:textId="77777777" w:rsidR="00251D72" w:rsidRDefault="00251D72">
      <w:pPr>
        <w:pStyle w:val="a3"/>
        <w:spacing w:before="0" w:beforeAutospacing="0" w:after="0" w:afterAutospacing="0"/>
        <w:rPr>
          <w:sz w:val="10"/>
          <w:szCs w:val="10"/>
        </w:rPr>
      </w:pPr>
      <w:r>
        <w:rPr>
          <w:sz w:val="10"/>
          <w:szCs w:val="10"/>
        </w:rPr>
        <w:t> </w:t>
      </w:r>
    </w:p>
    <w:p w14:paraId="274458BB"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Pursuant to the requirements of the Securities Exchange Act of 1934, this report has been signed by the following persons on behalf of the Registrant and in the capacities and on the date indicated.</w:t>
      </w:r>
    </w:p>
    <w:p w14:paraId="040CD873" w14:textId="77777777" w:rsidR="00251D72" w:rsidRDefault="00251D72">
      <w:pPr>
        <w:pStyle w:val="a3"/>
        <w:spacing w:before="0" w:beforeAutospacing="0" w:after="0" w:afterAutospacing="0"/>
        <w:rPr>
          <w:sz w:val="10"/>
          <w:szCs w:val="10"/>
        </w:rPr>
      </w:pPr>
      <w:r>
        <w:rPr>
          <w:sz w:val="10"/>
          <w:szCs w:val="10"/>
        </w:rPr>
        <w:t> </w:t>
      </w:r>
    </w:p>
    <w:tbl>
      <w:tblPr>
        <w:tblW w:w="5000" w:type="pct"/>
        <w:jc w:val="center"/>
        <w:tblCellMar>
          <w:left w:w="0" w:type="dxa"/>
          <w:right w:w="0" w:type="dxa"/>
        </w:tblCellMar>
        <w:tblLook w:val="04A0" w:firstRow="1" w:lastRow="0" w:firstColumn="1" w:lastColumn="0" w:noHBand="0" w:noVBand="1"/>
      </w:tblPr>
      <w:tblGrid>
        <w:gridCol w:w="3229"/>
        <w:gridCol w:w="100"/>
        <w:gridCol w:w="3643"/>
        <w:gridCol w:w="100"/>
        <w:gridCol w:w="1234"/>
      </w:tblGrid>
      <w:tr w:rsidR="00251D72" w14:paraId="3C965C61" w14:textId="77777777">
        <w:trPr>
          <w:divId w:val="1441879434"/>
          <w:jc w:val="center"/>
        </w:trPr>
        <w:tc>
          <w:tcPr>
            <w:tcW w:w="1944" w:type="pct"/>
            <w:tcBorders>
              <w:bottom w:val="single" w:sz="6" w:space="0" w:color="000000"/>
            </w:tcBorders>
            <w:vAlign w:val="bottom"/>
            <w:hideMark/>
          </w:tcPr>
          <w:p w14:paraId="7BD8776F"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Name</w:t>
            </w:r>
          </w:p>
        </w:tc>
        <w:tc>
          <w:tcPr>
            <w:tcW w:w="60" w:type="pct"/>
            <w:hideMark/>
          </w:tcPr>
          <w:p w14:paraId="3A6ADE5A" w14:textId="77777777" w:rsidR="00251D72" w:rsidRDefault="00251D72">
            <w:pPr>
              <w:pStyle w:val="a3"/>
              <w:spacing w:before="0" w:beforeAutospacing="0" w:after="0" w:afterAutospacing="0"/>
              <w:rPr>
                <w:b/>
                <w:bCs/>
                <w:sz w:val="16"/>
                <w:szCs w:val="16"/>
              </w:rPr>
            </w:pPr>
            <w:r>
              <w:rPr>
                <w:b/>
                <w:bCs/>
                <w:sz w:val="16"/>
                <w:szCs w:val="16"/>
              </w:rPr>
              <w:t> </w:t>
            </w:r>
          </w:p>
        </w:tc>
        <w:tc>
          <w:tcPr>
            <w:tcW w:w="2193" w:type="pct"/>
            <w:tcBorders>
              <w:bottom w:val="single" w:sz="6" w:space="0" w:color="000000"/>
            </w:tcBorders>
            <w:vAlign w:val="bottom"/>
            <w:hideMark/>
          </w:tcPr>
          <w:p w14:paraId="30E0F471"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Title</w:t>
            </w:r>
          </w:p>
        </w:tc>
        <w:tc>
          <w:tcPr>
            <w:tcW w:w="60" w:type="pct"/>
            <w:hideMark/>
          </w:tcPr>
          <w:p w14:paraId="410E7369" w14:textId="77777777" w:rsidR="00251D72" w:rsidRDefault="00251D72">
            <w:pPr>
              <w:pStyle w:val="a3"/>
              <w:spacing w:before="0" w:beforeAutospacing="0" w:after="0" w:afterAutospacing="0"/>
              <w:rPr>
                <w:b/>
                <w:bCs/>
                <w:sz w:val="16"/>
                <w:szCs w:val="16"/>
              </w:rPr>
            </w:pPr>
            <w:r>
              <w:rPr>
                <w:b/>
                <w:bCs/>
                <w:sz w:val="16"/>
                <w:szCs w:val="16"/>
              </w:rPr>
              <w:t> </w:t>
            </w:r>
          </w:p>
        </w:tc>
        <w:tc>
          <w:tcPr>
            <w:tcW w:w="743" w:type="pct"/>
            <w:tcBorders>
              <w:bottom w:val="single" w:sz="6" w:space="0" w:color="000000"/>
            </w:tcBorders>
            <w:vAlign w:val="bottom"/>
            <w:hideMark/>
          </w:tcPr>
          <w:p w14:paraId="626E4D3F" w14:textId="77777777" w:rsidR="00251D72" w:rsidRDefault="00251D72">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Date</w:t>
            </w:r>
          </w:p>
        </w:tc>
      </w:tr>
      <w:tr w:rsidR="00251D72" w14:paraId="496C58A2" w14:textId="77777777">
        <w:trPr>
          <w:divId w:val="1441879434"/>
          <w:jc w:val="center"/>
        </w:trPr>
        <w:tc>
          <w:tcPr>
            <w:tcW w:w="1944" w:type="pct"/>
            <w:tcBorders>
              <w:top w:val="single" w:sz="6" w:space="0" w:color="000000"/>
            </w:tcBorders>
            <w:hideMark/>
          </w:tcPr>
          <w:p w14:paraId="6F62BDB1"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3A1421F1" w14:textId="77777777" w:rsidR="00251D72" w:rsidRDefault="00251D72">
            <w:pPr>
              <w:pStyle w:val="a3"/>
              <w:spacing w:before="0" w:beforeAutospacing="0" w:after="0" w:afterAutospacing="0"/>
              <w:rPr>
                <w:sz w:val="10"/>
                <w:szCs w:val="10"/>
              </w:rPr>
            </w:pPr>
            <w:r>
              <w:rPr>
                <w:sz w:val="10"/>
                <w:szCs w:val="10"/>
              </w:rPr>
              <w:t> </w:t>
            </w:r>
          </w:p>
        </w:tc>
        <w:tc>
          <w:tcPr>
            <w:tcW w:w="2193" w:type="pct"/>
            <w:tcBorders>
              <w:top w:val="single" w:sz="6" w:space="0" w:color="000000"/>
            </w:tcBorders>
            <w:vAlign w:val="bottom"/>
            <w:hideMark/>
          </w:tcPr>
          <w:p w14:paraId="3166F118"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553BF7B0" w14:textId="77777777" w:rsidR="00251D72" w:rsidRDefault="00251D72">
            <w:pPr>
              <w:pStyle w:val="a3"/>
              <w:spacing w:before="0" w:beforeAutospacing="0" w:after="0" w:afterAutospacing="0"/>
              <w:jc w:val="center"/>
              <w:rPr>
                <w:sz w:val="10"/>
                <w:szCs w:val="10"/>
              </w:rPr>
            </w:pPr>
            <w:r>
              <w:rPr>
                <w:sz w:val="10"/>
                <w:szCs w:val="10"/>
              </w:rPr>
              <w:t> </w:t>
            </w:r>
          </w:p>
        </w:tc>
        <w:tc>
          <w:tcPr>
            <w:tcW w:w="743" w:type="pct"/>
            <w:tcBorders>
              <w:top w:val="single" w:sz="6" w:space="0" w:color="000000"/>
            </w:tcBorders>
            <w:vAlign w:val="bottom"/>
            <w:hideMark/>
          </w:tcPr>
          <w:p w14:paraId="789A1032"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5403E4A9" w14:textId="77777777">
        <w:trPr>
          <w:divId w:val="1441879434"/>
          <w:jc w:val="center"/>
        </w:trPr>
        <w:tc>
          <w:tcPr>
            <w:tcW w:w="1944" w:type="pct"/>
            <w:tcBorders>
              <w:bottom w:val="single" w:sz="6" w:space="0" w:color="000000"/>
            </w:tcBorders>
            <w:hideMark/>
          </w:tcPr>
          <w:p w14:paraId="5C910C1A"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c>
          <w:tcPr>
            <w:tcW w:w="60" w:type="pct"/>
            <w:hideMark/>
          </w:tcPr>
          <w:p w14:paraId="438A25B3" w14:textId="77777777" w:rsidR="00251D72" w:rsidRDefault="00251D72">
            <w:pPr>
              <w:pStyle w:val="a3"/>
              <w:spacing w:before="0" w:beforeAutospacing="0" w:after="0" w:afterAutospacing="0"/>
            </w:pPr>
            <w:r>
              <w:t> </w:t>
            </w:r>
          </w:p>
        </w:tc>
        <w:tc>
          <w:tcPr>
            <w:tcW w:w="2193" w:type="pct"/>
            <w:vMerge w:val="restart"/>
            <w:hideMark/>
          </w:tcPr>
          <w:p w14:paraId="25D51F38"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Chief Executive Officer and Director (Principal Executive and Financial Officer)</w:t>
            </w:r>
          </w:p>
        </w:tc>
        <w:tc>
          <w:tcPr>
            <w:tcW w:w="60" w:type="pct"/>
            <w:hideMark/>
          </w:tcPr>
          <w:p w14:paraId="7C1B5CFD" w14:textId="77777777" w:rsidR="00251D72" w:rsidRDefault="00251D72">
            <w:pPr>
              <w:pStyle w:val="a3"/>
              <w:spacing w:before="0" w:beforeAutospacing="0" w:after="0" w:afterAutospacing="0"/>
              <w:jc w:val="center"/>
            </w:pPr>
            <w:r>
              <w:t> </w:t>
            </w:r>
          </w:p>
        </w:tc>
        <w:tc>
          <w:tcPr>
            <w:tcW w:w="743" w:type="pct"/>
            <w:vAlign w:val="bottom"/>
            <w:hideMark/>
          </w:tcPr>
          <w:p w14:paraId="40CB5836"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4E7CDAC9" w14:textId="77777777">
        <w:trPr>
          <w:divId w:val="1441879434"/>
          <w:jc w:val="center"/>
        </w:trPr>
        <w:tc>
          <w:tcPr>
            <w:tcW w:w="1944" w:type="pct"/>
            <w:tcBorders>
              <w:top w:val="single" w:sz="6" w:space="0" w:color="000000"/>
            </w:tcBorders>
            <w:hideMark/>
          </w:tcPr>
          <w:p w14:paraId="34680774"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Safra A. Catz</w:t>
            </w:r>
          </w:p>
        </w:tc>
        <w:tc>
          <w:tcPr>
            <w:tcW w:w="60" w:type="pct"/>
            <w:hideMark/>
          </w:tcPr>
          <w:p w14:paraId="15F2C1BD" w14:textId="77777777" w:rsidR="00251D72" w:rsidRDefault="00251D72">
            <w:pPr>
              <w:pStyle w:val="a3"/>
              <w:spacing w:before="0" w:beforeAutospacing="0" w:after="0" w:afterAutospacing="0"/>
            </w:pPr>
            <w:r>
              <w:t> </w:t>
            </w:r>
          </w:p>
        </w:tc>
        <w:tc>
          <w:tcPr>
            <w:tcW w:w="0" w:type="auto"/>
            <w:vMerge/>
            <w:vAlign w:val="center"/>
            <w:hideMark/>
          </w:tcPr>
          <w:p w14:paraId="1CFF25E9" w14:textId="77777777" w:rsidR="00251D72" w:rsidRDefault="00251D72">
            <w:pPr>
              <w:rPr>
                <w:rFonts w:ascii="Calibri" w:hAnsi="Calibri" w:cs="Calibri"/>
                <w:sz w:val="20"/>
                <w:szCs w:val="20"/>
              </w:rPr>
            </w:pPr>
          </w:p>
        </w:tc>
        <w:tc>
          <w:tcPr>
            <w:tcW w:w="60" w:type="pct"/>
            <w:hideMark/>
          </w:tcPr>
          <w:p w14:paraId="035E229B" w14:textId="77777777" w:rsidR="00251D72" w:rsidRDefault="00251D72">
            <w:pPr>
              <w:pStyle w:val="a3"/>
              <w:spacing w:before="0" w:beforeAutospacing="0" w:after="0" w:afterAutospacing="0"/>
              <w:jc w:val="center"/>
            </w:pPr>
            <w:r>
              <w:t> </w:t>
            </w:r>
          </w:p>
        </w:tc>
        <w:tc>
          <w:tcPr>
            <w:tcW w:w="743" w:type="pct"/>
            <w:vAlign w:val="bottom"/>
            <w:hideMark/>
          </w:tcPr>
          <w:p w14:paraId="4D62484F" w14:textId="77777777" w:rsidR="00251D72" w:rsidRDefault="00251D72">
            <w:pPr>
              <w:pStyle w:val="a3"/>
              <w:spacing w:before="0" w:beforeAutospacing="0" w:after="0" w:afterAutospacing="0"/>
              <w:jc w:val="center"/>
            </w:pPr>
            <w:r>
              <w:t> </w:t>
            </w:r>
          </w:p>
        </w:tc>
      </w:tr>
      <w:tr w:rsidR="00251D72" w14:paraId="2A14D25C" w14:textId="77777777">
        <w:trPr>
          <w:divId w:val="1441879434"/>
          <w:jc w:val="center"/>
        </w:trPr>
        <w:tc>
          <w:tcPr>
            <w:tcW w:w="1944" w:type="pct"/>
            <w:vAlign w:val="bottom"/>
            <w:hideMark/>
          </w:tcPr>
          <w:p w14:paraId="26E233ED"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4EEEDBF2" w14:textId="77777777" w:rsidR="00251D72" w:rsidRDefault="00251D72">
            <w:pPr>
              <w:pStyle w:val="a3"/>
              <w:spacing w:before="0" w:beforeAutospacing="0" w:after="0" w:afterAutospacing="0"/>
              <w:rPr>
                <w:sz w:val="10"/>
                <w:szCs w:val="10"/>
              </w:rPr>
            </w:pPr>
            <w:r>
              <w:rPr>
                <w:sz w:val="10"/>
                <w:szCs w:val="10"/>
              </w:rPr>
              <w:t> </w:t>
            </w:r>
          </w:p>
        </w:tc>
        <w:tc>
          <w:tcPr>
            <w:tcW w:w="2193" w:type="pct"/>
            <w:hideMark/>
          </w:tcPr>
          <w:p w14:paraId="3C78AC61"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7C79DA6E"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69BD9BF4"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0FF002A2" w14:textId="77777777">
        <w:trPr>
          <w:divId w:val="1441879434"/>
          <w:jc w:val="center"/>
        </w:trPr>
        <w:tc>
          <w:tcPr>
            <w:tcW w:w="1944" w:type="pct"/>
            <w:tcBorders>
              <w:bottom w:val="single" w:sz="6" w:space="0" w:color="000000"/>
            </w:tcBorders>
            <w:vAlign w:val="bottom"/>
            <w:hideMark/>
          </w:tcPr>
          <w:p w14:paraId="7BD6CA6A"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Mark V. Hurd</w:t>
            </w:r>
          </w:p>
        </w:tc>
        <w:tc>
          <w:tcPr>
            <w:tcW w:w="60" w:type="pct"/>
            <w:hideMark/>
          </w:tcPr>
          <w:p w14:paraId="7A205125" w14:textId="77777777" w:rsidR="00251D72" w:rsidRDefault="00251D72">
            <w:pPr>
              <w:pStyle w:val="a3"/>
              <w:spacing w:before="0" w:beforeAutospacing="0" w:after="0" w:afterAutospacing="0"/>
            </w:pPr>
            <w:r>
              <w:t> </w:t>
            </w:r>
          </w:p>
        </w:tc>
        <w:tc>
          <w:tcPr>
            <w:tcW w:w="2193" w:type="pct"/>
            <w:vMerge w:val="restart"/>
            <w:hideMark/>
          </w:tcPr>
          <w:p w14:paraId="44D5F665"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Chief Executive Officer and Director (Principal Executive Officer)</w:t>
            </w:r>
          </w:p>
        </w:tc>
        <w:tc>
          <w:tcPr>
            <w:tcW w:w="60" w:type="pct"/>
            <w:hideMark/>
          </w:tcPr>
          <w:p w14:paraId="5F5A6791" w14:textId="77777777" w:rsidR="00251D72" w:rsidRDefault="00251D72">
            <w:pPr>
              <w:pStyle w:val="a3"/>
              <w:spacing w:before="0" w:beforeAutospacing="0" w:after="0" w:afterAutospacing="0"/>
              <w:jc w:val="center"/>
            </w:pPr>
            <w:r>
              <w:t> </w:t>
            </w:r>
          </w:p>
        </w:tc>
        <w:tc>
          <w:tcPr>
            <w:tcW w:w="743" w:type="pct"/>
            <w:vAlign w:val="bottom"/>
            <w:hideMark/>
          </w:tcPr>
          <w:p w14:paraId="2A440E94"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22ACA4EE" w14:textId="77777777">
        <w:trPr>
          <w:divId w:val="1441879434"/>
          <w:jc w:val="center"/>
        </w:trPr>
        <w:tc>
          <w:tcPr>
            <w:tcW w:w="1944" w:type="pct"/>
            <w:tcBorders>
              <w:top w:val="single" w:sz="6" w:space="0" w:color="000000"/>
            </w:tcBorders>
            <w:vAlign w:val="bottom"/>
            <w:hideMark/>
          </w:tcPr>
          <w:p w14:paraId="05A1C38B"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Mark V. Hurd</w:t>
            </w:r>
          </w:p>
        </w:tc>
        <w:tc>
          <w:tcPr>
            <w:tcW w:w="60" w:type="pct"/>
            <w:hideMark/>
          </w:tcPr>
          <w:p w14:paraId="29D751F0" w14:textId="77777777" w:rsidR="00251D72" w:rsidRDefault="00251D72">
            <w:pPr>
              <w:pStyle w:val="a3"/>
              <w:spacing w:before="0" w:beforeAutospacing="0" w:after="0" w:afterAutospacing="0"/>
            </w:pPr>
            <w:r>
              <w:t> </w:t>
            </w:r>
          </w:p>
        </w:tc>
        <w:tc>
          <w:tcPr>
            <w:tcW w:w="0" w:type="auto"/>
            <w:vMerge/>
            <w:vAlign w:val="center"/>
            <w:hideMark/>
          </w:tcPr>
          <w:p w14:paraId="446F1EA2" w14:textId="77777777" w:rsidR="00251D72" w:rsidRDefault="00251D72">
            <w:pPr>
              <w:rPr>
                <w:rFonts w:ascii="Calibri" w:hAnsi="Calibri" w:cs="Calibri"/>
                <w:sz w:val="20"/>
                <w:szCs w:val="20"/>
              </w:rPr>
            </w:pPr>
          </w:p>
        </w:tc>
        <w:tc>
          <w:tcPr>
            <w:tcW w:w="60" w:type="pct"/>
            <w:hideMark/>
          </w:tcPr>
          <w:p w14:paraId="75F6FA66" w14:textId="77777777" w:rsidR="00251D72" w:rsidRDefault="00251D72">
            <w:pPr>
              <w:pStyle w:val="a3"/>
              <w:spacing w:before="0" w:beforeAutospacing="0" w:after="0" w:afterAutospacing="0"/>
              <w:jc w:val="center"/>
            </w:pPr>
            <w:r>
              <w:t> </w:t>
            </w:r>
          </w:p>
        </w:tc>
        <w:tc>
          <w:tcPr>
            <w:tcW w:w="743" w:type="pct"/>
            <w:vAlign w:val="bottom"/>
            <w:hideMark/>
          </w:tcPr>
          <w:p w14:paraId="1EF11B2F" w14:textId="77777777" w:rsidR="00251D72" w:rsidRDefault="00251D72">
            <w:pPr>
              <w:pStyle w:val="a3"/>
              <w:spacing w:before="0" w:beforeAutospacing="0" w:after="0" w:afterAutospacing="0"/>
              <w:jc w:val="center"/>
            </w:pPr>
            <w:r>
              <w:t> </w:t>
            </w:r>
          </w:p>
        </w:tc>
      </w:tr>
      <w:tr w:rsidR="00251D72" w14:paraId="293A9B35" w14:textId="77777777">
        <w:trPr>
          <w:divId w:val="1441879434"/>
          <w:jc w:val="center"/>
        </w:trPr>
        <w:tc>
          <w:tcPr>
            <w:tcW w:w="1944" w:type="pct"/>
            <w:vAlign w:val="bottom"/>
            <w:hideMark/>
          </w:tcPr>
          <w:p w14:paraId="5440038B"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36D4D778" w14:textId="77777777" w:rsidR="00251D72" w:rsidRDefault="00251D72">
            <w:pPr>
              <w:pStyle w:val="a3"/>
              <w:spacing w:before="0" w:beforeAutospacing="0" w:after="0" w:afterAutospacing="0"/>
              <w:rPr>
                <w:sz w:val="10"/>
                <w:szCs w:val="10"/>
              </w:rPr>
            </w:pPr>
            <w:r>
              <w:rPr>
                <w:sz w:val="10"/>
                <w:szCs w:val="10"/>
              </w:rPr>
              <w:t> </w:t>
            </w:r>
          </w:p>
        </w:tc>
        <w:tc>
          <w:tcPr>
            <w:tcW w:w="2193" w:type="pct"/>
            <w:hideMark/>
          </w:tcPr>
          <w:p w14:paraId="1E5AE69F"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204E14F1"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6E861759"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4D394381" w14:textId="77777777">
        <w:trPr>
          <w:divId w:val="1441879434"/>
          <w:jc w:val="center"/>
        </w:trPr>
        <w:tc>
          <w:tcPr>
            <w:tcW w:w="1944" w:type="pct"/>
            <w:tcBorders>
              <w:bottom w:val="single" w:sz="6" w:space="0" w:color="000000"/>
            </w:tcBorders>
            <w:vAlign w:val="bottom"/>
            <w:hideMark/>
          </w:tcPr>
          <w:p w14:paraId="48610D0E"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c>
          <w:tcPr>
            <w:tcW w:w="60" w:type="pct"/>
            <w:hideMark/>
          </w:tcPr>
          <w:p w14:paraId="4E3EB2E5" w14:textId="77777777" w:rsidR="00251D72" w:rsidRDefault="00251D72">
            <w:pPr>
              <w:pStyle w:val="a3"/>
              <w:spacing w:before="0" w:beforeAutospacing="0" w:after="0" w:afterAutospacing="0"/>
            </w:pPr>
            <w:r>
              <w:t> </w:t>
            </w:r>
          </w:p>
        </w:tc>
        <w:tc>
          <w:tcPr>
            <w:tcW w:w="2193" w:type="pct"/>
            <w:vMerge w:val="restart"/>
            <w:hideMark/>
          </w:tcPr>
          <w:p w14:paraId="5661C8BE"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Executive Vice President, Corporate Controller and Chief Accounting Officer (Principal Accounting Officer)</w:t>
            </w:r>
          </w:p>
        </w:tc>
        <w:tc>
          <w:tcPr>
            <w:tcW w:w="60" w:type="pct"/>
            <w:hideMark/>
          </w:tcPr>
          <w:p w14:paraId="005EFACB" w14:textId="77777777" w:rsidR="00251D72" w:rsidRDefault="00251D72">
            <w:pPr>
              <w:pStyle w:val="a3"/>
              <w:spacing w:before="0" w:beforeAutospacing="0" w:after="0" w:afterAutospacing="0"/>
              <w:jc w:val="center"/>
            </w:pPr>
            <w:r>
              <w:t> </w:t>
            </w:r>
          </w:p>
        </w:tc>
        <w:tc>
          <w:tcPr>
            <w:tcW w:w="743" w:type="pct"/>
            <w:vAlign w:val="bottom"/>
            <w:hideMark/>
          </w:tcPr>
          <w:p w14:paraId="56C7E216"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7B9B551D" w14:textId="77777777">
        <w:trPr>
          <w:divId w:val="1441879434"/>
          <w:jc w:val="center"/>
        </w:trPr>
        <w:tc>
          <w:tcPr>
            <w:tcW w:w="1944" w:type="pct"/>
            <w:tcBorders>
              <w:top w:val="single" w:sz="6" w:space="0" w:color="000000"/>
            </w:tcBorders>
            <w:hideMark/>
          </w:tcPr>
          <w:p w14:paraId="28DF881A"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William Corey West</w:t>
            </w:r>
          </w:p>
        </w:tc>
        <w:tc>
          <w:tcPr>
            <w:tcW w:w="60" w:type="pct"/>
            <w:hideMark/>
          </w:tcPr>
          <w:p w14:paraId="227517ED" w14:textId="77777777" w:rsidR="00251D72" w:rsidRDefault="00251D72">
            <w:pPr>
              <w:pStyle w:val="a3"/>
              <w:spacing w:before="0" w:beforeAutospacing="0" w:after="0" w:afterAutospacing="0"/>
            </w:pPr>
            <w:r>
              <w:t> </w:t>
            </w:r>
          </w:p>
        </w:tc>
        <w:tc>
          <w:tcPr>
            <w:tcW w:w="0" w:type="auto"/>
            <w:vMerge/>
            <w:vAlign w:val="center"/>
            <w:hideMark/>
          </w:tcPr>
          <w:p w14:paraId="0123A7B5" w14:textId="77777777" w:rsidR="00251D72" w:rsidRDefault="00251D72">
            <w:pPr>
              <w:rPr>
                <w:rFonts w:ascii="Calibri" w:hAnsi="Calibri" w:cs="Calibri"/>
                <w:sz w:val="20"/>
                <w:szCs w:val="20"/>
              </w:rPr>
            </w:pPr>
          </w:p>
        </w:tc>
        <w:tc>
          <w:tcPr>
            <w:tcW w:w="60" w:type="pct"/>
            <w:hideMark/>
          </w:tcPr>
          <w:p w14:paraId="4FE57E9B" w14:textId="77777777" w:rsidR="00251D72" w:rsidRDefault="00251D72">
            <w:pPr>
              <w:pStyle w:val="a3"/>
              <w:spacing w:before="0" w:beforeAutospacing="0" w:after="0" w:afterAutospacing="0"/>
              <w:jc w:val="center"/>
            </w:pPr>
            <w:r>
              <w:t> </w:t>
            </w:r>
          </w:p>
        </w:tc>
        <w:tc>
          <w:tcPr>
            <w:tcW w:w="743" w:type="pct"/>
            <w:hideMark/>
          </w:tcPr>
          <w:p w14:paraId="3236CE76" w14:textId="77777777" w:rsidR="00251D72" w:rsidRDefault="00251D72">
            <w:pPr>
              <w:pStyle w:val="a3"/>
              <w:spacing w:before="0" w:beforeAutospacing="0" w:after="0" w:afterAutospacing="0"/>
              <w:jc w:val="center"/>
            </w:pPr>
            <w:r>
              <w:t> </w:t>
            </w:r>
          </w:p>
        </w:tc>
      </w:tr>
      <w:tr w:rsidR="00251D72" w14:paraId="6DDCF2E3" w14:textId="77777777">
        <w:trPr>
          <w:divId w:val="1441879434"/>
          <w:jc w:val="center"/>
        </w:trPr>
        <w:tc>
          <w:tcPr>
            <w:tcW w:w="1944" w:type="pct"/>
            <w:vAlign w:val="bottom"/>
            <w:hideMark/>
          </w:tcPr>
          <w:p w14:paraId="111D27FC"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26939822" w14:textId="77777777" w:rsidR="00251D72" w:rsidRDefault="00251D72">
            <w:pPr>
              <w:pStyle w:val="a3"/>
              <w:spacing w:before="0" w:beforeAutospacing="0" w:after="0" w:afterAutospacing="0"/>
              <w:rPr>
                <w:sz w:val="10"/>
                <w:szCs w:val="10"/>
              </w:rPr>
            </w:pPr>
            <w:r>
              <w:rPr>
                <w:sz w:val="10"/>
                <w:szCs w:val="10"/>
              </w:rPr>
              <w:t> </w:t>
            </w:r>
          </w:p>
        </w:tc>
        <w:tc>
          <w:tcPr>
            <w:tcW w:w="2193" w:type="pct"/>
            <w:hideMark/>
          </w:tcPr>
          <w:p w14:paraId="074022ED"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42889804"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0D3CBAF5"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26543B3A" w14:textId="77777777">
        <w:trPr>
          <w:divId w:val="1441879434"/>
          <w:jc w:val="center"/>
        </w:trPr>
        <w:tc>
          <w:tcPr>
            <w:tcW w:w="1944" w:type="pct"/>
            <w:tcBorders>
              <w:bottom w:val="single" w:sz="6" w:space="0" w:color="000000"/>
            </w:tcBorders>
            <w:vAlign w:val="bottom"/>
            <w:hideMark/>
          </w:tcPr>
          <w:p w14:paraId="505EDCE9"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 xml:space="preserve">Lawrence J. Ellison </w:t>
            </w:r>
          </w:p>
        </w:tc>
        <w:tc>
          <w:tcPr>
            <w:tcW w:w="60" w:type="pct"/>
            <w:hideMark/>
          </w:tcPr>
          <w:p w14:paraId="624DA697" w14:textId="77777777" w:rsidR="00251D72" w:rsidRDefault="00251D72">
            <w:pPr>
              <w:pStyle w:val="a3"/>
              <w:spacing w:before="0" w:beforeAutospacing="0" w:after="0" w:afterAutospacing="0"/>
            </w:pPr>
            <w:r>
              <w:t> </w:t>
            </w:r>
          </w:p>
        </w:tc>
        <w:tc>
          <w:tcPr>
            <w:tcW w:w="2193" w:type="pct"/>
            <w:vMerge w:val="restart"/>
            <w:hideMark/>
          </w:tcPr>
          <w:p w14:paraId="57FCE7CA"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Chairman of the Board of Directors and Chief Technology Officer</w:t>
            </w:r>
          </w:p>
        </w:tc>
        <w:tc>
          <w:tcPr>
            <w:tcW w:w="60" w:type="pct"/>
            <w:hideMark/>
          </w:tcPr>
          <w:p w14:paraId="1C5510AB" w14:textId="77777777" w:rsidR="00251D72" w:rsidRDefault="00251D72">
            <w:pPr>
              <w:pStyle w:val="a3"/>
              <w:spacing w:before="0" w:beforeAutospacing="0" w:after="0" w:afterAutospacing="0"/>
              <w:jc w:val="center"/>
            </w:pPr>
            <w:r>
              <w:t> </w:t>
            </w:r>
          </w:p>
        </w:tc>
        <w:tc>
          <w:tcPr>
            <w:tcW w:w="743" w:type="pct"/>
            <w:vAlign w:val="bottom"/>
            <w:hideMark/>
          </w:tcPr>
          <w:p w14:paraId="066D3343"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242C7CE3" w14:textId="77777777">
        <w:trPr>
          <w:divId w:val="1441879434"/>
          <w:jc w:val="center"/>
        </w:trPr>
        <w:tc>
          <w:tcPr>
            <w:tcW w:w="1944" w:type="pct"/>
            <w:tcBorders>
              <w:top w:val="single" w:sz="6" w:space="0" w:color="000000"/>
            </w:tcBorders>
            <w:vAlign w:val="bottom"/>
            <w:hideMark/>
          </w:tcPr>
          <w:p w14:paraId="0870E828"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Lawrence J. Ellison</w:t>
            </w:r>
          </w:p>
        </w:tc>
        <w:tc>
          <w:tcPr>
            <w:tcW w:w="60" w:type="pct"/>
            <w:hideMark/>
          </w:tcPr>
          <w:p w14:paraId="6E86EFF7" w14:textId="77777777" w:rsidR="00251D72" w:rsidRDefault="00251D72">
            <w:pPr>
              <w:pStyle w:val="a3"/>
              <w:spacing w:before="0" w:beforeAutospacing="0" w:after="0" w:afterAutospacing="0"/>
            </w:pPr>
            <w:r>
              <w:t> </w:t>
            </w:r>
          </w:p>
        </w:tc>
        <w:tc>
          <w:tcPr>
            <w:tcW w:w="0" w:type="auto"/>
            <w:vMerge/>
            <w:vAlign w:val="center"/>
            <w:hideMark/>
          </w:tcPr>
          <w:p w14:paraId="49B0C1BA" w14:textId="77777777" w:rsidR="00251D72" w:rsidRDefault="00251D72">
            <w:pPr>
              <w:rPr>
                <w:rFonts w:ascii="Calibri" w:hAnsi="Calibri" w:cs="Calibri"/>
                <w:sz w:val="20"/>
                <w:szCs w:val="20"/>
              </w:rPr>
            </w:pPr>
          </w:p>
        </w:tc>
        <w:tc>
          <w:tcPr>
            <w:tcW w:w="60" w:type="pct"/>
            <w:hideMark/>
          </w:tcPr>
          <w:p w14:paraId="1D04E519" w14:textId="77777777" w:rsidR="00251D72" w:rsidRDefault="00251D72">
            <w:pPr>
              <w:pStyle w:val="a3"/>
              <w:spacing w:before="0" w:beforeAutospacing="0" w:after="0" w:afterAutospacing="0"/>
              <w:jc w:val="center"/>
            </w:pPr>
            <w:r>
              <w:t> </w:t>
            </w:r>
          </w:p>
        </w:tc>
        <w:tc>
          <w:tcPr>
            <w:tcW w:w="743" w:type="pct"/>
            <w:vAlign w:val="bottom"/>
            <w:hideMark/>
          </w:tcPr>
          <w:p w14:paraId="5FD5B278" w14:textId="77777777" w:rsidR="00251D72" w:rsidRDefault="00251D72">
            <w:pPr>
              <w:pStyle w:val="a3"/>
              <w:spacing w:before="0" w:beforeAutospacing="0" w:after="0" w:afterAutospacing="0"/>
              <w:jc w:val="center"/>
            </w:pPr>
            <w:r>
              <w:t> </w:t>
            </w:r>
          </w:p>
        </w:tc>
      </w:tr>
      <w:tr w:rsidR="00251D72" w14:paraId="2B9F24D6" w14:textId="77777777">
        <w:trPr>
          <w:divId w:val="1441879434"/>
          <w:jc w:val="center"/>
        </w:trPr>
        <w:tc>
          <w:tcPr>
            <w:tcW w:w="1944" w:type="pct"/>
            <w:vAlign w:val="bottom"/>
            <w:hideMark/>
          </w:tcPr>
          <w:p w14:paraId="59BFDB64"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30507DBF" w14:textId="77777777" w:rsidR="00251D72" w:rsidRDefault="00251D72">
            <w:pPr>
              <w:pStyle w:val="a3"/>
              <w:spacing w:before="0" w:beforeAutospacing="0" w:after="0" w:afterAutospacing="0"/>
              <w:rPr>
                <w:sz w:val="10"/>
                <w:szCs w:val="10"/>
              </w:rPr>
            </w:pPr>
            <w:r>
              <w:rPr>
                <w:sz w:val="10"/>
                <w:szCs w:val="10"/>
              </w:rPr>
              <w:t> </w:t>
            </w:r>
          </w:p>
        </w:tc>
        <w:tc>
          <w:tcPr>
            <w:tcW w:w="2193" w:type="pct"/>
            <w:vAlign w:val="bottom"/>
            <w:hideMark/>
          </w:tcPr>
          <w:p w14:paraId="1AF4C9E0"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3BF166C6"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37008FF3"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05F6A47E" w14:textId="77777777">
        <w:trPr>
          <w:divId w:val="1441879434"/>
          <w:jc w:val="center"/>
        </w:trPr>
        <w:tc>
          <w:tcPr>
            <w:tcW w:w="1944" w:type="pct"/>
            <w:tcBorders>
              <w:bottom w:val="single" w:sz="6" w:space="0" w:color="000000"/>
            </w:tcBorders>
            <w:vAlign w:val="bottom"/>
            <w:hideMark/>
          </w:tcPr>
          <w:p w14:paraId="1354EB21"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Jeffrey O. Henley</w:t>
            </w:r>
          </w:p>
        </w:tc>
        <w:tc>
          <w:tcPr>
            <w:tcW w:w="60" w:type="pct"/>
            <w:hideMark/>
          </w:tcPr>
          <w:p w14:paraId="3BCD0C1B" w14:textId="77777777" w:rsidR="00251D72" w:rsidRDefault="00251D72">
            <w:pPr>
              <w:pStyle w:val="a3"/>
              <w:spacing w:before="0" w:beforeAutospacing="0" w:after="0" w:afterAutospacing="0"/>
            </w:pPr>
            <w:r>
              <w:t> </w:t>
            </w:r>
          </w:p>
        </w:tc>
        <w:tc>
          <w:tcPr>
            <w:tcW w:w="2193" w:type="pct"/>
            <w:vAlign w:val="bottom"/>
            <w:hideMark/>
          </w:tcPr>
          <w:p w14:paraId="44564DB6"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Vice Chairman of the Board of Directors</w:t>
            </w:r>
          </w:p>
        </w:tc>
        <w:tc>
          <w:tcPr>
            <w:tcW w:w="60" w:type="pct"/>
            <w:hideMark/>
          </w:tcPr>
          <w:p w14:paraId="3DF01A28" w14:textId="77777777" w:rsidR="00251D72" w:rsidRDefault="00251D72">
            <w:pPr>
              <w:pStyle w:val="a3"/>
              <w:spacing w:before="0" w:beforeAutospacing="0" w:after="0" w:afterAutospacing="0"/>
              <w:jc w:val="center"/>
            </w:pPr>
            <w:r>
              <w:t> </w:t>
            </w:r>
          </w:p>
        </w:tc>
        <w:tc>
          <w:tcPr>
            <w:tcW w:w="743" w:type="pct"/>
            <w:vAlign w:val="bottom"/>
            <w:hideMark/>
          </w:tcPr>
          <w:p w14:paraId="3F283E9B"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55148B45" w14:textId="77777777">
        <w:trPr>
          <w:divId w:val="1441879434"/>
          <w:jc w:val="center"/>
        </w:trPr>
        <w:tc>
          <w:tcPr>
            <w:tcW w:w="1944" w:type="pct"/>
            <w:tcBorders>
              <w:top w:val="single" w:sz="6" w:space="0" w:color="000000"/>
            </w:tcBorders>
            <w:vAlign w:val="bottom"/>
            <w:hideMark/>
          </w:tcPr>
          <w:p w14:paraId="621123A1"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Jeffrey O. Henley</w:t>
            </w:r>
          </w:p>
        </w:tc>
        <w:tc>
          <w:tcPr>
            <w:tcW w:w="60" w:type="pct"/>
            <w:hideMark/>
          </w:tcPr>
          <w:p w14:paraId="4690B79F" w14:textId="77777777" w:rsidR="00251D72" w:rsidRDefault="00251D72">
            <w:pPr>
              <w:pStyle w:val="a3"/>
              <w:spacing w:before="0" w:beforeAutospacing="0" w:after="0" w:afterAutospacing="0"/>
            </w:pPr>
            <w:r>
              <w:t> </w:t>
            </w:r>
          </w:p>
        </w:tc>
        <w:tc>
          <w:tcPr>
            <w:tcW w:w="2193" w:type="pct"/>
            <w:vAlign w:val="bottom"/>
            <w:hideMark/>
          </w:tcPr>
          <w:p w14:paraId="38E12A53" w14:textId="77777777" w:rsidR="00251D72" w:rsidRDefault="00251D72">
            <w:pPr>
              <w:pStyle w:val="a3"/>
              <w:spacing w:before="0" w:beforeAutospacing="0" w:after="0" w:afterAutospacing="0"/>
            </w:pPr>
            <w:r>
              <w:t> </w:t>
            </w:r>
          </w:p>
        </w:tc>
        <w:tc>
          <w:tcPr>
            <w:tcW w:w="60" w:type="pct"/>
            <w:hideMark/>
          </w:tcPr>
          <w:p w14:paraId="31218AA5" w14:textId="77777777" w:rsidR="00251D72" w:rsidRDefault="00251D72">
            <w:pPr>
              <w:pStyle w:val="a3"/>
              <w:spacing w:before="0" w:beforeAutospacing="0" w:after="0" w:afterAutospacing="0"/>
              <w:jc w:val="center"/>
            </w:pPr>
            <w:r>
              <w:t> </w:t>
            </w:r>
          </w:p>
        </w:tc>
        <w:tc>
          <w:tcPr>
            <w:tcW w:w="743" w:type="pct"/>
            <w:vAlign w:val="bottom"/>
            <w:hideMark/>
          </w:tcPr>
          <w:p w14:paraId="6ED0A345" w14:textId="77777777" w:rsidR="00251D72" w:rsidRDefault="00251D72">
            <w:pPr>
              <w:pStyle w:val="a3"/>
              <w:spacing w:before="0" w:beforeAutospacing="0" w:after="0" w:afterAutospacing="0"/>
              <w:jc w:val="center"/>
            </w:pPr>
            <w:r>
              <w:t> </w:t>
            </w:r>
          </w:p>
        </w:tc>
      </w:tr>
      <w:tr w:rsidR="00251D72" w14:paraId="216E39B7" w14:textId="77777777">
        <w:trPr>
          <w:divId w:val="1441879434"/>
          <w:jc w:val="center"/>
        </w:trPr>
        <w:tc>
          <w:tcPr>
            <w:tcW w:w="1944" w:type="pct"/>
            <w:vAlign w:val="bottom"/>
            <w:hideMark/>
          </w:tcPr>
          <w:p w14:paraId="102FC3FD"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137E864C" w14:textId="77777777" w:rsidR="00251D72" w:rsidRDefault="00251D72">
            <w:pPr>
              <w:pStyle w:val="a3"/>
              <w:spacing w:before="0" w:beforeAutospacing="0" w:after="0" w:afterAutospacing="0"/>
              <w:rPr>
                <w:sz w:val="10"/>
                <w:szCs w:val="10"/>
              </w:rPr>
            </w:pPr>
            <w:r>
              <w:rPr>
                <w:sz w:val="10"/>
                <w:szCs w:val="10"/>
              </w:rPr>
              <w:t> </w:t>
            </w:r>
          </w:p>
        </w:tc>
        <w:tc>
          <w:tcPr>
            <w:tcW w:w="2193" w:type="pct"/>
            <w:vAlign w:val="bottom"/>
            <w:hideMark/>
          </w:tcPr>
          <w:p w14:paraId="77F2CCBA"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38A4E179"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286AB9FF"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5CB318E9" w14:textId="77777777">
        <w:trPr>
          <w:divId w:val="1441879434"/>
          <w:jc w:val="center"/>
        </w:trPr>
        <w:tc>
          <w:tcPr>
            <w:tcW w:w="1944" w:type="pct"/>
            <w:tcBorders>
              <w:bottom w:val="single" w:sz="6" w:space="0" w:color="000000"/>
            </w:tcBorders>
            <w:vAlign w:val="bottom"/>
            <w:hideMark/>
          </w:tcPr>
          <w:p w14:paraId="1CA8DF4C"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Jeffrey S. Berg</w:t>
            </w:r>
          </w:p>
        </w:tc>
        <w:tc>
          <w:tcPr>
            <w:tcW w:w="60" w:type="pct"/>
            <w:hideMark/>
          </w:tcPr>
          <w:p w14:paraId="158B3AD5" w14:textId="77777777" w:rsidR="00251D72" w:rsidRDefault="00251D72">
            <w:pPr>
              <w:pStyle w:val="a3"/>
              <w:spacing w:before="0" w:beforeAutospacing="0" w:after="0" w:afterAutospacing="0"/>
            </w:pPr>
            <w:r>
              <w:t> </w:t>
            </w:r>
          </w:p>
        </w:tc>
        <w:tc>
          <w:tcPr>
            <w:tcW w:w="2193" w:type="pct"/>
            <w:vAlign w:val="bottom"/>
            <w:hideMark/>
          </w:tcPr>
          <w:p w14:paraId="195CB727"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Director</w:t>
            </w:r>
          </w:p>
        </w:tc>
        <w:tc>
          <w:tcPr>
            <w:tcW w:w="60" w:type="pct"/>
            <w:hideMark/>
          </w:tcPr>
          <w:p w14:paraId="14EB085F" w14:textId="77777777" w:rsidR="00251D72" w:rsidRDefault="00251D72">
            <w:pPr>
              <w:pStyle w:val="a3"/>
              <w:spacing w:before="0" w:beforeAutospacing="0" w:after="0" w:afterAutospacing="0"/>
              <w:jc w:val="center"/>
            </w:pPr>
            <w:r>
              <w:t> </w:t>
            </w:r>
          </w:p>
        </w:tc>
        <w:tc>
          <w:tcPr>
            <w:tcW w:w="743" w:type="pct"/>
            <w:vAlign w:val="bottom"/>
            <w:hideMark/>
          </w:tcPr>
          <w:p w14:paraId="17ACD6A4"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4C71396F" w14:textId="77777777">
        <w:trPr>
          <w:divId w:val="1441879434"/>
          <w:jc w:val="center"/>
        </w:trPr>
        <w:tc>
          <w:tcPr>
            <w:tcW w:w="1944" w:type="pct"/>
            <w:tcBorders>
              <w:top w:val="single" w:sz="6" w:space="0" w:color="000000"/>
            </w:tcBorders>
            <w:vAlign w:val="bottom"/>
            <w:hideMark/>
          </w:tcPr>
          <w:p w14:paraId="5DCF797C"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Jeffrey S. Berg</w:t>
            </w:r>
          </w:p>
        </w:tc>
        <w:tc>
          <w:tcPr>
            <w:tcW w:w="60" w:type="pct"/>
            <w:hideMark/>
          </w:tcPr>
          <w:p w14:paraId="7B7477E3" w14:textId="77777777" w:rsidR="00251D72" w:rsidRDefault="00251D72">
            <w:pPr>
              <w:pStyle w:val="a3"/>
              <w:spacing w:before="0" w:beforeAutospacing="0" w:after="0" w:afterAutospacing="0"/>
            </w:pPr>
            <w:r>
              <w:t> </w:t>
            </w:r>
          </w:p>
        </w:tc>
        <w:tc>
          <w:tcPr>
            <w:tcW w:w="2193" w:type="pct"/>
            <w:vAlign w:val="bottom"/>
            <w:hideMark/>
          </w:tcPr>
          <w:p w14:paraId="3E284A9B" w14:textId="77777777" w:rsidR="00251D72" w:rsidRDefault="00251D72">
            <w:pPr>
              <w:pStyle w:val="a3"/>
              <w:spacing w:before="0" w:beforeAutospacing="0" w:after="0" w:afterAutospacing="0"/>
            </w:pPr>
            <w:r>
              <w:t> </w:t>
            </w:r>
          </w:p>
        </w:tc>
        <w:tc>
          <w:tcPr>
            <w:tcW w:w="60" w:type="pct"/>
            <w:hideMark/>
          </w:tcPr>
          <w:p w14:paraId="2AC301FD" w14:textId="77777777" w:rsidR="00251D72" w:rsidRDefault="00251D72">
            <w:pPr>
              <w:pStyle w:val="a3"/>
              <w:spacing w:before="0" w:beforeAutospacing="0" w:after="0" w:afterAutospacing="0"/>
              <w:jc w:val="center"/>
            </w:pPr>
            <w:r>
              <w:t> </w:t>
            </w:r>
          </w:p>
        </w:tc>
        <w:tc>
          <w:tcPr>
            <w:tcW w:w="743" w:type="pct"/>
            <w:vAlign w:val="bottom"/>
            <w:hideMark/>
          </w:tcPr>
          <w:p w14:paraId="16300D0C" w14:textId="77777777" w:rsidR="00251D72" w:rsidRDefault="00251D72">
            <w:pPr>
              <w:pStyle w:val="a3"/>
              <w:spacing w:before="0" w:beforeAutospacing="0" w:after="0" w:afterAutospacing="0"/>
              <w:jc w:val="center"/>
            </w:pPr>
            <w:r>
              <w:t> </w:t>
            </w:r>
          </w:p>
        </w:tc>
      </w:tr>
      <w:tr w:rsidR="00251D72" w14:paraId="08E37662" w14:textId="77777777">
        <w:trPr>
          <w:divId w:val="1441879434"/>
          <w:jc w:val="center"/>
        </w:trPr>
        <w:tc>
          <w:tcPr>
            <w:tcW w:w="1944" w:type="pct"/>
            <w:vAlign w:val="bottom"/>
            <w:hideMark/>
          </w:tcPr>
          <w:p w14:paraId="2EB53A61"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798D7A05" w14:textId="77777777" w:rsidR="00251D72" w:rsidRDefault="00251D72">
            <w:pPr>
              <w:pStyle w:val="a3"/>
              <w:spacing w:before="0" w:beforeAutospacing="0" w:after="0" w:afterAutospacing="0"/>
              <w:rPr>
                <w:sz w:val="10"/>
                <w:szCs w:val="10"/>
              </w:rPr>
            </w:pPr>
            <w:r>
              <w:rPr>
                <w:sz w:val="10"/>
                <w:szCs w:val="10"/>
              </w:rPr>
              <w:t> </w:t>
            </w:r>
          </w:p>
        </w:tc>
        <w:tc>
          <w:tcPr>
            <w:tcW w:w="2193" w:type="pct"/>
            <w:vAlign w:val="bottom"/>
            <w:hideMark/>
          </w:tcPr>
          <w:p w14:paraId="438F0967"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61688A5C"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0290D261"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028228C8" w14:textId="77777777">
        <w:trPr>
          <w:divId w:val="1441879434"/>
          <w:jc w:val="center"/>
        </w:trPr>
        <w:tc>
          <w:tcPr>
            <w:tcW w:w="1944" w:type="pct"/>
            <w:tcBorders>
              <w:bottom w:val="single" w:sz="6" w:space="0" w:color="000000"/>
            </w:tcBorders>
            <w:vAlign w:val="bottom"/>
            <w:hideMark/>
          </w:tcPr>
          <w:p w14:paraId="1941485A"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Michael J. Boskin</w:t>
            </w:r>
          </w:p>
        </w:tc>
        <w:tc>
          <w:tcPr>
            <w:tcW w:w="60" w:type="pct"/>
            <w:hideMark/>
          </w:tcPr>
          <w:p w14:paraId="78815862" w14:textId="77777777" w:rsidR="00251D72" w:rsidRDefault="00251D72">
            <w:pPr>
              <w:pStyle w:val="a3"/>
              <w:spacing w:before="0" w:beforeAutospacing="0" w:after="0" w:afterAutospacing="0"/>
            </w:pPr>
            <w:r>
              <w:t> </w:t>
            </w:r>
          </w:p>
        </w:tc>
        <w:tc>
          <w:tcPr>
            <w:tcW w:w="2193" w:type="pct"/>
            <w:vAlign w:val="bottom"/>
            <w:hideMark/>
          </w:tcPr>
          <w:p w14:paraId="1528A54C"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Director</w:t>
            </w:r>
          </w:p>
        </w:tc>
        <w:tc>
          <w:tcPr>
            <w:tcW w:w="60" w:type="pct"/>
            <w:hideMark/>
          </w:tcPr>
          <w:p w14:paraId="535A0FE0" w14:textId="77777777" w:rsidR="00251D72" w:rsidRDefault="00251D72">
            <w:pPr>
              <w:pStyle w:val="a3"/>
              <w:spacing w:before="0" w:beforeAutospacing="0" w:after="0" w:afterAutospacing="0"/>
              <w:jc w:val="center"/>
            </w:pPr>
            <w:r>
              <w:t> </w:t>
            </w:r>
          </w:p>
        </w:tc>
        <w:tc>
          <w:tcPr>
            <w:tcW w:w="743" w:type="pct"/>
            <w:vAlign w:val="bottom"/>
            <w:hideMark/>
          </w:tcPr>
          <w:p w14:paraId="411FF837"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2463F37C" w14:textId="77777777">
        <w:trPr>
          <w:divId w:val="1441879434"/>
          <w:jc w:val="center"/>
        </w:trPr>
        <w:tc>
          <w:tcPr>
            <w:tcW w:w="1944" w:type="pct"/>
            <w:tcBorders>
              <w:top w:val="single" w:sz="6" w:space="0" w:color="000000"/>
            </w:tcBorders>
            <w:vAlign w:val="bottom"/>
            <w:hideMark/>
          </w:tcPr>
          <w:p w14:paraId="5663291E"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Michael J. Boskin</w:t>
            </w:r>
          </w:p>
        </w:tc>
        <w:tc>
          <w:tcPr>
            <w:tcW w:w="60" w:type="pct"/>
            <w:hideMark/>
          </w:tcPr>
          <w:p w14:paraId="352D410A" w14:textId="77777777" w:rsidR="00251D72" w:rsidRDefault="00251D72">
            <w:pPr>
              <w:pStyle w:val="a3"/>
              <w:spacing w:before="0" w:beforeAutospacing="0" w:after="0" w:afterAutospacing="0"/>
            </w:pPr>
            <w:r>
              <w:t> </w:t>
            </w:r>
          </w:p>
        </w:tc>
        <w:tc>
          <w:tcPr>
            <w:tcW w:w="2193" w:type="pct"/>
            <w:vAlign w:val="bottom"/>
            <w:hideMark/>
          </w:tcPr>
          <w:p w14:paraId="2424DEA6" w14:textId="77777777" w:rsidR="00251D72" w:rsidRDefault="00251D72">
            <w:pPr>
              <w:pStyle w:val="a3"/>
              <w:spacing w:before="0" w:beforeAutospacing="0" w:after="0" w:afterAutospacing="0"/>
            </w:pPr>
            <w:r>
              <w:t> </w:t>
            </w:r>
          </w:p>
        </w:tc>
        <w:tc>
          <w:tcPr>
            <w:tcW w:w="60" w:type="pct"/>
            <w:hideMark/>
          </w:tcPr>
          <w:p w14:paraId="357E3AC1" w14:textId="77777777" w:rsidR="00251D72" w:rsidRDefault="00251D72">
            <w:pPr>
              <w:pStyle w:val="a3"/>
              <w:spacing w:before="0" w:beforeAutospacing="0" w:after="0" w:afterAutospacing="0"/>
              <w:jc w:val="center"/>
            </w:pPr>
            <w:r>
              <w:t> </w:t>
            </w:r>
          </w:p>
        </w:tc>
        <w:tc>
          <w:tcPr>
            <w:tcW w:w="743" w:type="pct"/>
            <w:vAlign w:val="bottom"/>
            <w:hideMark/>
          </w:tcPr>
          <w:p w14:paraId="46A0DDA6" w14:textId="77777777" w:rsidR="00251D72" w:rsidRDefault="00251D72">
            <w:pPr>
              <w:pStyle w:val="a3"/>
              <w:spacing w:before="0" w:beforeAutospacing="0" w:after="0" w:afterAutospacing="0"/>
              <w:jc w:val="center"/>
            </w:pPr>
            <w:r>
              <w:t> </w:t>
            </w:r>
          </w:p>
        </w:tc>
      </w:tr>
      <w:tr w:rsidR="00251D72" w14:paraId="1E6D8694" w14:textId="77777777">
        <w:trPr>
          <w:divId w:val="1441879434"/>
          <w:jc w:val="center"/>
        </w:trPr>
        <w:tc>
          <w:tcPr>
            <w:tcW w:w="1944" w:type="pct"/>
            <w:vAlign w:val="bottom"/>
            <w:hideMark/>
          </w:tcPr>
          <w:p w14:paraId="2980AF25"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48CBE2C7" w14:textId="77777777" w:rsidR="00251D72" w:rsidRDefault="00251D72">
            <w:pPr>
              <w:pStyle w:val="a3"/>
              <w:spacing w:before="0" w:beforeAutospacing="0" w:after="0" w:afterAutospacing="0"/>
              <w:rPr>
                <w:sz w:val="10"/>
                <w:szCs w:val="10"/>
              </w:rPr>
            </w:pPr>
            <w:r>
              <w:rPr>
                <w:sz w:val="10"/>
                <w:szCs w:val="10"/>
              </w:rPr>
              <w:t> </w:t>
            </w:r>
          </w:p>
        </w:tc>
        <w:tc>
          <w:tcPr>
            <w:tcW w:w="2193" w:type="pct"/>
            <w:vAlign w:val="bottom"/>
            <w:hideMark/>
          </w:tcPr>
          <w:p w14:paraId="50C7B8F2"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190EEECA"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6CEB6ACF"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4BC05003" w14:textId="77777777">
        <w:trPr>
          <w:divId w:val="1441879434"/>
          <w:jc w:val="center"/>
        </w:trPr>
        <w:tc>
          <w:tcPr>
            <w:tcW w:w="1944" w:type="pct"/>
            <w:tcBorders>
              <w:bottom w:val="single" w:sz="6" w:space="0" w:color="000000"/>
            </w:tcBorders>
            <w:vAlign w:val="bottom"/>
            <w:hideMark/>
          </w:tcPr>
          <w:p w14:paraId="6AD0AD83"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Bruce R. Chizen</w:t>
            </w:r>
          </w:p>
        </w:tc>
        <w:tc>
          <w:tcPr>
            <w:tcW w:w="60" w:type="pct"/>
            <w:hideMark/>
          </w:tcPr>
          <w:p w14:paraId="629D5AF2" w14:textId="77777777" w:rsidR="00251D72" w:rsidRDefault="00251D72">
            <w:pPr>
              <w:pStyle w:val="a3"/>
              <w:spacing w:before="0" w:beforeAutospacing="0" w:after="0" w:afterAutospacing="0"/>
            </w:pPr>
            <w:r>
              <w:t> </w:t>
            </w:r>
          </w:p>
        </w:tc>
        <w:tc>
          <w:tcPr>
            <w:tcW w:w="2193" w:type="pct"/>
            <w:vAlign w:val="bottom"/>
            <w:hideMark/>
          </w:tcPr>
          <w:p w14:paraId="49B6E688"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Director</w:t>
            </w:r>
          </w:p>
        </w:tc>
        <w:tc>
          <w:tcPr>
            <w:tcW w:w="60" w:type="pct"/>
            <w:hideMark/>
          </w:tcPr>
          <w:p w14:paraId="08B6C979" w14:textId="77777777" w:rsidR="00251D72" w:rsidRDefault="00251D72">
            <w:pPr>
              <w:pStyle w:val="a3"/>
              <w:spacing w:before="0" w:beforeAutospacing="0" w:after="0" w:afterAutospacing="0"/>
              <w:jc w:val="center"/>
            </w:pPr>
            <w:r>
              <w:t> </w:t>
            </w:r>
          </w:p>
        </w:tc>
        <w:tc>
          <w:tcPr>
            <w:tcW w:w="743" w:type="pct"/>
            <w:vAlign w:val="bottom"/>
            <w:hideMark/>
          </w:tcPr>
          <w:p w14:paraId="675BE72B"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03CA2E71" w14:textId="77777777">
        <w:trPr>
          <w:divId w:val="1441879434"/>
          <w:jc w:val="center"/>
        </w:trPr>
        <w:tc>
          <w:tcPr>
            <w:tcW w:w="1944" w:type="pct"/>
            <w:tcBorders>
              <w:top w:val="single" w:sz="6" w:space="0" w:color="000000"/>
            </w:tcBorders>
            <w:vAlign w:val="bottom"/>
            <w:hideMark/>
          </w:tcPr>
          <w:p w14:paraId="2BCA5271"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Bruce R. Chizen</w:t>
            </w:r>
          </w:p>
        </w:tc>
        <w:tc>
          <w:tcPr>
            <w:tcW w:w="60" w:type="pct"/>
            <w:hideMark/>
          </w:tcPr>
          <w:p w14:paraId="0BC97A3E" w14:textId="77777777" w:rsidR="00251D72" w:rsidRDefault="00251D72">
            <w:pPr>
              <w:pStyle w:val="a3"/>
              <w:spacing w:before="0" w:beforeAutospacing="0" w:after="0" w:afterAutospacing="0"/>
            </w:pPr>
            <w:r>
              <w:t> </w:t>
            </w:r>
          </w:p>
        </w:tc>
        <w:tc>
          <w:tcPr>
            <w:tcW w:w="2193" w:type="pct"/>
            <w:vAlign w:val="bottom"/>
            <w:hideMark/>
          </w:tcPr>
          <w:p w14:paraId="4B63510C" w14:textId="77777777" w:rsidR="00251D72" w:rsidRDefault="00251D72">
            <w:pPr>
              <w:pStyle w:val="a3"/>
              <w:spacing w:before="0" w:beforeAutospacing="0" w:after="0" w:afterAutospacing="0"/>
            </w:pPr>
            <w:r>
              <w:t> </w:t>
            </w:r>
          </w:p>
        </w:tc>
        <w:tc>
          <w:tcPr>
            <w:tcW w:w="60" w:type="pct"/>
            <w:hideMark/>
          </w:tcPr>
          <w:p w14:paraId="3C291FDD" w14:textId="77777777" w:rsidR="00251D72" w:rsidRDefault="00251D72">
            <w:pPr>
              <w:pStyle w:val="a3"/>
              <w:spacing w:before="0" w:beforeAutospacing="0" w:after="0" w:afterAutospacing="0"/>
              <w:jc w:val="center"/>
            </w:pPr>
            <w:r>
              <w:t> </w:t>
            </w:r>
          </w:p>
        </w:tc>
        <w:tc>
          <w:tcPr>
            <w:tcW w:w="743" w:type="pct"/>
            <w:vAlign w:val="bottom"/>
            <w:hideMark/>
          </w:tcPr>
          <w:p w14:paraId="10B82759" w14:textId="77777777" w:rsidR="00251D72" w:rsidRDefault="00251D72">
            <w:pPr>
              <w:pStyle w:val="a3"/>
              <w:spacing w:before="0" w:beforeAutospacing="0" w:after="0" w:afterAutospacing="0"/>
              <w:jc w:val="center"/>
            </w:pPr>
            <w:r>
              <w:t> </w:t>
            </w:r>
          </w:p>
        </w:tc>
      </w:tr>
      <w:tr w:rsidR="00251D72" w14:paraId="4967FD39" w14:textId="77777777">
        <w:trPr>
          <w:divId w:val="1441879434"/>
          <w:jc w:val="center"/>
        </w:trPr>
        <w:tc>
          <w:tcPr>
            <w:tcW w:w="1944" w:type="pct"/>
            <w:vAlign w:val="bottom"/>
            <w:hideMark/>
          </w:tcPr>
          <w:p w14:paraId="7E6465DC"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6CA4ADB1" w14:textId="77777777" w:rsidR="00251D72" w:rsidRDefault="00251D72">
            <w:pPr>
              <w:pStyle w:val="a3"/>
              <w:spacing w:before="0" w:beforeAutospacing="0" w:after="0" w:afterAutospacing="0"/>
              <w:rPr>
                <w:sz w:val="10"/>
                <w:szCs w:val="10"/>
              </w:rPr>
            </w:pPr>
            <w:r>
              <w:rPr>
                <w:sz w:val="10"/>
                <w:szCs w:val="10"/>
              </w:rPr>
              <w:t> </w:t>
            </w:r>
          </w:p>
        </w:tc>
        <w:tc>
          <w:tcPr>
            <w:tcW w:w="2193" w:type="pct"/>
            <w:vAlign w:val="bottom"/>
            <w:hideMark/>
          </w:tcPr>
          <w:p w14:paraId="04A85A69"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49A13267"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48178577"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73520400" w14:textId="77777777">
        <w:trPr>
          <w:divId w:val="1441879434"/>
          <w:jc w:val="center"/>
        </w:trPr>
        <w:tc>
          <w:tcPr>
            <w:tcW w:w="1944" w:type="pct"/>
            <w:tcBorders>
              <w:bottom w:val="single" w:sz="6" w:space="0" w:color="000000"/>
            </w:tcBorders>
            <w:vAlign w:val="bottom"/>
            <w:hideMark/>
          </w:tcPr>
          <w:p w14:paraId="356A4920"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George H. Conrades</w:t>
            </w:r>
          </w:p>
        </w:tc>
        <w:tc>
          <w:tcPr>
            <w:tcW w:w="60" w:type="pct"/>
            <w:hideMark/>
          </w:tcPr>
          <w:p w14:paraId="49842D29" w14:textId="77777777" w:rsidR="00251D72" w:rsidRDefault="00251D72">
            <w:pPr>
              <w:pStyle w:val="a3"/>
              <w:spacing w:before="0" w:beforeAutospacing="0" w:after="0" w:afterAutospacing="0"/>
            </w:pPr>
            <w:r>
              <w:t> </w:t>
            </w:r>
          </w:p>
        </w:tc>
        <w:tc>
          <w:tcPr>
            <w:tcW w:w="2193" w:type="pct"/>
            <w:vAlign w:val="bottom"/>
            <w:hideMark/>
          </w:tcPr>
          <w:p w14:paraId="6EC5643E"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Director</w:t>
            </w:r>
          </w:p>
        </w:tc>
        <w:tc>
          <w:tcPr>
            <w:tcW w:w="60" w:type="pct"/>
            <w:hideMark/>
          </w:tcPr>
          <w:p w14:paraId="25A3A360" w14:textId="77777777" w:rsidR="00251D72" w:rsidRDefault="00251D72">
            <w:pPr>
              <w:pStyle w:val="a3"/>
              <w:spacing w:before="0" w:beforeAutospacing="0" w:after="0" w:afterAutospacing="0"/>
              <w:jc w:val="center"/>
            </w:pPr>
            <w:r>
              <w:t> </w:t>
            </w:r>
          </w:p>
        </w:tc>
        <w:tc>
          <w:tcPr>
            <w:tcW w:w="743" w:type="pct"/>
            <w:vAlign w:val="bottom"/>
            <w:hideMark/>
          </w:tcPr>
          <w:p w14:paraId="11BF4F4D"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71458716" w14:textId="77777777">
        <w:trPr>
          <w:divId w:val="1441879434"/>
          <w:jc w:val="center"/>
        </w:trPr>
        <w:tc>
          <w:tcPr>
            <w:tcW w:w="1944" w:type="pct"/>
            <w:tcBorders>
              <w:top w:val="single" w:sz="6" w:space="0" w:color="000000"/>
            </w:tcBorders>
            <w:vAlign w:val="bottom"/>
            <w:hideMark/>
          </w:tcPr>
          <w:p w14:paraId="2C707BB2"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George H. Conrades</w:t>
            </w:r>
          </w:p>
        </w:tc>
        <w:tc>
          <w:tcPr>
            <w:tcW w:w="60" w:type="pct"/>
            <w:hideMark/>
          </w:tcPr>
          <w:p w14:paraId="724633B4" w14:textId="77777777" w:rsidR="00251D72" w:rsidRDefault="00251D72">
            <w:pPr>
              <w:pStyle w:val="a3"/>
              <w:spacing w:before="0" w:beforeAutospacing="0" w:after="0" w:afterAutospacing="0"/>
            </w:pPr>
            <w:r>
              <w:t> </w:t>
            </w:r>
          </w:p>
        </w:tc>
        <w:tc>
          <w:tcPr>
            <w:tcW w:w="2193" w:type="pct"/>
            <w:vAlign w:val="bottom"/>
            <w:hideMark/>
          </w:tcPr>
          <w:p w14:paraId="0A3A6AA4" w14:textId="77777777" w:rsidR="00251D72" w:rsidRDefault="00251D72">
            <w:pPr>
              <w:pStyle w:val="a3"/>
              <w:spacing w:before="0" w:beforeAutospacing="0" w:after="0" w:afterAutospacing="0"/>
            </w:pPr>
            <w:r>
              <w:t> </w:t>
            </w:r>
          </w:p>
        </w:tc>
        <w:tc>
          <w:tcPr>
            <w:tcW w:w="60" w:type="pct"/>
            <w:hideMark/>
          </w:tcPr>
          <w:p w14:paraId="7E19DEEE" w14:textId="77777777" w:rsidR="00251D72" w:rsidRDefault="00251D72">
            <w:pPr>
              <w:pStyle w:val="a3"/>
              <w:spacing w:before="0" w:beforeAutospacing="0" w:after="0" w:afterAutospacing="0"/>
              <w:jc w:val="center"/>
            </w:pPr>
            <w:r>
              <w:t> </w:t>
            </w:r>
          </w:p>
        </w:tc>
        <w:tc>
          <w:tcPr>
            <w:tcW w:w="743" w:type="pct"/>
            <w:vAlign w:val="bottom"/>
            <w:hideMark/>
          </w:tcPr>
          <w:p w14:paraId="418A49FF" w14:textId="77777777" w:rsidR="00251D72" w:rsidRDefault="00251D72">
            <w:pPr>
              <w:pStyle w:val="a3"/>
              <w:spacing w:before="0" w:beforeAutospacing="0" w:after="0" w:afterAutospacing="0"/>
              <w:jc w:val="center"/>
            </w:pPr>
            <w:r>
              <w:t> </w:t>
            </w:r>
          </w:p>
        </w:tc>
      </w:tr>
      <w:tr w:rsidR="00251D72" w14:paraId="6325523D" w14:textId="77777777">
        <w:trPr>
          <w:divId w:val="1441879434"/>
          <w:jc w:val="center"/>
        </w:trPr>
        <w:tc>
          <w:tcPr>
            <w:tcW w:w="1944" w:type="pct"/>
            <w:vAlign w:val="bottom"/>
            <w:hideMark/>
          </w:tcPr>
          <w:p w14:paraId="135C53D3"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580890CE" w14:textId="77777777" w:rsidR="00251D72" w:rsidRDefault="00251D72">
            <w:pPr>
              <w:pStyle w:val="a3"/>
              <w:spacing w:before="0" w:beforeAutospacing="0" w:after="0" w:afterAutospacing="0"/>
              <w:rPr>
                <w:sz w:val="10"/>
                <w:szCs w:val="10"/>
              </w:rPr>
            </w:pPr>
            <w:r>
              <w:rPr>
                <w:sz w:val="10"/>
                <w:szCs w:val="10"/>
              </w:rPr>
              <w:t> </w:t>
            </w:r>
          </w:p>
        </w:tc>
        <w:tc>
          <w:tcPr>
            <w:tcW w:w="2193" w:type="pct"/>
            <w:vAlign w:val="bottom"/>
            <w:hideMark/>
          </w:tcPr>
          <w:p w14:paraId="5BA80FCB"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5972BA3B"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215F6152"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69112A4F" w14:textId="77777777">
        <w:trPr>
          <w:divId w:val="1441879434"/>
          <w:jc w:val="center"/>
        </w:trPr>
        <w:tc>
          <w:tcPr>
            <w:tcW w:w="1944" w:type="pct"/>
            <w:tcBorders>
              <w:bottom w:val="single" w:sz="6" w:space="0" w:color="000000"/>
            </w:tcBorders>
            <w:vAlign w:val="bottom"/>
            <w:hideMark/>
          </w:tcPr>
          <w:p w14:paraId="29D0EAFE"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Hector Garcia-Molina</w:t>
            </w:r>
          </w:p>
        </w:tc>
        <w:tc>
          <w:tcPr>
            <w:tcW w:w="60" w:type="pct"/>
            <w:hideMark/>
          </w:tcPr>
          <w:p w14:paraId="4ED3DD47" w14:textId="77777777" w:rsidR="00251D72" w:rsidRDefault="00251D72">
            <w:pPr>
              <w:pStyle w:val="a3"/>
              <w:spacing w:before="0" w:beforeAutospacing="0" w:after="0" w:afterAutospacing="0"/>
            </w:pPr>
            <w:r>
              <w:t> </w:t>
            </w:r>
          </w:p>
        </w:tc>
        <w:tc>
          <w:tcPr>
            <w:tcW w:w="2193" w:type="pct"/>
            <w:vAlign w:val="bottom"/>
            <w:hideMark/>
          </w:tcPr>
          <w:p w14:paraId="30DCBFD1"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Director</w:t>
            </w:r>
          </w:p>
        </w:tc>
        <w:tc>
          <w:tcPr>
            <w:tcW w:w="60" w:type="pct"/>
            <w:hideMark/>
          </w:tcPr>
          <w:p w14:paraId="1FB7724B" w14:textId="77777777" w:rsidR="00251D72" w:rsidRDefault="00251D72">
            <w:pPr>
              <w:pStyle w:val="a3"/>
              <w:spacing w:before="0" w:beforeAutospacing="0" w:after="0" w:afterAutospacing="0"/>
              <w:jc w:val="center"/>
            </w:pPr>
            <w:r>
              <w:t> </w:t>
            </w:r>
          </w:p>
        </w:tc>
        <w:tc>
          <w:tcPr>
            <w:tcW w:w="743" w:type="pct"/>
            <w:vAlign w:val="bottom"/>
            <w:hideMark/>
          </w:tcPr>
          <w:p w14:paraId="5BA87804"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752FD283" w14:textId="77777777">
        <w:trPr>
          <w:divId w:val="1441879434"/>
          <w:jc w:val="center"/>
        </w:trPr>
        <w:tc>
          <w:tcPr>
            <w:tcW w:w="1944" w:type="pct"/>
            <w:tcBorders>
              <w:top w:val="single" w:sz="6" w:space="0" w:color="000000"/>
            </w:tcBorders>
            <w:vAlign w:val="bottom"/>
            <w:hideMark/>
          </w:tcPr>
          <w:p w14:paraId="52911860"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Hector Garcia-Molina</w:t>
            </w:r>
          </w:p>
        </w:tc>
        <w:tc>
          <w:tcPr>
            <w:tcW w:w="60" w:type="pct"/>
            <w:hideMark/>
          </w:tcPr>
          <w:p w14:paraId="2361087F" w14:textId="77777777" w:rsidR="00251D72" w:rsidRDefault="00251D72">
            <w:pPr>
              <w:pStyle w:val="a3"/>
              <w:spacing w:before="0" w:beforeAutospacing="0" w:after="0" w:afterAutospacing="0"/>
            </w:pPr>
            <w:r>
              <w:t> </w:t>
            </w:r>
          </w:p>
        </w:tc>
        <w:tc>
          <w:tcPr>
            <w:tcW w:w="2193" w:type="pct"/>
            <w:vAlign w:val="bottom"/>
            <w:hideMark/>
          </w:tcPr>
          <w:p w14:paraId="5C8FC002" w14:textId="77777777" w:rsidR="00251D72" w:rsidRDefault="00251D72">
            <w:pPr>
              <w:pStyle w:val="a3"/>
              <w:spacing w:before="0" w:beforeAutospacing="0" w:after="0" w:afterAutospacing="0"/>
            </w:pPr>
            <w:r>
              <w:t> </w:t>
            </w:r>
          </w:p>
        </w:tc>
        <w:tc>
          <w:tcPr>
            <w:tcW w:w="60" w:type="pct"/>
            <w:hideMark/>
          </w:tcPr>
          <w:p w14:paraId="11C5FEB2" w14:textId="77777777" w:rsidR="00251D72" w:rsidRDefault="00251D72">
            <w:pPr>
              <w:pStyle w:val="a3"/>
              <w:spacing w:before="0" w:beforeAutospacing="0" w:after="0" w:afterAutospacing="0"/>
              <w:jc w:val="center"/>
            </w:pPr>
            <w:r>
              <w:t> </w:t>
            </w:r>
          </w:p>
        </w:tc>
        <w:tc>
          <w:tcPr>
            <w:tcW w:w="743" w:type="pct"/>
            <w:vAlign w:val="bottom"/>
            <w:hideMark/>
          </w:tcPr>
          <w:p w14:paraId="73C8B0B4" w14:textId="77777777" w:rsidR="00251D72" w:rsidRDefault="00251D72">
            <w:pPr>
              <w:pStyle w:val="a3"/>
              <w:spacing w:before="0" w:beforeAutospacing="0" w:after="0" w:afterAutospacing="0"/>
              <w:jc w:val="center"/>
            </w:pPr>
            <w:r>
              <w:t> </w:t>
            </w:r>
          </w:p>
        </w:tc>
      </w:tr>
      <w:tr w:rsidR="00251D72" w14:paraId="415442CB" w14:textId="77777777">
        <w:trPr>
          <w:divId w:val="1441879434"/>
          <w:jc w:val="center"/>
        </w:trPr>
        <w:tc>
          <w:tcPr>
            <w:tcW w:w="1944" w:type="pct"/>
            <w:vAlign w:val="bottom"/>
            <w:hideMark/>
          </w:tcPr>
          <w:p w14:paraId="46ABE5CC"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4B9BA6D7" w14:textId="77777777" w:rsidR="00251D72" w:rsidRDefault="00251D72">
            <w:pPr>
              <w:pStyle w:val="a3"/>
              <w:spacing w:before="0" w:beforeAutospacing="0" w:after="0" w:afterAutospacing="0"/>
              <w:rPr>
                <w:sz w:val="10"/>
                <w:szCs w:val="10"/>
              </w:rPr>
            </w:pPr>
            <w:r>
              <w:rPr>
                <w:sz w:val="10"/>
                <w:szCs w:val="10"/>
              </w:rPr>
              <w:t> </w:t>
            </w:r>
          </w:p>
        </w:tc>
        <w:tc>
          <w:tcPr>
            <w:tcW w:w="2193" w:type="pct"/>
            <w:vAlign w:val="bottom"/>
            <w:hideMark/>
          </w:tcPr>
          <w:p w14:paraId="2D5C56E1"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4A7DC83C"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56777F1C"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31333851" w14:textId="77777777">
        <w:trPr>
          <w:divId w:val="1441879434"/>
          <w:jc w:val="center"/>
        </w:trPr>
        <w:tc>
          <w:tcPr>
            <w:tcW w:w="1944" w:type="pct"/>
            <w:tcBorders>
              <w:bottom w:val="single" w:sz="6" w:space="0" w:color="000000"/>
            </w:tcBorders>
            <w:vAlign w:val="bottom"/>
            <w:hideMark/>
          </w:tcPr>
          <w:p w14:paraId="5893359E"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Renée J. James</w:t>
            </w:r>
          </w:p>
        </w:tc>
        <w:tc>
          <w:tcPr>
            <w:tcW w:w="60" w:type="pct"/>
            <w:hideMark/>
          </w:tcPr>
          <w:p w14:paraId="227CE05E" w14:textId="77777777" w:rsidR="00251D72" w:rsidRDefault="00251D72">
            <w:pPr>
              <w:pStyle w:val="a3"/>
              <w:spacing w:before="0" w:beforeAutospacing="0" w:after="0" w:afterAutospacing="0"/>
            </w:pPr>
            <w:r>
              <w:t> </w:t>
            </w:r>
          </w:p>
        </w:tc>
        <w:tc>
          <w:tcPr>
            <w:tcW w:w="2193" w:type="pct"/>
            <w:vAlign w:val="bottom"/>
            <w:hideMark/>
          </w:tcPr>
          <w:p w14:paraId="2BB83431"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Director</w:t>
            </w:r>
          </w:p>
        </w:tc>
        <w:tc>
          <w:tcPr>
            <w:tcW w:w="60" w:type="pct"/>
            <w:hideMark/>
          </w:tcPr>
          <w:p w14:paraId="54B6FE90" w14:textId="77777777" w:rsidR="00251D72" w:rsidRDefault="00251D72">
            <w:pPr>
              <w:pStyle w:val="a3"/>
              <w:spacing w:before="0" w:beforeAutospacing="0" w:after="0" w:afterAutospacing="0"/>
              <w:jc w:val="center"/>
            </w:pPr>
            <w:r>
              <w:t> </w:t>
            </w:r>
          </w:p>
        </w:tc>
        <w:tc>
          <w:tcPr>
            <w:tcW w:w="743" w:type="pct"/>
            <w:vAlign w:val="bottom"/>
            <w:hideMark/>
          </w:tcPr>
          <w:p w14:paraId="0B50AE16"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41B426B4" w14:textId="77777777">
        <w:trPr>
          <w:divId w:val="1441879434"/>
          <w:jc w:val="center"/>
        </w:trPr>
        <w:tc>
          <w:tcPr>
            <w:tcW w:w="1944" w:type="pct"/>
            <w:tcBorders>
              <w:top w:val="single" w:sz="6" w:space="0" w:color="000000"/>
            </w:tcBorders>
            <w:vAlign w:val="bottom"/>
            <w:hideMark/>
          </w:tcPr>
          <w:p w14:paraId="1504495B"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Renée J. James</w:t>
            </w:r>
          </w:p>
        </w:tc>
        <w:tc>
          <w:tcPr>
            <w:tcW w:w="60" w:type="pct"/>
            <w:hideMark/>
          </w:tcPr>
          <w:p w14:paraId="607ED7F0" w14:textId="77777777" w:rsidR="00251D72" w:rsidRDefault="00251D72">
            <w:pPr>
              <w:pStyle w:val="a3"/>
              <w:spacing w:before="0" w:beforeAutospacing="0" w:after="0" w:afterAutospacing="0"/>
            </w:pPr>
            <w:r>
              <w:t> </w:t>
            </w:r>
          </w:p>
        </w:tc>
        <w:tc>
          <w:tcPr>
            <w:tcW w:w="2193" w:type="pct"/>
            <w:vAlign w:val="bottom"/>
            <w:hideMark/>
          </w:tcPr>
          <w:p w14:paraId="7D2EEEA5" w14:textId="77777777" w:rsidR="00251D72" w:rsidRDefault="00251D72">
            <w:pPr>
              <w:pStyle w:val="a3"/>
              <w:spacing w:before="0" w:beforeAutospacing="0" w:after="0" w:afterAutospacing="0"/>
            </w:pPr>
            <w:r>
              <w:t> </w:t>
            </w:r>
          </w:p>
        </w:tc>
        <w:tc>
          <w:tcPr>
            <w:tcW w:w="60" w:type="pct"/>
            <w:hideMark/>
          </w:tcPr>
          <w:p w14:paraId="0C8635B1" w14:textId="77777777" w:rsidR="00251D72" w:rsidRDefault="00251D72">
            <w:pPr>
              <w:pStyle w:val="a3"/>
              <w:spacing w:before="0" w:beforeAutospacing="0" w:after="0" w:afterAutospacing="0"/>
            </w:pPr>
            <w:r>
              <w:t> </w:t>
            </w:r>
          </w:p>
        </w:tc>
        <w:tc>
          <w:tcPr>
            <w:tcW w:w="743" w:type="pct"/>
            <w:vAlign w:val="bottom"/>
            <w:hideMark/>
          </w:tcPr>
          <w:p w14:paraId="13C6839F" w14:textId="77777777" w:rsidR="00251D72" w:rsidRDefault="00251D72">
            <w:pPr>
              <w:pStyle w:val="a3"/>
              <w:spacing w:before="0" w:beforeAutospacing="0" w:after="0" w:afterAutospacing="0"/>
            </w:pPr>
            <w:r>
              <w:t> </w:t>
            </w:r>
          </w:p>
        </w:tc>
      </w:tr>
      <w:tr w:rsidR="00251D72" w14:paraId="14D55DA9" w14:textId="77777777">
        <w:trPr>
          <w:divId w:val="1441879434"/>
          <w:jc w:val="center"/>
        </w:trPr>
        <w:tc>
          <w:tcPr>
            <w:tcW w:w="1944" w:type="pct"/>
            <w:vAlign w:val="bottom"/>
            <w:hideMark/>
          </w:tcPr>
          <w:p w14:paraId="373DAD38" w14:textId="77777777" w:rsidR="00251D72" w:rsidRDefault="00251D72">
            <w:pPr>
              <w:pStyle w:val="a3"/>
              <w:spacing w:before="0" w:beforeAutospacing="0" w:after="0" w:afterAutospacing="0"/>
              <w:rPr>
                <w:sz w:val="8"/>
                <w:szCs w:val="8"/>
              </w:rPr>
            </w:pPr>
            <w:r>
              <w:rPr>
                <w:sz w:val="8"/>
                <w:szCs w:val="8"/>
              </w:rPr>
              <w:t> </w:t>
            </w:r>
          </w:p>
        </w:tc>
        <w:tc>
          <w:tcPr>
            <w:tcW w:w="60" w:type="pct"/>
            <w:hideMark/>
          </w:tcPr>
          <w:p w14:paraId="542B116A" w14:textId="77777777" w:rsidR="00251D72" w:rsidRDefault="00251D72">
            <w:pPr>
              <w:pStyle w:val="a3"/>
              <w:spacing w:before="0" w:beforeAutospacing="0" w:after="0" w:afterAutospacing="0"/>
              <w:rPr>
                <w:sz w:val="8"/>
                <w:szCs w:val="8"/>
              </w:rPr>
            </w:pPr>
            <w:r>
              <w:rPr>
                <w:sz w:val="8"/>
                <w:szCs w:val="8"/>
              </w:rPr>
              <w:t> </w:t>
            </w:r>
          </w:p>
        </w:tc>
        <w:tc>
          <w:tcPr>
            <w:tcW w:w="2193" w:type="pct"/>
            <w:vAlign w:val="bottom"/>
            <w:hideMark/>
          </w:tcPr>
          <w:p w14:paraId="1347E1B5" w14:textId="77777777" w:rsidR="00251D72" w:rsidRDefault="00251D72">
            <w:pPr>
              <w:pStyle w:val="a3"/>
              <w:spacing w:before="0" w:beforeAutospacing="0" w:after="0" w:afterAutospacing="0"/>
              <w:rPr>
                <w:sz w:val="8"/>
                <w:szCs w:val="8"/>
              </w:rPr>
            </w:pPr>
            <w:r>
              <w:rPr>
                <w:sz w:val="8"/>
                <w:szCs w:val="8"/>
              </w:rPr>
              <w:t> </w:t>
            </w:r>
          </w:p>
        </w:tc>
        <w:tc>
          <w:tcPr>
            <w:tcW w:w="60" w:type="pct"/>
            <w:hideMark/>
          </w:tcPr>
          <w:p w14:paraId="47AA9A32" w14:textId="77777777" w:rsidR="00251D72" w:rsidRDefault="00251D72">
            <w:pPr>
              <w:pStyle w:val="a3"/>
              <w:spacing w:before="0" w:beforeAutospacing="0" w:after="0" w:afterAutospacing="0"/>
              <w:rPr>
                <w:sz w:val="8"/>
                <w:szCs w:val="8"/>
              </w:rPr>
            </w:pPr>
            <w:r>
              <w:rPr>
                <w:sz w:val="8"/>
                <w:szCs w:val="8"/>
              </w:rPr>
              <w:t> </w:t>
            </w:r>
          </w:p>
        </w:tc>
        <w:tc>
          <w:tcPr>
            <w:tcW w:w="743" w:type="pct"/>
            <w:vAlign w:val="bottom"/>
            <w:hideMark/>
          </w:tcPr>
          <w:p w14:paraId="76EA47E7" w14:textId="77777777" w:rsidR="00251D72" w:rsidRDefault="00251D72">
            <w:pPr>
              <w:pStyle w:val="a3"/>
              <w:spacing w:before="0" w:beforeAutospacing="0" w:after="0" w:afterAutospacing="0"/>
              <w:rPr>
                <w:sz w:val="8"/>
                <w:szCs w:val="8"/>
              </w:rPr>
            </w:pPr>
            <w:r>
              <w:rPr>
                <w:sz w:val="8"/>
                <w:szCs w:val="8"/>
              </w:rPr>
              <w:t> </w:t>
            </w:r>
          </w:p>
        </w:tc>
      </w:tr>
      <w:tr w:rsidR="00251D72" w14:paraId="6C942A74" w14:textId="77777777">
        <w:trPr>
          <w:divId w:val="1441879434"/>
          <w:jc w:val="center"/>
        </w:trPr>
        <w:tc>
          <w:tcPr>
            <w:tcW w:w="1944" w:type="pct"/>
            <w:tcBorders>
              <w:bottom w:val="single" w:sz="6" w:space="0" w:color="000000"/>
            </w:tcBorders>
            <w:vAlign w:val="bottom"/>
            <w:hideMark/>
          </w:tcPr>
          <w:p w14:paraId="5876CFDE"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Charles W. Moorman IV</w:t>
            </w:r>
          </w:p>
        </w:tc>
        <w:tc>
          <w:tcPr>
            <w:tcW w:w="60" w:type="pct"/>
            <w:hideMark/>
          </w:tcPr>
          <w:p w14:paraId="61116FAF" w14:textId="77777777" w:rsidR="00251D72" w:rsidRDefault="00251D72">
            <w:pPr>
              <w:pStyle w:val="a3"/>
              <w:spacing w:before="0" w:beforeAutospacing="0" w:after="0" w:afterAutospacing="0"/>
            </w:pPr>
            <w:r>
              <w:t> </w:t>
            </w:r>
          </w:p>
        </w:tc>
        <w:tc>
          <w:tcPr>
            <w:tcW w:w="2193" w:type="pct"/>
            <w:vAlign w:val="bottom"/>
            <w:hideMark/>
          </w:tcPr>
          <w:p w14:paraId="74F665F6"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Director</w:t>
            </w:r>
          </w:p>
        </w:tc>
        <w:tc>
          <w:tcPr>
            <w:tcW w:w="60" w:type="pct"/>
            <w:hideMark/>
          </w:tcPr>
          <w:p w14:paraId="2BB282F5" w14:textId="77777777" w:rsidR="00251D72" w:rsidRDefault="00251D72">
            <w:pPr>
              <w:pStyle w:val="a3"/>
              <w:spacing w:before="0" w:beforeAutospacing="0" w:after="0" w:afterAutospacing="0"/>
              <w:jc w:val="center"/>
            </w:pPr>
            <w:r>
              <w:t> </w:t>
            </w:r>
          </w:p>
        </w:tc>
        <w:tc>
          <w:tcPr>
            <w:tcW w:w="743" w:type="pct"/>
            <w:vAlign w:val="bottom"/>
            <w:hideMark/>
          </w:tcPr>
          <w:p w14:paraId="7A56BCC1"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04218C6B" w14:textId="77777777">
        <w:trPr>
          <w:divId w:val="1441879434"/>
          <w:jc w:val="center"/>
        </w:trPr>
        <w:tc>
          <w:tcPr>
            <w:tcW w:w="1944" w:type="pct"/>
            <w:tcBorders>
              <w:top w:val="single" w:sz="6" w:space="0" w:color="000000"/>
            </w:tcBorders>
            <w:vAlign w:val="bottom"/>
            <w:hideMark/>
          </w:tcPr>
          <w:p w14:paraId="0B2D852D"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Charles W. Moorman IV</w:t>
            </w:r>
          </w:p>
        </w:tc>
        <w:tc>
          <w:tcPr>
            <w:tcW w:w="60" w:type="pct"/>
            <w:hideMark/>
          </w:tcPr>
          <w:p w14:paraId="6C5ACB83" w14:textId="77777777" w:rsidR="00251D72" w:rsidRDefault="00251D72">
            <w:pPr>
              <w:pStyle w:val="a3"/>
              <w:spacing w:before="0" w:beforeAutospacing="0" w:after="0" w:afterAutospacing="0"/>
            </w:pPr>
            <w:r>
              <w:t> </w:t>
            </w:r>
          </w:p>
        </w:tc>
        <w:tc>
          <w:tcPr>
            <w:tcW w:w="2193" w:type="pct"/>
            <w:vAlign w:val="bottom"/>
            <w:hideMark/>
          </w:tcPr>
          <w:p w14:paraId="723E5B52" w14:textId="77777777" w:rsidR="00251D72" w:rsidRDefault="00251D72">
            <w:pPr>
              <w:pStyle w:val="a3"/>
              <w:spacing w:before="0" w:beforeAutospacing="0" w:after="0" w:afterAutospacing="0"/>
            </w:pPr>
            <w:r>
              <w:t> </w:t>
            </w:r>
          </w:p>
        </w:tc>
        <w:tc>
          <w:tcPr>
            <w:tcW w:w="60" w:type="pct"/>
            <w:hideMark/>
          </w:tcPr>
          <w:p w14:paraId="5D424702" w14:textId="77777777" w:rsidR="00251D72" w:rsidRDefault="00251D72">
            <w:pPr>
              <w:pStyle w:val="a3"/>
              <w:spacing w:before="0" w:beforeAutospacing="0" w:after="0" w:afterAutospacing="0"/>
            </w:pPr>
            <w:r>
              <w:t> </w:t>
            </w:r>
          </w:p>
        </w:tc>
        <w:tc>
          <w:tcPr>
            <w:tcW w:w="743" w:type="pct"/>
            <w:vAlign w:val="bottom"/>
            <w:hideMark/>
          </w:tcPr>
          <w:p w14:paraId="52AAF90F" w14:textId="77777777" w:rsidR="00251D72" w:rsidRDefault="00251D72">
            <w:pPr>
              <w:pStyle w:val="a3"/>
              <w:spacing w:before="0" w:beforeAutospacing="0" w:after="0" w:afterAutospacing="0"/>
            </w:pPr>
            <w:r>
              <w:t> </w:t>
            </w:r>
          </w:p>
        </w:tc>
      </w:tr>
      <w:tr w:rsidR="00251D72" w14:paraId="3621499D" w14:textId="77777777">
        <w:trPr>
          <w:divId w:val="1441879434"/>
          <w:jc w:val="center"/>
        </w:trPr>
        <w:tc>
          <w:tcPr>
            <w:tcW w:w="1944" w:type="pct"/>
            <w:vAlign w:val="bottom"/>
            <w:hideMark/>
          </w:tcPr>
          <w:p w14:paraId="1614A1CA"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308F8FB6" w14:textId="77777777" w:rsidR="00251D72" w:rsidRDefault="00251D72">
            <w:pPr>
              <w:pStyle w:val="a3"/>
              <w:spacing w:before="0" w:beforeAutospacing="0" w:after="0" w:afterAutospacing="0"/>
              <w:rPr>
                <w:sz w:val="10"/>
                <w:szCs w:val="10"/>
              </w:rPr>
            </w:pPr>
            <w:r>
              <w:rPr>
                <w:sz w:val="10"/>
                <w:szCs w:val="10"/>
              </w:rPr>
              <w:t> </w:t>
            </w:r>
          </w:p>
        </w:tc>
        <w:tc>
          <w:tcPr>
            <w:tcW w:w="2193" w:type="pct"/>
            <w:vAlign w:val="bottom"/>
            <w:hideMark/>
          </w:tcPr>
          <w:p w14:paraId="0E88FDFB"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388436E3"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433A7EDA"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072D6945" w14:textId="77777777">
        <w:trPr>
          <w:divId w:val="1441879434"/>
          <w:jc w:val="center"/>
        </w:trPr>
        <w:tc>
          <w:tcPr>
            <w:tcW w:w="1944" w:type="pct"/>
            <w:tcBorders>
              <w:bottom w:val="single" w:sz="6" w:space="0" w:color="000000"/>
            </w:tcBorders>
            <w:vAlign w:val="bottom"/>
            <w:hideMark/>
          </w:tcPr>
          <w:p w14:paraId="3611CC66"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Leon E. Panetta</w:t>
            </w:r>
          </w:p>
        </w:tc>
        <w:tc>
          <w:tcPr>
            <w:tcW w:w="60" w:type="pct"/>
            <w:hideMark/>
          </w:tcPr>
          <w:p w14:paraId="63DB4004" w14:textId="77777777" w:rsidR="00251D72" w:rsidRDefault="00251D72">
            <w:pPr>
              <w:pStyle w:val="a3"/>
              <w:spacing w:before="0" w:beforeAutospacing="0" w:after="0" w:afterAutospacing="0"/>
            </w:pPr>
            <w:r>
              <w:t> </w:t>
            </w:r>
          </w:p>
        </w:tc>
        <w:tc>
          <w:tcPr>
            <w:tcW w:w="2193" w:type="pct"/>
            <w:vAlign w:val="bottom"/>
            <w:hideMark/>
          </w:tcPr>
          <w:p w14:paraId="6D33C6EC"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Director</w:t>
            </w:r>
          </w:p>
        </w:tc>
        <w:tc>
          <w:tcPr>
            <w:tcW w:w="60" w:type="pct"/>
            <w:hideMark/>
          </w:tcPr>
          <w:p w14:paraId="76633408" w14:textId="77777777" w:rsidR="00251D72" w:rsidRDefault="00251D72">
            <w:pPr>
              <w:pStyle w:val="a3"/>
              <w:spacing w:before="0" w:beforeAutospacing="0" w:after="0" w:afterAutospacing="0"/>
              <w:jc w:val="center"/>
            </w:pPr>
            <w:r>
              <w:t> </w:t>
            </w:r>
          </w:p>
        </w:tc>
        <w:tc>
          <w:tcPr>
            <w:tcW w:w="743" w:type="pct"/>
            <w:vAlign w:val="bottom"/>
            <w:hideMark/>
          </w:tcPr>
          <w:p w14:paraId="56D0111D"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3BCDA180" w14:textId="77777777">
        <w:trPr>
          <w:divId w:val="1441879434"/>
          <w:jc w:val="center"/>
        </w:trPr>
        <w:tc>
          <w:tcPr>
            <w:tcW w:w="1944" w:type="pct"/>
            <w:tcBorders>
              <w:top w:val="single" w:sz="6" w:space="0" w:color="000000"/>
            </w:tcBorders>
            <w:vAlign w:val="bottom"/>
            <w:hideMark/>
          </w:tcPr>
          <w:p w14:paraId="742C2679"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Leon E. Panetta</w:t>
            </w:r>
          </w:p>
          <w:p w14:paraId="5CCCE8D1"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3C0C7351" w14:textId="77777777" w:rsidR="00251D72" w:rsidRDefault="00251D72">
            <w:pPr>
              <w:pStyle w:val="a3"/>
              <w:spacing w:before="0" w:beforeAutospacing="0" w:after="0" w:afterAutospacing="0"/>
            </w:pPr>
            <w:r>
              <w:t> </w:t>
            </w:r>
          </w:p>
        </w:tc>
        <w:tc>
          <w:tcPr>
            <w:tcW w:w="2193" w:type="pct"/>
            <w:vAlign w:val="bottom"/>
            <w:hideMark/>
          </w:tcPr>
          <w:p w14:paraId="44B0B8A7" w14:textId="77777777" w:rsidR="00251D72" w:rsidRDefault="00251D72">
            <w:pPr>
              <w:pStyle w:val="a3"/>
              <w:spacing w:before="0" w:beforeAutospacing="0" w:after="0" w:afterAutospacing="0"/>
            </w:pPr>
            <w:r>
              <w:t> </w:t>
            </w:r>
          </w:p>
        </w:tc>
        <w:tc>
          <w:tcPr>
            <w:tcW w:w="60" w:type="pct"/>
            <w:hideMark/>
          </w:tcPr>
          <w:p w14:paraId="4AA8AA6C" w14:textId="77777777" w:rsidR="00251D72" w:rsidRDefault="00251D72">
            <w:pPr>
              <w:pStyle w:val="a3"/>
              <w:spacing w:before="0" w:beforeAutospacing="0" w:after="0" w:afterAutospacing="0"/>
            </w:pPr>
            <w:r>
              <w:t> </w:t>
            </w:r>
          </w:p>
        </w:tc>
        <w:tc>
          <w:tcPr>
            <w:tcW w:w="743" w:type="pct"/>
            <w:vAlign w:val="bottom"/>
            <w:hideMark/>
          </w:tcPr>
          <w:p w14:paraId="439EBD36" w14:textId="77777777" w:rsidR="00251D72" w:rsidRDefault="00251D72">
            <w:pPr>
              <w:pStyle w:val="a3"/>
              <w:spacing w:before="0" w:beforeAutospacing="0" w:after="0" w:afterAutospacing="0"/>
            </w:pPr>
            <w:r>
              <w:t> </w:t>
            </w:r>
          </w:p>
        </w:tc>
      </w:tr>
      <w:tr w:rsidR="00251D72" w14:paraId="3CCDBC31" w14:textId="77777777">
        <w:trPr>
          <w:divId w:val="1441879434"/>
          <w:jc w:val="center"/>
        </w:trPr>
        <w:tc>
          <w:tcPr>
            <w:tcW w:w="1944" w:type="pct"/>
            <w:vAlign w:val="bottom"/>
            <w:hideMark/>
          </w:tcPr>
          <w:p w14:paraId="5AB98005"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G. Parrett</w:t>
            </w:r>
          </w:p>
        </w:tc>
        <w:tc>
          <w:tcPr>
            <w:tcW w:w="60" w:type="pct"/>
            <w:hideMark/>
          </w:tcPr>
          <w:p w14:paraId="19711576" w14:textId="77777777" w:rsidR="00251D72" w:rsidRDefault="00251D72">
            <w:pPr>
              <w:pStyle w:val="a3"/>
              <w:spacing w:before="0" w:beforeAutospacing="0" w:after="0" w:afterAutospacing="0"/>
            </w:pPr>
            <w:r>
              <w:t> </w:t>
            </w:r>
          </w:p>
        </w:tc>
        <w:tc>
          <w:tcPr>
            <w:tcW w:w="2193" w:type="pct"/>
            <w:vAlign w:val="bottom"/>
            <w:hideMark/>
          </w:tcPr>
          <w:p w14:paraId="22511AF3"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Director</w:t>
            </w:r>
          </w:p>
        </w:tc>
        <w:tc>
          <w:tcPr>
            <w:tcW w:w="60" w:type="pct"/>
            <w:hideMark/>
          </w:tcPr>
          <w:p w14:paraId="1C838FE8" w14:textId="77777777" w:rsidR="00251D72" w:rsidRDefault="00251D72">
            <w:pPr>
              <w:pStyle w:val="a3"/>
              <w:spacing w:before="0" w:beforeAutospacing="0" w:after="0" w:afterAutospacing="0"/>
              <w:jc w:val="center"/>
            </w:pPr>
            <w:r>
              <w:t> </w:t>
            </w:r>
          </w:p>
        </w:tc>
        <w:tc>
          <w:tcPr>
            <w:tcW w:w="743" w:type="pct"/>
            <w:vAlign w:val="bottom"/>
            <w:hideMark/>
          </w:tcPr>
          <w:p w14:paraId="7E347086"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304C134E" w14:textId="77777777">
        <w:trPr>
          <w:divId w:val="1441879434"/>
          <w:jc w:val="center"/>
        </w:trPr>
        <w:tc>
          <w:tcPr>
            <w:tcW w:w="1944" w:type="pct"/>
            <w:tcBorders>
              <w:top w:val="single" w:sz="6" w:space="0" w:color="000000"/>
            </w:tcBorders>
            <w:vAlign w:val="bottom"/>
            <w:hideMark/>
          </w:tcPr>
          <w:p w14:paraId="3BB972DA"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William G. Parrett</w:t>
            </w:r>
          </w:p>
        </w:tc>
        <w:tc>
          <w:tcPr>
            <w:tcW w:w="60" w:type="pct"/>
            <w:hideMark/>
          </w:tcPr>
          <w:p w14:paraId="5477E0DF" w14:textId="77777777" w:rsidR="00251D72" w:rsidRDefault="00251D72">
            <w:pPr>
              <w:pStyle w:val="a3"/>
              <w:spacing w:before="0" w:beforeAutospacing="0" w:after="0" w:afterAutospacing="0"/>
            </w:pPr>
            <w:r>
              <w:t> </w:t>
            </w:r>
          </w:p>
        </w:tc>
        <w:tc>
          <w:tcPr>
            <w:tcW w:w="2193" w:type="pct"/>
            <w:vAlign w:val="bottom"/>
            <w:hideMark/>
          </w:tcPr>
          <w:p w14:paraId="15FAB663" w14:textId="77777777" w:rsidR="00251D72" w:rsidRDefault="00251D72">
            <w:pPr>
              <w:pStyle w:val="a3"/>
              <w:spacing w:before="0" w:beforeAutospacing="0" w:after="0" w:afterAutospacing="0"/>
            </w:pPr>
            <w:r>
              <w:t> </w:t>
            </w:r>
          </w:p>
        </w:tc>
        <w:tc>
          <w:tcPr>
            <w:tcW w:w="60" w:type="pct"/>
            <w:hideMark/>
          </w:tcPr>
          <w:p w14:paraId="4E33B29B" w14:textId="77777777" w:rsidR="00251D72" w:rsidRDefault="00251D72">
            <w:pPr>
              <w:pStyle w:val="a3"/>
              <w:spacing w:before="0" w:beforeAutospacing="0" w:after="0" w:afterAutospacing="0"/>
            </w:pPr>
            <w:r>
              <w:t> </w:t>
            </w:r>
          </w:p>
        </w:tc>
        <w:tc>
          <w:tcPr>
            <w:tcW w:w="743" w:type="pct"/>
            <w:vAlign w:val="bottom"/>
            <w:hideMark/>
          </w:tcPr>
          <w:p w14:paraId="3057B874" w14:textId="77777777" w:rsidR="00251D72" w:rsidRDefault="00251D72">
            <w:pPr>
              <w:pStyle w:val="a3"/>
              <w:spacing w:before="0" w:beforeAutospacing="0" w:after="0" w:afterAutospacing="0"/>
            </w:pPr>
            <w:r>
              <w:t> </w:t>
            </w:r>
          </w:p>
        </w:tc>
      </w:tr>
      <w:tr w:rsidR="00251D72" w14:paraId="45292A71" w14:textId="77777777">
        <w:trPr>
          <w:divId w:val="1441879434"/>
          <w:jc w:val="center"/>
        </w:trPr>
        <w:tc>
          <w:tcPr>
            <w:tcW w:w="1944" w:type="pct"/>
            <w:vAlign w:val="bottom"/>
            <w:hideMark/>
          </w:tcPr>
          <w:p w14:paraId="718D7704"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5B1BD2EE" w14:textId="77777777" w:rsidR="00251D72" w:rsidRDefault="00251D72">
            <w:pPr>
              <w:pStyle w:val="a3"/>
              <w:spacing w:before="0" w:beforeAutospacing="0" w:after="0" w:afterAutospacing="0"/>
              <w:rPr>
                <w:sz w:val="10"/>
                <w:szCs w:val="10"/>
              </w:rPr>
            </w:pPr>
            <w:r>
              <w:rPr>
                <w:sz w:val="10"/>
                <w:szCs w:val="10"/>
              </w:rPr>
              <w:t> </w:t>
            </w:r>
          </w:p>
        </w:tc>
        <w:tc>
          <w:tcPr>
            <w:tcW w:w="2193" w:type="pct"/>
            <w:vAlign w:val="bottom"/>
            <w:hideMark/>
          </w:tcPr>
          <w:p w14:paraId="5577E5AD"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73B3094B" w14:textId="77777777" w:rsidR="00251D72" w:rsidRDefault="00251D72">
            <w:pPr>
              <w:pStyle w:val="a3"/>
              <w:spacing w:before="0" w:beforeAutospacing="0" w:after="0" w:afterAutospacing="0"/>
              <w:jc w:val="center"/>
              <w:rPr>
                <w:sz w:val="10"/>
                <w:szCs w:val="10"/>
              </w:rPr>
            </w:pPr>
            <w:r>
              <w:rPr>
                <w:sz w:val="10"/>
                <w:szCs w:val="10"/>
              </w:rPr>
              <w:t> </w:t>
            </w:r>
          </w:p>
        </w:tc>
        <w:tc>
          <w:tcPr>
            <w:tcW w:w="743" w:type="pct"/>
            <w:vAlign w:val="bottom"/>
            <w:hideMark/>
          </w:tcPr>
          <w:p w14:paraId="36786E38" w14:textId="77777777" w:rsidR="00251D72" w:rsidRDefault="00251D72">
            <w:pPr>
              <w:pStyle w:val="a3"/>
              <w:spacing w:before="0" w:beforeAutospacing="0" w:after="0" w:afterAutospacing="0"/>
              <w:jc w:val="center"/>
              <w:rPr>
                <w:sz w:val="10"/>
                <w:szCs w:val="10"/>
              </w:rPr>
            </w:pPr>
            <w:r>
              <w:rPr>
                <w:sz w:val="10"/>
                <w:szCs w:val="10"/>
              </w:rPr>
              <w:t> </w:t>
            </w:r>
          </w:p>
        </w:tc>
      </w:tr>
      <w:tr w:rsidR="00251D72" w14:paraId="7720BCC1" w14:textId="77777777">
        <w:trPr>
          <w:divId w:val="1441879434"/>
          <w:jc w:val="center"/>
        </w:trPr>
        <w:tc>
          <w:tcPr>
            <w:tcW w:w="1944" w:type="pct"/>
            <w:tcBorders>
              <w:bottom w:val="single" w:sz="6" w:space="0" w:color="000000"/>
            </w:tcBorders>
            <w:vAlign w:val="bottom"/>
            <w:hideMark/>
          </w:tcPr>
          <w:p w14:paraId="574E118F"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Naomi O. Seligman</w:t>
            </w:r>
          </w:p>
        </w:tc>
        <w:tc>
          <w:tcPr>
            <w:tcW w:w="60" w:type="pct"/>
            <w:hideMark/>
          </w:tcPr>
          <w:p w14:paraId="690472FD" w14:textId="77777777" w:rsidR="00251D72" w:rsidRDefault="00251D72">
            <w:pPr>
              <w:pStyle w:val="a3"/>
              <w:spacing w:before="0" w:beforeAutospacing="0" w:after="0" w:afterAutospacing="0"/>
            </w:pPr>
            <w:r>
              <w:t> </w:t>
            </w:r>
          </w:p>
        </w:tc>
        <w:tc>
          <w:tcPr>
            <w:tcW w:w="2193" w:type="pct"/>
            <w:vAlign w:val="bottom"/>
            <w:hideMark/>
          </w:tcPr>
          <w:p w14:paraId="6ABC3E28"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Director</w:t>
            </w:r>
          </w:p>
        </w:tc>
        <w:tc>
          <w:tcPr>
            <w:tcW w:w="60" w:type="pct"/>
            <w:hideMark/>
          </w:tcPr>
          <w:p w14:paraId="52A97419" w14:textId="77777777" w:rsidR="00251D72" w:rsidRDefault="00251D72">
            <w:pPr>
              <w:pStyle w:val="a3"/>
              <w:spacing w:before="0" w:beforeAutospacing="0" w:after="0" w:afterAutospacing="0"/>
              <w:jc w:val="center"/>
            </w:pPr>
            <w:r>
              <w:t> </w:t>
            </w:r>
          </w:p>
        </w:tc>
        <w:tc>
          <w:tcPr>
            <w:tcW w:w="743" w:type="pct"/>
            <w:vAlign w:val="bottom"/>
            <w:hideMark/>
          </w:tcPr>
          <w:p w14:paraId="49D7CEAE" w14:textId="77777777" w:rsidR="00251D72" w:rsidRDefault="00251D72">
            <w:pPr>
              <w:pStyle w:val="a3"/>
              <w:spacing w:before="0" w:beforeAutospacing="0" w:after="0" w:afterAutospacing="0"/>
              <w:jc w:val="center"/>
              <w:rPr>
                <w:rFonts w:ascii="Calibri" w:hAnsi="Calibri" w:cs="Calibri"/>
                <w:sz w:val="20"/>
                <w:szCs w:val="20"/>
              </w:rPr>
            </w:pPr>
            <w:r>
              <w:rPr>
                <w:rFonts w:ascii="Calibri" w:hAnsi="Calibri" w:cs="Calibri"/>
                <w:sz w:val="20"/>
                <w:szCs w:val="20"/>
              </w:rPr>
              <w:t>June 21, 2019</w:t>
            </w:r>
          </w:p>
        </w:tc>
      </w:tr>
      <w:tr w:rsidR="00251D72" w14:paraId="586B80E4" w14:textId="77777777">
        <w:trPr>
          <w:divId w:val="1441879434"/>
          <w:jc w:val="center"/>
        </w:trPr>
        <w:tc>
          <w:tcPr>
            <w:tcW w:w="1944" w:type="pct"/>
            <w:tcBorders>
              <w:top w:val="single" w:sz="6" w:space="0" w:color="000000"/>
            </w:tcBorders>
            <w:vAlign w:val="bottom"/>
            <w:hideMark/>
          </w:tcPr>
          <w:p w14:paraId="3DF62642" w14:textId="77777777" w:rsidR="00251D72" w:rsidRDefault="00251D72">
            <w:pPr>
              <w:pStyle w:val="a3"/>
              <w:spacing w:before="0" w:beforeAutospacing="0" w:after="0" w:afterAutospacing="0"/>
              <w:rPr>
                <w:rFonts w:ascii="Calibri" w:hAnsi="Calibri" w:cs="Calibri"/>
                <w:sz w:val="20"/>
                <w:szCs w:val="20"/>
              </w:rPr>
            </w:pPr>
            <w:r>
              <w:rPr>
                <w:rFonts w:ascii="Calibri" w:hAnsi="Calibri" w:cs="Calibri"/>
                <w:sz w:val="20"/>
                <w:szCs w:val="20"/>
              </w:rPr>
              <w:t>Naomi O. Seligman</w:t>
            </w:r>
          </w:p>
          <w:p w14:paraId="27268C6B" w14:textId="77777777" w:rsidR="00251D72" w:rsidRDefault="00251D72">
            <w:pPr>
              <w:pStyle w:val="a3"/>
              <w:spacing w:before="0" w:beforeAutospacing="0" w:after="0" w:afterAutospacing="0"/>
              <w:rPr>
                <w:sz w:val="10"/>
                <w:szCs w:val="10"/>
              </w:rPr>
            </w:pPr>
            <w:r>
              <w:rPr>
                <w:sz w:val="10"/>
                <w:szCs w:val="10"/>
              </w:rPr>
              <w:t> </w:t>
            </w:r>
          </w:p>
          <w:p w14:paraId="0CE5A191" w14:textId="77777777" w:rsidR="00251D72" w:rsidRDefault="00251D72">
            <w:pPr>
              <w:pStyle w:val="a3"/>
              <w:spacing w:before="0" w:beforeAutospacing="0" w:after="0" w:afterAutospacing="0"/>
              <w:rPr>
                <w:sz w:val="10"/>
                <w:szCs w:val="10"/>
              </w:rPr>
            </w:pPr>
            <w:r>
              <w:rPr>
                <w:sz w:val="10"/>
                <w:szCs w:val="10"/>
              </w:rPr>
              <w:t> </w:t>
            </w:r>
          </w:p>
        </w:tc>
        <w:tc>
          <w:tcPr>
            <w:tcW w:w="60" w:type="pct"/>
            <w:hideMark/>
          </w:tcPr>
          <w:p w14:paraId="6073F018" w14:textId="77777777" w:rsidR="00251D72" w:rsidRDefault="00251D72">
            <w:pPr>
              <w:pStyle w:val="a3"/>
              <w:spacing w:before="0" w:beforeAutospacing="0" w:after="0" w:afterAutospacing="0"/>
            </w:pPr>
            <w:r>
              <w:t> </w:t>
            </w:r>
          </w:p>
        </w:tc>
        <w:tc>
          <w:tcPr>
            <w:tcW w:w="2193" w:type="pct"/>
            <w:vAlign w:val="bottom"/>
            <w:hideMark/>
          </w:tcPr>
          <w:p w14:paraId="5ACEC04E" w14:textId="77777777" w:rsidR="00251D72" w:rsidRDefault="00251D72">
            <w:pPr>
              <w:pStyle w:val="a3"/>
              <w:spacing w:before="0" w:beforeAutospacing="0" w:after="0" w:afterAutospacing="0"/>
            </w:pPr>
            <w:r>
              <w:t> </w:t>
            </w:r>
          </w:p>
        </w:tc>
        <w:tc>
          <w:tcPr>
            <w:tcW w:w="60" w:type="pct"/>
            <w:hideMark/>
          </w:tcPr>
          <w:p w14:paraId="48B44647" w14:textId="77777777" w:rsidR="00251D72" w:rsidRDefault="00251D72">
            <w:pPr>
              <w:pStyle w:val="a3"/>
              <w:spacing w:before="0" w:beforeAutospacing="0" w:after="0" w:afterAutospacing="0"/>
            </w:pPr>
            <w:r>
              <w:t> </w:t>
            </w:r>
          </w:p>
        </w:tc>
        <w:tc>
          <w:tcPr>
            <w:tcW w:w="743" w:type="pct"/>
            <w:vAlign w:val="bottom"/>
            <w:hideMark/>
          </w:tcPr>
          <w:p w14:paraId="46F8F8BF" w14:textId="77777777" w:rsidR="00251D72" w:rsidRDefault="00251D72">
            <w:pPr>
              <w:pStyle w:val="a3"/>
              <w:spacing w:before="0" w:beforeAutospacing="0" w:after="0" w:afterAutospacing="0"/>
            </w:pPr>
            <w:r>
              <w:t> </w:t>
            </w:r>
          </w:p>
        </w:tc>
      </w:tr>
    </w:tbl>
    <w:p w14:paraId="2F3C8BF0" w14:textId="77777777" w:rsidR="00251D72" w:rsidRDefault="00251D72">
      <w:pPr>
        <w:pStyle w:val="a3"/>
        <w:spacing w:before="0" w:beforeAutospacing="0" w:after="0" w:afterAutospacing="0"/>
        <w:jc w:val="both"/>
        <w:rPr>
          <w:sz w:val="20"/>
          <w:szCs w:val="20"/>
        </w:rPr>
      </w:pPr>
      <w:r>
        <w:rPr>
          <w:sz w:val="20"/>
          <w:szCs w:val="20"/>
        </w:rPr>
        <w:t> </w:t>
      </w:r>
    </w:p>
    <w:p w14:paraId="40D13940" w14:textId="77777777" w:rsidR="00251D72" w:rsidRDefault="00251D72">
      <w:pPr>
        <w:pStyle w:val="a3"/>
        <w:spacing w:before="240" w:beforeAutospacing="0" w:after="0" w:afterAutospacing="0"/>
        <w:jc w:val="center"/>
        <w:rPr>
          <w:rFonts w:ascii="Calibri" w:hAnsi="Calibri" w:cs="Calibri"/>
          <w:sz w:val="20"/>
          <w:szCs w:val="20"/>
        </w:rPr>
      </w:pPr>
      <w:r>
        <w:rPr>
          <w:rFonts w:ascii="Calibri" w:hAnsi="Calibri" w:cs="Calibri"/>
          <w:sz w:val="20"/>
          <w:szCs w:val="20"/>
        </w:rPr>
        <w:t>124</w:t>
      </w:r>
    </w:p>
    <w:p w14:paraId="7B78B928" w14:textId="77777777" w:rsidR="00D821B2" w:rsidRPr="00251D72" w:rsidRDefault="00D821B2" w:rsidP="00251D72"/>
    <w:sectPr w:rsidR="00D821B2" w:rsidRPr="00251D72" w:rsidSect="002235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72"/>
    <w:rsid w:val="00251D72"/>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EB95"/>
  <w15:chartTrackingRefBased/>
  <w15:docId w15:val="{D854CF8E-7201-413F-9E09-2B1A0F1B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51D72"/>
    <w:pPr>
      <w:widowControl/>
      <w:spacing w:before="100" w:beforeAutospacing="1" w:after="100" w:afterAutospacing="1"/>
      <w:jc w:val="left"/>
    </w:pPr>
    <w:rPr>
      <w:rFonts w:ascii="Times New Roman" w:hAnsi="Times New Roman" w:cs="Times New Roman"/>
      <w:kern w:val="0"/>
      <w:sz w:val="24"/>
      <w:szCs w:val="24"/>
    </w:rPr>
  </w:style>
  <w:style w:type="paragraph" w:styleId="a3">
    <w:name w:val="Normal (Web)"/>
    <w:basedOn w:val="a"/>
    <w:uiPriority w:val="99"/>
    <w:semiHidden/>
    <w:unhideWhenUsed/>
    <w:rsid w:val="00251D72"/>
    <w:pPr>
      <w:widowControl/>
      <w:spacing w:before="100" w:beforeAutospacing="1" w:after="100" w:afterAutospacing="1"/>
      <w:jc w:val="left"/>
    </w:pPr>
    <w:rPr>
      <w:rFonts w:ascii="Times New Roman" w:hAnsi="Times New Roman" w:cs="Times New Roman"/>
      <w:kern w:val="0"/>
      <w:sz w:val="24"/>
      <w:szCs w:val="24"/>
    </w:rPr>
  </w:style>
  <w:style w:type="character" w:styleId="a4">
    <w:name w:val="Hyperlink"/>
    <w:basedOn w:val="a0"/>
    <w:uiPriority w:val="99"/>
    <w:semiHidden/>
    <w:unhideWhenUsed/>
    <w:rsid w:val="00251D72"/>
    <w:rPr>
      <w:color w:val="0000FF"/>
      <w:u w:val="single"/>
    </w:rPr>
  </w:style>
  <w:style w:type="character" w:styleId="a5">
    <w:name w:val="FollowedHyperlink"/>
    <w:basedOn w:val="a0"/>
    <w:uiPriority w:val="99"/>
    <w:semiHidden/>
    <w:unhideWhenUsed/>
    <w:rsid w:val="00251D7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392">
      <w:marLeft w:val="0"/>
      <w:marRight w:val="0"/>
      <w:marTop w:val="0"/>
      <w:marBottom w:val="0"/>
      <w:divBdr>
        <w:top w:val="none" w:sz="0" w:space="0" w:color="auto"/>
        <w:left w:val="none" w:sz="0" w:space="0" w:color="auto"/>
        <w:bottom w:val="none" w:sz="0" w:space="0" w:color="auto"/>
        <w:right w:val="none" w:sz="0" w:space="0" w:color="auto"/>
      </w:divBdr>
    </w:div>
    <w:div w:id="4938708">
      <w:marLeft w:val="0"/>
      <w:marRight w:val="0"/>
      <w:marTop w:val="0"/>
      <w:marBottom w:val="0"/>
      <w:divBdr>
        <w:top w:val="none" w:sz="0" w:space="0" w:color="auto"/>
        <w:left w:val="none" w:sz="0" w:space="0" w:color="auto"/>
        <w:bottom w:val="none" w:sz="0" w:space="0" w:color="auto"/>
        <w:right w:val="none" w:sz="0" w:space="0" w:color="auto"/>
      </w:divBdr>
    </w:div>
    <w:div w:id="43336027">
      <w:marLeft w:val="0"/>
      <w:marRight w:val="0"/>
      <w:marTop w:val="0"/>
      <w:marBottom w:val="0"/>
      <w:divBdr>
        <w:top w:val="none" w:sz="0" w:space="0" w:color="auto"/>
        <w:left w:val="none" w:sz="0" w:space="0" w:color="auto"/>
        <w:bottom w:val="none" w:sz="0" w:space="0" w:color="auto"/>
        <w:right w:val="none" w:sz="0" w:space="0" w:color="auto"/>
      </w:divBdr>
    </w:div>
    <w:div w:id="50082962">
      <w:marLeft w:val="0"/>
      <w:marRight w:val="0"/>
      <w:marTop w:val="0"/>
      <w:marBottom w:val="0"/>
      <w:divBdr>
        <w:top w:val="none" w:sz="0" w:space="0" w:color="auto"/>
        <w:left w:val="none" w:sz="0" w:space="0" w:color="auto"/>
        <w:bottom w:val="none" w:sz="0" w:space="0" w:color="auto"/>
        <w:right w:val="none" w:sz="0" w:space="0" w:color="auto"/>
      </w:divBdr>
    </w:div>
    <w:div w:id="80178648">
      <w:marLeft w:val="0"/>
      <w:marRight w:val="0"/>
      <w:marTop w:val="0"/>
      <w:marBottom w:val="0"/>
      <w:divBdr>
        <w:top w:val="none" w:sz="0" w:space="0" w:color="auto"/>
        <w:left w:val="none" w:sz="0" w:space="0" w:color="auto"/>
        <w:bottom w:val="none" w:sz="0" w:space="0" w:color="auto"/>
        <w:right w:val="none" w:sz="0" w:space="0" w:color="auto"/>
      </w:divBdr>
    </w:div>
    <w:div w:id="175466462">
      <w:marLeft w:val="0"/>
      <w:marRight w:val="0"/>
      <w:marTop w:val="0"/>
      <w:marBottom w:val="0"/>
      <w:divBdr>
        <w:top w:val="none" w:sz="0" w:space="0" w:color="auto"/>
        <w:left w:val="none" w:sz="0" w:space="0" w:color="auto"/>
        <w:bottom w:val="none" w:sz="0" w:space="0" w:color="auto"/>
        <w:right w:val="none" w:sz="0" w:space="0" w:color="auto"/>
      </w:divBdr>
    </w:div>
    <w:div w:id="220673366">
      <w:marLeft w:val="0"/>
      <w:marRight w:val="0"/>
      <w:marTop w:val="0"/>
      <w:marBottom w:val="0"/>
      <w:divBdr>
        <w:top w:val="none" w:sz="0" w:space="0" w:color="auto"/>
        <w:left w:val="none" w:sz="0" w:space="0" w:color="auto"/>
        <w:bottom w:val="none" w:sz="0" w:space="0" w:color="auto"/>
        <w:right w:val="none" w:sz="0" w:space="0" w:color="auto"/>
      </w:divBdr>
    </w:div>
    <w:div w:id="225991057">
      <w:marLeft w:val="0"/>
      <w:marRight w:val="0"/>
      <w:marTop w:val="0"/>
      <w:marBottom w:val="0"/>
      <w:divBdr>
        <w:top w:val="none" w:sz="0" w:space="0" w:color="auto"/>
        <w:left w:val="none" w:sz="0" w:space="0" w:color="auto"/>
        <w:bottom w:val="none" w:sz="0" w:space="0" w:color="auto"/>
        <w:right w:val="none" w:sz="0" w:space="0" w:color="auto"/>
      </w:divBdr>
    </w:div>
    <w:div w:id="255670554">
      <w:marLeft w:val="0"/>
      <w:marRight w:val="0"/>
      <w:marTop w:val="0"/>
      <w:marBottom w:val="0"/>
      <w:divBdr>
        <w:top w:val="none" w:sz="0" w:space="0" w:color="auto"/>
        <w:left w:val="none" w:sz="0" w:space="0" w:color="auto"/>
        <w:bottom w:val="none" w:sz="0" w:space="0" w:color="auto"/>
        <w:right w:val="none" w:sz="0" w:space="0" w:color="auto"/>
      </w:divBdr>
    </w:div>
    <w:div w:id="274334531">
      <w:marLeft w:val="0"/>
      <w:marRight w:val="0"/>
      <w:marTop w:val="0"/>
      <w:marBottom w:val="0"/>
      <w:divBdr>
        <w:top w:val="none" w:sz="0" w:space="0" w:color="auto"/>
        <w:left w:val="none" w:sz="0" w:space="0" w:color="auto"/>
        <w:bottom w:val="none" w:sz="0" w:space="0" w:color="auto"/>
        <w:right w:val="none" w:sz="0" w:space="0" w:color="auto"/>
      </w:divBdr>
    </w:div>
    <w:div w:id="299841982">
      <w:marLeft w:val="0"/>
      <w:marRight w:val="0"/>
      <w:marTop w:val="0"/>
      <w:marBottom w:val="0"/>
      <w:divBdr>
        <w:top w:val="none" w:sz="0" w:space="0" w:color="auto"/>
        <w:left w:val="none" w:sz="0" w:space="0" w:color="auto"/>
        <w:bottom w:val="none" w:sz="0" w:space="0" w:color="auto"/>
        <w:right w:val="none" w:sz="0" w:space="0" w:color="auto"/>
      </w:divBdr>
    </w:div>
    <w:div w:id="317804692">
      <w:marLeft w:val="0"/>
      <w:marRight w:val="0"/>
      <w:marTop w:val="0"/>
      <w:marBottom w:val="0"/>
      <w:divBdr>
        <w:top w:val="none" w:sz="0" w:space="0" w:color="auto"/>
        <w:left w:val="none" w:sz="0" w:space="0" w:color="auto"/>
        <w:bottom w:val="none" w:sz="0" w:space="0" w:color="auto"/>
        <w:right w:val="none" w:sz="0" w:space="0" w:color="auto"/>
      </w:divBdr>
    </w:div>
    <w:div w:id="325286268">
      <w:marLeft w:val="0"/>
      <w:marRight w:val="0"/>
      <w:marTop w:val="0"/>
      <w:marBottom w:val="0"/>
      <w:divBdr>
        <w:top w:val="none" w:sz="0" w:space="0" w:color="auto"/>
        <w:left w:val="none" w:sz="0" w:space="0" w:color="auto"/>
        <w:bottom w:val="none" w:sz="0" w:space="0" w:color="auto"/>
        <w:right w:val="none" w:sz="0" w:space="0" w:color="auto"/>
      </w:divBdr>
    </w:div>
    <w:div w:id="337120055">
      <w:marLeft w:val="0"/>
      <w:marRight w:val="0"/>
      <w:marTop w:val="0"/>
      <w:marBottom w:val="0"/>
      <w:divBdr>
        <w:top w:val="none" w:sz="0" w:space="0" w:color="auto"/>
        <w:left w:val="none" w:sz="0" w:space="0" w:color="auto"/>
        <w:bottom w:val="none" w:sz="0" w:space="0" w:color="auto"/>
        <w:right w:val="none" w:sz="0" w:space="0" w:color="auto"/>
      </w:divBdr>
    </w:div>
    <w:div w:id="338697260">
      <w:marLeft w:val="0"/>
      <w:marRight w:val="0"/>
      <w:marTop w:val="0"/>
      <w:marBottom w:val="0"/>
      <w:divBdr>
        <w:top w:val="none" w:sz="0" w:space="0" w:color="auto"/>
        <w:left w:val="none" w:sz="0" w:space="0" w:color="auto"/>
        <w:bottom w:val="none" w:sz="0" w:space="0" w:color="auto"/>
        <w:right w:val="none" w:sz="0" w:space="0" w:color="auto"/>
      </w:divBdr>
    </w:div>
    <w:div w:id="343215439">
      <w:marLeft w:val="0"/>
      <w:marRight w:val="0"/>
      <w:marTop w:val="0"/>
      <w:marBottom w:val="0"/>
      <w:divBdr>
        <w:top w:val="none" w:sz="0" w:space="0" w:color="auto"/>
        <w:left w:val="none" w:sz="0" w:space="0" w:color="auto"/>
        <w:bottom w:val="none" w:sz="0" w:space="0" w:color="auto"/>
        <w:right w:val="none" w:sz="0" w:space="0" w:color="auto"/>
      </w:divBdr>
    </w:div>
    <w:div w:id="426118117">
      <w:marLeft w:val="0"/>
      <w:marRight w:val="0"/>
      <w:marTop w:val="0"/>
      <w:marBottom w:val="0"/>
      <w:divBdr>
        <w:top w:val="none" w:sz="0" w:space="0" w:color="auto"/>
        <w:left w:val="none" w:sz="0" w:space="0" w:color="auto"/>
        <w:bottom w:val="none" w:sz="0" w:space="0" w:color="auto"/>
        <w:right w:val="none" w:sz="0" w:space="0" w:color="auto"/>
      </w:divBdr>
    </w:div>
    <w:div w:id="447969988">
      <w:marLeft w:val="0"/>
      <w:marRight w:val="0"/>
      <w:marTop w:val="0"/>
      <w:marBottom w:val="0"/>
      <w:divBdr>
        <w:top w:val="none" w:sz="0" w:space="0" w:color="auto"/>
        <w:left w:val="none" w:sz="0" w:space="0" w:color="auto"/>
        <w:bottom w:val="none" w:sz="0" w:space="0" w:color="auto"/>
        <w:right w:val="none" w:sz="0" w:space="0" w:color="auto"/>
      </w:divBdr>
    </w:div>
    <w:div w:id="485321682">
      <w:marLeft w:val="0"/>
      <w:marRight w:val="0"/>
      <w:marTop w:val="0"/>
      <w:marBottom w:val="0"/>
      <w:divBdr>
        <w:top w:val="none" w:sz="0" w:space="0" w:color="auto"/>
        <w:left w:val="none" w:sz="0" w:space="0" w:color="auto"/>
        <w:bottom w:val="none" w:sz="0" w:space="0" w:color="auto"/>
        <w:right w:val="none" w:sz="0" w:space="0" w:color="auto"/>
      </w:divBdr>
    </w:div>
    <w:div w:id="488712035">
      <w:marLeft w:val="0"/>
      <w:marRight w:val="0"/>
      <w:marTop w:val="0"/>
      <w:marBottom w:val="0"/>
      <w:divBdr>
        <w:top w:val="none" w:sz="0" w:space="0" w:color="auto"/>
        <w:left w:val="none" w:sz="0" w:space="0" w:color="auto"/>
        <w:bottom w:val="none" w:sz="0" w:space="0" w:color="auto"/>
        <w:right w:val="none" w:sz="0" w:space="0" w:color="auto"/>
      </w:divBdr>
    </w:div>
    <w:div w:id="498739982">
      <w:marLeft w:val="0"/>
      <w:marRight w:val="0"/>
      <w:marTop w:val="0"/>
      <w:marBottom w:val="0"/>
      <w:divBdr>
        <w:top w:val="none" w:sz="0" w:space="0" w:color="auto"/>
        <w:left w:val="none" w:sz="0" w:space="0" w:color="auto"/>
        <w:bottom w:val="none" w:sz="0" w:space="0" w:color="auto"/>
        <w:right w:val="none" w:sz="0" w:space="0" w:color="auto"/>
      </w:divBdr>
    </w:div>
    <w:div w:id="516040483">
      <w:marLeft w:val="0"/>
      <w:marRight w:val="0"/>
      <w:marTop w:val="0"/>
      <w:marBottom w:val="0"/>
      <w:divBdr>
        <w:top w:val="none" w:sz="0" w:space="0" w:color="auto"/>
        <w:left w:val="none" w:sz="0" w:space="0" w:color="auto"/>
        <w:bottom w:val="none" w:sz="0" w:space="0" w:color="auto"/>
        <w:right w:val="none" w:sz="0" w:space="0" w:color="auto"/>
      </w:divBdr>
    </w:div>
    <w:div w:id="535046260">
      <w:marLeft w:val="0"/>
      <w:marRight w:val="0"/>
      <w:marTop w:val="0"/>
      <w:marBottom w:val="0"/>
      <w:divBdr>
        <w:top w:val="none" w:sz="0" w:space="0" w:color="auto"/>
        <w:left w:val="none" w:sz="0" w:space="0" w:color="auto"/>
        <w:bottom w:val="none" w:sz="0" w:space="0" w:color="auto"/>
        <w:right w:val="none" w:sz="0" w:space="0" w:color="auto"/>
      </w:divBdr>
    </w:div>
    <w:div w:id="578253817">
      <w:marLeft w:val="0"/>
      <w:marRight w:val="0"/>
      <w:marTop w:val="0"/>
      <w:marBottom w:val="0"/>
      <w:divBdr>
        <w:top w:val="none" w:sz="0" w:space="0" w:color="auto"/>
        <w:left w:val="none" w:sz="0" w:space="0" w:color="auto"/>
        <w:bottom w:val="none" w:sz="0" w:space="0" w:color="auto"/>
        <w:right w:val="none" w:sz="0" w:space="0" w:color="auto"/>
      </w:divBdr>
    </w:div>
    <w:div w:id="580410522">
      <w:marLeft w:val="0"/>
      <w:marRight w:val="0"/>
      <w:marTop w:val="0"/>
      <w:marBottom w:val="0"/>
      <w:divBdr>
        <w:top w:val="none" w:sz="0" w:space="0" w:color="auto"/>
        <w:left w:val="none" w:sz="0" w:space="0" w:color="auto"/>
        <w:bottom w:val="none" w:sz="0" w:space="0" w:color="auto"/>
        <w:right w:val="none" w:sz="0" w:space="0" w:color="auto"/>
      </w:divBdr>
    </w:div>
    <w:div w:id="606351272">
      <w:marLeft w:val="0"/>
      <w:marRight w:val="0"/>
      <w:marTop w:val="0"/>
      <w:marBottom w:val="0"/>
      <w:divBdr>
        <w:top w:val="none" w:sz="0" w:space="0" w:color="auto"/>
        <w:left w:val="none" w:sz="0" w:space="0" w:color="auto"/>
        <w:bottom w:val="none" w:sz="0" w:space="0" w:color="auto"/>
        <w:right w:val="none" w:sz="0" w:space="0" w:color="auto"/>
      </w:divBdr>
    </w:div>
    <w:div w:id="618876899">
      <w:marLeft w:val="0"/>
      <w:marRight w:val="0"/>
      <w:marTop w:val="0"/>
      <w:marBottom w:val="0"/>
      <w:divBdr>
        <w:top w:val="none" w:sz="0" w:space="0" w:color="auto"/>
        <w:left w:val="none" w:sz="0" w:space="0" w:color="auto"/>
        <w:bottom w:val="none" w:sz="0" w:space="0" w:color="auto"/>
        <w:right w:val="none" w:sz="0" w:space="0" w:color="auto"/>
      </w:divBdr>
    </w:div>
    <w:div w:id="648942702">
      <w:marLeft w:val="0"/>
      <w:marRight w:val="0"/>
      <w:marTop w:val="0"/>
      <w:marBottom w:val="0"/>
      <w:divBdr>
        <w:top w:val="none" w:sz="0" w:space="0" w:color="auto"/>
        <w:left w:val="none" w:sz="0" w:space="0" w:color="auto"/>
        <w:bottom w:val="none" w:sz="0" w:space="0" w:color="auto"/>
        <w:right w:val="none" w:sz="0" w:space="0" w:color="auto"/>
      </w:divBdr>
    </w:div>
    <w:div w:id="657266066">
      <w:marLeft w:val="0"/>
      <w:marRight w:val="0"/>
      <w:marTop w:val="0"/>
      <w:marBottom w:val="0"/>
      <w:divBdr>
        <w:top w:val="none" w:sz="0" w:space="0" w:color="auto"/>
        <w:left w:val="none" w:sz="0" w:space="0" w:color="auto"/>
        <w:bottom w:val="none" w:sz="0" w:space="0" w:color="auto"/>
        <w:right w:val="none" w:sz="0" w:space="0" w:color="auto"/>
      </w:divBdr>
    </w:div>
    <w:div w:id="662052593">
      <w:marLeft w:val="0"/>
      <w:marRight w:val="0"/>
      <w:marTop w:val="0"/>
      <w:marBottom w:val="0"/>
      <w:divBdr>
        <w:top w:val="none" w:sz="0" w:space="0" w:color="auto"/>
        <w:left w:val="none" w:sz="0" w:space="0" w:color="auto"/>
        <w:bottom w:val="none" w:sz="0" w:space="0" w:color="auto"/>
        <w:right w:val="none" w:sz="0" w:space="0" w:color="auto"/>
      </w:divBdr>
    </w:div>
    <w:div w:id="709186456">
      <w:marLeft w:val="0"/>
      <w:marRight w:val="0"/>
      <w:marTop w:val="0"/>
      <w:marBottom w:val="0"/>
      <w:divBdr>
        <w:top w:val="none" w:sz="0" w:space="0" w:color="auto"/>
        <w:left w:val="none" w:sz="0" w:space="0" w:color="auto"/>
        <w:bottom w:val="none" w:sz="0" w:space="0" w:color="auto"/>
        <w:right w:val="none" w:sz="0" w:space="0" w:color="auto"/>
      </w:divBdr>
    </w:div>
    <w:div w:id="731852728">
      <w:marLeft w:val="0"/>
      <w:marRight w:val="0"/>
      <w:marTop w:val="0"/>
      <w:marBottom w:val="0"/>
      <w:divBdr>
        <w:top w:val="none" w:sz="0" w:space="0" w:color="auto"/>
        <w:left w:val="none" w:sz="0" w:space="0" w:color="auto"/>
        <w:bottom w:val="none" w:sz="0" w:space="0" w:color="auto"/>
        <w:right w:val="none" w:sz="0" w:space="0" w:color="auto"/>
      </w:divBdr>
    </w:div>
    <w:div w:id="765687779">
      <w:marLeft w:val="0"/>
      <w:marRight w:val="0"/>
      <w:marTop w:val="0"/>
      <w:marBottom w:val="0"/>
      <w:divBdr>
        <w:top w:val="none" w:sz="0" w:space="0" w:color="auto"/>
        <w:left w:val="none" w:sz="0" w:space="0" w:color="auto"/>
        <w:bottom w:val="none" w:sz="0" w:space="0" w:color="auto"/>
        <w:right w:val="none" w:sz="0" w:space="0" w:color="auto"/>
      </w:divBdr>
    </w:div>
    <w:div w:id="822237102">
      <w:marLeft w:val="0"/>
      <w:marRight w:val="0"/>
      <w:marTop w:val="0"/>
      <w:marBottom w:val="0"/>
      <w:divBdr>
        <w:top w:val="none" w:sz="0" w:space="0" w:color="auto"/>
        <w:left w:val="none" w:sz="0" w:space="0" w:color="auto"/>
        <w:bottom w:val="none" w:sz="0" w:space="0" w:color="auto"/>
        <w:right w:val="none" w:sz="0" w:space="0" w:color="auto"/>
      </w:divBdr>
    </w:div>
    <w:div w:id="847327853">
      <w:marLeft w:val="0"/>
      <w:marRight w:val="0"/>
      <w:marTop w:val="0"/>
      <w:marBottom w:val="0"/>
      <w:divBdr>
        <w:top w:val="none" w:sz="0" w:space="0" w:color="auto"/>
        <w:left w:val="none" w:sz="0" w:space="0" w:color="auto"/>
        <w:bottom w:val="none" w:sz="0" w:space="0" w:color="auto"/>
        <w:right w:val="none" w:sz="0" w:space="0" w:color="auto"/>
      </w:divBdr>
    </w:div>
    <w:div w:id="875772021">
      <w:marLeft w:val="0"/>
      <w:marRight w:val="0"/>
      <w:marTop w:val="0"/>
      <w:marBottom w:val="0"/>
      <w:divBdr>
        <w:top w:val="none" w:sz="0" w:space="0" w:color="auto"/>
        <w:left w:val="none" w:sz="0" w:space="0" w:color="auto"/>
        <w:bottom w:val="none" w:sz="0" w:space="0" w:color="auto"/>
        <w:right w:val="none" w:sz="0" w:space="0" w:color="auto"/>
      </w:divBdr>
    </w:div>
    <w:div w:id="922684098">
      <w:marLeft w:val="0"/>
      <w:marRight w:val="0"/>
      <w:marTop w:val="0"/>
      <w:marBottom w:val="0"/>
      <w:divBdr>
        <w:top w:val="none" w:sz="0" w:space="0" w:color="auto"/>
        <w:left w:val="none" w:sz="0" w:space="0" w:color="auto"/>
        <w:bottom w:val="none" w:sz="0" w:space="0" w:color="auto"/>
        <w:right w:val="none" w:sz="0" w:space="0" w:color="auto"/>
      </w:divBdr>
    </w:div>
    <w:div w:id="968631850">
      <w:marLeft w:val="0"/>
      <w:marRight w:val="0"/>
      <w:marTop w:val="0"/>
      <w:marBottom w:val="0"/>
      <w:divBdr>
        <w:top w:val="none" w:sz="0" w:space="0" w:color="auto"/>
        <w:left w:val="none" w:sz="0" w:space="0" w:color="auto"/>
        <w:bottom w:val="none" w:sz="0" w:space="0" w:color="auto"/>
        <w:right w:val="none" w:sz="0" w:space="0" w:color="auto"/>
      </w:divBdr>
    </w:div>
    <w:div w:id="1082070874">
      <w:marLeft w:val="0"/>
      <w:marRight w:val="0"/>
      <w:marTop w:val="0"/>
      <w:marBottom w:val="0"/>
      <w:divBdr>
        <w:top w:val="none" w:sz="0" w:space="0" w:color="auto"/>
        <w:left w:val="none" w:sz="0" w:space="0" w:color="auto"/>
        <w:bottom w:val="none" w:sz="0" w:space="0" w:color="auto"/>
        <w:right w:val="none" w:sz="0" w:space="0" w:color="auto"/>
      </w:divBdr>
    </w:div>
    <w:div w:id="1099451378">
      <w:marLeft w:val="0"/>
      <w:marRight w:val="0"/>
      <w:marTop w:val="0"/>
      <w:marBottom w:val="0"/>
      <w:divBdr>
        <w:top w:val="none" w:sz="0" w:space="0" w:color="auto"/>
        <w:left w:val="none" w:sz="0" w:space="0" w:color="auto"/>
        <w:bottom w:val="none" w:sz="0" w:space="0" w:color="auto"/>
        <w:right w:val="none" w:sz="0" w:space="0" w:color="auto"/>
      </w:divBdr>
    </w:div>
    <w:div w:id="1101340513">
      <w:marLeft w:val="0"/>
      <w:marRight w:val="0"/>
      <w:marTop w:val="0"/>
      <w:marBottom w:val="0"/>
      <w:divBdr>
        <w:top w:val="none" w:sz="0" w:space="0" w:color="auto"/>
        <w:left w:val="none" w:sz="0" w:space="0" w:color="auto"/>
        <w:bottom w:val="none" w:sz="0" w:space="0" w:color="auto"/>
        <w:right w:val="none" w:sz="0" w:space="0" w:color="auto"/>
      </w:divBdr>
    </w:div>
    <w:div w:id="1112937077">
      <w:marLeft w:val="0"/>
      <w:marRight w:val="0"/>
      <w:marTop w:val="0"/>
      <w:marBottom w:val="0"/>
      <w:divBdr>
        <w:top w:val="none" w:sz="0" w:space="0" w:color="auto"/>
        <w:left w:val="none" w:sz="0" w:space="0" w:color="auto"/>
        <w:bottom w:val="none" w:sz="0" w:space="0" w:color="auto"/>
        <w:right w:val="none" w:sz="0" w:space="0" w:color="auto"/>
      </w:divBdr>
    </w:div>
    <w:div w:id="1179807612">
      <w:marLeft w:val="0"/>
      <w:marRight w:val="0"/>
      <w:marTop w:val="0"/>
      <w:marBottom w:val="0"/>
      <w:divBdr>
        <w:top w:val="none" w:sz="0" w:space="0" w:color="auto"/>
        <w:left w:val="none" w:sz="0" w:space="0" w:color="auto"/>
        <w:bottom w:val="none" w:sz="0" w:space="0" w:color="auto"/>
        <w:right w:val="none" w:sz="0" w:space="0" w:color="auto"/>
      </w:divBdr>
    </w:div>
    <w:div w:id="1187598821">
      <w:marLeft w:val="0"/>
      <w:marRight w:val="0"/>
      <w:marTop w:val="0"/>
      <w:marBottom w:val="0"/>
      <w:divBdr>
        <w:top w:val="none" w:sz="0" w:space="0" w:color="auto"/>
        <w:left w:val="none" w:sz="0" w:space="0" w:color="auto"/>
        <w:bottom w:val="none" w:sz="0" w:space="0" w:color="auto"/>
        <w:right w:val="none" w:sz="0" w:space="0" w:color="auto"/>
      </w:divBdr>
    </w:div>
    <w:div w:id="1198616723">
      <w:marLeft w:val="0"/>
      <w:marRight w:val="0"/>
      <w:marTop w:val="0"/>
      <w:marBottom w:val="0"/>
      <w:divBdr>
        <w:top w:val="none" w:sz="0" w:space="0" w:color="auto"/>
        <w:left w:val="none" w:sz="0" w:space="0" w:color="auto"/>
        <w:bottom w:val="none" w:sz="0" w:space="0" w:color="auto"/>
        <w:right w:val="none" w:sz="0" w:space="0" w:color="auto"/>
      </w:divBdr>
    </w:div>
    <w:div w:id="1233078514">
      <w:marLeft w:val="0"/>
      <w:marRight w:val="0"/>
      <w:marTop w:val="0"/>
      <w:marBottom w:val="0"/>
      <w:divBdr>
        <w:top w:val="none" w:sz="0" w:space="0" w:color="auto"/>
        <w:left w:val="none" w:sz="0" w:space="0" w:color="auto"/>
        <w:bottom w:val="none" w:sz="0" w:space="0" w:color="auto"/>
        <w:right w:val="none" w:sz="0" w:space="0" w:color="auto"/>
      </w:divBdr>
    </w:div>
    <w:div w:id="1241868235">
      <w:marLeft w:val="0"/>
      <w:marRight w:val="0"/>
      <w:marTop w:val="0"/>
      <w:marBottom w:val="0"/>
      <w:divBdr>
        <w:top w:val="none" w:sz="0" w:space="0" w:color="auto"/>
        <w:left w:val="none" w:sz="0" w:space="0" w:color="auto"/>
        <w:bottom w:val="none" w:sz="0" w:space="0" w:color="auto"/>
        <w:right w:val="none" w:sz="0" w:space="0" w:color="auto"/>
      </w:divBdr>
    </w:div>
    <w:div w:id="1246914894">
      <w:marLeft w:val="0"/>
      <w:marRight w:val="0"/>
      <w:marTop w:val="0"/>
      <w:marBottom w:val="0"/>
      <w:divBdr>
        <w:top w:val="none" w:sz="0" w:space="0" w:color="auto"/>
        <w:left w:val="none" w:sz="0" w:space="0" w:color="auto"/>
        <w:bottom w:val="none" w:sz="0" w:space="0" w:color="auto"/>
        <w:right w:val="none" w:sz="0" w:space="0" w:color="auto"/>
      </w:divBdr>
    </w:div>
    <w:div w:id="1257252312">
      <w:marLeft w:val="0"/>
      <w:marRight w:val="0"/>
      <w:marTop w:val="0"/>
      <w:marBottom w:val="0"/>
      <w:divBdr>
        <w:top w:val="none" w:sz="0" w:space="0" w:color="auto"/>
        <w:left w:val="none" w:sz="0" w:space="0" w:color="auto"/>
        <w:bottom w:val="none" w:sz="0" w:space="0" w:color="auto"/>
        <w:right w:val="none" w:sz="0" w:space="0" w:color="auto"/>
      </w:divBdr>
    </w:div>
    <w:div w:id="1273704237">
      <w:marLeft w:val="0"/>
      <w:marRight w:val="0"/>
      <w:marTop w:val="0"/>
      <w:marBottom w:val="0"/>
      <w:divBdr>
        <w:top w:val="none" w:sz="0" w:space="0" w:color="auto"/>
        <w:left w:val="none" w:sz="0" w:space="0" w:color="auto"/>
        <w:bottom w:val="none" w:sz="0" w:space="0" w:color="auto"/>
        <w:right w:val="none" w:sz="0" w:space="0" w:color="auto"/>
      </w:divBdr>
    </w:div>
    <w:div w:id="1307130620">
      <w:marLeft w:val="0"/>
      <w:marRight w:val="0"/>
      <w:marTop w:val="0"/>
      <w:marBottom w:val="0"/>
      <w:divBdr>
        <w:top w:val="none" w:sz="0" w:space="0" w:color="auto"/>
        <w:left w:val="none" w:sz="0" w:space="0" w:color="auto"/>
        <w:bottom w:val="none" w:sz="0" w:space="0" w:color="auto"/>
        <w:right w:val="none" w:sz="0" w:space="0" w:color="auto"/>
      </w:divBdr>
    </w:div>
    <w:div w:id="1351371128">
      <w:marLeft w:val="0"/>
      <w:marRight w:val="0"/>
      <w:marTop w:val="0"/>
      <w:marBottom w:val="0"/>
      <w:divBdr>
        <w:top w:val="none" w:sz="0" w:space="0" w:color="auto"/>
        <w:left w:val="none" w:sz="0" w:space="0" w:color="auto"/>
        <w:bottom w:val="none" w:sz="0" w:space="0" w:color="auto"/>
        <w:right w:val="none" w:sz="0" w:space="0" w:color="auto"/>
      </w:divBdr>
    </w:div>
    <w:div w:id="1361055914">
      <w:marLeft w:val="0"/>
      <w:marRight w:val="0"/>
      <w:marTop w:val="0"/>
      <w:marBottom w:val="0"/>
      <w:divBdr>
        <w:top w:val="none" w:sz="0" w:space="0" w:color="auto"/>
        <w:left w:val="none" w:sz="0" w:space="0" w:color="auto"/>
        <w:bottom w:val="none" w:sz="0" w:space="0" w:color="auto"/>
        <w:right w:val="none" w:sz="0" w:space="0" w:color="auto"/>
      </w:divBdr>
    </w:div>
    <w:div w:id="1397817350">
      <w:marLeft w:val="0"/>
      <w:marRight w:val="0"/>
      <w:marTop w:val="0"/>
      <w:marBottom w:val="0"/>
      <w:divBdr>
        <w:top w:val="none" w:sz="0" w:space="0" w:color="auto"/>
        <w:left w:val="none" w:sz="0" w:space="0" w:color="auto"/>
        <w:bottom w:val="none" w:sz="0" w:space="0" w:color="auto"/>
        <w:right w:val="none" w:sz="0" w:space="0" w:color="auto"/>
      </w:divBdr>
    </w:div>
    <w:div w:id="1407992881">
      <w:marLeft w:val="0"/>
      <w:marRight w:val="0"/>
      <w:marTop w:val="0"/>
      <w:marBottom w:val="0"/>
      <w:divBdr>
        <w:top w:val="none" w:sz="0" w:space="0" w:color="auto"/>
        <w:left w:val="none" w:sz="0" w:space="0" w:color="auto"/>
        <w:bottom w:val="none" w:sz="0" w:space="0" w:color="auto"/>
        <w:right w:val="none" w:sz="0" w:space="0" w:color="auto"/>
      </w:divBdr>
    </w:div>
    <w:div w:id="1410884540">
      <w:marLeft w:val="0"/>
      <w:marRight w:val="0"/>
      <w:marTop w:val="0"/>
      <w:marBottom w:val="0"/>
      <w:divBdr>
        <w:top w:val="none" w:sz="0" w:space="0" w:color="auto"/>
        <w:left w:val="none" w:sz="0" w:space="0" w:color="auto"/>
        <w:bottom w:val="none" w:sz="0" w:space="0" w:color="auto"/>
        <w:right w:val="none" w:sz="0" w:space="0" w:color="auto"/>
      </w:divBdr>
    </w:div>
    <w:div w:id="1414430423">
      <w:marLeft w:val="0"/>
      <w:marRight w:val="0"/>
      <w:marTop w:val="0"/>
      <w:marBottom w:val="0"/>
      <w:divBdr>
        <w:top w:val="none" w:sz="0" w:space="0" w:color="auto"/>
        <w:left w:val="none" w:sz="0" w:space="0" w:color="auto"/>
        <w:bottom w:val="none" w:sz="0" w:space="0" w:color="auto"/>
        <w:right w:val="none" w:sz="0" w:space="0" w:color="auto"/>
      </w:divBdr>
    </w:div>
    <w:div w:id="1416518288">
      <w:marLeft w:val="0"/>
      <w:marRight w:val="0"/>
      <w:marTop w:val="0"/>
      <w:marBottom w:val="0"/>
      <w:divBdr>
        <w:top w:val="none" w:sz="0" w:space="0" w:color="auto"/>
        <w:left w:val="none" w:sz="0" w:space="0" w:color="auto"/>
        <w:bottom w:val="none" w:sz="0" w:space="0" w:color="auto"/>
        <w:right w:val="none" w:sz="0" w:space="0" w:color="auto"/>
      </w:divBdr>
    </w:div>
    <w:div w:id="1441879434">
      <w:marLeft w:val="0"/>
      <w:marRight w:val="0"/>
      <w:marTop w:val="0"/>
      <w:marBottom w:val="0"/>
      <w:divBdr>
        <w:top w:val="none" w:sz="0" w:space="0" w:color="auto"/>
        <w:left w:val="none" w:sz="0" w:space="0" w:color="auto"/>
        <w:bottom w:val="none" w:sz="0" w:space="0" w:color="auto"/>
        <w:right w:val="none" w:sz="0" w:space="0" w:color="auto"/>
      </w:divBdr>
    </w:div>
    <w:div w:id="1452899360">
      <w:marLeft w:val="0"/>
      <w:marRight w:val="0"/>
      <w:marTop w:val="0"/>
      <w:marBottom w:val="0"/>
      <w:divBdr>
        <w:top w:val="none" w:sz="0" w:space="0" w:color="auto"/>
        <w:left w:val="none" w:sz="0" w:space="0" w:color="auto"/>
        <w:bottom w:val="none" w:sz="0" w:space="0" w:color="auto"/>
        <w:right w:val="none" w:sz="0" w:space="0" w:color="auto"/>
      </w:divBdr>
    </w:div>
    <w:div w:id="1473211950">
      <w:marLeft w:val="0"/>
      <w:marRight w:val="0"/>
      <w:marTop w:val="0"/>
      <w:marBottom w:val="0"/>
      <w:divBdr>
        <w:top w:val="none" w:sz="0" w:space="0" w:color="auto"/>
        <w:left w:val="none" w:sz="0" w:space="0" w:color="auto"/>
        <w:bottom w:val="none" w:sz="0" w:space="0" w:color="auto"/>
        <w:right w:val="none" w:sz="0" w:space="0" w:color="auto"/>
      </w:divBdr>
    </w:div>
    <w:div w:id="1492867471">
      <w:marLeft w:val="0"/>
      <w:marRight w:val="0"/>
      <w:marTop w:val="0"/>
      <w:marBottom w:val="0"/>
      <w:divBdr>
        <w:top w:val="none" w:sz="0" w:space="0" w:color="auto"/>
        <w:left w:val="none" w:sz="0" w:space="0" w:color="auto"/>
        <w:bottom w:val="none" w:sz="0" w:space="0" w:color="auto"/>
        <w:right w:val="none" w:sz="0" w:space="0" w:color="auto"/>
      </w:divBdr>
    </w:div>
    <w:div w:id="1512715604">
      <w:marLeft w:val="0"/>
      <w:marRight w:val="0"/>
      <w:marTop w:val="0"/>
      <w:marBottom w:val="0"/>
      <w:divBdr>
        <w:top w:val="none" w:sz="0" w:space="0" w:color="auto"/>
        <w:left w:val="none" w:sz="0" w:space="0" w:color="auto"/>
        <w:bottom w:val="none" w:sz="0" w:space="0" w:color="auto"/>
        <w:right w:val="none" w:sz="0" w:space="0" w:color="auto"/>
      </w:divBdr>
    </w:div>
    <w:div w:id="1527522074">
      <w:marLeft w:val="0"/>
      <w:marRight w:val="0"/>
      <w:marTop w:val="0"/>
      <w:marBottom w:val="0"/>
      <w:divBdr>
        <w:top w:val="none" w:sz="0" w:space="0" w:color="auto"/>
        <w:left w:val="none" w:sz="0" w:space="0" w:color="auto"/>
        <w:bottom w:val="none" w:sz="0" w:space="0" w:color="auto"/>
        <w:right w:val="none" w:sz="0" w:space="0" w:color="auto"/>
      </w:divBdr>
    </w:div>
    <w:div w:id="1549104720">
      <w:marLeft w:val="0"/>
      <w:marRight w:val="0"/>
      <w:marTop w:val="0"/>
      <w:marBottom w:val="0"/>
      <w:divBdr>
        <w:top w:val="none" w:sz="0" w:space="0" w:color="auto"/>
        <w:left w:val="none" w:sz="0" w:space="0" w:color="auto"/>
        <w:bottom w:val="none" w:sz="0" w:space="0" w:color="auto"/>
        <w:right w:val="none" w:sz="0" w:space="0" w:color="auto"/>
      </w:divBdr>
    </w:div>
    <w:div w:id="1592733654">
      <w:marLeft w:val="0"/>
      <w:marRight w:val="0"/>
      <w:marTop w:val="0"/>
      <w:marBottom w:val="0"/>
      <w:divBdr>
        <w:top w:val="none" w:sz="0" w:space="0" w:color="auto"/>
        <w:left w:val="none" w:sz="0" w:space="0" w:color="auto"/>
        <w:bottom w:val="none" w:sz="0" w:space="0" w:color="auto"/>
        <w:right w:val="none" w:sz="0" w:space="0" w:color="auto"/>
      </w:divBdr>
    </w:div>
    <w:div w:id="1635331532">
      <w:marLeft w:val="0"/>
      <w:marRight w:val="0"/>
      <w:marTop w:val="0"/>
      <w:marBottom w:val="0"/>
      <w:divBdr>
        <w:top w:val="none" w:sz="0" w:space="0" w:color="auto"/>
        <w:left w:val="none" w:sz="0" w:space="0" w:color="auto"/>
        <w:bottom w:val="none" w:sz="0" w:space="0" w:color="auto"/>
        <w:right w:val="none" w:sz="0" w:space="0" w:color="auto"/>
      </w:divBdr>
    </w:div>
    <w:div w:id="1662732786">
      <w:marLeft w:val="0"/>
      <w:marRight w:val="0"/>
      <w:marTop w:val="0"/>
      <w:marBottom w:val="0"/>
      <w:divBdr>
        <w:top w:val="none" w:sz="0" w:space="0" w:color="auto"/>
        <w:left w:val="none" w:sz="0" w:space="0" w:color="auto"/>
        <w:bottom w:val="none" w:sz="0" w:space="0" w:color="auto"/>
        <w:right w:val="none" w:sz="0" w:space="0" w:color="auto"/>
      </w:divBdr>
    </w:div>
    <w:div w:id="1668090386">
      <w:marLeft w:val="0"/>
      <w:marRight w:val="0"/>
      <w:marTop w:val="0"/>
      <w:marBottom w:val="0"/>
      <w:divBdr>
        <w:top w:val="none" w:sz="0" w:space="0" w:color="auto"/>
        <w:left w:val="none" w:sz="0" w:space="0" w:color="auto"/>
        <w:bottom w:val="none" w:sz="0" w:space="0" w:color="auto"/>
        <w:right w:val="none" w:sz="0" w:space="0" w:color="auto"/>
      </w:divBdr>
    </w:div>
    <w:div w:id="1732344392">
      <w:marLeft w:val="0"/>
      <w:marRight w:val="0"/>
      <w:marTop w:val="0"/>
      <w:marBottom w:val="0"/>
      <w:divBdr>
        <w:top w:val="none" w:sz="0" w:space="0" w:color="auto"/>
        <w:left w:val="none" w:sz="0" w:space="0" w:color="auto"/>
        <w:bottom w:val="none" w:sz="0" w:space="0" w:color="auto"/>
        <w:right w:val="none" w:sz="0" w:space="0" w:color="auto"/>
      </w:divBdr>
    </w:div>
    <w:div w:id="1771508715">
      <w:marLeft w:val="0"/>
      <w:marRight w:val="0"/>
      <w:marTop w:val="0"/>
      <w:marBottom w:val="0"/>
      <w:divBdr>
        <w:top w:val="none" w:sz="0" w:space="0" w:color="auto"/>
        <w:left w:val="none" w:sz="0" w:space="0" w:color="auto"/>
        <w:bottom w:val="none" w:sz="0" w:space="0" w:color="auto"/>
        <w:right w:val="none" w:sz="0" w:space="0" w:color="auto"/>
      </w:divBdr>
    </w:div>
    <w:div w:id="1779179352">
      <w:marLeft w:val="0"/>
      <w:marRight w:val="0"/>
      <w:marTop w:val="0"/>
      <w:marBottom w:val="0"/>
      <w:divBdr>
        <w:top w:val="none" w:sz="0" w:space="0" w:color="auto"/>
        <w:left w:val="none" w:sz="0" w:space="0" w:color="auto"/>
        <w:bottom w:val="none" w:sz="0" w:space="0" w:color="auto"/>
        <w:right w:val="none" w:sz="0" w:space="0" w:color="auto"/>
      </w:divBdr>
    </w:div>
    <w:div w:id="1791434612">
      <w:marLeft w:val="0"/>
      <w:marRight w:val="0"/>
      <w:marTop w:val="0"/>
      <w:marBottom w:val="0"/>
      <w:divBdr>
        <w:top w:val="none" w:sz="0" w:space="0" w:color="auto"/>
        <w:left w:val="none" w:sz="0" w:space="0" w:color="auto"/>
        <w:bottom w:val="none" w:sz="0" w:space="0" w:color="auto"/>
        <w:right w:val="none" w:sz="0" w:space="0" w:color="auto"/>
      </w:divBdr>
    </w:div>
    <w:div w:id="1798139462">
      <w:marLeft w:val="0"/>
      <w:marRight w:val="0"/>
      <w:marTop w:val="0"/>
      <w:marBottom w:val="0"/>
      <w:divBdr>
        <w:top w:val="none" w:sz="0" w:space="0" w:color="auto"/>
        <w:left w:val="none" w:sz="0" w:space="0" w:color="auto"/>
        <w:bottom w:val="none" w:sz="0" w:space="0" w:color="auto"/>
        <w:right w:val="none" w:sz="0" w:space="0" w:color="auto"/>
      </w:divBdr>
    </w:div>
    <w:div w:id="1799179390">
      <w:marLeft w:val="0"/>
      <w:marRight w:val="0"/>
      <w:marTop w:val="0"/>
      <w:marBottom w:val="0"/>
      <w:divBdr>
        <w:top w:val="none" w:sz="0" w:space="0" w:color="auto"/>
        <w:left w:val="none" w:sz="0" w:space="0" w:color="auto"/>
        <w:bottom w:val="none" w:sz="0" w:space="0" w:color="auto"/>
        <w:right w:val="none" w:sz="0" w:space="0" w:color="auto"/>
      </w:divBdr>
    </w:div>
    <w:div w:id="1819489669">
      <w:marLeft w:val="0"/>
      <w:marRight w:val="0"/>
      <w:marTop w:val="0"/>
      <w:marBottom w:val="0"/>
      <w:divBdr>
        <w:top w:val="none" w:sz="0" w:space="0" w:color="auto"/>
        <w:left w:val="none" w:sz="0" w:space="0" w:color="auto"/>
        <w:bottom w:val="none" w:sz="0" w:space="0" w:color="auto"/>
        <w:right w:val="none" w:sz="0" w:space="0" w:color="auto"/>
      </w:divBdr>
    </w:div>
    <w:div w:id="1838886060">
      <w:marLeft w:val="0"/>
      <w:marRight w:val="0"/>
      <w:marTop w:val="0"/>
      <w:marBottom w:val="0"/>
      <w:divBdr>
        <w:top w:val="none" w:sz="0" w:space="0" w:color="auto"/>
        <w:left w:val="none" w:sz="0" w:space="0" w:color="auto"/>
        <w:bottom w:val="none" w:sz="0" w:space="0" w:color="auto"/>
        <w:right w:val="none" w:sz="0" w:space="0" w:color="auto"/>
      </w:divBdr>
    </w:div>
    <w:div w:id="1839038294">
      <w:marLeft w:val="0"/>
      <w:marRight w:val="0"/>
      <w:marTop w:val="0"/>
      <w:marBottom w:val="0"/>
      <w:divBdr>
        <w:top w:val="none" w:sz="0" w:space="0" w:color="auto"/>
        <w:left w:val="none" w:sz="0" w:space="0" w:color="auto"/>
        <w:bottom w:val="none" w:sz="0" w:space="0" w:color="auto"/>
        <w:right w:val="none" w:sz="0" w:space="0" w:color="auto"/>
      </w:divBdr>
    </w:div>
    <w:div w:id="1919753716">
      <w:marLeft w:val="0"/>
      <w:marRight w:val="0"/>
      <w:marTop w:val="0"/>
      <w:marBottom w:val="0"/>
      <w:divBdr>
        <w:top w:val="none" w:sz="0" w:space="0" w:color="auto"/>
        <w:left w:val="none" w:sz="0" w:space="0" w:color="auto"/>
        <w:bottom w:val="none" w:sz="0" w:space="0" w:color="auto"/>
        <w:right w:val="none" w:sz="0" w:space="0" w:color="auto"/>
      </w:divBdr>
    </w:div>
    <w:div w:id="1942452568">
      <w:marLeft w:val="0"/>
      <w:marRight w:val="0"/>
      <w:marTop w:val="0"/>
      <w:marBottom w:val="0"/>
      <w:divBdr>
        <w:top w:val="none" w:sz="0" w:space="0" w:color="auto"/>
        <w:left w:val="none" w:sz="0" w:space="0" w:color="auto"/>
        <w:bottom w:val="none" w:sz="0" w:space="0" w:color="auto"/>
        <w:right w:val="none" w:sz="0" w:space="0" w:color="auto"/>
      </w:divBdr>
    </w:div>
    <w:div w:id="2000691291">
      <w:marLeft w:val="0"/>
      <w:marRight w:val="0"/>
      <w:marTop w:val="0"/>
      <w:marBottom w:val="0"/>
      <w:divBdr>
        <w:top w:val="none" w:sz="0" w:space="0" w:color="auto"/>
        <w:left w:val="none" w:sz="0" w:space="0" w:color="auto"/>
        <w:bottom w:val="none" w:sz="0" w:space="0" w:color="auto"/>
        <w:right w:val="none" w:sz="0" w:space="0" w:color="auto"/>
      </w:divBdr>
    </w:div>
    <w:div w:id="2002192783">
      <w:marLeft w:val="0"/>
      <w:marRight w:val="0"/>
      <w:marTop w:val="0"/>
      <w:marBottom w:val="0"/>
      <w:divBdr>
        <w:top w:val="none" w:sz="0" w:space="0" w:color="auto"/>
        <w:left w:val="none" w:sz="0" w:space="0" w:color="auto"/>
        <w:bottom w:val="none" w:sz="0" w:space="0" w:color="auto"/>
        <w:right w:val="none" w:sz="0" w:space="0" w:color="auto"/>
      </w:divBdr>
    </w:div>
    <w:div w:id="2088454007">
      <w:marLeft w:val="0"/>
      <w:marRight w:val="0"/>
      <w:marTop w:val="0"/>
      <w:marBottom w:val="0"/>
      <w:divBdr>
        <w:top w:val="none" w:sz="0" w:space="0" w:color="auto"/>
        <w:left w:val="none" w:sz="0" w:space="0" w:color="auto"/>
        <w:bottom w:val="none" w:sz="0" w:space="0" w:color="auto"/>
        <w:right w:val="none" w:sz="0" w:space="0" w:color="auto"/>
      </w:divBdr>
    </w:div>
    <w:div w:id="209481343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341439/000119312511227635/dex45.htm" TargetMode="External"/><Relationship Id="rId18" Type="http://schemas.openxmlformats.org/officeDocument/2006/relationships/hyperlink" Target="http://www.sec.gov/Archives/edgar/data/1341439/000119312515172238/d920453dex413.htm" TargetMode="External"/><Relationship Id="rId26" Type="http://schemas.openxmlformats.org/officeDocument/2006/relationships/hyperlink" Target="http://www.sec.gov/Archives/edgar/data/0001341439/000119312517287455/d407367dex1005.htm" TargetMode="External"/><Relationship Id="rId39" Type="http://schemas.openxmlformats.org/officeDocument/2006/relationships/hyperlink" Target="orcl-ex3102_7.htm" TargetMode="External"/><Relationship Id="rId21" Type="http://schemas.openxmlformats.org/officeDocument/2006/relationships/hyperlink" Target="orcl-ex415_54.htm" TargetMode="External"/><Relationship Id="rId34" Type="http://schemas.openxmlformats.org/officeDocument/2006/relationships/hyperlink" Target="http://www.sec.gov/Archives/edgar/data/0001341439/000119312517287455/d407367dex1016.htm" TargetMode="External"/><Relationship Id="rId42" Type="http://schemas.openxmlformats.org/officeDocument/2006/relationships/theme" Target="theme/theme1.xml"/><Relationship Id="rId7" Type="http://schemas.openxmlformats.org/officeDocument/2006/relationships/hyperlink" Target="http://www.sec.gov/Archives/edgar/data/1341439/000119312510112896/dex44.htm" TargetMode="External"/><Relationship Id="rId2" Type="http://schemas.openxmlformats.org/officeDocument/2006/relationships/settings" Target="settings.xml"/><Relationship Id="rId16" Type="http://schemas.openxmlformats.org/officeDocument/2006/relationships/hyperlink" Target="http://www.sec.gov/Archives/edgar/data/1341439/000119312513291787/d568055dex412.htm" TargetMode="External"/><Relationship Id="rId20" Type="http://schemas.openxmlformats.org/officeDocument/2006/relationships/hyperlink" Target="http://www.sec.gov/Archives/edgar/data/0001341439/000119312517338832/d491112dex41.htm" TargetMode="External"/><Relationship Id="rId29" Type="http://schemas.openxmlformats.org/officeDocument/2006/relationships/hyperlink" Target="http://www.sec.gov/Archives/edgar/data/0001341439/000119312510205818/dex1028.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c.gov/Archives/edgar/data/1341439/000119312516623620/d200599dex302.htm" TargetMode="External"/><Relationship Id="rId11" Type="http://schemas.openxmlformats.org/officeDocument/2006/relationships/hyperlink" Target="http://www.sec.gov/Archives/edgar/data/1341439/000119312509145686/dex408.htm" TargetMode="External"/><Relationship Id="rId24" Type="http://schemas.openxmlformats.org/officeDocument/2006/relationships/hyperlink" Target="http://www.sec.gov/Archives/edgar/data/1341439/000119312516628942/d203801dex1003.htm" TargetMode="External"/><Relationship Id="rId32" Type="http://schemas.openxmlformats.org/officeDocument/2006/relationships/hyperlink" Target="http://www.sec.gov/Archives/edgar/data/0001341439/000119312514350291/d770194dex1016.htm" TargetMode="External"/><Relationship Id="rId37" Type="http://schemas.openxmlformats.org/officeDocument/2006/relationships/hyperlink" Target="orcl-ex2301_8.htm" TargetMode="External"/><Relationship Id="rId40" Type="http://schemas.openxmlformats.org/officeDocument/2006/relationships/hyperlink" Target="orcl-ex3201_11.htm" TargetMode="External"/><Relationship Id="rId5" Type="http://schemas.openxmlformats.org/officeDocument/2006/relationships/hyperlink" Target="http://www.sec.gov/Archives/edgar/data/1341439/000119312506020874/dex31.htm" TargetMode="External"/><Relationship Id="rId15" Type="http://schemas.openxmlformats.org/officeDocument/2006/relationships/hyperlink" Target="http://www.sec.gov/Archives/edgar/data/1341439/000119312513287255/d566107dex411.htm" TargetMode="External"/><Relationship Id="rId23" Type="http://schemas.openxmlformats.org/officeDocument/2006/relationships/hyperlink" Target="http://www.sec.gov/Archives/edgar/data/1341439/000119312510151896/dex1002.htm" TargetMode="External"/><Relationship Id="rId28" Type="http://schemas.openxmlformats.org/officeDocument/2006/relationships/hyperlink" Target="http://www.sec.gov/Archives/edgar/data/0001341439/000119312511351954/d263957dex107.htm" TargetMode="External"/><Relationship Id="rId36" Type="http://schemas.openxmlformats.org/officeDocument/2006/relationships/hyperlink" Target="orcl-ex2101_6.htm" TargetMode="External"/><Relationship Id="rId10" Type="http://schemas.openxmlformats.org/officeDocument/2006/relationships/hyperlink" Target="http://www.sec.gov/Archives/edgar/data/1341439/000119312508077170/dex409.htm" TargetMode="External"/><Relationship Id="rId19" Type="http://schemas.openxmlformats.org/officeDocument/2006/relationships/hyperlink" Target="http://www.sec.gov/Archives/edgar/data/0001341439/000119312516643428/d224097dex41.htm" TargetMode="External"/><Relationship Id="rId31" Type="http://schemas.openxmlformats.org/officeDocument/2006/relationships/hyperlink" Target="http://www.sec.gov/Archives/edgar/data/0001341439/000119312515323532/d64286dex1015.htm" TargetMode="External"/><Relationship Id="rId4" Type="http://schemas.openxmlformats.org/officeDocument/2006/relationships/image" Target="file:///D:\TMP\finance-html\Oracle\g3wlm12arrlk000001.jpg" TargetMode="External"/><Relationship Id="rId9" Type="http://schemas.openxmlformats.org/officeDocument/2006/relationships/hyperlink" Target="http://www.sec.gov/Archives/edgar/data/1341439/000119312507109320/dex43.htm" TargetMode="External"/><Relationship Id="rId14" Type="http://schemas.openxmlformats.org/officeDocument/2006/relationships/hyperlink" Target="http://www.sec.gov/Archives/edgar/data/1341439/000119312512435493/d429721dex410.htm" TargetMode="External"/><Relationship Id="rId22" Type="http://schemas.openxmlformats.org/officeDocument/2006/relationships/hyperlink" Target="http://www.sec.gov/Archives/edgar/data/1341439/000119312515323532/d64286dex1001.htm" TargetMode="External"/><Relationship Id="rId27" Type="http://schemas.openxmlformats.org/officeDocument/2006/relationships/hyperlink" Target="http://www.sec.gov/Archives/edgar/data/0001341439/000119312515235239/d920711dex1006.htm" TargetMode="External"/><Relationship Id="rId30" Type="http://schemas.openxmlformats.org/officeDocument/2006/relationships/hyperlink" Target="http://www.sec.gov/Archives/edgar/data/0001341439/000156459019008273/orcl-ex1009_117.htm" TargetMode="External"/><Relationship Id="rId35" Type="http://schemas.openxmlformats.org/officeDocument/2006/relationships/hyperlink" Target="http://www.sec.gov/Archives/edgar/data/1341439/000119312517287455/d407367dex1017.htm" TargetMode="External"/><Relationship Id="rId8" Type="http://schemas.openxmlformats.org/officeDocument/2006/relationships/hyperlink" Target="http://www.sec.gov/Archives/edgar/data/0000777676/000095013406000839/f16289exv10w34.htm" TargetMode="External"/><Relationship Id="rId3" Type="http://schemas.openxmlformats.org/officeDocument/2006/relationships/webSettings" Target="webSettings.xml"/><Relationship Id="rId12" Type="http://schemas.openxmlformats.org/officeDocument/2006/relationships/hyperlink" Target="http://www.sec.gov/Archives/edgar/data/1341439/000119312510213084/dex408.htm" TargetMode="External"/><Relationship Id="rId17" Type="http://schemas.openxmlformats.org/officeDocument/2006/relationships/hyperlink" Target="http://www.sec.gov/Archives/edgar/data/1341439/000119312514263107/d756565dex413.htm" TargetMode="External"/><Relationship Id="rId25" Type="http://schemas.openxmlformats.org/officeDocument/2006/relationships/hyperlink" Target="http://www.sec.gov/Archives/edgar/data/0001341439/000119312517347046/d455628dex1004.htm" TargetMode="External"/><Relationship Id="rId33" Type="http://schemas.openxmlformats.org/officeDocument/2006/relationships/hyperlink" Target="http://www.sec.gov/Archives/edgar/data/0001341439/000119312515235239/d920711dex1017.htm" TargetMode="External"/><Relationship Id="rId38" Type="http://schemas.openxmlformats.org/officeDocument/2006/relationships/hyperlink" Target="orcl-ex3101_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72939</Words>
  <Characters>415753</Characters>
  <Application>Microsoft Office Word</Application>
  <DocSecurity>0</DocSecurity>
  <Lines>3464</Lines>
  <Paragraphs>975</Paragraphs>
  <ScaleCrop>false</ScaleCrop>
  <Company/>
  <LinksUpToDate>false</LinksUpToDate>
  <CharactersWithSpaces>487717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2023-04-06T06:15:00Z</dcterms:created>
  <dcterms:modified xsi:type="dcterms:W3CDTF">2023-04-06T06:15:00Z</dcterms:modified>
</cp:coreProperties>
</file>