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25B2" w14:textId="77777777" w:rsidR="00141675" w:rsidRPr="00141675" w:rsidRDefault="00141675" w:rsidP="00141675">
      <w:pPr>
        <w:widowControl/>
        <w:jc w:val="left"/>
        <w:rPr>
          <w:rFonts w:ascii="Calibri" w:eastAsia="宋体" w:hAnsi="Calibri" w:cs="Calibri"/>
          <w:b/>
          <w:bCs/>
          <w:color w:val="000000"/>
          <w:kern w:val="0"/>
          <w:sz w:val="20"/>
          <w:szCs w:val="20"/>
        </w:rPr>
      </w:pPr>
      <w:hyperlink r:id="rId4" w:anchor="TABLE_CONTENTS" w:history="1">
        <w:r w:rsidRPr="00141675">
          <w:rPr>
            <w:rFonts w:ascii="Calibri" w:eastAsia="宋体" w:hAnsi="Calibri" w:cs="Calibri"/>
            <w:b/>
            <w:bCs/>
            <w:color w:val="0000FF"/>
            <w:kern w:val="0"/>
            <w:sz w:val="20"/>
            <w:szCs w:val="20"/>
            <w:u w:val="single"/>
          </w:rPr>
          <w:t>Table of Contents</w:t>
        </w:r>
      </w:hyperlink>
    </w:p>
    <w:p w14:paraId="6FFAD6C2"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50DBA0E" w14:textId="77777777" w:rsidR="00141675" w:rsidRPr="00141675" w:rsidRDefault="00141675" w:rsidP="00141675">
      <w:pPr>
        <w:widowControl/>
        <w:pBdr>
          <w:bottom w:val="double" w:sz="6" w:space="1" w:color="auto"/>
        </w:pBdr>
        <w:jc w:val="left"/>
        <w:rPr>
          <w:rFonts w:ascii="Times New Roman" w:eastAsia="宋体" w:hAnsi="Times New Roman" w:cs="Times New Roman"/>
          <w:b/>
          <w:bCs/>
          <w:color w:val="000000"/>
          <w:kern w:val="0"/>
          <w:sz w:val="4"/>
          <w:szCs w:val="4"/>
        </w:rPr>
      </w:pPr>
      <w:r w:rsidRPr="00141675">
        <w:rPr>
          <w:rFonts w:ascii="Times New Roman" w:eastAsia="宋体" w:hAnsi="Times New Roman" w:cs="Times New Roman"/>
          <w:b/>
          <w:bCs/>
          <w:color w:val="000000"/>
          <w:kern w:val="0"/>
          <w:sz w:val="4"/>
          <w:szCs w:val="4"/>
        </w:rPr>
        <w:t> </w:t>
      </w:r>
    </w:p>
    <w:p w14:paraId="7AA75C03" w14:textId="77777777" w:rsidR="00141675" w:rsidRPr="00141675" w:rsidRDefault="00141675" w:rsidP="00141675">
      <w:pPr>
        <w:widowControl/>
        <w:jc w:val="center"/>
        <w:rPr>
          <w:rFonts w:ascii="Calibri" w:eastAsia="宋体" w:hAnsi="Calibri" w:cs="Calibri"/>
          <w:b/>
          <w:bCs/>
          <w:color w:val="000000"/>
          <w:kern w:val="0"/>
          <w:sz w:val="32"/>
          <w:szCs w:val="32"/>
        </w:rPr>
      </w:pPr>
      <w:r w:rsidRPr="00141675">
        <w:rPr>
          <w:rFonts w:ascii="Calibri" w:eastAsia="宋体" w:hAnsi="Calibri" w:cs="Calibri"/>
          <w:b/>
          <w:bCs/>
          <w:color w:val="000000"/>
          <w:kern w:val="0"/>
          <w:sz w:val="32"/>
          <w:szCs w:val="32"/>
        </w:rPr>
        <w:t>UNITED STATES</w:t>
      </w:r>
    </w:p>
    <w:p w14:paraId="0181D063" w14:textId="77777777" w:rsidR="00141675" w:rsidRPr="00141675" w:rsidRDefault="00141675" w:rsidP="00141675">
      <w:pPr>
        <w:widowControl/>
        <w:jc w:val="center"/>
        <w:rPr>
          <w:rFonts w:ascii="Calibri" w:eastAsia="宋体" w:hAnsi="Calibri" w:cs="Calibri"/>
          <w:b/>
          <w:bCs/>
          <w:color w:val="000000"/>
          <w:kern w:val="0"/>
          <w:sz w:val="32"/>
          <w:szCs w:val="32"/>
        </w:rPr>
      </w:pPr>
      <w:r w:rsidRPr="00141675">
        <w:rPr>
          <w:rFonts w:ascii="Calibri" w:eastAsia="宋体" w:hAnsi="Calibri" w:cs="Calibri"/>
          <w:b/>
          <w:bCs/>
          <w:color w:val="000000"/>
          <w:kern w:val="0"/>
          <w:sz w:val="32"/>
          <w:szCs w:val="32"/>
        </w:rPr>
        <w:t>SECURITIES AND EXCHANGE COMMISSION</w:t>
      </w:r>
    </w:p>
    <w:p w14:paraId="6C240BA7" w14:textId="77777777" w:rsidR="00141675" w:rsidRPr="00141675" w:rsidRDefault="00141675" w:rsidP="00141675">
      <w:pPr>
        <w:widowControl/>
        <w:jc w:val="center"/>
        <w:rPr>
          <w:rFonts w:ascii="Calibri" w:eastAsia="宋体" w:hAnsi="Calibri" w:cs="Calibri"/>
          <w:b/>
          <w:bCs/>
          <w:color w:val="000000"/>
          <w:kern w:val="0"/>
          <w:sz w:val="22"/>
        </w:rPr>
      </w:pPr>
      <w:r w:rsidRPr="00141675">
        <w:rPr>
          <w:rFonts w:ascii="Calibri" w:eastAsia="宋体" w:hAnsi="Calibri" w:cs="Calibri"/>
          <w:b/>
          <w:bCs/>
          <w:color w:val="000000"/>
          <w:kern w:val="0"/>
          <w:sz w:val="22"/>
        </w:rPr>
        <w:t>Washington, D.C. 20549</w:t>
      </w:r>
    </w:p>
    <w:p w14:paraId="3DDFED85" w14:textId="77777777" w:rsidR="00141675" w:rsidRPr="00141675" w:rsidRDefault="00141675" w:rsidP="00141675">
      <w:pPr>
        <w:widowControl/>
        <w:pBdr>
          <w:bottom w:val="single" w:sz="12" w:space="1" w:color="auto"/>
        </w:pBdr>
        <w:ind w:left="7532" w:right="7532"/>
        <w:jc w:val="center"/>
        <w:rPr>
          <w:rFonts w:ascii="Times New Roman" w:eastAsia="宋体" w:hAnsi="Times New Roman" w:cs="Times New Roman"/>
          <w:color w:val="000000"/>
          <w:kern w:val="0"/>
          <w:sz w:val="8"/>
          <w:szCs w:val="8"/>
        </w:rPr>
      </w:pPr>
      <w:r w:rsidRPr="00141675">
        <w:rPr>
          <w:rFonts w:ascii="Times New Roman" w:eastAsia="宋体" w:hAnsi="Times New Roman" w:cs="Times New Roman"/>
          <w:color w:val="000000"/>
          <w:kern w:val="0"/>
          <w:sz w:val="8"/>
          <w:szCs w:val="8"/>
        </w:rPr>
        <w:t> </w:t>
      </w:r>
    </w:p>
    <w:p w14:paraId="52A7E341" w14:textId="77777777" w:rsidR="00141675" w:rsidRPr="00141675" w:rsidRDefault="00141675" w:rsidP="00141675">
      <w:pPr>
        <w:widowControl/>
        <w:spacing w:before="60"/>
        <w:jc w:val="center"/>
        <w:rPr>
          <w:rFonts w:ascii="Calibri" w:eastAsia="宋体" w:hAnsi="Calibri" w:cs="Calibri"/>
          <w:b/>
          <w:bCs/>
          <w:color w:val="000000"/>
          <w:kern w:val="0"/>
          <w:sz w:val="32"/>
          <w:szCs w:val="32"/>
        </w:rPr>
      </w:pPr>
      <w:r w:rsidRPr="00141675">
        <w:rPr>
          <w:rFonts w:ascii="Calibri" w:eastAsia="宋体" w:hAnsi="Calibri" w:cs="Calibri"/>
          <w:b/>
          <w:bCs/>
          <w:color w:val="000000"/>
          <w:kern w:val="0"/>
          <w:sz w:val="32"/>
          <w:szCs w:val="32"/>
        </w:rPr>
        <w:t>FORM 10-Q</w:t>
      </w:r>
    </w:p>
    <w:p w14:paraId="0DC60996" w14:textId="77777777" w:rsidR="00141675" w:rsidRPr="00141675" w:rsidRDefault="00141675" w:rsidP="00141675">
      <w:pPr>
        <w:widowControl/>
        <w:spacing w:before="60"/>
        <w:jc w:val="center"/>
        <w:rPr>
          <w:rFonts w:ascii="MS Gothic" w:eastAsia="MS Gothic" w:hAnsi="MS Gothic" w:cs="宋体"/>
          <w:b/>
          <w:bCs/>
          <w:color w:val="000000"/>
          <w:kern w:val="0"/>
          <w:sz w:val="22"/>
        </w:rPr>
      </w:pPr>
      <w:r w:rsidRPr="00141675">
        <w:rPr>
          <w:rFonts w:ascii="MS Gothic" w:eastAsia="MS Gothic" w:hAnsi="MS Gothic" w:cs="宋体" w:hint="eastAsia"/>
          <w:b/>
          <w:bCs/>
          <w:color w:val="000000"/>
          <w:kern w:val="0"/>
          <w:sz w:val="22"/>
        </w:rPr>
        <w:t>☒</w:t>
      </w:r>
      <w:r w:rsidRPr="00141675">
        <w:rPr>
          <w:rFonts w:ascii="Calibri" w:eastAsia="MS Gothic" w:hAnsi="Calibri" w:cs="Calibri"/>
          <w:b/>
          <w:bCs/>
          <w:color w:val="000000"/>
          <w:kern w:val="0"/>
          <w:sz w:val="22"/>
        </w:rPr>
        <w:t>QUARTERLY REPORT PURSUANT TO SECTION 13 OR 15(d) OF THE SECURITIES EXCHANGE ACT OF 1934</w:t>
      </w:r>
    </w:p>
    <w:p w14:paraId="016A7239" w14:textId="77777777" w:rsidR="00141675" w:rsidRPr="00141675" w:rsidRDefault="00141675" w:rsidP="00141675">
      <w:pPr>
        <w:widowControl/>
        <w:spacing w:before="60"/>
        <w:jc w:val="center"/>
        <w:rPr>
          <w:rFonts w:ascii="Calibri" w:eastAsia="宋体" w:hAnsi="Calibri" w:cs="Calibri" w:hint="eastAsia"/>
          <w:b/>
          <w:bCs/>
          <w:color w:val="000000"/>
          <w:kern w:val="0"/>
          <w:sz w:val="18"/>
          <w:szCs w:val="18"/>
        </w:rPr>
      </w:pPr>
      <w:r w:rsidRPr="00141675">
        <w:rPr>
          <w:rFonts w:ascii="Calibri" w:eastAsia="宋体" w:hAnsi="Calibri" w:cs="Calibri"/>
          <w:b/>
          <w:bCs/>
          <w:color w:val="000000"/>
          <w:kern w:val="0"/>
          <w:sz w:val="18"/>
          <w:szCs w:val="18"/>
        </w:rPr>
        <w:t>For the quarterly period ended November 30, 2019</w:t>
      </w:r>
    </w:p>
    <w:p w14:paraId="6BACA70E" w14:textId="77777777" w:rsidR="00141675" w:rsidRPr="00141675" w:rsidRDefault="00141675" w:rsidP="00141675">
      <w:pPr>
        <w:widowControl/>
        <w:spacing w:before="60"/>
        <w:jc w:val="center"/>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or</w:t>
      </w:r>
    </w:p>
    <w:p w14:paraId="5991C6B0" w14:textId="77777777" w:rsidR="00141675" w:rsidRPr="00141675" w:rsidRDefault="00141675" w:rsidP="00141675">
      <w:pPr>
        <w:widowControl/>
        <w:spacing w:before="60"/>
        <w:jc w:val="center"/>
        <w:rPr>
          <w:rFonts w:ascii="MS Gothic" w:eastAsia="MS Gothic" w:hAnsi="MS Gothic" w:cs="宋体"/>
          <w:b/>
          <w:bCs/>
          <w:color w:val="000000"/>
          <w:kern w:val="0"/>
          <w:sz w:val="22"/>
        </w:rPr>
      </w:pPr>
      <w:r w:rsidRPr="00141675">
        <w:rPr>
          <w:rFonts w:ascii="MS Gothic" w:eastAsia="MS Gothic" w:hAnsi="MS Gothic" w:cs="宋体" w:hint="eastAsia"/>
          <w:b/>
          <w:bCs/>
          <w:color w:val="000000"/>
          <w:kern w:val="0"/>
          <w:sz w:val="22"/>
        </w:rPr>
        <w:t>☐</w:t>
      </w:r>
      <w:r w:rsidRPr="00141675">
        <w:rPr>
          <w:rFonts w:ascii="Calibri" w:eastAsia="MS Gothic" w:hAnsi="Calibri" w:cs="Calibri"/>
          <w:b/>
          <w:bCs/>
          <w:color w:val="000000"/>
          <w:kern w:val="0"/>
          <w:sz w:val="22"/>
        </w:rPr>
        <w:t>TRANSITION REPORT PURSUANT TO SECTION 13 OR 15(d) OF THE SECURITIES EXCHANGE ACT OF 1934</w:t>
      </w:r>
    </w:p>
    <w:p w14:paraId="48802408" w14:textId="77777777" w:rsidR="00141675" w:rsidRPr="00141675" w:rsidRDefault="00141675" w:rsidP="00141675">
      <w:pPr>
        <w:widowControl/>
        <w:spacing w:before="60"/>
        <w:jc w:val="center"/>
        <w:rPr>
          <w:rFonts w:ascii="Calibri" w:eastAsia="宋体" w:hAnsi="Calibri" w:cs="Calibri" w:hint="eastAsia"/>
          <w:b/>
          <w:bCs/>
          <w:color w:val="000000"/>
          <w:kern w:val="0"/>
          <w:sz w:val="18"/>
          <w:szCs w:val="18"/>
        </w:rPr>
      </w:pPr>
      <w:r w:rsidRPr="00141675">
        <w:rPr>
          <w:rFonts w:ascii="Calibri" w:eastAsia="宋体" w:hAnsi="Calibri" w:cs="Calibri"/>
          <w:b/>
          <w:bCs/>
          <w:color w:val="000000"/>
          <w:kern w:val="0"/>
          <w:sz w:val="18"/>
          <w:szCs w:val="18"/>
        </w:rPr>
        <w:t>For the transition period from ____________ to ____________</w:t>
      </w:r>
    </w:p>
    <w:p w14:paraId="76F3156E" w14:textId="77777777" w:rsidR="00141675" w:rsidRPr="00141675" w:rsidRDefault="00141675" w:rsidP="00141675">
      <w:pPr>
        <w:widowControl/>
        <w:spacing w:before="60"/>
        <w:jc w:val="center"/>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Commission File Number: 001-35992</w:t>
      </w:r>
    </w:p>
    <w:p w14:paraId="668A0496" w14:textId="77777777" w:rsidR="00141675" w:rsidRPr="00141675" w:rsidRDefault="00141675" w:rsidP="00141675">
      <w:pPr>
        <w:widowControl/>
        <w:pBdr>
          <w:bottom w:val="single" w:sz="12" w:space="1" w:color="auto"/>
        </w:pBdr>
        <w:ind w:left="7532" w:right="7532"/>
        <w:jc w:val="center"/>
        <w:rPr>
          <w:rFonts w:ascii="Times New Roman" w:eastAsia="宋体" w:hAnsi="Times New Roman" w:cs="Times New Roman"/>
          <w:color w:val="000000"/>
          <w:kern w:val="0"/>
          <w:sz w:val="8"/>
          <w:szCs w:val="8"/>
        </w:rPr>
      </w:pPr>
      <w:r w:rsidRPr="00141675">
        <w:rPr>
          <w:rFonts w:ascii="Times New Roman" w:eastAsia="宋体" w:hAnsi="Times New Roman" w:cs="Times New Roman"/>
          <w:color w:val="000000"/>
          <w:kern w:val="0"/>
          <w:sz w:val="8"/>
          <w:szCs w:val="8"/>
        </w:rPr>
        <w:t> </w:t>
      </w:r>
    </w:p>
    <w:p w14:paraId="57DED06C" w14:textId="77777777" w:rsidR="00141675" w:rsidRPr="00141675" w:rsidRDefault="00141675" w:rsidP="00141675">
      <w:pPr>
        <w:widowControl/>
        <w:spacing w:before="60"/>
        <w:jc w:val="center"/>
        <w:rPr>
          <w:rFonts w:ascii="Calibri" w:eastAsia="宋体" w:hAnsi="Calibri" w:cs="Calibri"/>
          <w:b/>
          <w:bCs/>
          <w:color w:val="000000"/>
          <w:kern w:val="0"/>
          <w:sz w:val="44"/>
          <w:szCs w:val="44"/>
        </w:rPr>
      </w:pPr>
      <w:r w:rsidRPr="00141675">
        <w:rPr>
          <w:rFonts w:ascii="Calibri" w:eastAsia="宋体" w:hAnsi="Calibri" w:cs="Calibri"/>
          <w:b/>
          <w:bCs/>
          <w:color w:val="000000"/>
          <w:kern w:val="0"/>
          <w:sz w:val="44"/>
          <w:szCs w:val="44"/>
        </w:rPr>
        <w:t>Oracle Corporation</w:t>
      </w:r>
    </w:p>
    <w:p w14:paraId="19EEA896" w14:textId="77777777" w:rsidR="00141675" w:rsidRPr="00141675" w:rsidRDefault="00141675" w:rsidP="00141675">
      <w:pPr>
        <w:widowControl/>
        <w:jc w:val="center"/>
        <w:rPr>
          <w:rFonts w:ascii="Calibri" w:eastAsia="宋体" w:hAnsi="Calibri" w:cs="Calibri"/>
          <w:b/>
          <w:bCs/>
          <w:color w:val="000000"/>
          <w:kern w:val="0"/>
          <w:sz w:val="13"/>
          <w:szCs w:val="13"/>
        </w:rPr>
      </w:pPr>
      <w:r w:rsidRPr="00141675">
        <w:rPr>
          <w:rFonts w:ascii="Calibri" w:eastAsia="宋体" w:hAnsi="Calibri" w:cs="Calibri"/>
          <w:b/>
          <w:bCs/>
          <w:color w:val="000000"/>
          <w:kern w:val="0"/>
          <w:sz w:val="13"/>
          <w:szCs w:val="13"/>
        </w:rPr>
        <w:t>(Exact name of registrant as specified in its charter)</w:t>
      </w:r>
    </w:p>
    <w:p w14:paraId="73C644CD" w14:textId="77777777" w:rsidR="00141675" w:rsidRPr="00141675" w:rsidRDefault="00141675" w:rsidP="00141675">
      <w:pPr>
        <w:widowControl/>
        <w:jc w:val="left"/>
        <w:rPr>
          <w:rFonts w:ascii="Times New Roman" w:eastAsia="宋体" w:hAnsi="Times New Roman" w:cs="Times New Roman"/>
          <w:color w:val="000000"/>
          <w:kern w:val="0"/>
          <w:sz w:val="8"/>
          <w:szCs w:val="8"/>
        </w:rPr>
      </w:pPr>
      <w:r w:rsidRPr="00141675">
        <w:rPr>
          <w:rFonts w:ascii="Times New Roman" w:eastAsia="宋体" w:hAnsi="Times New Roman" w:cs="Times New Roman"/>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10101"/>
        <w:gridCol w:w="412"/>
        <w:gridCol w:w="10101"/>
      </w:tblGrid>
      <w:tr w:rsidR="00141675" w:rsidRPr="00141675" w14:paraId="0043B962" w14:textId="77777777" w:rsidTr="00141675">
        <w:tc>
          <w:tcPr>
            <w:tcW w:w="10101" w:type="dxa"/>
            <w:vAlign w:val="bottom"/>
            <w:hideMark/>
          </w:tcPr>
          <w:p w14:paraId="184A6329" w14:textId="77777777" w:rsidR="00141675" w:rsidRPr="00141675" w:rsidRDefault="00141675" w:rsidP="00141675">
            <w:pPr>
              <w:widowControl/>
              <w:jc w:val="center"/>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Delaware</w:t>
            </w:r>
          </w:p>
        </w:tc>
        <w:tc>
          <w:tcPr>
            <w:tcW w:w="412" w:type="dxa"/>
            <w:hideMark/>
          </w:tcPr>
          <w:p w14:paraId="78CAEAF1" w14:textId="77777777" w:rsidR="00141675" w:rsidRPr="00141675" w:rsidRDefault="00141675" w:rsidP="00141675">
            <w:pPr>
              <w:widowControl/>
              <w:jc w:val="center"/>
              <w:rPr>
                <w:rFonts w:ascii="Times New Roman" w:eastAsia="宋体" w:hAnsi="Times New Roman" w:cs="Times New Roman"/>
                <w:b/>
                <w:bCs/>
                <w:kern w:val="0"/>
                <w:sz w:val="16"/>
                <w:szCs w:val="16"/>
              </w:rPr>
            </w:pPr>
            <w:r w:rsidRPr="00141675">
              <w:rPr>
                <w:rFonts w:ascii="Times New Roman" w:eastAsia="宋体" w:hAnsi="Times New Roman" w:cs="Times New Roman"/>
                <w:b/>
                <w:bCs/>
                <w:kern w:val="0"/>
                <w:sz w:val="16"/>
                <w:szCs w:val="16"/>
              </w:rPr>
              <w:t> </w:t>
            </w:r>
          </w:p>
        </w:tc>
        <w:tc>
          <w:tcPr>
            <w:tcW w:w="10101" w:type="dxa"/>
            <w:vAlign w:val="bottom"/>
            <w:hideMark/>
          </w:tcPr>
          <w:p w14:paraId="1BA41198" w14:textId="77777777" w:rsidR="00141675" w:rsidRPr="00141675" w:rsidRDefault="00141675" w:rsidP="00141675">
            <w:pPr>
              <w:widowControl/>
              <w:jc w:val="center"/>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54-2185193</w:t>
            </w:r>
          </w:p>
        </w:tc>
      </w:tr>
      <w:tr w:rsidR="00141675" w:rsidRPr="00141675" w14:paraId="12865404" w14:textId="77777777" w:rsidTr="00141675">
        <w:tc>
          <w:tcPr>
            <w:tcW w:w="10101" w:type="dxa"/>
            <w:hideMark/>
          </w:tcPr>
          <w:p w14:paraId="412B8AD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(State or other jurisdiction of</w:t>
            </w:r>
          </w:p>
          <w:p w14:paraId="3E793FD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incorporation or organization)</w:t>
            </w:r>
          </w:p>
        </w:tc>
        <w:tc>
          <w:tcPr>
            <w:tcW w:w="412" w:type="dxa"/>
            <w:hideMark/>
          </w:tcPr>
          <w:p w14:paraId="4C929051" w14:textId="77777777" w:rsidR="00141675" w:rsidRPr="00141675" w:rsidRDefault="00141675" w:rsidP="00141675">
            <w:pPr>
              <w:widowControl/>
              <w:jc w:val="center"/>
              <w:rPr>
                <w:rFonts w:ascii="Times New Roman" w:eastAsia="宋体" w:hAnsi="Times New Roman" w:cs="Times New Roman"/>
                <w:b/>
                <w:bCs/>
                <w:kern w:val="0"/>
                <w:sz w:val="13"/>
                <w:szCs w:val="13"/>
              </w:rPr>
            </w:pPr>
            <w:r w:rsidRPr="00141675">
              <w:rPr>
                <w:rFonts w:ascii="Times New Roman" w:eastAsia="宋体" w:hAnsi="Times New Roman" w:cs="Times New Roman"/>
                <w:b/>
                <w:bCs/>
                <w:kern w:val="0"/>
                <w:sz w:val="13"/>
                <w:szCs w:val="13"/>
              </w:rPr>
              <w:t> </w:t>
            </w:r>
          </w:p>
        </w:tc>
        <w:tc>
          <w:tcPr>
            <w:tcW w:w="10101" w:type="dxa"/>
            <w:hideMark/>
          </w:tcPr>
          <w:p w14:paraId="2DB7474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(I.R.S. Employer</w:t>
            </w:r>
          </w:p>
          <w:p w14:paraId="6B3605B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Identification No.)</w:t>
            </w:r>
          </w:p>
        </w:tc>
      </w:tr>
      <w:tr w:rsidR="00141675" w:rsidRPr="00141675" w14:paraId="72A517BB" w14:textId="77777777" w:rsidTr="00141675">
        <w:tc>
          <w:tcPr>
            <w:tcW w:w="10101" w:type="dxa"/>
            <w:hideMark/>
          </w:tcPr>
          <w:p w14:paraId="4651CDC8" w14:textId="77777777" w:rsidR="00141675" w:rsidRPr="00141675" w:rsidRDefault="00141675" w:rsidP="00141675">
            <w:pPr>
              <w:widowControl/>
              <w:jc w:val="center"/>
              <w:rPr>
                <w:rFonts w:ascii="Times New Roman" w:eastAsia="宋体" w:hAnsi="Times New Roman" w:cs="Times New Roman"/>
                <w:b/>
                <w:bCs/>
                <w:kern w:val="0"/>
                <w:sz w:val="8"/>
                <w:szCs w:val="8"/>
              </w:rPr>
            </w:pPr>
            <w:r w:rsidRPr="00141675">
              <w:rPr>
                <w:rFonts w:ascii="Times New Roman" w:eastAsia="宋体" w:hAnsi="Times New Roman" w:cs="Times New Roman"/>
                <w:b/>
                <w:bCs/>
                <w:kern w:val="0"/>
                <w:sz w:val="8"/>
                <w:szCs w:val="8"/>
              </w:rPr>
              <w:t> </w:t>
            </w:r>
          </w:p>
        </w:tc>
        <w:tc>
          <w:tcPr>
            <w:tcW w:w="412" w:type="dxa"/>
            <w:hideMark/>
          </w:tcPr>
          <w:p w14:paraId="4B505190" w14:textId="77777777" w:rsidR="00141675" w:rsidRPr="00141675" w:rsidRDefault="00141675" w:rsidP="00141675">
            <w:pPr>
              <w:widowControl/>
              <w:jc w:val="center"/>
              <w:rPr>
                <w:rFonts w:ascii="Times New Roman" w:eastAsia="宋体" w:hAnsi="Times New Roman" w:cs="Times New Roman"/>
                <w:b/>
                <w:bCs/>
                <w:kern w:val="0"/>
                <w:sz w:val="8"/>
                <w:szCs w:val="8"/>
              </w:rPr>
            </w:pPr>
            <w:r w:rsidRPr="00141675">
              <w:rPr>
                <w:rFonts w:ascii="Times New Roman" w:eastAsia="宋体" w:hAnsi="Times New Roman" w:cs="Times New Roman"/>
                <w:b/>
                <w:bCs/>
                <w:kern w:val="0"/>
                <w:sz w:val="8"/>
                <w:szCs w:val="8"/>
              </w:rPr>
              <w:t> </w:t>
            </w:r>
          </w:p>
        </w:tc>
        <w:tc>
          <w:tcPr>
            <w:tcW w:w="10101" w:type="dxa"/>
            <w:hideMark/>
          </w:tcPr>
          <w:p w14:paraId="6355EE55" w14:textId="77777777" w:rsidR="00141675" w:rsidRPr="00141675" w:rsidRDefault="00141675" w:rsidP="00141675">
            <w:pPr>
              <w:widowControl/>
              <w:jc w:val="center"/>
              <w:rPr>
                <w:rFonts w:ascii="Times New Roman" w:eastAsia="宋体" w:hAnsi="Times New Roman" w:cs="Times New Roman"/>
                <w:b/>
                <w:bCs/>
                <w:kern w:val="0"/>
                <w:sz w:val="8"/>
                <w:szCs w:val="8"/>
              </w:rPr>
            </w:pPr>
            <w:r w:rsidRPr="00141675">
              <w:rPr>
                <w:rFonts w:ascii="Times New Roman" w:eastAsia="宋体" w:hAnsi="Times New Roman" w:cs="Times New Roman"/>
                <w:b/>
                <w:bCs/>
                <w:kern w:val="0"/>
                <w:sz w:val="8"/>
                <w:szCs w:val="8"/>
              </w:rPr>
              <w:t> </w:t>
            </w:r>
          </w:p>
        </w:tc>
      </w:tr>
      <w:tr w:rsidR="00141675" w:rsidRPr="00141675" w14:paraId="10D3CE0E" w14:textId="77777777" w:rsidTr="00141675">
        <w:trPr>
          <w:trHeight w:val="240"/>
        </w:trPr>
        <w:tc>
          <w:tcPr>
            <w:tcW w:w="10101" w:type="dxa"/>
            <w:vAlign w:val="bottom"/>
            <w:hideMark/>
          </w:tcPr>
          <w:p w14:paraId="428C4D81" w14:textId="77777777" w:rsidR="00141675" w:rsidRPr="00141675" w:rsidRDefault="00141675" w:rsidP="00141675">
            <w:pPr>
              <w:widowControl/>
              <w:jc w:val="center"/>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500 Oracle Parkway</w:t>
            </w:r>
          </w:p>
        </w:tc>
        <w:tc>
          <w:tcPr>
            <w:tcW w:w="412" w:type="dxa"/>
            <w:vMerge w:val="restart"/>
            <w:hideMark/>
          </w:tcPr>
          <w:p w14:paraId="1B862F59" w14:textId="77777777" w:rsidR="00141675" w:rsidRPr="00141675" w:rsidRDefault="00141675" w:rsidP="00141675">
            <w:pPr>
              <w:widowControl/>
              <w:jc w:val="center"/>
              <w:rPr>
                <w:rFonts w:ascii="Times New Roman" w:eastAsia="宋体" w:hAnsi="Times New Roman" w:cs="Times New Roman"/>
                <w:b/>
                <w:bCs/>
                <w:kern w:val="0"/>
                <w:sz w:val="16"/>
                <w:szCs w:val="16"/>
              </w:rPr>
            </w:pPr>
            <w:r w:rsidRPr="00141675">
              <w:rPr>
                <w:rFonts w:ascii="Times New Roman" w:eastAsia="宋体" w:hAnsi="Times New Roman" w:cs="Times New Roman"/>
                <w:b/>
                <w:bCs/>
                <w:kern w:val="0"/>
                <w:sz w:val="16"/>
                <w:szCs w:val="16"/>
              </w:rPr>
              <w:t> </w:t>
            </w:r>
          </w:p>
        </w:tc>
        <w:tc>
          <w:tcPr>
            <w:tcW w:w="10101" w:type="dxa"/>
            <w:vMerge w:val="restart"/>
            <w:vAlign w:val="bottom"/>
            <w:hideMark/>
          </w:tcPr>
          <w:p w14:paraId="05D328E0" w14:textId="77777777" w:rsidR="00141675" w:rsidRPr="00141675" w:rsidRDefault="00141675" w:rsidP="00141675">
            <w:pPr>
              <w:widowControl/>
              <w:jc w:val="center"/>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94065</w:t>
            </w:r>
          </w:p>
        </w:tc>
      </w:tr>
      <w:tr w:rsidR="00141675" w:rsidRPr="00141675" w14:paraId="76F7B893" w14:textId="77777777" w:rsidTr="00141675">
        <w:tc>
          <w:tcPr>
            <w:tcW w:w="10101" w:type="dxa"/>
            <w:vAlign w:val="bottom"/>
            <w:hideMark/>
          </w:tcPr>
          <w:p w14:paraId="289496CD" w14:textId="77777777" w:rsidR="00141675" w:rsidRPr="00141675" w:rsidRDefault="00141675" w:rsidP="00141675">
            <w:pPr>
              <w:widowControl/>
              <w:jc w:val="center"/>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Redwood City, California</w:t>
            </w:r>
            <w:r w:rsidRPr="00141675">
              <w:rPr>
                <w:rFonts w:ascii="Calibri" w:eastAsia="宋体" w:hAnsi="Calibri" w:cs="Calibri"/>
                <w:b/>
                <w:bCs/>
                <w:color w:val="000000"/>
                <w:kern w:val="0"/>
                <w:sz w:val="20"/>
                <w:szCs w:val="20"/>
              </w:rPr>
              <w:t> </w:t>
            </w:r>
          </w:p>
        </w:tc>
        <w:tc>
          <w:tcPr>
            <w:tcW w:w="0" w:type="auto"/>
            <w:vMerge/>
            <w:vAlign w:val="center"/>
            <w:hideMark/>
          </w:tcPr>
          <w:p w14:paraId="6769F449" w14:textId="77777777" w:rsidR="00141675" w:rsidRPr="00141675" w:rsidRDefault="00141675" w:rsidP="00141675">
            <w:pPr>
              <w:widowControl/>
              <w:spacing w:beforeAutospacing="1" w:afterAutospacing="1"/>
              <w:jc w:val="left"/>
              <w:rPr>
                <w:rFonts w:ascii="Times New Roman" w:eastAsia="宋体" w:hAnsi="Times New Roman" w:cs="Times New Roman"/>
                <w:b/>
                <w:bCs/>
                <w:kern w:val="0"/>
                <w:sz w:val="16"/>
                <w:szCs w:val="16"/>
              </w:rPr>
            </w:pPr>
          </w:p>
        </w:tc>
        <w:tc>
          <w:tcPr>
            <w:tcW w:w="0" w:type="auto"/>
            <w:vMerge/>
            <w:vAlign w:val="center"/>
            <w:hideMark/>
          </w:tcPr>
          <w:p w14:paraId="66CD8F1A" w14:textId="77777777" w:rsidR="00141675" w:rsidRPr="00141675" w:rsidRDefault="00141675" w:rsidP="00141675">
            <w:pPr>
              <w:widowControl/>
              <w:spacing w:beforeAutospacing="1" w:afterAutospacing="1"/>
              <w:jc w:val="left"/>
              <w:rPr>
                <w:rFonts w:ascii="Calibri" w:eastAsia="宋体" w:hAnsi="Calibri" w:cs="Calibri"/>
                <w:b/>
                <w:bCs/>
                <w:color w:val="000000"/>
                <w:kern w:val="0"/>
                <w:sz w:val="16"/>
                <w:szCs w:val="16"/>
              </w:rPr>
            </w:pPr>
          </w:p>
        </w:tc>
      </w:tr>
      <w:tr w:rsidR="00141675" w:rsidRPr="00141675" w14:paraId="383BBA13" w14:textId="77777777" w:rsidTr="00141675">
        <w:trPr>
          <w:trHeight w:val="36"/>
        </w:trPr>
        <w:tc>
          <w:tcPr>
            <w:tcW w:w="10101" w:type="dxa"/>
            <w:hideMark/>
          </w:tcPr>
          <w:p w14:paraId="1870E15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(Address of principal executive offices)</w:t>
            </w:r>
          </w:p>
        </w:tc>
        <w:tc>
          <w:tcPr>
            <w:tcW w:w="412" w:type="dxa"/>
            <w:hideMark/>
          </w:tcPr>
          <w:p w14:paraId="3D812C28" w14:textId="77777777" w:rsidR="00141675" w:rsidRPr="00141675" w:rsidRDefault="00141675" w:rsidP="00141675">
            <w:pPr>
              <w:widowControl/>
              <w:jc w:val="center"/>
              <w:rPr>
                <w:rFonts w:ascii="Times New Roman" w:eastAsia="宋体" w:hAnsi="Times New Roman" w:cs="Times New Roman"/>
                <w:b/>
                <w:bCs/>
                <w:kern w:val="0"/>
                <w:sz w:val="13"/>
                <w:szCs w:val="13"/>
              </w:rPr>
            </w:pPr>
            <w:r w:rsidRPr="00141675">
              <w:rPr>
                <w:rFonts w:ascii="Times New Roman" w:eastAsia="宋体" w:hAnsi="Times New Roman" w:cs="Times New Roman"/>
                <w:b/>
                <w:bCs/>
                <w:kern w:val="0"/>
                <w:sz w:val="13"/>
                <w:szCs w:val="13"/>
              </w:rPr>
              <w:t> </w:t>
            </w:r>
          </w:p>
        </w:tc>
        <w:tc>
          <w:tcPr>
            <w:tcW w:w="10101" w:type="dxa"/>
            <w:vAlign w:val="bottom"/>
            <w:hideMark/>
          </w:tcPr>
          <w:p w14:paraId="1F87CFC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(Zip Code)</w:t>
            </w:r>
          </w:p>
        </w:tc>
      </w:tr>
    </w:tbl>
    <w:p w14:paraId="665E3322" w14:textId="77777777" w:rsidR="00141675" w:rsidRPr="00141675" w:rsidRDefault="00141675" w:rsidP="00141675">
      <w:pPr>
        <w:widowControl/>
        <w:jc w:val="left"/>
        <w:rPr>
          <w:rFonts w:ascii="Times New Roman" w:eastAsia="宋体" w:hAnsi="Times New Roman" w:cs="Times New Roman"/>
          <w:color w:val="000000"/>
          <w:kern w:val="0"/>
          <w:sz w:val="8"/>
          <w:szCs w:val="8"/>
        </w:rPr>
      </w:pPr>
      <w:r w:rsidRPr="00141675">
        <w:rPr>
          <w:rFonts w:ascii="Times New Roman" w:eastAsia="宋体" w:hAnsi="Times New Roman" w:cs="Times New Roman"/>
          <w:color w:val="000000"/>
          <w:kern w:val="0"/>
          <w:sz w:val="8"/>
          <w:szCs w:val="8"/>
        </w:rPr>
        <w:t> </w:t>
      </w:r>
    </w:p>
    <w:p w14:paraId="46DC7D16" w14:textId="77777777" w:rsidR="00141675" w:rsidRPr="00141675" w:rsidRDefault="00141675" w:rsidP="00141675">
      <w:pPr>
        <w:widowControl/>
        <w:jc w:val="center"/>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(650) 506-7000</w:t>
      </w:r>
    </w:p>
    <w:p w14:paraId="13B797C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(Registrant’s telephone number, including area code)</w:t>
      </w:r>
    </w:p>
    <w:p w14:paraId="054563AA" w14:textId="77777777" w:rsidR="00141675" w:rsidRPr="00141675" w:rsidRDefault="00141675" w:rsidP="00141675">
      <w:pPr>
        <w:widowControl/>
        <w:spacing w:before="60"/>
        <w:jc w:val="center"/>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Securities registered pursuant to Section 12(b) of the Act:</w:t>
      </w:r>
    </w:p>
    <w:p w14:paraId="520D2C1A" w14:textId="77777777" w:rsidR="00141675" w:rsidRPr="00141675" w:rsidRDefault="00141675" w:rsidP="00141675">
      <w:pPr>
        <w:widowControl/>
        <w:jc w:val="left"/>
        <w:rPr>
          <w:rFonts w:ascii="Times New Roman" w:eastAsia="宋体" w:hAnsi="Times New Roman" w:cs="Times New Roman"/>
          <w:color w:val="000000"/>
          <w:kern w:val="0"/>
          <w:sz w:val="4"/>
          <w:szCs w:val="4"/>
        </w:rPr>
      </w:pPr>
      <w:r w:rsidRPr="00141675">
        <w:rPr>
          <w:rFonts w:ascii="Times New Roman" w:eastAsia="宋体" w:hAnsi="Times New Roman" w:cs="Times New Roman"/>
          <w:color w:val="000000"/>
          <w:kern w:val="0"/>
          <w:sz w:val="4"/>
          <w:szCs w:val="4"/>
        </w:rPr>
        <w:t> </w:t>
      </w:r>
    </w:p>
    <w:tbl>
      <w:tblPr>
        <w:tblW w:w="20614" w:type="dxa"/>
        <w:tblCellMar>
          <w:left w:w="0" w:type="dxa"/>
          <w:right w:w="0" w:type="dxa"/>
        </w:tblCellMar>
        <w:tblLook w:val="04A0" w:firstRow="1" w:lastRow="0" w:firstColumn="1" w:lastColumn="0" w:noHBand="0" w:noVBand="1"/>
      </w:tblPr>
      <w:tblGrid>
        <w:gridCol w:w="6872"/>
        <w:gridCol w:w="6873"/>
        <w:gridCol w:w="6869"/>
      </w:tblGrid>
      <w:tr w:rsidR="00141675" w:rsidRPr="00141675" w14:paraId="641B5D6D" w14:textId="77777777" w:rsidTr="00141675">
        <w:tc>
          <w:tcPr>
            <w:tcW w:w="6873" w:type="dxa"/>
            <w:vAlign w:val="bottom"/>
            <w:hideMark/>
          </w:tcPr>
          <w:p w14:paraId="5E61B5E3" w14:textId="77777777" w:rsidR="00141675" w:rsidRPr="00141675" w:rsidRDefault="00141675" w:rsidP="00141675">
            <w:pPr>
              <w:widowControl/>
              <w:jc w:val="center"/>
              <w:rPr>
                <w:rFonts w:ascii="Calibri" w:eastAsia="宋体" w:hAnsi="Calibri" w:cs="Calibri"/>
                <w:b/>
                <w:bCs/>
                <w:kern w:val="0"/>
                <w:sz w:val="16"/>
                <w:szCs w:val="16"/>
              </w:rPr>
            </w:pPr>
            <w:r w:rsidRPr="00141675">
              <w:rPr>
                <w:rFonts w:ascii="Calibri" w:eastAsia="宋体" w:hAnsi="Calibri" w:cs="Calibri"/>
                <w:b/>
                <w:bCs/>
                <w:kern w:val="0"/>
                <w:sz w:val="16"/>
                <w:szCs w:val="16"/>
              </w:rPr>
              <w:t>Title of each class</w:t>
            </w:r>
          </w:p>
        </w:tc>
        <w:tc>
          <w:tcPr>
            <w:tcW w:w="6873" w:type="dxa"/>
            <w:hideMark/>
          </w:tcPr>
          <w:p w14:paraId="658BBA80" w14:textId="77777777" w:rsidR="00141675" w:rsidRPr="00141675" w:rsidRDefault="00141675" w:rsidP="00141675">
            <w:pPr>
              <w:widowControl/>
              <w:jc w:val="center"/>
              <w:rPr>
                <w:rFonts w:ascii="Calibri" w:eastAsia="宋体" w:hAnsi="Calibri" w:cs="Calibri"/>
                <w:b/>
                <w:bCs/>
                <w:kern w:val="0"/>
                <w:sz w:val="16"/>
                <w:szCs w:val="16"/>
              </w:rPr>
            </w:pPr>
            <w:r w:rsidRPr="00141675">
              <w:rPr>
                <w:rFonts w:ascii="Calibri" w:eastAsia="宋体" w:hAnsi="Calibri" w:cs="Calibri"/>
                <w:b/>
                <w:bCs/>
                <w:kern w:val="0"/>
                <w:sz w:val="16"/>
                <w:szCs w:val="16"/>
              </w:rPr>
              <w:t>Trading Symbol(s)</w:t>
            </w:r>
          </w:p>
        </w:tc>
        <w:tc>
          <w:tcPr>
            <w:tcW w:w="6869" w:type="dxa"/>
            <w:hideMark/>
          </w:tcPr>
          <w:p w14:paraId="3C7EB610" w14:textId="77777777" w:rsidR="00141675" w:rsidRPr="00141675" w:rsidRDefault="00141675" w:rsidP="00141675">
            <w:pPr>
              <w:widowControl/>
              <w:jc w:val="center"/>
              <w:rPr>
                <w:rFonts w:ascii="Calibri" w:eastAsia="宋体" w:hAnsi="Calibri" w:cs="Calibri"/>
                <w:b/>
                <w:bCs/>
                <w:kern w:val="0"/>
                <w:sz w:val="16"/>
                <w:szCs w:val="16"/>
              </w:rPr>
            </w:pPr>
            <w:r w:rsidRPr="00141675">
              <w:rPr>
                <w:rFonts w:ascii="Calibri" w:eastAsia="宋体" w:hAnsi="Calibri" w:cs="Calibri"/>
                <w:b/>
                <w:bCs/>
                <w:kern w:val="0"/>
                <w:sz w:val="16"/>
                <w:szCs w:val="16"/>
              </w:rPr>
              <w:t>Name of each exchange on which registered</w:t>
            </w:r>
          </w:p>
        </w:tc>
      </w:tr>
      <w:tr w:rsidR="00141675" w:rsidRPr="00141675" w14:paraId="6764EE77" w14:textId="77777777" w:rsidTr="00141675">
        <w:tc>
          <w:tcPr>
            <w:tcW w:w="6873" w:type="dxa"/>
            <w:hideMark/>
          </w:tcPr>
          <w:p w14:paraId="08DC01BB" w14:textId="77777777" w:rsidR="00141675" w:rsidRPr="00141675" w:rsidRDefault="00141675" w:rsidP="00141675">
            <w:pPr>
              <w:widowControl/>
              <w:jc w:val="center"/>
              <w:rPr>
                <w:rFonts w:ascii="Calibri" w:eastAsia="宋体" w:hAnsi="Calibri" w:cs="Calibri"/>
                <w:kern w:val="0"/>
                <w:sz w:val="15"/>
                <w:szCs w:val="15"/>
              </w:rPr>
            </w:pPr>
            <w:r w:rsidRPr="00141675">
              <w:rPr>
                <w:rFonts w:ascii="Calibri" w:eastAsia="宋体" w:hAnsi="Calibri" w:cs="Calibri"/>
                <w:kern w:val="0"/>
                <w:sz w:val="15"/>
                <w:szCs w:val="15"/>
              </w:rPr>
              <w:t>Common Stock, par value $0.01 per share</w:t>
            </w:r>
          </w:p>
          <w:p w14:paraId="7B3B2252" w14:textId="77777777" w:rsidR="00141675" w:rsidRPr="00141675" w:rsidRDefault="00141675" w:rsidP="00141675">
            <w:pPr>
              <w:widowControl/>
              <w:spacing w:before="20"/>
              <w:jc w:val="center"/>
              <w:rPr>
                <w:rFonts w:ascii="Calibri" w:eastAsia="宋体" w:hAnsi="Calibri" w:cs="Calibri"/>
                <w:kern w:val="0"/>
                <w:sz w:val="15"/>
                <w:szCs w:val="15"/>
              </w:rPr>
            </w:pPr>
            <w:r w:rsidRPr="00141675">
              <w:rPr>
                <w:rFonts w:ascii="Calibri" w:eastAsia="宋体" w:hAnsi="Calibri" w:cs="Calibri"/>
                <w:kern w:val="0"/>
                <w:sz w:val="15"/>
                <w:szCs w:val="15"/>
              </w:rPr>
              <w:t>2.25% senior notes due January 2021</w:t>
            </w:r>
            <w:r w:rsidRPr="00141675">
              <w:rPr>
                <w:rFonts w:ascii="Calibri" w:eastAsia="宋体" w:hAnsi="Calibri" w:cs="Calibri"/>
                <w:kern w:val="0"/>
                <w:sz w:val="20"/>
                <w:szCs w:val="20"/>
              </w:rPr>
              <w:t> </w:t>
            </w:r>
          </w:p>
          <w:p w14:paraId="26A09741" w14:textId="77777777" w:rsidR="00141675" w:rsidRPr="00141675" w:rsidRDefault="00141675" w:rsidP="00141675">
            <w:pPr>
              <w:widowControl/>
              <w:spacing w:before="20"/>
              <w:jc w:val="center"/>
              <w:rPr>
                <w:rFonts w:ascii="Calibri" w:eastAsia="宋体" w:hAnsi="Calibri" w:cs="Calibri"/>
                <w:kern w:val="0"/>
                <w:sz w:val="15"/>
                <w:szCs w:val="15"/>
              </w:rPr>
            </w:pPr>
            <w:r w:rsidRPr="00141675">
              <w:rPr>
                <w:rFonts w:ascii="Calibri" w:eastAsia="宋体" w:hAnsi="Calibri" w:cs="Calibri"/>
                <w:kern w:val="0"/>
                <w:sz w:val="15"/>
                <w:szCs w:val="15"/>
              </w:rPr>
              <w:t>3.125% senior notes due July 2025</w:t>
            </w:r>
            <w:r w:rsidRPr="00141675">
              <w:rPr>
                <w:rFonts w:ascii="Calibri" w:eastAsia="宋体" w:hAnsi="Calibri" w:cs="Calibri"/>
                <w:kern w:val="0"/>
                <w:sz w:val="20"/>
                <w:szCs w:val="20"/>
              </w:rPr>
              <w:t> </w:t>
            </w:r>
          </w:p>
        </w:tc>
        <w:tc>
          <w:tcPr>
            <w:tcW w:w="6873" w:type="dxa"/>
            <w:hideMark/>
          </w:tcPr>
          <w:p w14:paraId="79D76F01" w14:textId="77777777" w:rsidR="00141675" w:rsidRPr="00141675" w:rsidRDefault="00141675" w:rsidP="00141675">
            <w:pPr>
              <w:widowControl/>
              <w:jc w:val="center"/>
              <w:rPr>
                <w:rFonts w:ascii="Calibri" w:eastAsia="宋体" w:hAnsi="Calibri" w:cs="Calibri"/>
                <w:kern w:val="0"/>
                <w:sz w:val="15"/>
                <w:szCs w:val="15"/>
              </w:rPr>
            </w:pPr>
            <w:r w:rsidRPr="00141675">
              <w:rPr>
                <w:rFonts w:ascii="Calibri" w:eastAsia="宋体" w:hAnsi="Calibri" w:cs="Calibri"/>
                <w:kern w:val="0"/>
                <w:sz w:val="15"/>
                <w:szCs w:val="15"/>
              </w:rPr>
              <w:t>ORCL</w:t>
            </w:r>
          </w:p>
          <w:p w14:paraId="58CA63C3" w14:textId="77777777" w:rsidR="00141675" w:rsidRPr="00141675" w:rsidRDefault="00141675" w:rsidP="00141675">
            <w:pPr>
              <w:widowControl/>
              <w:spacing w:before="80"/>
              <w:jc w:val="center"/>
              <w:rPr>
                <w:rFonts w:ascii="Calibri" w:eastAsia="宋体" w:hAnsi="Calibri" w:cs="Calibri"/>
                <w:kern w:val="0"/>
                <w:sz w:val="15"/>
                <w:szCs w:val="15"/>
              </w:rPr>
            </w:pPr>
            <w:r w:rsidRPr="00141675">
              <w:rPr>
                <w:rFonts w:ascii="Calibri" w:eastAsia="宋体" w:hAnsi="Calibri" w:cs="Calibri"/>
                <w:kern w:val="0"/>
                <w:sz w:val="15"/>
                <w:szCs w:val="15"/>
              </w:rPr>
              <w:t>—</w:t>
            </w:r>
          </w:p>
          <w:p w14:paraId="676206FB" w14:textId="77777777" w:rsidR="00141675" w:rsidRPr="00141675" w:rsidRDefault="00141675" w:rsidP="00141675">
            <w:pPr>
              <w:widowControl/>
              <w:spacing w:before="80"/>
              <w:jc w:val="center"/>
              <w:rPr>
                <w:rFonts w:ascii="Calibri" w:eastAsia="宋体" w:hAnsi="Calibri" w:cs="Calibri"/>
                <w:kern w:val="0"/>
                <w:sz w:val="15"/>
                <w:szCs w:val="15"/>
              </w:rPr>
            </w:pPr>
            <w:r w:rsidRPr="00141675">
              <w:rPr>
                <w:rFonts w:ascii="Calibri" w:eastAsia="宋体" w:hAnsi="Calibri" w:cs="Calibri"/>
                <w:kern w:val="0"/>
                <w:sz w:val="15"/>
                <w:szCs w:val="15"/>
              </w:rPr>
              <w:t>—</w:t>
            </w:r>
          </w:p>
        </w:tc>
        <w:tc>
          <w:tcPr>
            <w:tcW w:w="6869" w:type="dxa"/>
            <w:hideMark/>
          </w:tcPr>
          <w:p w14:paraId="36B2AE8A" w14:textId="77777777" w:rsidR="00141675" w:rsidRPr="00141675" w:rsidRDefault="00141675" w:rsidP="00141675">
            <w:pPr>
              <w:widowControl/>
              <w:jc w:val="center"/>
              <w:rPr>
                <w:rFonts w:ascii="Calibri" w:eastAsia="宋体" w:hAnsi="Calibri" w:cs="Calibri"/>
                <w:kern w:val="0"/>
                <w:sz w:val="15"/>
                <w:szCs w:val="15"/>
              </w:rPr>
            </w:pPr>
            <w:r w:rsidRPr="00141675">
              <w:rPr>
                <w:rFonts w:ascii="Calibri" w:eastAsia="宋体" w:hAnsi="Calibri" w:cs="Calibri"/>
                <w:kern w:val="0"/>
                <w:sz w:val="15"/>
                <w:szCs w:val="15"/>
              </w:rPr>
              <w:t>New York Stock Exchange </w:t>
            </w:r>
            <w:r w:rsidRPr="00141675">
              <w:rPr>
                <w:rFonts w:ascii="Calibri" w:eastAsia="宋体" w:hAnsi="Calibri" w:cs="Calibri"/>
                <w:kern w:val="0"/>
                <w:sz w:val="20"/>
                <w:szCs w:val="20"/>
              </w:rPr>
              <w:t> </w:t>
            </w:r>
          </w:p>
          <w:p w14:paraId="7FDEB86C" w14:textId="77777777" w:rsidR="00141675" w:rsidRPr="00141675" w:rsidRDefault="00141675" w:rsidP="00141675">
            <w:pPr>
              <w:widowControl/>
              <w:spacing w:before="20"/>
              <w:jc w:val="center"/>
              <w:rPr>
                <w:rFonts w:ascii="Calibri" w:eastAsia="宋体" w:hAnsi="Calibri" w:cs="Calibri"/>
                <w:kern w:val="0"/>
                <w:sz w:val="15"/>
                <w:szCs w:val="15"/>
              </w:rPr>
            </w:pPr>
            <w:r w:rsidRPr="00141675">
              <w:rPr>
                <w:rFonts w:ascii="Calibri" w:eastAsia="宋体" w:hAnsi="Calibri" w:cs="Calibri"/>
                <w:kern w:val="0"/>
                <w:sz w:val="15"/>
                <w:szCs w:val="15"/>
              </w:rPr>
              <w:t>New York Stock Exchange</w:t>
            </w:r>
            <w:r w:rsidRPr="00141675">
              <w:rPr>
                <w:rFonts w:ascii="Calibri" w:eastAsia="宋体" w:hAnsi="Calibri" w:cs="Calibri"/>
                <w:kern w:val="0"/>
                <w:sz w:val="20"/>
                <w:szCs w:val="20"/>
              </w:rPr>
              <w:t> </w:t>
            </w:r>
          </w:p>
          <w:p w14:paraId="1E5614B4" w14:textId="77777777" w:rsidR="00141675" w:rsidRPr="00141675" w:rsidRDefault="00141675" w:rsidP="00141675">
            <w:pPr>
              <w:widowControl/>
              <w:spacing w:before="20"/>
              <w:jc w:val="center"/>
              <w:rPr>
                <w:rFonts w:ascii="Calibri" w:eastAsia="宋体" w:hAnsi="Calibri" w:cs="Calibri"/>
                <w:kern w:val="0"/>
                <w:sz w:val="15"/>
                <w:szCs w:val="15"/>
              </w:rPr>
            </w:pPr>
            <w:r w:rsidRPr="00141675">
              <w:rPr>
                <w:rFonts w:ascii="Calibri" w:eastAsia="宋体" w:hAnsi="Calibri" w:cs="Calibri"/>
                <w:kern w:val="0"/>
                <w:sz w:val="15"/>
                <w:szCs w:val="15"/>
              </w:rPr>
              <w:t>New York Stock Exchange</w:t>
            </w:r>
            <w:r w:rsidRPr="00141675">
              <w:rPr>
                <w:rFonts w:ascii="Calibri" w:eastAsia="宋体" w:hAnsi="Calibri" w:cs="Calibri"/>
                <w:kern w:val="0"/>
                <w:sz w:val="20"/>
                <w:szCs w:val="20"/>
              </w:rPr>
              <w:t> </w:t>
            </w:r>
          </w:p>
        </w:tc>
      </w:tr>
    </w:tbl>
    <w:p w14:paraId="261D4A76" w14:textId="77777777" w:rsidR="00141675" w:rsidRPr="00141675" w:rsidRDefault="00141675" w:rsidP="00141675">
      <w:pPr>
        <w:widowControl/>
        <w:spacing w:before="60"/>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lastRenderedPageBreak/>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141675">
        <w:rPr>
          <w:rFonts w:ascii="Segoe UI Symbol" w:eastAsia="宋体" w:hAnsi="Segoe UI Symbol" w:cs="Segoe UI Symbol"/>
          <w:color w:val="000000"/>
          <w:kern w:val="0"/>
          <w:sz w:val="18"/>
          <w:szCs w:val="18"/>
        </w:rPr>
        <w:t>☒</w:t>
      </w:r>
      <w:r w:rsidRPr="00141675">
        <w:rPr>
          <w:rFonts w:ascii="Calibri" w:eastAsia="宋体" w:hAnsi="Calibri" w:cs="Calibri"/>
          <w:color w:val="000000"/>
          <w:kern w:val="0"/>
          <w:sz w:val="18"/>
          <w:szCs w:val="18"/>
        </w:rPr>
        <w:t>    No  </w:t>
      </w:r>
      <w:r w:rsidRPr="00141675">
        <w:rPr>
          <w:rFonts w:ascii="Segoe UI Symbol" w:eastAsia="宋体" w:hAnsi="Segoe UI Symbol" w:cs="Segoe UI Symbol"/>
          <w:color w:val="000000"/>
          <w:kern w:val="0"/>
          <w:sz w:val="18"/>
          <w:szCs w:val="18"/>
        </w:rPr>
        <w:t>☐</w:t>
      </w:r>
    </w:p>
    <w:p w14:paraId="4CBE54AD" w14:textId="77777777" w:rsidR="00141675" w:rsidRPr="00141675" w:rsidRDefault="00141675" w:rsidP="00141675">
      <w:pPr>
        <w:widowControl/>
        <w:spacing w:before="60"/>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141675">
        <w:rPr>
          <w:rFonts w:ascii="Segoe UI Symbol" w:eastAsia="宋体" w:hAnsi="Segoe UI Symbol" w:cs="Segoe UI Symbol"/>
          <w:color w:val="000000"/>
          <w:kern w:val="0"/>
          <w:sz w:val="18"/>
          <w:szCs w:val="18"/>
        </w:rPr>
        <w:t>☒</w:t>
      </w:r>
      <w:r w:rsidRPr="00141675">
        <w:rPr>
          <w:rFonts w:ascii="Calibri" w:eastAsia="宋体" w:hAnsi="Calibri" w:cs="Calibri"/>
          <w:color w:val="000000"/>
          <w:kern w:val="0"/>
          <w:sz w:val="18"/>
          <w:szCs w:val="18"/>
        </w:rPr>
        <w:t>  No  </w:t>
      </w:r>
      <w:r w:rsidRPr="00141675">
        <w:rPr>
          <w:rFonts w:ascii="Segoe UI Symbol" w:eastAsia="宋体" w:hAnsi="Segoe UI Symbol" w:cs="Segoe UI Symbol"/>
          <w:color w:val="000000"/>
          <w:kern w:val="0"/>
          <w:sz w:val="18"/>
          <w:szCs w:val="18"/>
        </w:rPr>
        <w:t>☐</w:t>
      </w:r>
    </w:p>
    <w:p w14:paraId="3CC35973" w14:textId="77777777" w:rsidR="00141675" w:rsidRPr="00141675" w:rsidRDefault="00141675" w:rsidP="00141675">
      <w:pPr>
        <w:widowControl/>
        <w:spacing w:before="60"/>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w:t>
      </w:r>
    </w:p>
    <w:p w14:paraId="2D4B5A22" w14:textId="77777777" w:rsidR="00141675" w:rsidRPr="00141675" w:rsidRDefault="00141675" w:rsidP="00141675">
      <w:pPr>
        <w:widowControl/>
        <w:jc w:val="left"/>
        <w:rPr>
          <w:rFonts w:ascii="Times New Roman" w:eastAsia="宋体" w:hAnsi="Times New Roman" w:cs="Times New Roman"/>
          <w:color w:val="000000"/>
          <w:kern w:val="0"/>
          <w:sz w:val="8"/>
          <w:szCs w:val="8"/>
        </w:rPr>
      </w:pPr>
      <w:r w:rsidRPr="00141675">
        <w:rPr>
          <w:rFonts w:ascii="Times New Roman" w:eastAsia="宋体" w:hAnsi="Times New Roman" w:cs="Times New Roman"/>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10117"/>
        <w:gridCol w:w="206"/>
        <w:gridCol w:w="10291"/>
      </w:tblGrid>
      <w:tr w:rsidR="00141675" w:rsidRPr="00141675" w14:paraId="3352D683" w14:textId="77777777" w:rsidTr="00141675">
        <w:tc>
          <w:tcPr>
            <w:tcW w:w="10101" w:type="dxa"/>
            <w:vAlign w:val="bottom"/>
            <w:hideMark/>
          </w:tcPr>
          <w:p w14:paraId="3ECD9D86" w14:textId="77777777" w:rsidR="00141675" w:rsidRPr="00141675" w:rsidRDefault="00141675" w:rsidP="00141675">
            <w:pPr>
              <w:widowControl/>
              <w:jc w:val="center"/>
              <w:rPr>
                <w:rFonts w:ascii="Calibri" w:eastAsia="宋体" w:hAnsi="Calibri" w:cs="Calibri"/>
                <w:kern w:val="0"/>
                <w:sz w:val="18"/>
                <w:szCs w:val="18"/>
              </w:rPr>
            </w:pPr>
            <w:r w:rsidRPr="00141675">
              <w:rPr>
                <w:rFonts w:ascii="Calibri" w:eastAsia="宋体" w:hAnsi="Calibri" w:cs="Calibri"/>
                <w:kern w:val="0"/>
                <w:sz w:val="18"/>
                <w:szCs w:val="18"/>
              </w:rPr>
              <w:t>Large accelerated filer   </w:t>
            </w:r>
            <w:r w:rsidRPr="00141675">
              <w:rPr>
                <w:rFonts w:ascii="Segoe UI Symbol" w:eastAsia="宋体" w:hAnsi="Segoe UI Symbol" w:cs="Calibri"/>
                <w:kern w:val="0"/>
                <w:sz w:val="18"/>
                <w:szCs w:val="18"/>
              </w:rPr>
              <w:t>☒</w:t>
            </w:r>
          </w:p>
        </w:tc>
        <w:tc>
          <w:tcPr>
            <w:tcW w:w="206" w:type="dxa"/>
            <w:hideMark/>
          </w:tcPr>
          <w:p w14:paraId="7120E8FB" w14:textId="77777777" w:rsidR="00141675" w:rsidRPr="00141675" w:rsidRDefault="00141675" w:rsidP="00141675">
            <w:pPr>
              <w:widowControl/>
              <w:jc w:val="center"/>
              <w:rPr>
                <w:rFonts w:ascii="Times New Roman" w:eastAsia="宋体" w:hAnsi="Times New Roman" w:cs="Times New Roman"/>
                <w:kern w:val="0"/>
                <w:sz w:val="18"/>
                <w:szCs w:val="18"/>
              </w:rPr>
            </w:pPr>
            <w:r w:rsidRPr="00141675">
              <w:rPr>
                <w:rFonts w:ascii="Times New Roman" w:eastAsia="宋体" w:hAnsi="Times New Roman" w:cs="Times New Roman"/>
                <w:kern w:val="0"/>
                <w:sz w:val="18"/>
                <w:szCs w:val="18"/>
              </w:rPr>
              <w:t> </w:t>
            </w:r>
          </w:p>
        </w:tc>
        <w:tc>
          <w:tcPr>
            <w:tcW w:w="10307" w:type="dxa"/>
            <w:vAlign w:val="bottom"/>
            <w:hideMark/>
          </w:tcPr>
          <w:p w14:paraId="1696D415" w14:textId="77777777" w:rsidR="00141675" w:rsidRPr="00141675" w:rsidRDefault="00141675" w:rsidP="00141675">
            <w:pPr>
              <w:widowControl/>
              <w:jc w:val="center"/>
              <w:rPr>
                <w:rFonts w:ascii="Calibri" w:eastAsia="宋体" w:hAnsi="Calibri" w:cs="Calibri"/>
                <w:kern w:val="0"/>
                <w:sz w:val="18"/>
                <w:szCs w:val="18"/>
              </w:rPr>
            </w:pPr>
            <w:r w:rsidRPr="00141675">
              <w:rPr>
                <w:rFonts w:ascii="Calibri" w:eastAsia="宋体" w:hAnsi="Calibri" w:cs="Calibri"/>
                <w:kern w:val="0"/>
                <w:sz w:val="18"/>
                <w:szCs w:val="18"/>
              </w:rPr>
              <w:t>Accelerated filer   </w:t>
            </w:r>
            <w:r w:rsidRPr="00141675">
              <w:rPr>
                <w:rFonts w:ascii="Segoe UI Symbol" w:eastAsia="宋体" w:hAnsi="Segoe UI Symbol" w:cs="Calibri"/>
                <w:kern w:val="0"/>
                <w:sz w:val="18"/>
                <w:szCs w:val="18"/>
              </w:rPr>
              <w:t>☐</w:t>
            </w:r>
          </w:p>
        </w:tc>
      </w:tr>
      <w:tr w:rsidR="00141675" w:rsidRPr="00141675" w14:paraId="4F86A645" w14:textId="77777777" w:rsidTr="00141675">
        <w:tc>
          <w:tcPr>
            <w:tcW w:w="10101" w:type="dxa"/>
            <w:noWrap/>
            <w:vAlign w:val="bottom"/>
            <w:hideMark/>
          </w:tcPr>
          <w:p w14:paraId="0BFC31DD" w14:textId="77777777" w:rsidR="00141675" w:rsidRPr="00141675" w:rsidRDefault="00141675" w:rsidP="00141675">
            <w:pPr>
              <w:widowControl/>
              <w:jc w:val="center"/>
              <w:rPr>
                <w:rFonts w:ascii="Calibri" w:eastAsia="宋体" w:hAnsi="Calibri" w:cs="Calibri"/>
                <w:kern w:val="0"/>
                <w:sz w:val="18"/>
                <w:szCs w:val="18"/>
              </w:rPr>
            </w:pPr>
            <w:r w:rsidRPr="00141675">
              <w:rPr>
                <w:rFonts w:ascii="Calibri" w:eastAsia="宋体" w:hAnsi="Calibri" w:cs="Calibri"/>
                <w:kern w:val="0"/>
                <w:sz w:val="18"/>
                <w:szCs w:val="18"/>
              </w:rPr>
              <w:t>Non-accelerated filer   </w:t>
            </w:r>
            <w:r w:rsidRPr="00141675">
              <w:rPr>
                <w:rFonts w:ascii="Segoe UI Symbol" w:eastAsia="宋体" w:hAnsi="Segoe UI Symbol" w:cs="Calibri"/>
                <w:kern w:val="0"/>
                <w:sz w:val="18"/>
                <w:szCs w:val="18"/>
              </w:rPr>
              <w:t>☐</w:t>
            </w:r>
          </w:p>
        </w:tc>
        <w:tc>
          <w:tcPr>
            <w:tcW w:w="206" w:type="dxa"/>
            <w:hideMark/>
          </w:tcPr>
          <w:p w14:paraId="6511AFB1" w14:textId="77777777" w:rsidR="00141675" w:rsidRPr="00141675" w:rsidRDefault="00141675" w:rsidP="00141675">
            <w:pPr>
              <w:widowControl/>
              <w:jc w:val="center"/>
              <w:rPr>
                <w:rFonts w:ascii="Times New Roman" w:eastAsia="宋体" w:hAnsi="Times New Roman" w:cs="Times New Roman"/>
                <w:kern w:val="0"/>
                <w:sz w:val="18"/>
                <w:szCs w:val="18"/>
              </w:rPr>
            </w:pPr>
            <w:r w:rsidRPr="00141675">
              <w:rPr>
                <w:rFonts w:ascii="Times New Roman" w:eastAsia="宋体" w:hAnsi="Times New Roman" w:cs="Times New Roman"/>
                <w:kern w:val="0"/>
                <w:sz w:val="18"/>
                <w:szCs w:val="18"/>
              </w:rPr>
              <w:t> </w:t>
            </w:r>
          </w:p>
        </w:tc>
        <w:tc>
          <w:tcPr>
            <w:tcW w:w="10307" w:type="dxa"/>
            <w:vAlign w:val="bottom"/>
            <w:hideMark/>
          </w:tcPr>
          <w:p w14:paraId="728E1348" w14:textId="77777777" w:rsidR="00141675" w:rsidRPr="00141675" w:rsidRDefault="00141675" w:rsidP="00141675">
            <w:pPr>
              <w:widowControl/>
              <w:jc w:val="center"/>
              <w:rPr>
                <w:rFonts w:ascii="Calibri" w:eastAsia="宋体" w:hAnsi="Calibri" w:cs="Calibri"/>
                <w:kern w:val="0"/>
                <w:sz w:val="18"/>
                <w:szCs w:val="18"/>
              </w:rPr>
            </w:pPr>
            <w:r w:rsidRPr="00141675">
              <w:rPr>
                <w:rFonts w:ascii="Calibri" w:eastAsia="宋体" w:hAnsi="Calibri" w:cs="Calibri"/>
                <w:kern w:val="0"/>
                <w:sz w:val="18"/>
                <w:szCs w:val="18"/>
              </w:rPr>
              <w:t>Smaller reporting company   </w:t>
            </w:r>
            <w:r w:rsidRPr="00141675">
              <w:rPr>
                <w:rFonts w:ascii="Segoe UI Symbol" w:eastAsia="宋体" w:hAnsi="Segoe UI Symbol" w:cs="Calibri"/>
                <w:kern w:val="0"/>
                <w:sz w:val="18"/>
                <w:szCs w:val="18"/>
              </w:rPr>
              <w:t>☐</w:t>
            </w:r>
          </w:p>
        </w:tc>
      </w:tr>
      <w:tr w:rsidR="00141675" w:rsidRPr="00141675" w14:paraId="667CAC23" w14:textId="77777777" w:rsidTr="00141675">
        <w:tc>
          <w:tcPr>
            <w:tcW w:w="10101" w:type="dxa"/>
            <w:noWrap/>
            <w:vAlign w:val="bottom"/>
            <w:hideMark/>
          </w:tcPr>
          <w:p w14:paraId="7BA57B4E" w14:textId="77777777" w:rsidR="00141675" w:rsidRPr="00141675" w:rsidRDefault="00141675" w:rsidP="00141675">
            <w:pPr>
              <w:widowControl/>
              <w:jc w:val="center"/>
              <w:rPr>
                <w:rFonts w:ascii="Calibri" w:eastAsia="宋体" w:hAnsi="Calibri" w:cs="Calibri"/>
                <w:kern w:val="0"/>
                <w:sz w:val="18"/>
                <w:szCs w:val="18"/>
              </w:rPr>
            </w:pPr>
            <w:r w:rsidRPr="00141675">
              <w:rPr>
                <w:rFonts w:ascii="Calibri" w:eastAsia="宋体" w:hAnsi="Calibri" w:cs="Calibri"/>
                <w:kern w:val="0"/>
                <w:sz w:val="18"/>
                <w:szCs w:val="18"/>
              </w:rPr>
              <w:t>Emerging growth company   </w:t>
            </w:r>
            <w:r w:rsidRPr="00141675">
              <w:rPr>
                <w:rFonts w:ascii="Segoe UI Symbol" w:eastAsia="宋体" w:hAnsi="Segoe UI Symbol" w:cs="Calibri"/>
                <w:kern w:val="0"/>
                <w:sz w:val="18"/>
                <w:szCs w:val="18"/>
              </w:rPr>
              <w:t>☐</w:t>
            </w:r>
          </w:p>
        </w:tc>
        <w:tc>
          <w:tcPr>
            <w:tcW w:w="206" w:type="dxa"/>
            <w:hideMark/>
          </w:tcPr>
          <w:p w14:paraId="1678622A" w14:textId="77777777" w:rsidR="00141675" w:rsidRPr="00141675" w:rsidRDefault="00141675" w:rsidP="00141675">
            <w:pPr>
              <w:widowControl/>
              <w:jc w:val="center"/>
              <w:rPr>
                <w:rFonts w:ascii="Times New Roman" w:eastAsia="宋体" w:hAnsi="Times New Roman" w:cs="Times New Roman"/>
                <w:kern w:val="0"/>
                <w:sz w:val="18"/>
                <w:szCs w:val="18"/>
              </w:rPr>
            </w:pPr>
            <w:r w:rsidRPr="00141675">
              <w:rPr>
                <w:rFonts w:ascii="Times New Roman" w:eastAsia="宋体" w:hAnsi="Times New Roman" w:cs="Times New Roman"/>
                <w:kern w:val="0"/>
                <w:sz w:val="18"/>
                <w:szCs w:val="18"/>
              </w:rPr>
              <w:t> </w:t>
            </w:r>
          </w:p>
        </w:tc>
        <w:tc>
          <w:tcPr>
            <w:tcW w:w="10307" w:type="dxa"/>
            <w:hideMark/>
          </w:tcPr>
          <w:p w14:paraId="235A9E6E" w14:textId="77777777" w:rsidR="00141675" w:rsidRPr="00141675" w:rsidRDefault="00141675" w:rsidP="00141675">
            <w:pPr>
              <w:widowControl/>
              <w:jc w:val="center"/>
              <w:rPr>
                <w:rFonts w:ascii="Times New Roman" w:eastAsia="宋体" w:hAnsi="Times New Roman" w:cs="Times New Roman"/>
                <w:kern w:val="0"/>
                <w:sz w:val="18"/>
                <w:szCs w:val="18"/>
              </w:rPr>
            </w:pPr>
            <w:r w:rsidRPr="00141675">
              <w:rPr>
                <w:rFonts w:ascii="Times New Roman" w:eastAsia="宋体" w:hAnsi="Times New Roman" w:cs="Times New Roman"/>
                <w:kern w:val="0"/>
                <w:sz w:val="18"/>
                <w:szCs w:val="18"/>
              </w:rPr>
              <w:t> </w:t>
            </w:r>
          </w:p>
        </w:tc>
      </w:tr>
    </w:tbl>
    <w:p w14:paraId="57E4B42C" w14:textId="77777777" w:rsidR="00141675" w:rsidRPr="00141675" w:rsidRDefault="00141675" w:rsidP="00141675">
      <w:pPr>
        <w:widowControl/>
        <w:jc w:val="left"/>
        <w:rPr>
          <w:rFonts w:ascii="Times New Roman" w:eastAsia="宋体" w:hAnsi="Times New Roman" w:cs="Times New Roman"/>
          <w:color w:val="000000"/>
          <w:kern w:val="0"/>
          <w:sz w:val="6"/>
          <w:szCs w:val="6"/>
        </w:rPr>
      </w:pPr>
      <w:r w:rsidRPr="00141675">
        <w:rPr>
          <w:rFonts w:ascii="Times New Roman" w:eastAsia="宋体" w:hAnsi="Times New Roman" w:cs="Times New Roman"/>
          <w:color w:val="000000"/>
          <w:kern w:val="0"/>
          <w:sz w:val="6"/>
          <w:szCs w:val="6"/>
        </w:rPr>
        <w:t> </w:t>
      </w:r>
    </w:p>
    <w:p w14:paraId="7BE0E6AE" w14:textId="77777777" w:rsidR="00141675" w:rsidRPr="00141675" w:rsidRDefault="00141675" w:rsidP="00141675">
      <w:pPr>
        <w:widowControl/>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If an emerging growth company, indicate by check mark if the registrant has elected not to use the extended transition period for complying with any new or revised financial accounting standards provided pursuant to Section 13(a) of the Exchange Act.     </w:t>
      </w:r>
      <w:r w:rsidRPr="00141675">
        <w:rPr>
          <w:rFonts w:ascii="Segoe UI Symbol" w:eastAsia="宋体" w:hAnsi="Segoe UI Symbol" w:cs="Segoe UI Symbol"/>
          <w:color w:val="000000"/>
          <w:kern w:val="0"/>
          <w:sz w:val="18"/>
          <w:szCs w:val="18"/>
        </w:rPr>
        <w:t>☐</w:t>
      </w:r>
    </w:p>
    <w:p w14:paraId="7DFE9439" w14:textId="77777777" w:rsidR="00141675" w:rsidRPr="00141675" w:rsidRDefault="00141675" w:rsidP="00141675">
      <w:pPr>
        <w:widowControl/>
        <w:spacing w:before="60"/>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Indicate by check mark whether the registrant is a shell company (as defined in Rule 12b-2 of the Exchange Act).  Yes    </w:t>
      </w:r>
      <w:r w:rsidRPr="00141675">
        <w:rPr>
          <w:rFonts w:ascii="Segoe UI Symbol" w:eastAsia="宋体" w:hAnsi="Segoe UI Symbol" w:cs="Segoe UI Symbol"/>
          <w:color w:val="000000"/>
          <w:kern w:val="0"/>
          <w:sz w:val="18"/>
          <w:szCs w:val="18"/>
        </w:rPr>
        <w:t>☐</w:t>
      </w:r>
      <w:r w:rsidRPr="00141675">
        <w:rPr>
          <w:rFonts w:ascii="Calibri" w:eastAsia="宋体" w:hAnsi="Calibri" w:cs="Calibri"/>
          <w:color w:val="000000"/>
          <w:kern w:val="0"/>
          <w:sz w:val="18"/>
          <w:szCs w:val="18"/>
        </w:rPr>
        <w:t>  No    </w:t>
      </w:r>
      <w:r w:rsidRPr="00141675">
        <w:rPr>
          <w:rFonts w:ascii="Segoe UI Symbol" w:eastAsia="宋体" w:hAnsi="Segoe UI Symbol" w:cs="Segoe UI Symbol"/>
          <w:color w:val="000000"/>
          <w:kern w:val="0"/>
          <w:sz w:val="18"/>
          <w:szCs w:val="18"/>
        </w:rPr>
        <w:t>☒</w:t>
      </w:r>
    </w:p>
    <w:p w14:paraId="2A894804" w14:textId="77777777" w:rsidR="00141675" w:rsidRPr="00141675" w:rsidRDefault="00141675" w:rsidP="00141675">
      <w:pPr>
        <w:widowControl/>
        <w:spacing w:before="80"/>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The number of shares of registrant’s common stock outstanding as of December 9, 2019 was: 3,207,649,000.</w:t>
      </w:r>
    </w:p>
    <w:p w14:paraId="6F9C9E49" w14:textId="77777777" w:rsidR="00141675" w:rsidRPr="00141675" w:rsidRDefault="00141675" w:rsidP="00141675">
      <w:pPr>
        <w:widowControl/>
        <w:pBdr>
          <w:bottom w:val="double" w:sz="6" w:space="1" w:color="auto"/>
        </w:pBdr>
        <w:jc w:val="left"/>
        <w:rPr>
          <w:rFonts w:ascii="Times New Roman" w:eastAsia="宋体" w:hAnsi="Times New Roman" w:cs="Times New Roman"/>
          <w:color w:val="000000"/>
          <w:kern w:val="0"/>
          <w:sz w:val="8"/>
          <w:szCs w:val="8"/>
        </w:rPr>
      </w:pPr>
      <w:r w:rsidRPr="00141675">
        <w:rPr>
          <w:rFonts w:ascii="Times New Roman" w:eastAsia="宋体" w:hAnsi="Times New Roman" w:cs="Times New Roman"/>
          <w:color w:val="000000"/>
          <w:kern w:val="0"/>
          <w:sz w:val="8"/>
          <w:szCs w:val="8"/>
        </w:rPr>
        <w:t> </w:t>
      </w:r>
    </w:p>
    <w:p w14:paraId="667158BE" w14:textId="77777777" w:rsidR="00141675" w:rsidRPr="00141675" w:rsidRDefault="00141675" w:rsidP="00141675">
      <w:pPr>
        <w:widowControl/>
        <w:jc w:val="center"/>
        <w:rPr>
          <w:rFonts w:ascii="Times New Roman" w:eastAsia="宋体" w:hAnsi="Times New Roman" w:cs="Times New Roman"/>
          <w:b/>
          <w:bCs/>
          <w:color w:val="000000"/>
          <w:kern w:val="0"/>
          <w:sz w:val="8"/>
          <w:szCs w:val="8"/>
        </w:rPr>
      </w:pPr>
      <w:r w:rsidRPr="00141675">
        <w:rPr>
          <w:rFonts w:ascii="Times New Roman" w:eastAsia="宋体" w:hAnsi="Times New Roman" w:cs="Times New Roman"/>
          <w:b/>
          <w:bCs/>
          <w:color w:val="000000"/>
          <w:kern w:val="0"/>
          <w:sz w:val="8"/>
          <w:szCs w:val="8"/>
        </w:rPr>
        <w:t> </w:t>
      </w:r>
    </w:p>
    <w:p w14:paraId="2566658A" w14:textId="77777777" w:rsidR="00141675" w:rsidRPr="00141675" w:rsidRDefault="00141675" w:rsidP="00141675">
      <w:pPr>
        <w:widowControl/>
        <w:spacing w:before="240"/>
        <w:jc w:val="center"/>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645223EA"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2074E41A">
          <v:rect id="_x0000_i1025" style="width:0;height:1.5pt" o:hralign="center" o:hrstd="t" o:hrnoshade="t" o:hr="t" fillcolor="black" stroked="f"/>
        </w:pict>
      </w:r>
    </w:p>
    <w:p w14:paraId="3E38BE78" w14:textId="77777777" w:rsidR="00141675" w:rsidRPr="00141675" w:rsidRDefault="00141675" w:rsidP="00141675">
      <w:pPr>
        <w:widowControl/>
        <w:jc w:val="left"/>
        <w:rPr>
          <w:rFonts w:ascii="Calibri" w:eastAsia="宋体" w:hAnsi="Calibri" w:cs="Calibri"/>
          <w:b/>
          <w:bCs/>
          <w:color w:val="000000"/>
          <w:kern w:val="0"/>
          <w:sz w:val="20"/>
          <w:szCs w:val="20"/>
        </w:rPr>
      </w:pPr>
      <w:hyperlink r:id="rId5" w:anchor="TABLE_CONTENTS" w:history="1">
        <w:r w:rsidRPr="00141675">
          <w:rPr>
            <w:rFonts w:ascii="Calibri" w:eastAsia="宋体" w:hAnsi="Calibri" w:cs="Calibri"/>
            <w:b/>
            <w:bCs/>
            <w:color w:val="0000FF"/>
            <w:kern w:val="0"/>
            <w:sz w:val="20"/>
            <w:szCs w:val="20"/>
            <w:u w:val="single"/>
          </w:rPr>
          <w:t>Table of Contents</w:t>
        </w:r>
      </w:hyperlink>
    </w:p>
    <w:p w14:paraId="21EFE21B"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AC1D77D"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 </w:t>
      </w:r>
    </w:p>
    <w:p w14:paraId="49749A4C" w14:textId="77777777" w:rsidR="00141675" w:rsidRPr="00141675" w:rsidRDefault="00141675" w:rsidP="00141675">
      <w:pPr>
        <w:widowControl/>
        <w:spacing w:before="120"/>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FORM 10-Q QUARTERLY REPORT</w:t>
      </w:r>
    </w:p>
    <w:p w14:paraId="19501ED1" w14:textId="77777777" w:rsidR="00141675" w:rsidRPr="00141675" w:rsidRDefault="00141675" w:rsidP="00141675">
      <w:pPr>
        <w:widowControl/>
        <w:pBdr>
          <w:bottom w:val="single" w:sz="12" w:space="1" w:color="auto"/>
        </w:pBdr>
        <w:ind w:left="7532" w:right="7532"/>
        <w:jc w:val="center"/>
        <w:rPr>
          <w:rFonts w:ascii="Times New Roman" w:eastAsia="宋体" w:hAnsi="Times New Roman" w:cs="Times New Roman"/>
          <w:color w:val="000000"/>
          <w:kern w:val="0"/>
          <w:sz w:val="10"/>
          <w:szCs w:val="10"/>
        </w:rPr>
      </w:pPr>
      <w:r w:rsidRPr="00141675">
        <w:rPr>
          <w:rFonts w:ascii="Times New Roman" w:eastAsia="宋体" w:hAnsi="Times New Roman" w:cs="Times New Roman"/>
          <w:color w:val="000000"/>
          <w:kern w:val="0"/>
          <w:sz w:val="10"/>
          <w:szCs w:val="10"/>
        </w:rPr>
        <w:t> </w:t>
      </w:r>
    </w:p>
    <w:p w14:paraId="31BAFD29" w14:textId="77777777" w:rsidR="00141675" w:rsidRPr="00141675" w:rsidRDefault="00141675" w:rsidP="00141675">
      <w:pPr>
        <w:widowControl/>
        <w:spacing w:before="120"/>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TABLE OF CONTENTS</w:t>
      </w:r>
    </w:p>
    <w:p w14:paraId="6D8EE170" w14:textId="77777777" w:rsidR="00141675" w:rsidRPr="00141675" w:rsidRDefault="00141675" w:rsidP="00141675">
      <w:pPr>
        <w:widowControl/>
        <w:jc w:val="left"/>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tbl>
      <w:tblPr>
        <w:tblW w:w="20614" w:type="dxa"/>
        <w:tblCellMar>
          <w:left w:w="0" w:type="dxa"/>
          <w:right w:w="0" w:type="dxa"/>
        </w:tblCellMar>
        <w:tblLook w:val="04A0" w:firstRow="1" w:lastRow="0" w:firstColumn="1" w:lastColumn="0" w:noHBand="0" w:noVBand="1"/>
      </w:tblPr>
      <w:tblGrid>
        <w:gridCol w:w="1855"/>
        <w:gridCol w:w="206"/>
        <w:gridCol w:w="17493"/>
        <w:gridCol w:w="268"/>
        <w:gridCol w:w="792"/>
      </w:tblGrid>
      <w:tr w:rsidR="00141675" w:rsidRPr="00141675" w14:paraId="5A2F0B5E" w14:textId="77777777" w:rsidTr="00141675">
        <w:tc>
          <w:tcPr>
            <w:tcW w:w="1855" w:type="dxa"/>
            <w:shd w:val="clear" w:color="auto" w:fill="FFFFFF"/>
            <w:hideMark/>
          </w:tcPr>
          <w:p w14:paraId="1D6B73D6" w14:textId="77777777" w:rsidR="00141675" w:rsidRPr="00141675" w:rsidRDefault="00141675" w:rsidP="00141675">
            <w:pPr>
              <w:widowControl/>
              <w:jc w:val="left"/>
              <w:rPr>
                <w:rFonts w:ascii="Times New Roman" w:eastAsia="宋体" w:hAnsi="Times New Roman" w:cs="Times New Roman"/>
                <w:kern w:val="0"/>
                <w:sz w:val="16"/>
                <w:szCs w:val="16"/>
              </w:rPr>
            </w:pPr>
            <w:r w:rsidRPr="00141675">
              <w:rPr>
                <w:rFonts w:ascii="Times New Roman" w:eastAsia="宋体" w:hAnsi="Times New Roman" w:cs="Times New Roman"/>
                <w:kern w:val="0"/>
                <w:sz w:val="16"/>
                <w:szCs w:val="16"/>
              </w:rPr>
              <w:t> </w:t>
            </w:r>
          </w:p>
        </w:tc>
        <w:tc>
          <w:tcPr>
            <w:tcW w:w="206" w:type="dxa"/>
            <w:shd w:val="clear" w:color="auto" w:fill="FFFFFF"/>
            <w:hideMark/>
          </w:tcPr>
          <w:p w14:paraId="3E478CD1" w14:textId="77777777" w:rsidR="00141675" w:rsidRPr="00141675" w:rsidRDefault="00141675" w:rsidP="00141675">
            <w:pPr>
              <w:widowControl/>
              <w:jc w:val="left"/>
              <w:rPr>
                <w:rFonts w:ascii="Times New Roman" w:eastAsia="宋体" w:hAnsi="Times New Roman" w:cs="Times New Roman"/>
                <w:kern w:val="0"/>
                <w:sz w:val="16"/>
                <w:szCs w:val="16"/>
              </w:rPr>
            </w:pPr>
            <w:r w:rsidRPr="00141675">
              <w:rPr>
                <w:rFonts w:ascii="Times New Roman" w:eastAsia="宋体" w:hAnsi="Times New Roman" w:cs="Times New Roman"/>
                <w:kern w:val="0"/>
                <w:sz w:val="16"/>
                <w:szCs w:val="16"/>
              </w:rPr>
              <w:t> </w:t>
            </w:r>
          </w:p>
        </w:tc>
        <w:tc>
          <w:tcPr>
            <w:tcW w:w="17493" w:type="dxa"/>
            <w:shd w:val="clear" w:color="auto" w:fill="FFFFFF"/>
            <w:vAlign w:val="bottom"/>
            <w:hideMark/>
          </w:tcPr>
          <w:p w14:paraId="59F210FB"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68" w:type="dxa"/>
            <w:shd w:val="clear" w:color="auto" w:fill="FFFFFF"/>
            <w:hideMark/>
          </w:tcPr>
          <w:p w14:paraId="36824BF8" w14:textId="77777777" w:rsidR="00141675" w:rsidRPr="00141675" w:rsidRDefault="00141675" w:rsidP="00141675">
            <w:pPr>
              <w:widowControl/>
              <w:jc w:val="left"/>
              <w:rPr>
                <w:rFonts w:ascii="Times New Roman" w:eastAsia="宋体" w:hAnsi="Times New Roman" w:cs="Times New Roman"/>
                <w:kern w:val="0"/>
                <w:sz w:val="16"/>
                <w:szCs w:val="16"/>
              </w:rPr>
            </w:pPr>
            <w:r w:rsidRPr="00141675">
              <w:rPr>
                <w:rFonts w:ascii="Times New Roman" w:eastAsia="宋体" w:hAnsi="Times New Roman" w:cs="Times New Roman"/>
                <w:kern w:val="0"/>
                <w:sz w:val="16"/>
                <w:szCs w:val="16"/>
              </w:rPr>
              <w:t> </w:t>
            </w:r>
          </w:p>
        </w:tc>
        <w:tc>
          <w:tcPr>
            <w:tcW w:w="792" w:type="dxa"/>
            <w:tcBorders>
              <w:bottom w:val="single" w:sz="6" w:space="0" w:color="000000"/>
            </w:tcBorders>
            <w:shd w:val="clear" w:color="auto" w:fill="FFFFFF"/>
            <w:vAlign w:val="bottom"/>
            <w:hideMark/>
          </w:tcPr>
          <w:p w14:paraId="3FA93A51" w14:textId="77777777" w:rsidR="00141675" w:rsidRPr="00141675" w:rsidRDefault="00141675" w:rsidP="00141675">
            <w:pPr>
              <w:widowControl/>
              <w:jc w:val="center"/>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Page</w:t>
            </w:r>
          </w:p>
        </w:tc>
      </w:tr>
      <w:tr w:rsidR="00141675" w:rsidRPr="00141675" w14:paraId="54F29DB9" w14:textId="77777777" w:rsidTr="00141675">
        <w:tc>
          <w:tcPr>
            <w:tcW w:w="1855" w:type="dxa"/>
            <w:shd w:val="clear" w:color="auto" w:fill="FFFFFF"/>
            <w:hideMark/>
          </w:tcPr>
          <w:p w14:paraId="59D3FC19" w14:textId="77777777" w:rsidR="00141675" w:rsidRPr="00141675" w:rsidRDefault="00141675" w:rsidP="00141675">
            <w:pPr>
              <w:widowControl/>
              <w:jc w:val="left"/>
              <w:rPr>
                <w:rFonts w:ascii="Calibri" w:eastAsia="宋体" w:hAnsi="Calibri" w:cs="Calibri"/>
                <w:b/>
                <w:bCs/>
                <w:color w:val="000000"/>
                <w:kern w:val="0"/>
                <w:sz w:val="12"/>
                <w:szCs w:val="12"/>
              </w:rPr>
            </w:pPr>
            <w:r w:rsidRPr="00141675">
              <w:rPr>
                <w:rFonts w:ascii="Calibri" w:eastAsia="宋体" w:hAnsi="Calibri" w:cs="Calibri"/>
                <w:b/>
                <w:bCs/>
                <w:color w:val="000000"/>
                <w:kern w:val="0"/>
                <w:sz w:val="12"/>
                <w:szCs w:val="12"/>
              </w:rPr>
              <w:t> </w:t>
            </w:r>
          </w:p>
        </w:tc>
        <w:tc>
          <w:tcPr>
            <w:tcW w:w="206" w:type="dxa"/>
            <w:shd w:val="clear" w:color="auto" w:fill="FFFFFF"/>
            <w:hideMark/>
          </w:tcPr>
          <w:p w14:paraId="347B3AF3" w14:textId="77777777" w:rsidR="00141675" w:rsidRPr="00141675" w:rsidRDefault="00141675" w:rsidP="00141675">
            <w:pPr>
              <w:widowControl/>
              <w:jc w:val="left"/>
              <w:rPr>
                <w:rFonts w:ascii="Times New Roman" w:eastAsia="宋体" w:hAnsi="Times New Roman" w:cs="Times New Roman"/>
                <w:b/>
                <w:bCs/>
                <w:kern w:val="0"/>
                <w:sz w:val="12"/>
                <w:szCs w:val="12"/>
              </w:rPr>
            </w:pPr>
            <w:r w:rsidRPr="00141675">
              <w:rPr>
                <w:rFonts w:ascii="Times New Roman" w:eastAsia="宋体" w:hAnsi="Times New Roman" w:cs="Times New Roman"/>
                <w:b/>
                <w:bCs/>
                <w:kern w:val="0"/>
                <w:sz w:val="12"/>
                <w:szCs w:val="12"/>
              </w:rPr>
              <w:t> </w:t>
            </w:r>
          </w:p>
        </w:tc>
        <w:tc>
          <w:tcPr>
            <w:tcW w:w="17493" w:type="dxa"/>
            <w:shd w:val="clear" w:color="auto" w:fill="FFFFFF"/>
            <w:vAlign w:val="bottom"/>
            <w:hideMark/>
          </w:tcPr>
          <w:p w14:paraId="76915D62" w14:textId="77777777" w:rsidR="00141675" w:rsidRPr="00141675" w:rsidRDefault="00141675" w:rsidP="00141675">
            <w:pPr>
              <w:widowControl/>
              <w:jc w:val="righ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41B86207"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tcBorders>
              <w:top w:val="single" w:sz="6" w:space="0" w:color="000000"/>
            </w:tcBorders>
            <w:shd w:val="clear" w:color="auto" w:fill="FFFFFF"/>
            <w:vAlign w:val="bottom"/>
            <w:hideMark/>
          </w:tcPr>
          <w:p w14:paraId="59956FE6"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259FC241" w14:textId="77777777" w:rsidTr="00141675">
        <w:tc>
          <w:tcPr>
            <w:tcW w:w="1855" w:type="dxa"/>
            <w:shd w:val="clear" w:color="auto" w:fill="FFFFFF"/>
            <w:hideMark/>
          </w:tcPr>
          <w:p w14:paraId="7A99B3DF"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PART I.</w:t>
            </w:r>
          </w:p>
        </w:tc>
        <w:tc>
          <w:tcPr>
            <w:tcW w:w="206" w:type="dxa"/>
            <w:shd w:val="clear" w:color="auto" w:fill="FFFFFF"/>
            <w:hideMark/>
          </w:tcPr>
          <w:p w14:paraId="759660E7" w14:textId="77777777" w:rsidR="00141675" w:rsidRPr="00141675" w:rsidRDefault="00141675" w:rsidP="00141675">
            <w:pPr>
              <w:widowControl/>
              <w:jc w:val="left"/>
              <w:rPr>
                <w:rFonts w:ascii="Times New Roman" w:eastAsia="宋体" w:hAnsi="Times New Roman" w:cs="Times New Roman"/>
                <w:b/>
                <w:bCs/>
                <w:kern w:val="0"/>
                <w:sz w:val="24"/>
                <w:szCs w:val="24"/>
              </w:rPr>
            </w:pPr>
            <w:r w:rsidRPr="00141675">
              <w:rPr>
                <w:rFonts w:ascii="Times New Roman" w:eastAsia="宋体" w:hAnsi="Times New Roman" w:cs="Times New Roman"/>
                <w:b/>
                <w:bCs/>
                <w:kern w:val="0"/>
                <w:sz w:val="24"/>
                <w:szCs w:val="24"/>
              </w:rPr>
              <w:t> </w:t>
            </w:r>
          </w:p>
        </w:tc>
        <w:tc>
          <w:tcPr>
            <w:tcW w:w="17493" w:type="dxa"/>
            <w:shd w:val="clear" w:color="auto" w:fill="FFFFFF"/>
            <w:hideMark/>
          </w:tcPr>
          <w:p w14:paraId="25107787" w14:textId="77777777" w:rsidR="00141675" w:rsidRPr="00141675" w:rsidRDefault="00141675" w:rsidP="00141675">
            <w:pPr>
              <w:widowControl/>
              <w:jc w:val="left"/>
              <w:rPr>
                <w:rFonts w:ascii="Calibri" w:eastAsia="宋体" w:hAnsi="Calibri" w:cs="Calibri"/>
                <w:b/>
                <w:bCs/>
                <w:kern w:val="0"/>
                <w:sz w:val="20"/>
                <w:szCs w:val="20"/>
              </w:rPr>
            </w:pPr>
            <w:hyperlink r:id="rId6" w:anchor="PART_I_FINANCIAL_INFORMATION" w:history="1">
              <w:r w:rsidRPr="00141675">
                <w:rPr>
                  <w:rFonts w:ascii="Calibri" w:eastAsia="宋体" w:hAnsi="Calibri" w:cs="Calibri"/>
                  <w:b/>
                  <w:bCs/>
                  <w:color w:val="0000FF"/>
                  <w:kern w:val="0"/>
                  <w:sz w:val="20"/>
                  <w:szCs w:val="20"/>
                </w:rPr>
                <w:t>FINANCIAL INFORMATION</w:t>
              </w:r>
            </w:hyperlink>
          </w:p>
        </w:tc>
        <w:tc>
          <w:tcPr>
            <w:tcW w:w="268" w:type="dxa"/>
            <w:shd w:val="clear" w:color="auto" w:fill="FFFFFF"/>
            <w:hideMark/>
          </w:tcPr>
          <w:p w14:paraId="03C64865" w14:textId="77777777" w:rsidR="00141675" w:rsidRPr="00141675" w:rsidRDefault="00141675" w:rsidP="00141675">
            <w:pPr>
              <w:widowControl/>
              <w:jc w:val="left"/>
              <w:rPr>
                <w:rFonts w:ascii="Times New Roman" w:eastAsia="宋体" w:hAnsi="Times New Roman" w:cs="Times New Roman"/>
                <w:b/>
                <w:bCs/>
                <w:kern w:val="0"/>
                <w:sz w:val="24"/>
                <w:szCs w:val="24"/>
              </w:rPr>
            </w:pPr>
            <w:r w:rsidRPr="00141675">
              <w:rPr>
                <w:rFonts w:ascii="Times New Roman" w:eastAsia="宋体" w:hAnsi="Times New Roman" w:cs="Times New Roman"/>
                <w:b/>
                <w:bCs/>
                <w:kern w:val="0"/>
                <w:sz w:val="24"/>
                <w:szCs w:val="24"/>
              </w:rPr>
              <w:t> </w:t>
            </w:r>
          </w:p>
        </w:tc>
        <w:tc>
          <w:tcPr>
            <w:tcW w:w="792" w:type="dxa"/>
            <w:shd w:val="clear" w:color="auto" w:fill="FFFFFF"/>
            <w:vAlign w:val="bottom"/>
            <w:hideMark/>
          </w:tcPr>
          <w:p w14:paraId="68D3EFB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r>
      <w:tr w:rsidR="00141675" w:rsidRPr="00141675" w14:paraId="43BE3DFA" w14:textId="77777777" w:rsidTr="00141675">
        <w:tc>
          <w:tcPr>
            <w:tcW w:w="1855" w:type="dxa"/>
            <w:shd w:val="clear" w:color="auto" w:fill="FFFFFF"/>
            <w:hideMark/>
          </w:tcPr>
          <w:p w14:paraId="7CEC06BC" w14:textId="77777777" w:rsidR="00141675" w:rsidRPr="00141675" w:rsidRDefault="00141675" w:rsidP="00141675">
            <w:pPr>
              <w:widowControl/>
              <w:jc w:val="left"/>
              <w:rPr>
                <w:rFonts w:ascii="Calibri" w:eastAsia="宋体" w:hAnsi="Calibri" w:cs="Calibri"/>
                <w:b/>
                <w:bCs/>
                <w:color w:val="000000"/>
                <w:kern w:val="0"/>
                <w:sz w:val="12"/>
                <w:szCs w:val="12"/>
              </w:rPr>
            </w:pPr>
            <w:r w:rsidRPr="00141675">
              <w:rPr>
                <w:rFonts w:ascii="Calibri" w:eastAsia="宋体" w:hAnsi="Calibri" w:cs="Calibri"/>
                <w:b/>
                <w:bCs/>
                <w:color w:val="000000"/>
                <w:kern w:val="0"/>
                <w:sz w:val="12"/>
                <w:szCs w:val="12"/>
              </w:rPr>
              <w:t> </w:t>
            </w:r>
          </w:p>
        </w:tc>
        <w:tc>
          <w:tcPr>
            <w:tcW w:w="206" w:type="dxa"/>
            <w:shd w:val="clear" w:color="auto" w:fill="FFFFFF"/>
            <w:hideMark/>
          </w:tcPr>
          <w:p w14:paraId="05CB534F" w14:textId="77777777" w:rsidR="00141675" w:rsidRPr="00141675" w:rsidRDefault="00141675" w:rsidP="00141675">
            <w:pPr>
              <w:widowControl/>
              <w:jc w:val="left"/>
              <w:rPr>
                <w:rFonts w:ascii="Times New Roman" w:eastAsia="宋体" w:hAnsi="Times New Roman" w:cs="Times New Roman"/>
                <w:b/>
                <w:bCs/>
                <w:kern w:val="0"/>
                <w:sz w:val="12"/>
                <w:szCs w:val="12"/>
              </w:rPr>
            </w:pPr>
            <w:r w:rsidRPr="00141675">
              <w:rPr>
                <w:rFonts w:ascii="Times New Roman" w:eastAsia="宋体" w:hAnsi="Times New Roman" w:cs="Times New Roman"/>
                <w:b/>
                <w:bCs/>
                <w:kern w:val="0"/>
                <w:sz w:val="12"/>
                <w:szCs w:val="12"/>
              </w:rPr>
              <w:t> </w:t>
            </w:r>
          </w:p>
        </w:tc>
        <w:tc>
          <w:tcPr>
            <w:tcW w:w="17493" w:type="dxa"/>
            <w:shd w:val="clear" w:color="auto" w:fill="FFFFFF"/>
            <w:hideMark/>
          </w:tcPr>
          <w:p w14:paraId="6447BEA9" w14:textId="77777777" w:rsidR="00141675" w:rsidRPr="00141675" w:rsidRDefault="00141675" w:rsidP="00141675">
            <w:pPr>
              <w:widowControl/>
              <w:jc w:val="left"/>
              <w:rPr>
                <w:rFonts w:ascii="Calibri" w:eastAsia="宋体" w:hAnsi="Calibri" w:cs="Calibri"/>
                <w:b/>
                <w:bCs/>
                <w:color w:val="000000"/>
                <w:kern w:val="0"/>
                <w:sz w:val="12"/>
                <w:szCs w:val="12"/>
              </w:rPr>
            </w:pPr>
            <w:r w:rsidRPr="00141675">
              <w:rPr>
                <w:rFonts w:ascii="Calibri" w:eastAsia="宋体" w:hAnsi="Calibri" w:cs="Calibri"/>
                <w:b/>
                <w:bCs/>
                <w:color w:val="000000"/>
                <w:kern w:val="0"/>
                <w:sz w:val="12"/>
                <w:szCs w:val="12"/>
              </w:rPr>
              <w:t> </w:t>
            </w:r>
          </w:p>
        </w:tc>
        <w:tc>
          <w:tcPr>
            <w:tcW w:w="268" w:type="dxa"/>
            <w:shd w:val="clear" w:color="auto" w:fill="FFFFFF"/>
            <w:hideMark/>
          </w:tcPr>
          <w:p w14:paraId="2F6A45BE" w14:textId="77777777" w:rsidR="00141675" w:rsidRPr="00141675" w:rsidRDefault="00141675" w:rsidP="00141675">
            <w:pPr>
              <w:widowControl/>
              <w:jc w:val="left"/>
              <w:rPr>
                <w:rFonts w:ascii="Times New Roman" w:eastAsia="宋体" w:hAnsi="Times New Roman" w:cs="Times New Roman"/>
                <w:b/>
                <w:bCs/>
                <w:kern w:val="0"/>
                <w:sz w:val="12"/>
                <w:szCs w:val="12"/>
              </w:rPr>
            </w:pPr>
            <w:r w:rsidRPr="00141675">
              <w:rPr>
                <w:rFonts w:ascii="Times New Roman" w:eastAsia="宋体" w:hAnsi="Times New Roman" w:cs="Times New Roman"/>
                <w:b/>
                <w:bCs/>
                <w:kern w:val="0"/>
                <w:sz w:val="12"/>
                <w:szCs w:val="12"/>
              </w:rPr>
              <w:t> </w:t>
            </w:r>
          </w:p>
        </w:tc>
        <w:tc>
          <w:tcPr>
            <w:tcW w:w="792" w:type="dxa"/>
            <w:shd w:val="clear" w:color="auto" w:fill="FFFFFF"/>
            <w:vAlign w:val="bottom"/>
            <w:hideMark/>
          </w:tcPr>
          <w:p w14:paraId="1B025687"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7725F5A0" w14:textId="77777777" w:rsidTr="00141675">
        <w:tc>
          <w:tcPr>
            <w:tcW w:w="1855" w:type="dxa"/>
            <w:shd w:val="clear" w:color="auto" w:fill="FFFFFF"/>
            <w:hideMark/>
          </w:tcPr>
          <w:p w14:paraId="745C7D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Item 1.</w:t>
            </w:r>
          </w:p>
        </w:tc>
        <w:tc>
          <w:tcPr>
            <w:tcW w:w="206" w:type="dxa"/>
            <w:shd w:val="clear" w:color="auto" w:fill="FFFFFF"/>
            <w:hideMark/>
          </w:tcPr>
          <w:p w14:paraId="1B5512D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29C00198" w14:textId="77777777" w:rsidR="00141675" w:rsidRPr="00141675" w:rsidRDefault="00141675" w:rsidP="00141675">
            <w:pPr>
              <w:widowControl/>
              <w:ind w:left="245" w:hanging="245"/>
              <w:jc w:val="left"/>
              <w:rPr>
                <w:rFonts w:ascii="Calibri" w:eastAsia="宋体" w:hAnsi="Calibri" w:cs="Calibri"/>
                <w:kern w:val="0"/>
                <w:sz w:val="20"/>
                <w:szCs w:val="20"/>
              </w:rPr>
            </w:pPr>
            <w:hyperlink r:id="rId7" w:anchor="ITEM_1_FINANCIAL_STATEMENTS_UNAUDITED" w:history="1">
              <w:r w:rsidRPr="00141675">
                <w:rPr>
                  <w:rFonts w:ascii="Calibri" w:eastAsia="宋体" w:hAnsi="Calibri" w:cs="Calibri"/>
                  <w:color w:val="0000FF"/>
                  <w:kern w:val="0"/>
                  <w:sz w:val="20"/>
                  <w:szCs w:val="20"/>
                  <w:u w:val="single"/>
                </w:rPr>
                <w:t>Financial Statements (Unaudited)</w:t>
              </w:r>
            </w:hyperlink>
          </w:p>
        </w:tc>
        <w:tc>
          <w:tcPr>
            <w:tcW w:w="268" w:type="dxa"/>
            <w:shd w:val="clear" w:color="auto" w:fill="FFFFFF"/>
            <w:hideMark/>
          </w:tcPr>
          <w:p w14:paraId="4609EEFF"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0622911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r>
      <w:tr w:rsidR="00141675" w:rsidRPr="00141675" w14:paraId="72979DDC" w14:textId="77777777" w:rsidTr="00141675">
        <w:tc>
          <w:tcPr>
            <w:tcW w:w="1855" w:type="dxa"/>
            <w:shd w:val="clear" w:color="auto" w:fill="FFFFFF"/>
            <w:hideMark/>
          </w:tcPr>
          <w:p w14:paraId="064CF124"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50CBA8DA"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30198492"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5DFF928E"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30A6304C"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66B4F716" w14:textId="77777777" w:rsidTr="00141675">
        <w:tc>
          <w:tcPr>
            <w:tcW w:w="1855" w:type="dxa"/>
            <w:shd w:val="clear" w:color="auto" w:fill="FFFFFF"/>
            <w:hideMark/>
          </w:tcPr>
          <w:p w14:paraId="3D90015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6" w:type="dxa"/>
            <w:shd w:val="clear" w:color="auto" w:fill="FFFFFF"/>
            <w:hideMark/>
          </w:tcPr>
          <w:p w14:paraId="58909A0F"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3E730C6A" w14:textId="77777777" w:rsidR="00141675" w:rsidRPr="00141675" w:rsidRDefault="00141675" w:rsidP="00141675">
            <w:pPr>
              <w:widowControl/>
              <w:ind w:left="245" w:hanging="245"/>
              <w:jc w:val="left"/>
              <w:rPr>
                <w:rFonts w:ascii="Calibri" w:eastAsia="宋体" w:hAnsi="Calibri" w:cs="Calibri"/>
                <w:kern w:val="0"/>
                <w:sz w:val="20"/>
                <w:szCs w:val="20"/>
              </w:rPr>
            </w:pPr>
            <w:hyperlink r:id="rId8" w:anchor="CONDENSED_CONSOLIDATED_BALANCE_SHEETS" w:history="1">
              <w:r w:rsidRPr="00141675">
                <w:rPr>
                  <w:rFonts w:ascii="Calibri" w:eastAsia="宋体" w:hAnsi="Calibri" w:cs="Calibri"/>
                  <w:color w:val="0000FF"/>
                  <w:kern w:val="0"/>
                  <w:sz w:val="20"/>
                  <w:szCs w:val="20"/>
                  <w:u w:val="single"/>
                </w:rPr>
                <w:t>Condensed Consolidated Balance Sheets as of November 30, 2019 and May 31, 2019</w:t>
              </w:r>
            </w:hyperlink>
          </w:p>
        </w:tc>
        <w:tc>
          <w:tcPr>
            <w:tcW w:w="268" w:type="dxa"/>
            <w:shd w:val="clear" w:color="auto" w:fill="FFFFFF"/>
            <w:hideMark/>
          </w:tcPr>
          <w:p w14:paraId="5EB0059D"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21D4405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r>
      <w:tr w:rsidR="00141675" w:rsidRPr="00141675" w14:paraId="028DC2F2" w14:textId="77777777" w:rsidTr="00141675">
        <w:tc>
          <w:tcPr>
            <w:tcW w:w="1855" w:type="dxa"/>
            <w:shd w:val="clear" w:color="auto" w:fill="FFFFFF"/>
            <w:hideMark/>
          </w:tcPr>
          <w:p w14:paraId="4777EAA6"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5E71AC1C"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49E484CA"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5EC71252"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1616C4EF"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67705BF2" w14:textId="77777777" w:rsidTr="00141675">
        <w:tc>
          <w:tcPr>
            <w:tcW w:w="1855" w:type="dxa"/>
            <w:shd w:val="clear" w:color="auto" w:fill="FFFFFF"/>
            <w:hideMark/>
          </w:tcPr>
          <w:p w14:paraId="137C614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lastRenderedPageBreak/>
              <w:t> </w:t>
            </w:r>
          </w:p>
        </w:tc>
        <w:tc>
          <w:tcPr>
            <w:tcW w:w="206" w:type="dxa"/>
            <w:shd w:val="clear" w:color="auto" w:fill="FFFFFF"/>
            <w:hideMark/>
          </w:tcPr>
          <w:p w14:paraId="25ACD6CF"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72B990E6" w14:textId="77777777" w:rsidR="00141675" w:rsidRPr="00141675" w:rsidRDefault="00141675" w:rsidP="00141675">
            <w:pPr>
              <w:widowControl/>
              <w:ind w:left="245" w:hanging="245"/>
              <w:jc w:val="left"/>
              <w:rPr>
                <w:rFonts w:ascii="Calibri" w:eastAsia="宋体" w:hAnsi="Calibri" w:cs="Calibri"/>
                <w:kern w:val="0"/>
                <w:sz w:val="20"/>
                <w:szCs w:val="20"/>
              </w:rPr>
            </w:pPr>
            <w:hyperlink r:id="rId9" w:anchor="CONDENSED_CONSOLIDATED_STATEMENTS_OPERAT" w:history="1">
              <w:r w:rsidRPr="00141675">
                <w:rPr>
                  <w:rFonts w:ascii="Calibri" w:eastAsia="宋体" w:hAnsi="Calibri" w:cs="Calibri"/>
                  <w:color w:val="0000FF"/>
                  <w:kern w:val="0"/>
                  <w:sz w:val="20"/>
                  <w:szCs w:val="20"/>
                  <w:u w:val="single"/>
                </w:rPr>
                <w:t>Condensed Consolidated Statements of Operations for the Three and Six Months Ended November 30, 2019 and 2018</w:t>
              </w:r>
            </w:hyperlink>
          </w:p>
        </w:tc>
        <w:tc>
          <w:tcPr>
            <w:tcW w:w="268" w:type="dxa"/>
            <w:shd w:val="clear" w:color="auto" w:fill="FFFFFF"/>
            <w:hideMark/>
          </w:tcPr>
          <w:p w14:paraId="53F8AF41"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0668397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r>
      <w:tr w:rsidR="00141675" w:rsidRPr="00141675" w14:paraId="77D48D8A" w14:textId="77777777" w:rsidTr="00141675">
        <w:tc>
          <w:tcPr>
            <w:tcW w:w="1855" w:type="dxa"/>
            <w:shd w:val="clear" w:color="auto" w:fill="FFFFFF"/>
            <w:hideMark/>
          </w:tcPr>
          <w:p w14:paraId="5C844015"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589B586B"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5A9BE533"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29B4B7AF"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14F78C78"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0D3AD979" w14:textId="77777777" w:rsidTr="00141675">
        <w:tc>
          <w:tcPr>
            <w:tcW w:w="1855" w:type="dxa"/>
            <w:shd w:val="clear" w:color="auto" w:fill="FFFFFF"/>
            <w:hideMark/>
          </w:tcPr>
          <w:p w14:paraId="3046DEF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6" w:type="dxa"/>
            <w:shd w:val="clear" w:color="auto" w:fill="FFFFFF"/>
            <w:hideMark/>
          </w:tcPr>
          <w:p w14:paraId="29E3AE7A"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1EA93984" w14:textId="77777777" w:rsidR="00141675" w:rsidRPr="00141675" w:rsidRDefault="00141675" w:rsidP="00141675">
            <w:pPr>
              <w:widowControl/>
              <w:ind w:left="245" w:hanging="245"/>
              <w:jc w:val="left"/>
              <w:rPr>
                <w:rFonts w:ascii="Calibri" w:eastAsia="宋体" w:hAnsi="Calibri" w:cs="Calibri"/>
                <w:kern w:val="0"/>
                <w:sz w:val="20"/>
                <w:szCs w:val="20"/>
              </w:rPr>
            </w:pPr>
            <w:hyperlink r:id="rId10" w:anchor="CONDENSED_CONSOLIDATED_STATEMENTS_COMPRE" w:history="1">
              <w:r w:rsidRPr="00141675">
                <w:rPr>
                  <w:rFonts w:ascii="Calibri" w:eastAsia="宋体" w:hAnsi="Calibri" w:cs="Calibri"/>
                  <w:color w:val="0000FF"/>
                  <w:kern w:val="0"/>
                  <w:sz w:val="20"/>
                  <w:szCs w:val="20"/>
                  <w:u w:val="single"/>
                </w:rPr>
                <w:t>Condensed Consolidated Statements of Comprehensive Income for the Three and Six Months Ended November 30, 2019 and 2018</w:t>
              </w:r>
            </w:hyperlink>
          </w:p>
        </w:tc>
        <w:tc>
          <w:tcPr>
            <w:tcW w:w="268" w:type="dxa"/>
            <w:shd w:val="clear" w:color="auto" w:fill="FFFFFF"/>
            <w:hideMark/>
          </w:tcPr>
          <w:p w14:paraId="5D104376"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53F8DCC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r>
      <w:tr w:rsidR="00141675" w:rsidRPr="00141675" w14:paraId="72800A40" w14:textId="77777777" w:rsidTr="00141675">
        <w:tc>
          <w:tcPr>
            <w:tcW w:w="1855" w:type="dxa"/>
            <w:shd w:val="clear" w:color="auto" w:fill="FFFFFF"/>
            <w:hideMark/>
          </w:tcPr>
          <w:p w14:paraId="25B5B141"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465DCA3A"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1723F514"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597DCA38"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49C3AAE6"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51AC6A44" w14:textId="77777777" w:rsidTr="00141675">
        <w:tc>
          <w:tcPr>
            <w:tcW w:w="1855" w:type="dxa"/>
            <w:shd w:val="clear" w:color="auto" w:fill="FFFFFF"/>
            <w:hideMark/>
          </w:tcPr>
          <w:p w14:paraId="35162B2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6" w:type="dxa"/>
            <w:shd w:val="clear" w:color="auto" w:fill="FFFFFF"/>
            <w:hideMark/>
          </w:tcPr>
          <w:p w14:paraId="2E81E18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47B54BD6" w14:textId="77777777" w:rsidR="00141675" w:rsidRPr="00141675" w:rsidRDefault="00141675" w:rsidP="00141675">
            <w:pPr>
              <w:widowControl/>
              <w:ind w:left="245" w:hanging="245"/>
              <w:jc w:val="left"/>
              <w:rPr>
                <w:rFonts w:ascii="Calibri" w:eastAsia="宋体" w:hAnsi="Calibri" w:cs="Calibri"/>
                <w:kern w:val="0"/>
                <w:sz w:val="20"/>
                <w:szCs w:val="20"/>
              </w:rPr>
            </w:pPr>
            <w:hyperlink r:id="rId11" w:anchor="Equity_2019" w:history="1">
              <w:r w:rsidRPr="00141675">
                <w:rPr>
                  <w:rFonts w:ascii="Calibri" w:eastAsia="宋体" w:hAnsi="Calibri" w:cs="Calibri"/>
                  <w:color w:val="0000FF"/>
                  <w:kern w:val="0"/>
                  <w:sz w:val="20"/>
                  <w:szCs w:val="20"/>
                  <w:u w:val="single"/>
                </w:rPr>
                <w:t>Condensed Consolidated Statements of Equity for the Three and Six Months Ended November 30, 2019 and 2018</w:t>
              </w:r>
            </w:hyperlink>
          </w:p>
        </w:tc>
        <w:tc>
          <w:tcPr>
            <w:tcW w:w="268" w:type="dxa"/>
            <w:shd w:val="clear" w:color="auto" w:fill="FFFFFF"/>
            <w:hideMark/>
          </w:tcPr>
          <w:p w14:paraId="112B242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3F1632E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r>
      <w:tr w:rsidR="00141675" w:rsidRPr="00141675" w14:paraId="4FB611AB" w14:textId="77777777" w:rsidTr="00141675">
        <w:tc>
          <w:tcPr>
            <w:tcW w:w="1855" w:type="dxa"/>
            <w:shd w:val="clear" w:color="auto" w:fill="FFFFFF"/>
            <w:hideMark/>
          </w:tcPr>
          <w:p w14:paraId="5E758712"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5DCBAB9B"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698352FD"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6E13B383"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04DA8F3F"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1CBED497" w14:textId="77777777" w:rsidTr="00141675">
        <w:tc>
          <w:tcPr>
            <w:tcW w:w="1855" w:type="dxa"/>
            <w:shd w:val="clear" w:color="auto" w:fill="FFFFFF"/>
            <w:hideMark/>
          </w:tcPr>
          <w:p w14:paraId="16D0A64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6" w:type="dxa"/>
            <w:shd w:val="clear" w:color="auto" w:fill="FFFFFF"/>
            <w:hideMark/>
          </w:tcPr>
          <w:p w14:paraId="5D881E3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49FB8902" w14:textId="77777777" w:rsidR="00141675" w:rsidRPr="00141675" w:rsidRDefault="00141675" w:rsidP="00141675">
            <w:pPr>
              <w:widowControl/>
              <w:ind w:left="245" w:hanging="245"/>
              <w:jc w:val="left"/>
              <w:rPr>
                <w:rFonts w:ascii="Calibri" w:eastAsia="宋体" w:hAnsi="Calibri" w:cs="Calibri"/>
                <w:kern w:val="0"/>
                <w:sz w:val="20"/>
                <w:szCs w:val="20"/>
              </w:rPr>
            </w:pPr>
            <w:hyperlink r:id="rId12" w:anchor="CONDENSED_CONSOLIDATED_STATEMENTS_CASH_F" w:history="1">
              <w:r w:rsidRPr="00141675">
                <w:rPr>
                  <w:rFonts w:ascii="Calibri" w:eastAsia="宋体" w:hAnsi="Calibri" w:cs="Calibri"/>
                  <w:color w:val="0000FF"/>
                  <w:kern w:val="0"/>
                  <w:sz w:val="20"/>
                  <w:szCs w:val="20"/>
                  <w:u w:val="single"/>
                </w:rPr>
                <w:t>Condensed Consolidated Statements of Cash Flows for the Six Months Ended November 30, 2019 and 2018</w:t>
              </w:r>
            </w:hyperlink>
          </w:p>
        </w:tc>
        <w:tc>
          <w:tcPr>
            <w:tcW w:w="268" w:type="dxa"/>
            <w:shd w:val="clear" w:color="auto" w:fill="FFFFFF"/>
            <w:hideMark/>
          </w:tcPr>
          <w:p w14:paraId="51C3DC9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61F2053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w:t>
            </w:r>
          </w:p>
        </w:tc>
      </w:tr>
      <w:tr w:rsidR="00141675" w:rsidRPr="00141675" w14:paraId="14D9BB0E" w14:textId="77777777" w:rsidTr="00141675">
        <w:tc>
          <w:tcPr>
            <w:tcW w:w="1855" w:type="dxa"/>
            <w:shd w:val="clear" w:color="auto" w:fill="FFFFFF"/>
            <w:hideMark/>
          </w:tcPr>
          <w:p w14:paraId="5FEE74E1"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5A06B547"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4E6540F4"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1D79BA84"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61F526AE"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2A1E2CB8" w14:textId="77777777" w:rsidTr="00141675">
        <w:tc>
          <w:tcPr>
            <w:tcW w:w="1855" w:type="dxa"/>
            <w:shd w:val="clear" w:color="auto" w:fill="FFFFFF"/>
            <w:hideMark/>
          </w:tcPr>
          <w:p w14:paraId="7FE9B3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6" w:type="dxa"/>
            <w:shd w:val="clear" w:color="auto" w:fill="FFFFFF"/>
            <w:hideMark/>
          </w:tcPr>
          <w:p w14:paraId="43940315"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20470AEE" w14:textId="77777777" w:rsidR="00141675" w:rsidRPr="00141675" w:rsidRDefault="00141675" w:rsidP="00141675">
            <w:pPr>
              <w:widowControl/>
              <w:ind w:left="245" w:hanging="245"/>
              <w:jc w:val="left"/>
              <w:rPr>
                <w:rFonts w:ascii="Calibri" w:eastAsia="宋体" w:hAnsi="Calibri" w:cs="Calibri"/>
                <w:kern w:val="0"/>
                <w:sz w:val="20"/>
                <w:szCs w:val="20"/>
              </w:rPr>
            </w:pPr>
            <w:hyperlink r:id="rId13" w:anchor="NOTES_TO_CONDENSED_CONSOLIDATED_FINANCIA" w:history="1">
              <w:r w:rsidRPr="00141675">
                <w:rPr>
                  <w:rFonts w:ascii="Calibri" w:eastAsia="宋体" w:hAnsi="Calibri" w:cs="Calibri"/>
                  <w:color w:val="0000FF"/>
                  <w:kern w:val="0"/>
                  <w:sz w:val="20"/>
                  <w:szCs w:val="20"/>
                  <w:u w:val="single"/>
                </w:rPr>
                <w:t>Notes to Condensed Consolidated Financial Statements</w:t>
              </w:r>
            </w:hyperlink>
          </w:p>
        </w:tc>
        <w:tc>
          <w:tcPr>
            <w:tcW w:w="268" w:type="dxa"/>
            <w:shd w:val="clear" w:color="auto" w:fill="FFFFFF"/>
            <w:hideMark/>
          </w:tcPr>
          <w:p w14:paraId="607B1F2E"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6E6815E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r>
      <w:tr w:rsidR="00141675" w:rsidRPr="00141675" w14:paraId="2DE711DF" w14:textId="77777777" w:rsidTr="00141675">
        <w:tc>
          <w:tcPr>
            <w:tcW w:w="1855" w:type="dxa"/>
            <w:shd w:val="clear" w:color="auto" w:fill="FFFFFF"/>
            <w:hideMark/>
          </w:tcPr>
          <w:p w14:paraId="62A65FFD"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23BD6240"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336EF5F6"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42DEA77F"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72CC97C3"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34D6AEA8" w14:textId="77777777" w:rsidTr="00141675">
        <w:tc>
          <w:tcPr>
            <w:tcW w:w="1855" w:type="dxa"/>
            <w:shd w:val="clear" w:color="auto" w:fill="FFFFFF"/>
            <w:hideMark/>
          </w:tcPr>
          <w:p w14:paraId="14A55F9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Item 2.</w:t>
            </w:r>
          </w:p>
        </w:tc>
        <w:tc>
          <w:tcPr>
            <w:tcW w:w="206" w:type="dxa"/>
            <w:shd w:val="clear" w:color="auto" w:fill="FFFFFF"/>
            <w:hideMark/>
          </w:tcPr>
          <w:p w14:paraId="2750296D"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4951F5B7" w14:textId="77777777" w:rsidR="00141675" w:rsidRPr="00141675" w:rsidRDefault="00141675" w:rsidP="00141675">
            <w:pPr>
              <w:widowControl/>
              <w:ind w:left="245" w:hanging="245"/>
              <w:jc w:val="left"/>
              <w:rPr>
                <w:rFonts w:ascii="Calibri" w:eastAsia="宋体" w:hAnsi="Calibri" w:cs="Calibri"/>
                <w:kern w:val="0"/>
                <w:sz w:val="20"/>
                <w:szCs w:val="20"/>
              </w:rPr>
            </w:pPr>
            <w:hyperlink r:id="rId14" w:anchor="ITEM_2_MANAGEMENTS_DISCUSSION_ANALYSIS_F" w:history="1">
              <w:r w:rsidRPr="00141675">
                <w:rPr>
                  <w:rFonts w:ascii="Calibri" w:eastAsia="宋体" w:hAnsi="Calibri" w:cs="Calibri"/>
                  <w:color w:val="0000FF"/>
                  <w:kern w:val="0"/>
                  <w:sz w:val="20"/>
                  <w:szCs w:val="20"/>
                  <w:u w:val="single"/>
                </w:rPr>
                <w:t>Management’s Discussion and Analysis of Financial Condition and Results of Operations</w:t>
              </w:r>
            </w:hyperlink>
          </w:p>
        </w:tc>
        <w:tc>
          <w:tcPr>
            <w:tcW w:w="268" w:type="dxa"/>
            <w:shd w:val="clear" w:color="auto" w:fill="FFFFFF"/>
            <w:hideMark/>
          </w:tcPr>
          <w:p w14:paraId="684C5361"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5327B1A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w:t>
            </w:r>
          </w:p>
        </w:tc>
      </w:tr>
      <w:tr w:rsidR="00141675" w:rsidRPr="00141675" w14:paraId="6E1F5471" w14:textId="77777777" w:rsidTr="00141675">
        <w:tc>
          <w:tcPr>
            <w:tcW w:w="1855" w:type="dxa"/>
            <w:shd w:val="clear" w:color="auto" w:fill="FFFFFF"/>
            <w:hideMark/>
          </w:tcPr>
          <w:p w14:paraId="2AF720D9"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65B3F90D"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446647DB"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22DF7820"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721015C0"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22E9C74B" w14:textId="77777777" w:rsidTr="00141675">
        <w:tc>
          <w:tcPr>
            <w:tcW w:w="1855" w:type="dxa"/>
            <w:shd w:val="clear" w:color="auto" w:fill="FFFFFF"/>
            <w:hideMark/>
          </w:tcPr>
          <w:p w14:paraId="42F770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Item 3.</w:t>
            </w:r>
          </w:p>
        </w:tc>
        <w:tc>
          <w:tcPr>
            <w:tcW w:w="206" w:type="dxa"/>
            <w:shd w:val="clear" w:color="auto" w:fill="FFFFFF"/>
            <w:hideMark/>
          </w:tcPr>
          <w:p w14:paraId="299A5B89"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21B65C28" w14:textId="77777777" w:rsidR="00141675" w:rsidRPr="00141675" w:rsidRDefault="00141675" w:rsidP="00141675">
            <w:pPr>
              <w:widowControl/>
              <w:ind w:left="245" w:hanging="245"/>
              <w:jc w:val="left"/>
              <w:rPr>
                <w:rFonts w:ascii="Calibri" w:eastAsia="宋体" w:hAnsi="Calibri" w:cs="Calibri"/>
                <w:kern w:val="0"/>
                <w:sz w:val="20"/>
                <w:szCs w:val="20"/>
              </w:rPr>
            </w:pPr>
            <w:hyperlink r:id="rId15" w:anchor="ITEM_3_QUANTITATIVE_QUALITATIVE_DISCLOSU" w:history="1">
              <w:r w:rsidRPr="00141675">
                <w:rPr>
                  <w:rFonts w:ascii="Calibri" w:eastAsia="宋体" w:hAnsi="Calibri" w:cs="Calibri"/>
                  <w:color w:val="0000FF"/>
                  <w:kern w:val="0"/>
                  <w:sz w:val="20"/>
                  <w:szCs w:val="20"/>
                  <w:u w:val="single"/>
                </w:rPr>
                <w:t>Quantitative and Qualitative Disclosures About Market Risk</w:t>
              </w:r>
            </w:hyperlink>
          </w:p>
        </w:tc>
        <w:tc>
          <w:tcPr>
            <w:tcW w:w="268" w:type="dxa"/>
            <w:shd w:val="clear" w:color="auto" w:fill="FFFFFF"/>
            <w:hideMark/>
          </w:tcPr>
          <w:p w14:paraId="6BFA25A6"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7683373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43</w:t>
            </w:r>
          </w:p>
        </w:tc>
      </w:tr>
      <w:tr w:rsidR="00141675" w:rsidRPr="00141675" w14:paraId="7EA43042" w14:textId="77777777" w:rsidTr="00141675">
        <w:tc>
          <w:tcPr>
            <w:tcW w:w="1855" w:type="dxa"/>
            <w:shd w:val="clear" w:color="auto" w:fill="FFFFFF"/>
            <w:hideMark/>
          </w:tcPr>
          <w:p w14:paraId="7D8F5665"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7EF24BD6"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3054475B"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2C423637"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0326B2C0"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1085A1A4" w14:textId="77777777" w:rsidTr="00141675">
        <w:tc>
          <w:tcPr>
            <w:tcW w:w="1855" w:type="dxa"/>
            <w:shd w:val="clear" w:color="auto" w:fill="FFFFFF"/>
            <w:hideMark/>
          </w:tcPr>
          <w:p w14:paraId="7BDC63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Item 4.</w:t>
            </w:r>
          </w:p>
        </w:tc>
        <w:tc>
          <w:tcPr>
            <w:tcW w:w="206" w:type="dxa"/>
            <w:shd w:val="clear" w:color="auto" w:fill="FFFFFF"/>
            <w:hideMark/>
          </w:tcPr>
          <w:p w14:paraId="50D81777"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0D091743" w14:textId="77777777" w:rsidR="00141675" w:rsidRPr="00141675" w:rsidRDefault="00141675" w:rsidP="00141675">
            <w:pPr>
              <w:widowControl/>
              <w:ind w:left="245" w:hanging="245"/>
              <w:jc w:val="left"/>
              <w:rPr>
                <w:rFonts w:ascii="Calibri" w:eastAsia="宋体" w:hAnsi="Calibri" w:cs="Calibri"/>
                <w:kern w:val="0"/>
                <w:sz w:val="20"/>
                <w:szCs w:val="20"/>
              </w:rPr>
            </w:pPr>
            <w:hyperlink r:id="rId16" w:anchor="ITEM_4_CONTROLS_PROCEDURES" w:history="1">
              <w:r w:rsidRPr="00141675">
                <w:rPr>
                  <w:rFonts w:ascii="Calibri" w:eastAsia="宋体" w:hAnsi="Calibri" w:cs="Calibri"/>
                  <w:color w:val="0000FF"/>
                  <w:kern w:val="0"/>
                  <w:sz w:val="20"/>
                  <w:szCs w:val="20"/>
                  <w:u w:val="single"/>
                </w:rPr>
                <w:t>Controls and Procedures</w:t>
              </w:r>
            </w:hyperlink>
          </w:p>
        </w:tc>
        <w:tc>
          <w:tcPr>
            <w:tcW w:w="268" w:type="dxa"/>
            <w:shd w:val="clear" w:color="auto" w:fill="FFFFFF"/>
            <w:hideMark/>
          </w:tcPr>
          <w:p w14:paraId="30CE0F73"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6C338BC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43</w:t>
            </w:r>
          </w:p>
        </w:tc>
      </w:tr>
      <w:tr w:rsidR="00141675" w:rsidRPr="00141675" w14:paraId="1583E349" w14:textId="77777777" w:rsidTr="00141675">
        <w:tc>
          <w:tcPr>
            <w:tcW w:w="1855" w:type="dxa"/>
            <w:shd w:val="clear" w:color="auto" w:fill="FFFFFF"/>
            <w:hideMark/>
          </w:tcPr>
          <w:p w14:paraId="7196D655"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42A97F34"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7B81BF56"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3B963117"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0BE61A19"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7552C795" w14:textId="77777777" w:rsidTr="00141675">
        <w:tc>
          <w:tcPr>
            <w:tcW w:w="1855" w:type="dxa"/>
            <w:shd w:val="clear" w:color="auto" w:fill="FFFFFF"/>
            <w:hideMark/>
          </w:tcPr>
          <w:p w14:paraId="7FB335D1"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PART II.</w:t>
            </w:r>
          </w:p>
        </w:tc>
        <w:tc>
          <w:tcPr>
            <w:tcW w:w="206" w:type="dxa"/>
            <w:shd w:val="clear" w:color="auto" w:fill="FFFFFF"/>
            <w:hideMark/>
          </w:tcPr>
          <w:p w14:paraId="19248C03" w14:textId="77777777" w:rsidR="00141675" w:rsidRPr="00141675" w:rsidRDefault="00141675" w:rsidP="00141675">
            <w:pPr>
              <w:widowControl/>
              <w:jc w:val="left"/>
              <w:rPr>
                <w:rFonts w:ascii="Times New Roman" w:eastAsia="宋体" w:hAnsi="Times New Roman" w:cs="Times New Roman"/>
                <w:b/>
                <w:bCs/>
                <w:kern w:val="0"/>
                <w:sz w:val="24"/>
                <w:szCs w:val="24"/>
              </w:rPr>
            </w:pPr>
            <w:r w:rsidRPr="00141675">
              <w:rPr>
                <w:rFonts w:ascii="Times New Roman" w:eastAsia="宋体" w:hAnsi="Times New Roman" w:cs="Times New Roman"/>
                <w:b/>
                <w:bCs/>
                <w:kern w:val="0"/>
                <w:sz w:val="24"/>
                <w:szCs w:val="24"/>
              </w:rPr>
              <w:t> </w:t>
            </w:r>
          </w:p>
        </w:tc>
        <w:tc>
          <w:tcPr>
            <w:tcW w:w="17493" w:type="dxa"/>
            <w:shd w:val="clear" w:color="auto" w:fill="FFFFFF"/>
            <w:hideMark/>
          </w:tcPr>
          <w:p w14:paraId="2A1C16F3" w14:textId="77777777" w:rsidR="00141675" w:rsidRPr="00141675" w:rsidRDefault="00141675" w:rsidP="00141675">
            <w:pPr>
              <w:widowControl/>
              <w:jc w:val="left"/>
              <w:rPr>
                <w:rFonts w:ascii="Calibri" w:eastAsia="宋体" w:hAnsi="Calibri" w:cs="Calibri"/>
                <w:b/>
                <w:bCs/>
                <w:kern w:val="0"/>
                <w:sz w:val="20"/>
                <w:szCs w:val="20"/>
              </w:rPr>
            </w:pPr>
            <w:hyperlink r:id="rId17" w:anchor="PART_II_OR_INFORMATION" w:history="1">
              <w:r w:rsidRPr="00141675">
                <w:rPr>
                  <w:rFonts w:ascii="Calibri" w:eastAsia="宋体" w:hAnsi="Calibri" w:cs="Calibri"/>
                  <w:b/>
                  <w:bCs/>
                  <w:color w:val="0000FF"/>
                  <w:kern w:val="0"/>
                  <w:sz w:val="20"/>
                  <w:szCs w:val="20"/>
                </w:rPr>
                <w:t>OTHER INFORMATION</w:t>
              </w:r>
            </w:hyperlink>
          </w:p>
        </w:tc>
        <w:tc>
          <w:tcPr>
            <w:tcW w:w="268" w:type="dxa"/>
            <w:shd w:val="clear" w:color="auto" w:fill="FFFFFF"/>
            <w:hideMark/>
          </w:tcPr>
          <w:p w14:paraId="12A9232D" w14:textId="77777777" w:rsidR="00141675" w:rsidRPr="00141675" w:rsidRDefault="00141675" w:rsidP="00141675">
            <w:pPr>
              <w:widowControl/>
              <w:jc w:val="left"/>
              <w:rPr>
                <w:rFonts w:ascii="Times New Roman" w:eastAsia="宋体" w:hAnsi="Times New Roman" w:cs="Times New Roman"/>
                <w:b/>
                <w:bCs/>
                <w:kern w:val="0"/>
                <w:sz w:val="24"/>
                <w:szCs w:val="24"/>
              </w:rPr>
            </w:pPr>
            <w:r w:rsidRPr="00141675">
              <w:rPr>
                <w:rFonts w:ascii="Times New Roman" w:eastAsia="宋体" w:hAnsi="Times New Roman" w:cs="Times New Roman"/>
                <w:b/>
                <w:bCs/>
                <w:kern w:val="0"/>
                <w:sz w:val="24"/>
                <w:szCs w:val="24"/>
              </w:rPr>
              <w:t> </w:t>
            </w:r>
          </w:p>
        </w:tc>
        <w:tc>
          <w:tcPr>
            <w:tcW w:w="792" w:type="dxa"/>
            <w:shd w:val="clear" w:color="auto" w:fill="FFFFFF"/>
            <w:vAlign w:val="bottom"/>
            <w:hideMark/>
          </w:tcPr>
          <w:p w14:paraId="7DB71FF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45</w:t>
            </w:r>
          </w:p>
        </w:tc>
      </w:tr>
      <w:tr w:rsidR="00141675" w:rsidRPr="00141675" w14:paraId="5176C628" w14:textId="77777777" w:rsidTr="00141675">
        <w:tc>
          <w:tcPr>
            <w:tcW w:w="1855" w:type="dxa"/>
            <w:shd w:val="clear" w:color="auto" w:fill="FFFFFF"/>
            <w:hideMark/>
          </w:tcPr>
          <w:p w14:paraId="03BF9273" w14:textId="77777777" w:rsidR="00141675" w:rsidRPr="00141675" w:rsidRDefault="00141675" w:rsidP="00141675">
            <w:pPr>
              <w:widowControl/>
              <w:jc w:val="left"/>
              <w:rPr>
                <w:rFonts w:ascii="Calibri" w:eastAsia="宋体" w:hAnsi="Calibri" w:cs="Calibri"/>
                <w:b/>
                <w:bCs/>
                <w:color w:val="000000"/>
                <w:kern w:val="0"/>
                <w:sz w:val="12"/>
                <w:szCs w:val="12"/>
              </w:rPr>
            </w:pPr>
            <w:r w:rsidRPr="00141675">
              <w:rPr>
                <w:rFonts w:ascii="Calibri" w:eastAsia="宋体" w:hAnsi="Calibri" w:cs="Calibri"/>
                <w:b/>
                <w:bCs/>
                <w:color w:val="000000"/>
                <w:kern w:val="0"/>
                <w:sz w:val="12"/>
                <w:szCs w:val="12"/>
              </w:rPr>
              <w:t> </w:t>
            </w:r>
          </w:p>
        </w:tc>
        <w:tc>
          <w:tcPr>
            <w:tcW w:w="206" w:type="dxa"/>
            <w:shd w:val="clear" w:color="auto" w:fill="FFFFFF"/>
            <w:hideMark/>
          </w:tcPr>
          <w:p w14:paraId="6761E7DE" w14:textId="77777777" w:rsidR="00141675" w:rsidRPr="00141675" w:rsidRDefault="00141675" w:rsidP="00141675">
            <w:pPr>
              <w:widowControl/>
              <w:jc w:val="left"/>
              <w:rPr>
                <w:rFonts w:ascii="Times New Roman" w:eastAsia="宋体" w:hAnsi="Times New Roman" w:cs="Times New Roman"/>
                <w:b/>
                <w:bCs/>
                <w:kern w:val="0"/>
                <w:sz w:val="12"/>
                <w:szCs w:val="12"/>
              </w:rPr>
            </w:pPr>
            <w:r w:rsidRPr="00141675">
              <w:rPr>
                <w:rFonts w:ascii="Times New Roman" w:eastAsia="宋体" w:hAnsi="Times New Roman" w:cs="Times New Roman"/>
                <w:b/>
                <w:bCs/>
                <w:kern w:val="0"/>
                <w:sz w:val="12"/>
                <w:szCs w:val="12"/>
              </w:rPr>
              <w:t> </w:t>
            </w:r>
          </w:p>
        </w:tc>
        <w:tc>
          <w:tcPr>
            <w:tcW w:w="17493" w:type="dxa"/>
            <w:shd w:val="clear" w:color="auto" w:fill="FFFFFF"/>
            <w:hideMark/>
          </w:tcPr>
          <w:p w14:paraId="3209224A" w14:textId="77777777" w:rsidR="00141675" w:rsidRPr="00141675" w:rsidRDefault="00141675" w:rsidP="00141675">
            <w:pPr>
              <w:widowControl/>
              <w:jc w:val="left"/>
              <w:rPr>
                <w:rFonts w:ascii="Calibri" w:eastAsia="宋体" w:hAnsi="Calibri" w:cs="Calibri"/>
                <w:b/>
                <w:bCs/>
                <w:color w:val="000000"/>
                <w:kern w:val="0"/>
                <w:sz w:val="12"/>
                <w:szCs w:val="12"/>
              </w:rPr>
            </w:pPr>
            <w:r w:rsidRPr="00141675">
              <w:rPr>
                <w:rFonts w:ascii="Calibri" w:eastAsia="宋体" w:hAnsi="Calibri" w:cs="Calibri"/>
                <w:b/>
                <w:bCs/>
                <w:color w:val="000000"/>
                <w:kern w:val="0"/>
                <w:sz w:val="12"/>
                <w:szCs w:val="12"/>
              </w:rPr>
              <w:t> </w:t>
            </w:r>
          </w:p>
        </w:tc>
        <w:tc>
          <w:tcPr>
            <w:tcW w:w="268" w:type="dxa"/>
            <w:shd w:val="clear" w:color="auto" w:fill="FFFFFF"/>
            <w:hideMark/>
          </w:tcPr>
          <w:p w14:paraId="23754747" w14:textId="77777777" w:rsidR="00141675" w:rsidRPr="00141675" w:rsidRDefault="00141675" w:rsidP="00141675">
            <w:pPr>
              <w:widowControl/>
              <w:jc w:val="left"/>
              <w:rPr>
                <w:rFonts w:ascii="Times New Roman" w:eastAsia="宋体" w:hAnsi="Times New Roman" w:cs="Times New Roman"/>
                <w:b/>
                <w:bCs/>
                <w:kern w:val="0"/>
                <w:sz w:val="12"/>
                <w:szCs w:val="12"/>
              </w:rPr>
            </w:pPr>
            <w:r w:rsidRPr="00141675">
              <w:rPr>
                <w:rFonts w:ascii="Times New Roman" w:eastAsia="宋体" w:hAnsi="Times New Roman" w:cs="Times New Roman"/>
                <w:b/>
                <w:bCs/>
                <w:kern w:val="0"/>
                <w:sz w:val="12"/>
                <w:szCs w:val="12"/>
              </w:rPr>
              <w:t> </w:t>
            </w:r>
          </w:p>
        </w:tc>
        <w:tc>
          <w:tcPr>
            <w:tcW w:w="792" w:type="dxa"/>
            <w:shd w:val="clear" w:color="auto" w:fill="FFFFFF"/>
            <w:vAlign w:val="bottom"/>
            <w:hideMark/>
          </w:tcPr>
          <w:p w14:paraId="653C32D3"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327A9013" w14:textId="77777777" w:rsidTr="00141675">
        <w:tc>
          <w:tcPr>
            <w:tcW w:w="1855" w:type="dxa"/>
            <w:shd w:val="clear" w:color="auto" w:fill="FFFFFF"/>
            <w:hideMark/>
          </w:tcPr>
          <w:p w14:paraId="549CCF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Item 1.</w:t>
            </w:r>
          </w:p>
        </w:tc>
        <w:tc>
          <w:tcPr>
            <w:tcW w:w="206" w:type="dxa"/>
            <w:shd w:val="clear" w:color="auto" w:fill="FFFFFF"/>
            <w:hideMark/>
          </w:tcPr>
          <w:p w14:paraId="1EE00BC3"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142FF895" w14:textId="77777777" w:rsidR="00141675" w:rsidRPr="00141675" w:rsidRDefault="00141675" w:rsidP="00141675">
            <w:pPr>
              <w:widowControl/>
              <w:ind w:left="245" w:hanging="245"/>
              <w:jc w:val="left"/>
              <w:rPr>
                <w:rFonts w:ascii="Calibri" w:eastAsia="宋体" w:hAnsi="Calibri" w:cs="Calibri"/>
                <w:kern w:val="0"/>
                <w:sz w:val="20"/>
                <w:szCs w:val="20"/>
              </w:rPr>
            </w:pPr>
            <w:hyperlink r:id="rId18" w:anchor="ITEM_1_LEGAL_PROCEEDINGS" w:history="1">
              <w:r w:rsidRPr="00141675">
                <w:rPr>
                  <w:rFonts w:ascii="Calibri" w:eastAsia="宋体" w:hAnsi="Calibri" w:cs="Calibri"/>
                  <w:color w:val="0000FF"/>
                  <w:kern w:val="0"/>
                  <w:sz w:val="20"/>
                  <w:szCs w:val="20"/>
                  <w:u w:val="single"/>
                </w:rPr>
                <w:t>Legal Proceedings</w:t>
              </w:r>
            </w:hyperlink>
          </w:p>
        </w:tc>
        <w:tc>
          <w:tcPr>
            <w:tcW w:w="268" w:type="dxa"/>
            <w:shd w:val="clear" w:color="auto" w:fill="FFFFFF"/>
            <w:hideMark/>
          </w:tcPr>
          <w:p w14:paraId="0F601D36"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754D531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45</w:t>
            </w:r>
          </w:p>
        </w:tc>
      </w:tr>
      <w:tr w:rsidR="00141675" w:rsidRPr="00141675" w14:paraId="32D5F648" w14:textId="77777777" w:rsidTr="00141675">
        <w:tc>
          <w:tcPr>
            <w:tcW w:w="1855" w:type="dxa"/>
            <w:shd w:val="clear" w:color="auto" w:fill="FFFFFF"/>
            <w:hideMark/>
          </w:tcPr>
          <w:p w14:paraId="22F5EB37"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4F4D6D4E"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68671862"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561F59A4"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0BBED3F4"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23693531" w14:textId="77777777" w:rsidTr="00141675">
        <w:tc>
          <w:tcPr>
            <w:tcW w:w="1855" w:type="dxa"/>
            <w:shd w:val="clear" w:color="auto" w:fill="FFFFFF"/>
            <w:hideMark/>
          </w:tcPr>
          <w:p w14:paraId="5555FC4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Item 1A.</w:t>
            </w:r>
          </w:p>
        </w:tc>
        <w:tc>
          <w:tcPr>
            <w:tcW w:w="206" w:type="dxa"/>
            <w:shd w:val="clear" w:color="auto" w:fill="FFFFFF"/>
            <w:hideMark/>
          </w:tcPr>
          <w:p w14:paraId="5EBCEF23"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112EF167" w14:textId="77777777" w:rsidR="00141675" w:rsidRPr="00141675" w:rsidRDefault="00141675" w:rsidP="00141675">
            <w:pPr>
              <w:widowControl/>
              <w:ind w:left="245" w:hanging="245"/>
              <w:jc w:val="left"/>
              <w:rPr>
                <w:rFonts w:ascii="Calibri" w:eastAsia="宋体" w:hAnsi="Calibri" w:cs="Calibri"/>
                <w:kern w:val="0"/>
                <w:sz w:val="20"/>
                <w:szCs w:val="20"/>
              </w:rPr>
            </w:pPr>
            <w:hyperlink r:id="rId19" w:anchor="ITEM_1A_RISK_FACTORS" w:history="1">
              <w:r w:rsidRPr="00141675">
                <w:rPr>
                  <w:rFonts w:ascii="Calibri" w:eastAsia="宋体" w:hAnsi="Calibri" w:cs="Calibri"/>
                  <w:color w:val="0000FF"/>
                  <w:kern w:val="0"/>
                  <w:sz w:val="20"/>
                  <w:szCs w:val="20"/>
                  <w:u w:val="single"/>
                </w:rPr>
                <w:t>Risk Factors</w:t>
              </w:r>
            </w:hyperlink>
          </w:p>
        </w:tc>
        <w:tc>
          <w:tcPr>
            <w:tcW w:w="268" w:type="dxa"/>
            <w:shd w:val="clear" w:color="auto" w:fill="FFFFFF"/>
            <w:hideMark/>
          </w:tcPr>
          <w:p w14:paraId="50EFAE2B"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15F998D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45</w:t>
            </w:r>
          </w:p>
        </w:tc>
      </w:tr>
      <w:tr w:rsidR="00141675" w:rsidRPr="00141675" w14:paraId="30BC76FD" w14:textId="77777777" w:rsidTr="00141675">
        <w:tc>
          <w:tcPr>
            <w:tcW w:w="1855" w:type="dxa"/>
            <w:shd w:val="clear" w:color="auto" w:fill="FFFFFF"/>
            <w:hideMark/>
          </w:tcPr>
          <w:p w14:paraId="162A5E69"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7274B22A"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01E3F52A"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21410222"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55FB9CD5"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6FD6AC5E" w14:textId="77777777" w:rsidTr="00141675">
        <w:tc>
          <w:tcPr>
            <w:tcW w:w="1855" w:type="dxa"/>
            <w:shd w:val="clear" w:color="auto" w:fill="FFFFFF"/>
            <w:hideMark/>
          </w:tcPr>
          <w:p w14:paraId="492D99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Item 2.</w:t>
            </w:r>
          </w:p>
        </w:tc>
        <w:tc>
          <w:tcPr>
            <w:tcW w:w="206" w:type="dxa"/>
            <w:shd w:val="clear" w:color="auto" w:fill="FFFFFF"/>
            <w:hideMark/>
          </w:tcPr>
          <w:p w14:paraId="7555A36C"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716B514E" w14:textId="77777777" w:rsidR="00141675" w:rsidRPr="00141675" w:rsidRDefault="00141675" w:rsidP="00141675">
            <w:pPr>
              <w:widowControl/>
              <w:ind w:left="245" w:hanging="245"/>
              <w:jc w:val="left"/>
              <w:rPr>
                <w:rFonts w:ascii="Calibri" w:eastAsia="宋体" w:hAnsi="Calibri" w:cs="Calibri"/>
                <w:kern w:val="0"/>
                <w:sz w:val="20"/>
                <w:szCs w:val="20"/>
              </w:rPr>
            </w:pPr>
            <w:hyperlink r:id="rId20" w:anchor="ITEM_2_UNREGISTERED_SALES_EQUITY_SECURIT" w:history="1">
              <w:r w:rsidRPr="00141675">
                <w:rPr>
                  <w:rFonts w:ascii="Calibri" w:eastAsia="宋体" w:hAnsi="Calibri" w:cs="Calibri"/>
                  <w:color w:val="0000FF"/>
                  <w:kern w:val="0"/>
                  <w:sz w:val="20"/>
                  <w:szCs w:val="20"/>
                  <w:u w:val="single"/>
                </w:rPr>
                <w:t>Unregistered Sales of Equity Securities and Use of Proceeds</w:t>
              </w:r>
            </w:hyperlink>
          </w:p>
        </w:tc>
        <w:tc>
          <w:tcPr>
            <w:tcW w:w="268" w:type="dxa"/>
            <w:shd w:val="clear" w:color="auto" w:fill="FFFFFF"/>
            <w:hideMark/>
          </w:tcPr>
          <w:p w14:paraId="3D1B0CE8"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51CAE59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45</w:t>
            </w:r>
          </w:p>
        </w:tc>
      </w:tr>
      <w:tr w:rsidR="00141675" w:rsidRPr="00141675" w14:paraId="69200563" w14:textId="77777777" w:rsidTr="00141675">
        <w:tc>
          <w:tcPr>
            <w:tcW w:w="1855" w:type="dxa"/>
            <w:shd w:val="clear" w:color="auto" w:fill="FFFFFF"/>
            <w:hideMark/>
          </w:tcPr>
          <w:p w14:paraId="199F7C2D"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166B7EBA"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34E957C6"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76D9153A"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01104B29"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5C407CCC" w14:textId="77777777" w:rsidTr="00141675">
        <w:tc>
          <w:tcPr>
            <w:tcW w:w="1855" w:type="dxa"/>
            <w:shd w:val="clear" w:color="auto" w:fill="FFFFFF"/>
            <w:hideMark/>
          </w:tcPr>
          <w:p w14:paraId="0C7B88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Item 6.</w:t>
            </w:r>
          </w:p>
        </w:tc>
        <w:tc>
          <w:tcPr>
            <w:tcW w:w="206" w:type="dxa"/>
            <w:shd w:val="clear" w:color="auto" w:fill="FFFFFF"/>
            <w:hideMark/>
          </w:tcPr>
          <w:p w14:paraId="7A25CF2A"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17898402" w14:textId="77777777" w:rsidR="00141675" w:rsidRPr="00141675" w:rsidRDefault="00141675" w:rsidP="00141675">
            <w:pPr>
              <w:widowControl/>
              <w:ind w:left="245" w:hanging="245"/>
              <w:jc w:val="left"/>
              <w:rPr>
                <w:rFonts w:ascii="Calibri" w:eastAsia="宋体" w:hAnsi="Calibri" w:cs="Calibri"/>
                <w:kern w:val="0"/>
                <w:sz w:val="20"/>
                <w:szCs w:val="20"/>
              </w:rPr>
            </w:pPr>
            <w:hyperlink r:id="rId21" w:anchor="ITEM_6_EXHIBITS" w:history="1">
              <w:r w:rsidRPr="00141675">
                <w:rPr>
                  <w:rFonts w:ascii="Calibri" w:eastAsia="宋体" w:hAnsi="Calibri" w:cs="Calibri"/>
                  <w:color w:val="0000FF"/>
                  <w:kern w:val="0"/>
                  <w:sz w:val="20"/>
                  <w:szCs w:val="20"/>
                  <w:u w:val="single"/>
                </w:rPr>
                <w:t>Exhibits</w:t>
              </w:r>
            </w:hyperlink>
          </w:p>
        </w:tc>
        <w:tc>
          <w:tcPr>
            <w:tcW w:w="268" w:type="dxa"/>
            <w:shd w:val="clear" w:color="auto" w:fill="FFFFFF"/>
            <w:hideMark/>
          </w:tcPr>
          <w:p w14:paraId="1199FD0C"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5B8D714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46</w:t>
            </w:r>
          </w:p>
        </w:tc>
      </w:tr>
      <w:tr w:rsidR="00141675" w:rsidRPr="00141675" w14:paraId="52CF2545" w14:textId="77777777" w:rsidTr="00141675">
        <w:tc>
          <w:tcPr>
            <w:tcW w:w="1855" w:type="dxa"/>
            <w:shd w:val="clear" w:color="auto" w:fill="FFFFFF"/>
            <w:hideMark/>
          </w:tcPr>
          <w:p w14:paraId="3100988B"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06" w:type="dxa"/>
            <w:shd w:val="clear" w:color="auto" w:fill="FFFFFF"/>
            <w:hideMark/>
          </w:tcPr>
          <w:p w14:paraId="7EE8DEB0"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7493" w:type="dxa"/>
            <w:shd w:val="clear" w:color="auto" w:fill="FFFFFF"/>
            <w:hideMark/>
          </w:tcPr>
          <w:p w14:paraId="46B4101B"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c>
        <w:tc>
          <w:tcPr>
            <w:tcW w:w="268" w:type="dxa"/>
            <w:shd w:val="clear" w:color="auto" w:fill="FFFFFF"/>
            <w:hideMark/>
          </w:tcPr>
          <w:p w14:paraId="04DAB38E"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792" w:type="dxa"/>
            <w:shd w:val="clear" w:color="auto" w:fill="FFFFFF"/>
            <w:vAlign w:val="bottom"/>
            <w:hideMark/>
          </w:tcPr>
          <w:p w14:paraId="5526F699" w14:textId="77777777" w:rsidR="00141675" w:rsidRPr="00141675" w:rsidRDefault="00141675" w:rsidP="00141675">
            <w:pPr>
              <w:widowControl/>
              <w:jc w:val="righ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0CFAA995" w14:textId="77777777" w:rsidTr="00141675">
        <w:tc>
          <w:tcPr>
            <w:tcW w:w="1855" w:type="dxa"/>
            <w:shd w:val="clear" w:color="auto" w:fill="FFFFFF"/>
            <w:hideMark/>
          </w:tcPr>
          <w:p w14:paraId="6FD5B2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6" w:type="dxa"/>
            <w:shd w:val="clear" w:color="auto" w:fill="FFFFFF"/>
            <w:hideMark/>
          </w:tcPr>
          <w:p w14:paraId="7420D6E3"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7493" w:type="dxa"/>
            <w:shd w:val="clear" w:color="auto" w:fill="FFFFFF"/>
            <w:hideMark/>
          </w:tcPr>
          <w:p w14:paraId="2AE0B661" w14:textId="77777777" w:rsidR="00141675" w:rsidRPr="00141675" w:rsidRDefault="00141675" w:rsidP="00141675">
            <w:pPr>
              <w:widowControl/>
              <w:ind w:left="245" w:hanging="245"/>
              <w:jc w:val="left"/>
              <w:rPr>
                <w:rFonts w:ascii="Calibri" w:eastAsia="宋体" w:hAnsi="Calibri" w:cs="Calibri"/>
                <w:kern w:val="0"/>
                <w:sz w:val="20"/>
                <w:szCs w:val="20"/>
              </w:rPr>
            </w:pPr>
            <w:hyperlink r:id="rId22" w:anchor="SIGNATURES" w:history="1">
              <w:r w:rsidRPr="00141675">
                <w:rPr>
                  <w:rFonts w:ascii="Calibri" w:eastAsia="宋体" w:hAnsi="Calibri" w:cs="Calibri"/>
                  <w:color w:val="0000FF"/>
                  <w:kern w:val="0"/>
                  <w:sz w:val="20"/>
                  <w:szCs w:val="20"/>
                  <w:u w:val="single"/>
                </w:rPr>
                <w:t>Signatures</w:t>
              </w:r>
            </w:hyperlink>
          </w:p>
        </w:tc>
        <w:tc>
          <w:tcPr>
            <w:tcW w:w="268" w:type="dxa"/>
            <w:shd w:val="clear" w:color="auto" w:fill="FFFFFF"/>
            <w:hideMark/>
          </w:tcPr>
          <w:p w14:paraId="09C18115"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792" w:type="dxa"/>
            <w:shd w:val="clear" w:color="auto" w:fill="FFFFFF"/>
            <w:vAlign w:val="bottom"/>
            <w:hideMark/>
          </w:tcPr>
          <w:p w14:paraId="5F81ADF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47</w:t>
            </w:r>
          </w:p>
        </w:tc>
      </w:tr>
    </w:tbl>
    <w:p w14:paraId="074860FF" w14:textId="77777777" w:rsidR="00141675" w:rsidRPr="00141675" w:rsidRDefault="00141675" w:rsidP="00141675">
      <w:pPr>
        <w:widowControl/>
        <w:jc w:val="left"/>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p w14:paraId="7EBDBC06" w14:textId="77777777" w:rsidR="00141675" w:rsidRPr="00141675" w:rsidRDefault="00141675" w:rsidP="00141675">
      <w:pPr>
        <w:widowControl/>
        <w:jc w:val="left"/>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p w14:paraId="4FE32485"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57FCE359" w14:textId="77777777" w:rsidR="00141675" w:rsidRPr="00141675" w:rsidRDefault="00141675" w:rsidP="00141675">
      <w:pPr>
        <w:widowControl/>
        <w:spacing w:before="240"/>
        <w:jc w:val="center"/>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1BAAAFCA"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3F5F6CC6">
          <v:rect id="_x0000_i1026" style="width:0;height:1.5pt" o:hralign="center" o:hrstd="t" o:hrnoshade="t" o:hr="t" fillcolor="black" stroked="f"/>
        </w:pict>
      </w:r>
    </w:p>
    <w:p w14:paraId="7E26A5C8" w14:textId="77777777" w:rsidR="00141675" w:rsidRPr="00141675" w:rsidRDefault="00141675" w:rsidP="00141675">
      <w:pPr>
        <w:widowControl/>
        <w:jc w:val="left"/>
        <w:rPr>
          <w:rFonts w:ascii="Calibri" w:eastAsia="宋体" w:hAnsi="Calibri" w:cs="Calibri"/>
          <w:b/>
          <w:bCs/>
          <w:color w:val="000000"/>
          <w:kern w:val="0"/>
          <w:sz w:val="20"/>
          <w:szCs w:val="20"/>
        </w:rPr>
      </w:pPr>
      <w:hyperlink r:id="rId23" w:anchor="TABLE_CONTENTS" w:history="1">
        <w:r w:rsidRPr="00141675">
          <w:rPr>
            <w:rFonts w:ascii="Calibri" w:eastAsia="宋体" w:hAnsi="Calibri" w:cs="Calibri"/>
            <w:b/>
            <w:bCs/>
            <w:color w:val="0000FF"/>
            <w:kern w:val="0"/>
            <w:sz w:val="20"/>
            <w:szCs w:val="20"/>
            <w:u w:val="single"/>
          </w:rPr>
          <w:t>Table of Contents</w:t>
        </w:r>
      </w:hyperlink>
    </w:p>
    <w:p w14:paraId="2BB2DBD9"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7A8E6C8" w14:textId="77777777" w:rsidR="00141675" w:rsidRPr="00141675" w:rsidRDefault="00141675" w:rsidP="00141675">
      <w:pPr>
        <w:widowControl/>
        <w:ind w:firstLine="941"/>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Cautionary Note on Forward-Looking Statements</w:t>
      </w:r>
    </w:p>
    <w:p w14:paraId="75AA3D0D"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For purposes of this Quarterly Report, the terms “Oracle,” “we,” “us” and “our” refer to Oracle Corporation and its consolidated subsidiaries. This Quarterly Report on Form 10-Q contains statements that are not historical in nature, are predictive in nature, or that depend upon or refer to future events or conditions or otherwise contain forward-looking statements within the meaning of Section 21 of the Securities Exchange Act of 1934, as amended, and the Private Securities Litigation Reform Act of 1995. These include, among other things, statements regarding:</w:t>
      </w: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23B8ABBD" w14:textId="77777777" w:rsidTr="00141675">
        <w:tc>
          <w:tcPr>
            <w:tcW w:w="1872" w:type="dxa"/>
            <w:noWrap/>
            <w:hideMark/>
          </w:tcPr>
          <w:p w14:paraId="1EF516FB"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3B7F6D61"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2294060B"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 that we may acquire companies, products, services and technologies to further our corporate strategy as compelling opportunities become available;</w:t>
            </w:r>
          </w:p>
        </w:tc>
      </w:tr>
      <w:tr w:rsidR="00141675" w:rsidRPr="00141675" w14:paraId="1436A5F3" w14:textId="77777777" w:rsidTr="00141675">
        <w:tc>
          <w:tcPr>
            <w:tcW w:w="1872" w:type="dxa"/>
            <w:noWrap/>
            <w:hideMark/>
          </w:tcPr>
          <w:p w14:paraId="7EA14008"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lastRenderedPageBreak/>
              <w:t> </w:t>
            </w:r>
          </w:p>
        </w:tc>
        <w:tc>
          <w:tcPr>
            <w:tcW w:w="794" w:type="dxa"/>
            <w:noWrap/>
            <w:hideMark/>
          </w:tcPr>
          <w:p w14:paraId="0B2272F6"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43A10B2D"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 that, on a constant currency basis, our total cloud and license revenues generally will continue to increase due to expected growth in our cloud services and our license support offerings, and continued demand for our cloud license and on-premise license offerings;</w:t>
            </w:r>
          </w:p>
        </w:tc>
      </w:tr>
    </w:tbl>
    <w:p w14:paraId="0F8924A3"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543EA903" w14:textId="77777777" w:rsidTr="00141675">
        <w:tc>
          <w:tcPr>
            <w:tcW w:w="1872" w:type="dxa"/>
            <w:noWrap/>
            <w:hideMark/>
          </w:tcPr>
          <w:p w14:paraId="1B4F2E06"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47A5677C"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2F7FC894"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belief that our Oracle Cloud Software-as-a-Service and Infrastructure-as-a-Service (SaaS and IaaS, respectively, and collectively, Oracle Cloud Services) offerings are opportunities for us to expand our cloud and license business, and that demand for our Oracle Cloud Services will continue to increase;</w:t>
            </w:r>
          </w:p>
        </w:tc>
      </w:tr>
      <w:tr w:rsidR="00141675" w:rsidRPr="00141675" w14:paraId="21BF17C6" w14:textId="77777777" w:rsidTr="00141675">
        <w:tc>
          <w:tcPr>
            <w:tcW w:w="1872" w:type="dxa"/>
            <w:noWrap/>
            <w:hideMark/>
          </w:tcPr>
          <w:p w14:paraId="02E6AA5D"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66227631"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531D2FC9"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 that substantially all of our customers will renew their license support contracts annually;</w:t>
            </w:r>
          </w:p>
        </w:tc>
      </w:tr>
    </w:tbl>
    <w:p w14:paraId="3AFFD408"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4AFB0DCD" w14:textId="77777777" w:rsidTr="00141675">
        <w:tc>
          <w:tcPr>
            <w:tcW w:w="1872" w:type="dxa"/>
            <w:noWrap/>
            <w:hideMark/>
          </w:tcPr>
          <w:p w14:paraId="03760D3A"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62E62723"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327844FB"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 that our hardware business will have lower operating margins as a percentage of revenues than our cloud and license business;</w:t>
            </w:r>
          </w:p>
        </w:tc>
      </w:tr>
      <w:tr w:rsidR="00141675" w:rsidRPr="00141675" w14:paraId="4069BEB0" w14:textId="77777777" w:rsidTr="00141675">
        <w:tc>
          <w:tcPr>
            <w:tcW w:w="1872" w:type="dxa"/>
            <w:noWrap/>
            <w:hideMark/>
          </w:tcPr>
          <w:p w14:paraId="1C4D494B"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5C01713A"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3E6193A4"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 that we will continue to place significant emphasis, both domestically and internationally, on direct sales through our own sales force;</w:t>
            </w:r>
          </w:p>
        </w:tc>
      </w:tr>
    </w:tbl>
    <w:p w14:paraId="33C5440C"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3F366532" w14:textId="77777777" w:rsidTr="00141675">
        <w:tc>
          <w:tcPr>
            <w:tcW w:w="1872" w:type="dxa"/>
            <w:noWrap/>
            <w:hideMark/>
          </w:tcPr>
          <w:p w14:paraId="31D05F98"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21F01EE4"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13DDCE0C"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 that we will continue to make significant investments in research and development, and our belief that research and development efforts are essential to maintaining our competitive position;</w:t>
            </w:r>
          </w:p>
        </w:tc>
      </w:tr>
      <w:tr w:rsidR="00141675" w:rsidRPr="00141675" w14:paraId="1CC5F30E" w14:textId="77777777" w:rsidTr="00141675">
        <w:tc>
          <w:tcPr>
            <w:tcW w:w="1872" w:type="dxa"/>
            <w:noWrap/>
            <w:hideMark/>
          </w:tcPr>
          <w:p w14:paraId="24D509E7"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1BE9BB7C"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70CA5258"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 that our international operations will continue to provide a significant portion of our total revenues and expenses;</w:t>
            </w:r>
          </w:p>
        </w:tc>
      </w:tr>
    </w:tbl>
    <w:p w14:paraId="710A27F1"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18DEDF69" w14:textId="77777777" w:rsidTr="00141675">
        <w:tc>
          <w:tcPr>
            <w:tcW w:w="1872" w:type="dxa"/>
            <w:noWrap/>
            <w:hideMark/>
          </w:tcPr>
          <w:p w14:paraId="2DAB29CF"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1A6FBB59"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4B73144E"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the sufficiency of our sources of funding for working capital, capital expenditures, contractual obligations, acquisitions, dividends, stock repurchases, debt repayments and other matters;</w:t>
            </w:r>
          </w:p>
        </w:tc>
      </w:tr>
      <w:tr w:rsidR="00141675" w:rsidRPr="00141675" w14:paraId="1BD03B4F" w14:textId="77777777" w:rsidTr="00141675">
        <w:tc>
          <w:tcPr>
            <w:tcW w:w="1872" w:type="dxa"/>
            <w:noWrap/>
            <w:hideMark/>
          </w:tcPr>
          <w:p w14:paraId="392D8846"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22D1CA0F"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6541791D"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belief that we have adequately provided under U.S. generally accepted accounting principles for outcomes related to our tax audits and that the final outcome of our tax related examinations, agreements or judicial proceedings will not have a material effect on our results of operations, and our belief that our net deferred tax assets will be realized in the foreseeable future;</w:t>
            </w:r>
          </w:p>
        </w:tc>
      </w:tr>
    </w:tbl>
    <w:p w14:paraId="1E7FFD26"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577C6DFE" w14:textId="77777777" w:rsidTr="00141675">
        <w:tc>
          <w:tcPr>
            <w:tcW w:w="1872" w:type="dxa"/>
            <w:noWrap/>
            <w:hideMark/>
          </w:tcPr>
          <w:p w14:paraId="2F1F5E2B"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616C5669"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143BDC3B"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belief that the outcome of certain legal proceedings and claims to which we are a party will not, individually or in the aggregate, result in losses that are materially in excess of amounts already recognized, if any;</w:t>
            </w:r>
          </w:p>
        </w:tc>
      </w:tr>
      <w:tr w:rsidR="00141675" w:rsidRPr="00141675" w14:paraId="35A50516" w14:textId="77777777" w:rsidTr="00141675">
        <w:tc>
          <w:tcPr>
            <w:tcW w:w="1872" w:type="dxa"/>
            <w:noWrap/>
            <w:hideMark/>
          </w:tcPr>
          <w:p w14:paraId="5B9489B4"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6C73B5D3"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2E134E06"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the possibility that certain legal proceedings to which we are a party could have a material impact on our future cash flows and results of operations;</w:t>
            </w:r>
          </w:p>
        </w:tc>
      </w:tr>
    </w:tbl>
    <w:p w14:paraId="16C0ECB8"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157C09C9" w14:textId="77777777" w:rsidTr="00141675">
        <w:tc>
          <w:tcPr>
            <w:tcW w:w="1872" w:type="dxa"/>
            <w:noWrap/>
            <w:hideMark/>
          </w:tcPr>
          <w:p w14:paraId="02460C84"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545AC3DF"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39192A64"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expectations regarding the timing and amount of expenses relating to the Fiscal 2019 Oracle Restructuring Plan and the improved efficiencies in our operations that such a plan will create;</w:t>
            </w:r>
          </w:p>
        </w:tc>
      </w:tr>
      <w:tr w:rsidR="00141675" w:rsidRPr="00141675" w14:paraId="429BCFF5" w14:textId="77777777" w:rsidTr="00141675">
        <w:tc>
          <w:tcPr>
            <w:tcW w:w="1872" w:type="dxa"/>
            <w:noWrap/>
            <w:hideMark/>
          </w:tcPr>
          <w:p w14:paraId="5290141F"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7C60DAA0"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2AB02583"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the timing and amount of future cash dividend payments and stock repurchases, including our expectation that the levels of our future stock repurchase activity may be modified in comparison to past periods in order to use available cash for other purposes;</w:t>
            </w:r>
          </w:p>
        </w:tc>
      </w:tr>
    </w:tbl>
    <w:p w14:paraId="6E85BAC6"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2095B849" w14:textId="77777777" w:rsidTr="00141675">
        <w:tc>
          <w:tcPr>
            <w:tcW w:w="1872" w:type="dxa"/>
            <w:noWrap/>
            <w:hideMark/>
          </w:tcPr>
          <w:p w14:paraId="1B5B36CB"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1551BCC6"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7BC3C627"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expectations regarding the impact of recent accounting pronouncements on our consolidated financial statements;</w:t>
            </w:r>
          </w:p>
        </w:tc>
      </w:tr>
    </w:tbl>
    <w:p w14:paraId="2ACB9493"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p w14:paraId="5F0F8CE3"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4ADCABAA">
          <v:rect id="_x0000_i1027" style="width:0;height:1.5pt" o:hralign="center" o:hrstd="t" o:hrnoshade="t" o:hr="t" fillcolor="black" stroked="f"/>
        </w:pict>
      </w:r>
    </w:p>
    <w:p w14:paraId="729CD739" w14:textId="77777777" w:rsidR="00141675" w:rsidRPr="00141675" w:rsidRDefault="00141675" w:rsidP="00141675">
      <w:pPr>
        <w:widowControl/>
        <w:jc w:val="left"/>
        <w:rPr>
          <w:rFonts w:ascii="Calibri" w:eastAsia="宋体" w:hAnsi="Calibri" w:cs="Calibri"/>
          <w:b/>
          <w:bCs/>
          <w:color w:val="000000"/>
          <w:kern w:val="0"/>
          <w:sz w:val="20"/>
          <w:szCs w:val="20"/>
        </w:rPr>
      </w:pPr>
      <w:hyperlink r:id="rId24" w:anchor="TABLE_CONTENTS" w:history="1">
        <w:r w:rsidRPr="00141675">
          <w:rPr>
            <w:rFonts w:ascii="Calibri" w:eastAsia="宋体" w:hAnsi="Calibri" w:cs="Calibri"/>
            <w:b/>
            <w:bCs/>
            <w:color w:val="0000FF"/>
            <w:kern w:val="0"/>
            <w:sz w:val="20"/>
            <w:szCs w:val="20"/>
            <w:u w:val="single"/>
          </w:rPr>
          <w:t>Table of Contents</w:t>
        </w:r>
      </w:hyperlink>
    </w:p>
    <w:p w14:paraId="05F9A218"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2A7A991A" w14:textId="77777777" w:rsidTr="00141675">
        <w:tc>
          <w:tcPr>
            <w:tcW w:w="1872" w:type="dxa"/>
            <w:noWrap/>
            <w:hideMark/>
          </w:tcPr>
          <w:p w14:paraId="54CC13E9"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3424BD64"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008286D0"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expectation that, to the extent customers renew support contracts or cloud SaaS and IaaS contracts from companies that we have acquired, we will recognize revenues for the full contracts’ values over the respective renewal periods;</w:t>
            </w:r>
          </w:p>
        </w:tc>
      </w:tr>
      <w:tr w:rsidR="00141675" w:rsidRPr="00141675" w14:paraId="7DBEFA8C" w14:textId="77777777" w:rsidTr="00141675">
        <w:tc>
          <w:tcPr>
            <w:tcW w:w="1872" w:type="dxa"/>
            <w:noWrap/>
            <w:hideMark/>
          </w:tcPr>
          <w:p w14:paraId="3C50557C"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70EC4F9F"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34B7798E"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our ability to predict quarterly hardware revenues;</w:t>
            </w:r>
          </w:p>
        </w:tc>
      </w:tr>
    </w:tbl>
    <w:p w14:paraId="229ED561"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888"/>
        <w:gridCol w:w="810"/>
        <w:gridCol w:w="17916"/>
      </w:tblGrid>
      <w:tr w:rsidR="00141675" w:rsidRPr="00141675" w14:paraId="58D12B20" w14:textId="77777777" w:rsidTr="00141675">
        <w:tc>
          <w:tcPr>
            <w:tcW w:w="1872" w:type="dxa"/>
            <w:noWrap/>
            <w:hideMark/>
          </w:tcPr>
          <w:p w14:paraId="426CC247"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6166080A"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224F5734"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the percentage of remaining performance obligations that we expect to recognize as revenues over the next twelve months;</w:t>
            </w:r>
          </w:p>
        </w:tc>
      </w:tr>
    </w:tbl>
    <w:p w14:paraId="6B703E2B"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as well as other statements regarding our future operations, financial condition and prospects, and business strategies. Forward-looking statements may be preceded by, followed by or include the words “expects,” “anticipates,” “intends,” “plans,” “believes,” “seeks,” “strives,” “estimates,” “will,” “should,” “is designed to” and similar expressions. We claim the protection of the safe harbor for forward-looking statements contained in the Private Securities Litigation Reform Act of 1995 for all forward-looking statements. We have based these forward-looking statements on our current expectations and projections about future events. These forward-looking statements are subject to risks, uncertainties and assumptions about our business that could affect our future results and could cause those results or other outcomes to differ materially from those expressed or implied in the forward-looking statements. Factors that might cause or contribute to such differences include, but are not limited to, those discussed in “Risk Factors” included in documents we file from time to time with the U.S. </w:t>
      </w:r>
      <w:r w:rsidRPr="00141675">
        <w:rPr>
          <w:rFonts w:ascii="Calibri" w:eastAsia="宋体" w:hAnsi="Calibri" w:cs="Calibri"/>
          <w:color w:val="000000"/>
          <w:kern w:val="0"/>
          <w:sz w:val="20"/>
          <w:szCs w:val="20"/>
        </w:rPr>
        <w:lastRenderedPageBreak/>
        <w:t>Securities and Exchange Commission (the SEC), including our Annual Report on Form 10-K for our fiscal year ended May 31, 2019 and our other Quarterly Reports on Form 10-Q to be filed by us in our fiscal 2020, which runs from June 1, 2019 to May 31, 2020.</w:t>
      </w:r>
    </w:p>
    <w:p w14:paraId="4C0DE5C4"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We have no obligation to publicly update or revise any forward-looking statements, whether as a result of new information, future events or risks, except to the extent required by applicable securities laws. If we do update one or more forward-looking statements, no inference should be drawn that we will make additional updates with respect to those or other forward-looking statements. New information, future events or risks could cause the forward-looking events we discuss in this Quarterly Report not to occur. You should not place undue reliance on these forward-looking statements, which reflect our expectations only as of the date of this Quarterly Report.</w:t>
      </w:r>
    </w:p>
    <w:p w14:paraId="4C346AA4"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p w14:paraId="11EBF8A3"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0EB27A65">
          <v:rect id="_x0000_i1028" style="width:0;height:1.5pt" o:hralign="center" o:hrstd="t" o:hrnoshade="t" o:hr="t" fillcolor="black" stroked="f"/>
        </w:pict>
      </w:r>
    </w:p>
    <w:p w14:paraId="24AE3DA3" w14:textId="77777777" w:rsidR="00141675" w:rsidRPr="00141675" w:rsidRDefault="00141675" w:rsidP="00141675">
      <w:pPr>
        <w:widowControl/>
        <w:jc w:val="left"/>
        <w:rPr>
          <w:rFonts w:ascii="Calibri" w:eastAsia="宋体" w:hAnsi="Calibri" w:cs="Calibri"/>
          <w:b/>
          <w:bCs/>
          <w:color w:val="000000"/>
          <w:kern w:val="0"/>
          <w:sz w:val="20"/>
          <w:szCs w:val="20"/>
        </w:rPr>
      </w:pPr>
      <w:hyperlink r:id="rId25" w:anchor="TABLE_CONTENTS" w:history="1">
        <w:r w:rsidRPr="00141675">
          <w:rPr>
            <w:rFonts w:ascii="Calibri" w:eastAsia="宋体" w:hAnsi="Calibri" w:cs="Calibri"/>
            <w:b/>
            <w:bCs/>
            <w:color w:val="0000FF"/>
            <w:kern w:val="0"/>
            <w:sz w:val="20"/>
            <w:szCs w:val="20"/>
            <w:u w:val="single"/>
          </w:rPr>
          <w:t>Table of Contents</w:t>
        </w:r>
      </w:hyperlink>
    </w:p>
    <w:p w14:paraId="4B7F6770"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71B009A1" w14:textId="77777777" w:rsidR="00141675" w:rsidRPr="00141675" w:rsidRDefault="00141675" w:rsidP="00141675">
      <w:pPr>
        <w:widowControl/>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PART I. FINANCIAL INFORMATION</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67F96C6F" w14:textId="77777777" w:rsidTr="00141675">
        <w:tc>
          <w:tcPr>
            <w:tcW w:w="1080" w:type="dxa"/>
            <w:noWrap/>
            <w:hideMark/>
          </w:tcPr>
          <w:p w14:paraId="096E4C72" w14:textId="77777777" w:rsidR="00141675" w:rsidRPr="00141675" w:rsidRDefault="00141675" w:rsidP="00141675">
            <w:pPr>
              <w:widowControl/>
              <w:spacing w:before="160"/>
              <w:rPr>
                <w:rFonts w:ascii="Calibri" w:eastAsia="宋体" w:hAnsi="Calibri" w:cs="Calibri"/>
                <w:b/>
                <w:bCs/>
                <w:kern w:val="0"/>
                <w:sz w:val="20"/>
                <w:szCs w:val="20"/>
              </w:rPr>
            </w:pPr>
            <w:r w:rsidRPr="00141675">
              <w:rPr>
                <w:rFonts w:ascii="Calibri" w:eastAsia="宋体" w:hAnsi="Calibri" w:cs="Calibri"/>
                <w:b/>
                <w:bCs/>
                <w:kern w:val="0"/>
                <w:sz w:val="20"/>
                <w:szCs w:val="20"/>
              </w:rPr>
              <w:t>Item 1.</w:t>
            </w:r>
          </w:p>
        </w:tc>
        <w:tc>
          <w:tcPr>
            <w:tcW w:w="0" w:type="auto"/>
            <w:hideMark/>
          </w:tcPr>
          <w:p w14:paraId="677754B4" w14:textId="77777777" w:rsidR="00141675" w:rsidRPr="00141675" w:rsidRDefault="00141675" w:rsidP="00141675">
            <w:pPr>
              <w:widowControl/>
              <w:spacing w:before="160"/>
              <w:rPr>
                <w:rFonts w:ascii="Calibri" w:eastAsia="宋体" w:hAnsi="Calibri" w:cs="Calibri"/>
                <w:b/>
                <w:bCs/>
                <w:kern w:val="0"/>
                <w:sz w:val="20"/>
                <w:szCs w:val="20"/>
              </w:rPr>
            </w:pPr>
            <w:r w:rsidRPr="00141675">
              <w:rPr>
                <w:rFonts w:ascii="Calibri" w:eastAsia="宋体" w:hAnsi="Calibri" w:cs="Calibri"/>
                <w:b/>
                <w:bCs/>
                <w:kern w:val="0"/>
                <w:sz w:val="20"/>
                <w:szCs w:val="20"/>
              </w:rPr>
              <w:t>Financial Statements (Unaudited)</w:t>
            </w:r>
          </w:p>
        </w:tc>
      </w:tr>
    </w:tbl>
    <w:p w14:paraId="66C1BF81" w14:textId="77777777" w:rsidR="00141675" w:rsidRPr="00141675" w:rsidRDefault="00141675" w:rsidP="00141675">
      <w:pPr>
        <w:widowControl/>
        <w:spacing w:before="120"/>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31DCA842"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CONDENSED CONSOLIDATED BALANCE SHEETS</w:t>
      </w:r>
    </w:p>
    <w:p w14:paraId="792FB122"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As of November 30, 2019 and May 31, 2019</w:t>
      </w:r>
    </w:p>
    <w:p w14:paraId="35AB584B"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0967014D"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4827"/>
        <w:gridCol w:w="336"/>
        <w:gridCol w:w="200"/>
        <w:gridCol w:w="2157"/>
        <w:gridCol w:w="200"/>
        <w:gridCol w:w="336"/>
        <w:gridCol w:w="200"/>
        <w:gridCol w:w="2157"/>
        <w:gridCol w:w="201"/>
      </w:tblGrid>
      <w:tr w:rsidR="00141675" w:rsidRPr="00141675" w14:paraId="1AA41278" w14:textId="77777777" w:rsidTr="00141675">
        <w:tc>
          <w:tcPr>
            <w:tcW w:w="14774" w:type="dxa"/>
            <w:tcBorders>
              <w:bottom w:val="single" w:sz="6" w:space="0" w:color="000000"/>
            </w:tcBorders>
            <w:shd w:val="clear" w:color="auto" w:fill="FFFFFF"/>
            <w:tcMar>
              <w:top w:w="15" w:type="dxa"/>
              <w:left w:w="0" w:type="dxa"/>
              <w:bottom w:w="0" w:type="dxa"/>
              <w:right w:w="15" w:type="dxa"/>
            </w:tcMar>
            <w:vAlign w:val="bottom"/>
            <w:hideMark/>
          </w:tcPr>
          <w:p w14:paraId="4FA9A876" w14:textId="77777777" w:rsidR="00141675" w:rsidRPr="00141675" w:rsidRDefault="00141675" w:rsidP="00141675">
            <w:pPr>
              <w:widowControl/>
              <w:jc w:val="left"/>
              <w:rPr>
                <w:rFonts w:ascii="Calibri" w:eastAsia="宋体" w:hAnsi="Calibri" w:cs="Calibri" w:hint="eastAsia"/>
                <w:b/>
                <w:bCs/>
                <w:color w:val="000000"/>
                <w:kern w:val="0"/>
                <w:sz w:val="15"/>
                <w:szCs w:val="15"/>
              </w:rPr>
            </w:pPr>
            <w:r w:rsidRPr="00141675">
              <w:rPr>
                <w:rFonts w:ascii="Calibri" w:eastAsia="宋体" w:hAnsi="Calibri" w:cs="Calibri"/>
                <w:b/>
                <w:bCs/>
                <w:color w:val="000000"/>
                <w:kern w:val="0"/>
                <w:sz w:val="15"/>
                <w:szCs w:val="15"/>
              </w:rPr>
              <w:t>(in millions, except per share data)</w:t>
            </w:r>
          </w:p>
        </w:tc>
        <w:tc>
          <w:tcPr>
            <w:tcW w:w="335" w:type="dxa"/>
            <w:shd w:val="clear" w:color="auto" w:fill="FFFFFF"/>
            <w:tcMar>
              <w:top w:w="15" w:type="dxa"/>
              <w:left w:w="0" w:type="dxa"/>
              <w:bottom w:w="0" w:type="dxa"/>
              <w:right w:w="15" w:type="dxa"/>
            </w:tcMar>
            <w:vAlign w:val="bottom"/>
            <w:hideMark/>
          </w:tcPr>
          <w:p w14:paraId="3AB0874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40" w:type="dxa"/>
            <w:gridSpan w:val="2"/>
            <w:tcBorders>
              <w:bottom w:val="single" w:sz="6" w:space="0" w:color="000000"/>
            </w:tcBorders>
            <w:shd w:val="clear" w:color="auto" w:fill="FFFFFF"/>
            <w:tcMar>
              <w:top w:w="15" w:type="dxa"/>
              <w:left w:w="0" w:type="dxa"/>
              <w:bottom w:w="0" w:type="dxa"/>
              <w:right w:w="15" w:type="dxa"/>
            </w:tcMar>
            <w:vAlign w:val="bottom"/>
            <w:hideMark/>
          </w:tcPr>
          <w:p w14:paraId="214211B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p w14:paraId="7EAEADC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E4CFD9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35" w:type="dxa"/>
            <w:shd w:val="clear" w:color="auto" w:fill="FFFFFF"/>
            <w:tcMar>
              <w:top w:w="15" w:type="dxa"/>
              <w:left w:w="0" w:type="dxa"/>
              <w:bottom w:w="0" w:type="dxa"/>
              <w:right w:w="15" w:type="dxa"/>
            </w:tcMar>
            <w:vAlign w:val="bottom"/>
            <w:hideMark/>
          </w:tcPr>
          <w:p w14:paraId="3AA9452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40" w:type="dxa"/>
            <w:gridSpan w:val="2"/>
            <w:tcBorders>
              <w:bottom w:val="single" w:sz="6" w:space="0" w:color="000000"/>
            </w:tcBorders>
            <w:shd w:val="clear" w:color="auto" w:fill="FFFFFF"/>
            <w:tcMar>
              <w:top w:w="15" w:type="dxa"/>
              <w:left w:w="0" w:type="dxa"/>
              <w:bottom w:w="0" w:type="dxa"/>
              <w:right w:w="15" w:type="dxa"/>
            </w:tcMar>
            <w:vAlign w:val="bottom"/>
            <w:hideMark/>
          </w:tcPr>
          <w:p w14:paraId="0ACDAA1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May 31,</w:t>
            </w:r>
          </w:p>
          <w:p w14:paraId="0F037A3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13756B5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09EF902D" w14:textId="77777777" w:rsidTr="00141675">
        <w:tc>
          <w:tcPr>
            <w:tcW w:w="14774" w:type="dxa"/>
            <w:tcBorders>
              <w:top w:val="single" w:sz="6" w:space="0" w:color="000000"/>
            </w:tcBorders>
            <w:shd w:val="clear" w:color="auto" w:fill="CFF0FC"/>
            <w:tcMar>
              <w:top w:w="15" w:type="dxa"/>
              <w:left w:w="0" w:type="dxa"/>
              <w:bottom w:w="0" w:type="dxa"/>
              <w:right w:w="15" w:type="dxa"/>
            </w:tcMar>
            <w:hideMark/>
          </w:tcPr>
          <w:p w14:paraId="236556F8" w14:textId="77777777" w:rsidR="00141675" w:rsidRPr="00141675" w:rsidRDefault="00141675" w:rsidP="00141675">
            <w:pPr>
              <w:widowControl/>
              <w:jc w:val="center"/>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ASSETS</w:t>
            </w:r>
          </w:p>
        </w:tc>
        <w:tc>
          <w:tcPr>
            <w:tcW w:w="335" w:type="dxa"/>
            <w:shd w:val="clear" w:color="auto" w:fill="CFF0FC"/>
            <w:tcMar>
              <w:top w:w="15" w:type="dxa"/>
              <w:left w:w="0" w:type="dxa"/>
              <w:bottom w:w="0" w:type="dxa"/>
              <w:right w:w="15" w:type="dxa"/>
            </w:tcMar>
            <w:vAlign w:val="bottom"/>
            <w:hideMark/>
          </w:tcPr>
          <w:p w14:paraId="01C6259D"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99DB06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CFF0FC"/>
            <w:noWrap/>
            <w:tcMar>
              <w:top w:w="15" w:type="dxa"/>
              <w:left w:w="0" w:type="dxa"/>
              <w:bottom w:w="0" w:type="dxa"/>
              <w:right w:w="15" w:type="dxa"/>
            </w:tcMar>
            <w:vAlign w:val="bottom"/>
            <w:hideMark/>
          </w:tcPr>
          <w:p w14:paraId="218469DC"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6FDDE79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2F0BC2A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136B51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CFF0FC"/>
            <w:noWrap/>
            <w:tcMar>
              <w:top w:w="15" w:type="dxa"/>
              <w:left w:w="0" w:type="dxa"/>
              <w:bottom w:w="0" w:type="dxa"/>
              <w:right w:w="15" w:type="dxa"/>
            </w:tcMar>
            <w:vAlign w:val="bottom"/>
            <w:hideMark/>
          </w:tcPr>
          <w:p w14:paraId="5ACD1C73"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9C9488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4128D145" w14:textId="77777777" w:rsidTr="00141675">
        <w:tc>
          <w:tcPr>
            <w:tcW w:w="14774" w:type="dxa"/>
            <w:shd w:val="clear" w:color="auto" w:fill="FFFFFF"/>
            <w:tcMar>
              <w:top w:w="15" w:type="dxa"/>
              <w:left w:w="0" w:type="dxa"/>
              <w:bottom w:w="0" w:type="dxa"/>
              <w:right w:w="15" w:type="dxa"/>
            </w:tcMar>
            <w:hideMark/>
          </w:tcPr>
          <w:p w14:paraId="467AC5D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Current assets:</w:t>
            </w:r>
          </w:p>
        </w:tc>
        <w:tc>
          <w:tcPr>
            <w:tcW w:w="335" w:type="dxa"/>
            <w:shd w:val="clear" w:color="auto" w:fill="FFFFFF"/>
            <w:tcMar>
              <w:top w:w="15" w:type="dxa"/>
              <w:left w:w="0" w:type="dxa"/>
              <w:bottom w:w="0" w:type="dxa"/>
              <w:right w:w="15" w:type="dxa"/>
            </w:tcMar>
            <w:vAlign w:val="bottom"/>
            <w:hideMark/>
          </w:tcPr>
          <w:p w14:paraId="6F05C657"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B96D8A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7501C7BE"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6058BEC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479AE055"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B9CFE2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70CE55B6"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36BB0E85"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0A869431" w14:textId="77777777" w:rsidTr="00141675">
        <w:tc>
          <w:tcPr>
            <w:tcW w:w="14774" w:type="dxa"/>
            <w:shd w:val="clear" w:color="auto" w:fill="CFF0FC"/>
            <w:tcMar>
              <w:top w:w="15" w:type="dxa"/>
              <w:left w:w="0" w:type="dxa"/>
              <w:bottom w:w="0" w:type="dxa"/>
              <w:right w:w="15" w:type="dxa"/>
            </w:tcMar>
            <w:hideMark/>
          </w:tcPr>
          <w:p w14:paraId="55F10C72"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Cash and cash equivalents</w:t>
            </w:r>
          </w:p>
        </w:tc>
        <w:tc>
          <w:tcPr>
            <w:tcW w:w="335" w:type="dxa"/>
            <w:shd w:val="clear" w:color="auto" w:fill="CFF0FC"/>
            <w:tcMar>
              <w:top w:w="15" w:type="dxa"/>
              <w:left w:w="0" w:type="dxa"/>
              <w:bottom w:w="0" w:type="dxa"/>
              <w:right w:w="15" w:type="dxa"/>
            </w:tcMar>
            <w:vAlign w:val="bottom"/>
            <w:hideMark/>
          </w:tcPr>
          <w:p w14:paraId="1B775D17"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D3AEF8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2134" w:type="dxa"/>
            <w:shd w:val="clear" w:color="auto" w:fill="CFF0FC"/>
            <w:noWrap/>
            <w:tcMar>
              <w:top w:w="15" w:type="dxa"/>
              <w:left w:w="0" w:type="dxa"/>
              <w:bottom w:w="0" w:type="dxa"/>
              <w:right w:w="15" w:type="dxa"/>
            </w:tcMar>
            <w:vAlign w:val="bottom"/>
            <w:hideMark/>
          </w:tcPr>
          <w:p w14:paraId="690311E2"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24,540</w:t>
            </w:r>
          </w:p>
        </w:tc>
        <w:tc>
          <w:tcPr>
            <w:tcW w:w="191" w:type="dxa"/>
            <w:shd w:val="clear" w:color="auto" w:fill="CFF0FC"/>
            <w:noWrap/>
            <w:tcMar>
              <w:top w:w="15" w:type="dxa"/>
              <w:left w:w="0" w:type="dxa"/>
              <w:bottom w:w="0" w:type="dxa"/>
              <w:right w:w="15" w:type="dxa"/>
            </w:tcMar>
            <w:vAlign w:val="bottom"/>
            <w:hideMark/>
          </w:tcPr>
          <w:p w14:paraId="35D20C2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56281F9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C508FE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2134" w:type="dxa"/>
            <w:shd w:val="clear" w:color="auto" w:fill="CFF0FC"/>
            <w:noWrap/>
            <w:tcMar>
              <w:top w:w="15" w:type="dxa"/>
              <w:left w:w="0" w:type="dxa"/>
              <w:bottom w:w="0" w:type="dxa"/>
              <w:right w:w="15" w:type="dxa"/>
            </w:tcMar>
            <w:vAlign w:val="bottom"/>
            <w:hideMark/>
          </w:tcPr>
          <w:p w14:paraId="19ADD65B"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20,514</w:t>
            </w:r>
          </w:p>
        </w:tc>
        <w:tc>
          <w:tcPr>
            <w:tcW w:w="192" w:type="dxa"/>
            <w:shd w:val="clear" w:color="auto" w:fill="CFF0FC"/>
            <w:noWrap/>
            <w:tcMar>
              <w:top w:w="15" w:type="dxa"/>
              <w:left w:w="0" w:type="dxa"/>
              <w:bottom w:w="0" w:type="dxa"/>
              <w:right w:w="15" w:type="dxa"/>
            </w:tcMar>
            <w:vAlign w:val="bottom"/>
            <w:hideMark/>
          </w:tcPr>
          <w:p w14:paraId="3D052C7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3AF6DDFB" w14:textId="77777777" w:rsidTr="00141675">
        <w:tc>
          <w:tcPr>
            <w:tcW w:w="14774" w:type="dxa"/>
            <w:shd w:val="clear" w:color="auto" w:fill="FFFFFF"/>
            <w:tcMar>
              <w:top w:w="15" w:type="dxa"/>
              <w:left w:w="0" w:type="dxa"/>
              <w:bottom w:w="0" w:type="dxa"/>
              <w:right w:w="15" w:type="dxa"/>
            </w:tcMar>
            <w:hideMark/>
          </w:tcPr>
          <w:p w14:paraId="67EFC48F"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Marketable securities</w:t>
            </w:r>
          </w:p>
        </w:tc>
        <w:tc>
          <w:tcPr>
            <w:tcW w:w="335" w:type="dxa"/>
            <w:shd w:val="clear" w:color="auto" w:fill="FFFFFF"/>
            <w:tcMar>
              <w:top w:w="15" w:type="dxa"/>
              <w:left w:w="0" w:type="dxa"/>
              <w:bottom w:w="0" w:type="dxa"/>
              <w:right w:w="15" w:type="dxa"/>
            </w:tcMar>
            <w:vAlign w:val="bottom"/>
            <w:hideMark/>
          </w:tcPr>
          <w:p w14:paraId="74549AF5"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CC9904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0BAFF325"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2,904</w:t>
            </w:r>
          </w:p>
        </w:tc>
        <w:tc>
          <w:tcPr>
            <w:tcW w:w="191" w:type="dxa"/>
            <w:shd w:val="clear" w:color="auto" w:fill="FFFFFF"/>
            <w:noWrap/>
            <w:tcMar>
              <w:top w:w="15" w:type="dxa"/>
              <w:left w:w="0" w:type="dxa"/>
              <w:bottom w:w="0" w:type="dxa"/>
              <w:right w:w="15" w:type="dxa"/>
            </w:tcMar>
            <w:vAlign w:val="bottom"/>
            <w:hideMark/>
          </w:tcPr>
          <w:p w14:paraId="780F8AB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074951C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2D2AA8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06E53DEA"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17,313</w:t>
            </w:r>
          </w:p>
        </w:tc>
        <w:tc>
          <w:tcPr>
            <w:tcW w:w="192" w:type="dxa"/>
            <w:shd w:val="clear" w:color="auto" w:fill="FFFFFF"/>
            <w:noWrap/>
            <w:tcMar>
              <w:top w:w="15" w:type="dxa"/>
              <w:left w:w="0" w:type="dxa"/>
              <w:bottom w:w="0" w:type="dxa"/>
              <w:right w:w="15" w:type="dxa"/>
            </w:tcMar>
            <w:vAlign w:val="bottom"/>
            <w:hideMark/>
          </w:tcPr>
          <w:p w14:paraId="2384DBF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562AC608" w14:textId="77777777" w:rsidTr="00141675">
        <w:tc>
          <w:tcPr>
            <w:tcW w:w="14774" w:type="dxa"/>
            <w:shd w:val="clear" w:color="auto" w:fill="CFF0FC"/>
            <w:tcMar>
              <w:top w:w="15" w:type="dxa"/>
              <w:left w:w="0" w:type="dxa"/>
              <w:bottom w:w="0" w:type="dxa"/>
              <w:right w:w="15" w:type="dxa"/>
            </w:tcMar>
            <w:hideMark/>
          </w:tcPr>
          <w:p w14:paraId="2BAEC4D2" w14:textId="77777777" w:rsidR="00141675" w:rsidRPr="00141675" w:rsidRDefault="00141675" w:rsidP="00141675">
            <w:pPr>
              <w:widowControl/>
              <w:ind w:left="547" w:hanging="14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Trade receivables, net of allowances for doubtful accounts of $373 and $371 as of November 30, 2019 and May 31, 2019, respectively</w:t>
            </w:r>
          </w:p>
        </w:tc>
        <w:tc>
          <w:tcPr>
            <w:tcW w:w="335" w:type="dxa"/>
            <w:shd w:val="clear" w:color="auto" w:fill="CFF0FC"/>
            <w:tcMar>
              <w:top w:w="15" w:type="dxa"/>
              <w:left w:w="0" w:type="dxa"/>
              <w:bottom w:w="0" w:type="dxa"/>
              <w:right w:w="15" w:type="dxa"/>
            </w:tcMar>
            <w:vAlign w:val="bottom"/>
            <w:hideMark/>
          </w:tcPr>
          <w:p w14:paraId="6AC16F9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9E2389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16A1B8B2"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4,050</w:t>
            </w:r>
          </w:p>
        </w:tc>
        <w:tc>
          <w:tcPr>
            <w:tcW w:w="191" w:type="dxa"/>
            <w:shd w:val="clear" w:color="auto" w:fill="CFF0FC"/>
            <w:noWrap/>
            <w:tcMar>
              <w:top w:w="15" w:type="dxa"/>
              <w:left w:w="0" w:type="dxa"/>
              <w:bottom w:w="0" w:type="dxa"/>
              <w:right w:w="15" w:type="dxa"/>
            </w:tcMar>
            <w:vAlign w:val="bottom"/>
            <w:hideMark/>
          </w:tcPr>
          <w:p w14:paraId="5537553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46CCDC9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C36B2B8"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197302FB"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5,134</w:t>
            </w:r>
          </w:p>
        </w:tc>
        <w:tc>
          <w:tcPr>
            <w:tcW w:w="192" w:type="dxa"/>
            <w:shd w:val="clear" w:color="auto" w:fill="CFF0FC"/>
            <w:noWrap/>
            <w:tcMar>
              <w:top w:w="15" w:type="dxa"/>
              <w:left w:w="0" w:type="dxa"/>
              <w:bottom w:w="0" w:type="dxa"/>
              <w:right w:w="15" w:type="dxa"/>
            </w:tcMar>
            <w:vAlign w:val="bottom"/>
            <w:hideMark/>
          </w:tcPr>
          <w:p w14:paraId="6C460B4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60F53C6B" w14:textId="77777777" w:rsidTr="00141675">
        <w:tc>
          <w:tcPr>
            <w:tcW w:w="14774" w:type="dxa"/>
            <w:shd w:val="clear" w:color="auto" w:fill="FFFFFF"/>
            <w:tcMar>
              <w:top w:w="15" w:type="dxa"/>
              <w:left w:w="0" w:type="dxa"/>
              <w:bottom w:w="0" w:type="dxa"/>
              <w:right w:w="15" w:type="dxa"/>
            </w:tcMar>
            <w:hideMark/>
          </w:tcPr>
          <w:p w14:paraId="41FBFFD7"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Prepaid expenses and other current assets</w:t>
            </w:r>
          </w:p>
        </w:tc>
        <w:tc>
          <w:tcPr>
            <w:tcW w:w="335" w:type="dxa"/>
            <w:shd w:val="clear" w:color="auto" w:fill="FFFFFF"/>
            <w:tcMar>
              <w:top w:w="15" w:type="dxa"/>
              <w:left w:w="0" w:type="dxa"/>
              <w:bottom w:w="0" w:type="dxa"/>
              <w:right w:w="15" w:type="dxa"/>
            </w:tcMar>
            <w:vAlign w:val="bottom"/>
            <w:hideMark/>
          </w:tcPr>
          <w:p w14:paraId="7B92BA4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700906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FFFFFF"/>
            <w:noWrap/>
            <w:tcMar>
              <w:top w:w="15" w:type="dxa"/>
              <w:left w:w="0" w:type="dxa"/>
              <w:bottom w:w="0" w:type="dxa"/>
              <w:right w:w="15" w:type="dxa"/>
            </w:tcMar>
            <w:vAlign w:val="bottom"/>
            <w:hideMark/>
          </w:tcPr>
          <w:p w14:paraId="7BB0A731"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3,046</w:t>
            </w:r>
          </w:p>
        </w:tc>
        <w:tc>
          <w:tcPr>
            <w:tcW w:w="191" w:type="dxa"/>
            <w:shd w:val="clear" w:color="auto" w:fill="FFFFFF"/>
            <w:noWrap/>
            <w:tcMar>
              <w:top w:w="15" w:type="dxa"/>
              <w:left w:w="0" w:type="dxa"/>
              <w:bottom w:w="0" w:type="dxa"/>
              <w:right w:w="15" w:type="dxa"/>
            </w:tcMar>
            <w:vAlign w:val="bottom"/>
            <w:hideMark/>
          </w:tcPr>
          <w:p w14:paraId="430AF298"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16098B5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7340F9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FFFFFF"/>
            <w:noWrap/>
            <w:tcMar>
              <w:top w:w="15" w:type="dxa"/>
              <w:left w:w="0" w:type="dxa"/>
              <w:bottom w:w="0" w:type="dxa"/>
              <w:right w:w="15" w:type="dxa"/>
            </w:tcMar>
            <w:vAlign w:val="bottom"/>
            <w:hideMark/>
          </w:tcPr>
          <w:p w14:paraId="73477636"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3,425</w:t>
            </w:r>
          </w:p>
        </w:tc>
        <w:tc>
          <w:tcPr>
            <w:tcW w:w="192" w:type="dxa"/>
            <w:shd w:val="clear" w:color="auto" w:fill="FFFFFF"/>
            <w:noWrap/>
            <w:tcMar>
              <w:top w:w="15" w:type="dxa"/>
              <w:left w:w="0" w:type="dxa"/>
              <w:bottom w:w="0" w:type="dxa"/>
              <w:right w:w="15" w:type="dxa"/>
            </w:tcMar>
            <w:vAlign w:val="bottom"/>
            <w:hideMark/>
          </w:tcPr>
          <w:p w14:paraId="178EEBB5"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33322EDF" w14:textId="77777777" w:rsidTr="00141675">
        <w:tc>
          <w:tcPr>
            <w:tcW w:w="14774" w:type="dxa"/>
            <w:shd w:val="clear" w:color="auto" w:fill="CFF0FC"/>
            <w:tcMar>
              <w:top w:w="15" w:type="dxa"/>
              <w:left w:w="0" w:type="dxa"/>
              <w:bottom w:w="0" w:type="dxa"/>
              <w:right w:w="15" w:type="dxa"/>
            </w:tcMar>
            <w:hideMark/>
          </w:tcPr>
          <w:p w14:paraId="3B1BC185" w14:textId="77777777" w:rsidR="00141675" w:rsidRPr="00141675" w:rsidRDefault="00141675" w:rsidP="00141675">
            <w:pPr>
              <w:widowControl/>
              <w:ind w:left="68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current assets</w:t>
            </w:r>
          </w:p>
        </w:tc>
        <w:tc>
          <w:tcPr>
            <w:tcW w:w="335" w:type="dxa"/>
            <w:shd w:val="clear" w:color="auto" w:fill="CFF0FC"/>
            <w:tcMar>
              <w:top w:w="15" w:type="dxa"/>
              <w:left w:w="0" w:type="dxa"/>
              <w:bottom w:w="0" w:type="dxa"/>
              <w:right w:w="15" w:type="dxa"/>
            </w:tcMar>
            <w:vAlign w:val="bottom"/>
            <w:hideMark/>
          </w:tcPr>
          <w:p w14:paraId="32DBCD54"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60EA5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20A780C"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34,540</w:t>
            </w:r>
          </w:p>
        </w:tc>
        <w:tc>
          <w:tcPr>
            <w:tcW w:w="191" w:type="dxa"/>
            <w:shd w:val="clear" w:color="auto" w:fill="CFF0FC"/>
            <w:noWrap/>
            <w:tcMar>
              <w:top w:w="15" w:type="dxa"/>
              <w:left w:w="0" w:type="dxa"/>
              <w:bottom w:w="0" w:type="dxa"/>
              <w:right w:w="15" w:type="dxa"/>
            </w:tcMar>
            <w:vAlign w:val="bottom"/>
            <w:hideMark/>
          </w:tcPr>
          <w:p w14:paraId="46AC54E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5C41F50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9615EC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7E3809"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46,386</w:t>
            </w:r>
          </w:p>
        </w:tc>
        <w:tc>
          <w:tcPr>
            <w:tcW w:w="192" w:type="dxa"/>
            <w:shd w:val="clear" w:color="auto" w:fill="CFF0FC"/>
            <w:noWrap/>
            <w:tcMar>
              <w:top w:w="15" w:type="dxa"/>
              <w:left w:w="0" w:type="dxa"/>
              <w:bottom w:w="0" w:type="dxa"/>
              <w:right w:w="15" w:type="dxa"/>
            </w:tcMar>
            <w:vAlign w:val="bottom"/>
            <w:hideMark/>
          </w:tcPr>
          <w:p w14:paraId="2038842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64277E4" w14:textId="77777777" w:rsidTr="00141675">
        <w:tc>
          <w:tcPr>
            <w:tcW w:w="14774" w:type="dxa"/>
            <w:shd w:val="clear" w:color="auto" w:fill="FFFFFF"/>
            <w:tcMar>
              <w:top w:w="15" w:type="dxa"/>
              <w:left w:w="0" w:type="dxa"/>
              <w:bottom w:w="0" w:type="dxa"/>
              <w:right w:w="15" w:type="dxa"/>
            </w:tcMar>
            <w:hideMark/>
          </w:tcPr>
          <w:p w14:paraId="273CFA0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Non-current assets:</w:t>
            </w:r>
          </w:p>
        </w:tc>
        <w:tc>
          <w:tcPr>
            <w:tcW w:w="335" w:type="dxa"/>
            <w:shd w:val="clear" w:color="auto" w:fill="FFFFFF"/>
            <w:tcMar>
              <w:top w:w="15" w:type="dxa"/>
              <w:left w:w="0" w:type="dxa"/>
              <w:bottom w:w="0" w:type="dxa"/>
              <w:right w:w="15" w:type="dxa"/>
            </w:tcMar>
            <w:vAlign w:val="bottom"/>
            <w:hideMark/>
          </w:tcPr>
          <w:p w14:paraId="6950B04A"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787E73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FFFFFF"/>
            <w:noWrap/>
            <w:tcMar>
              <w:top w:w="15" w:type="dxa"/>
              <w:left w:w="0" w:type="dxa"/>
              <w:bottom w:w="0" w:type="dxa"/>
              <w:right w:w="15" w:type="dxa"/>
            </w:tcMar>
            <w:vAlign w:val="bottom"/>
            <w:hideMark/>
          </w:tcPr>
          <w:p w14:paraId="13BEFFA1"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21618F9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36CF68DB"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DF665D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FFFFFF"/>
            <w:noWrap/>
            <w:tcMar>
              <w:top w:w="15" w:type="dxa"/>
              <w:left w:w="0" w:type="dxa"/>
              <w:bottom w:w="0" w:type="dxa"/>
              <w:right w:w="15" w:type="dxa"/>
            </w:tcMar>
            <w:vAlign w:val="bottom"/>
            <w:hideMark/>
          </w:tcPr>
          <w:p w14:paraId="00AD9924"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ED897C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473D9E59" w14:textId="77777777" w:rsidTr="00141675">
        <w:tc>
          <w:tcPr>
            <w:tcW w:w="14774" w:type="dxa"/>
            <w:shd w:val="clear" w:color="auto" w:fill="CFF0FC"/>
            <w:tcMar>
              <w:top w:w="15" w:type="dxa"/>
              <w:left w:w="0" w:type="dxa"/>
              <w:bottom w:w="0" w:type="dxa"/>
              <w:right w:w="15" w:type="dxa"/>
            </w:tcMar>
            <w:hideMark/>
          </w:tcPr>
          <w:p w14:paraId="6EFE54AF"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Property, plant and equipment, net</w:t>
            </w:r>
          </w:p>
        </w:tc>
        <w:tc>
          <w:tcPr>
            <w:tcW w:w="335" w:type="dxa"/>
            <w:shd w:val="clear" w:color="auto" w:fill="CFF0FC"/>
            <w:tcMar>
              <w:top w:w="15" w:type="dxa"/>
              <w:left w:w="0" w:type="dxa"/>
              <w:bottom w:w="0" w:type="dxa"/>
              <w:right w:w="15" w:type="dxa"/>
            </w:tcMar>
            <w:vAlign w:val="bottom"/>
            <w:hideMark/>
          </w:tcPr>
          <w:p w14:paraId="2E03A08E"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C333F7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351707A2"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6,270</w:t>
            </w:r>
          </w:p>
        </w:tc>
        <w:tc>
          <w:tcPr>
            <w:tcW w:w="191" w:type="dxa"/>
            <w:shd w:val="clear" w:color="auto" w:fill="CFF0FC"/>
            <w:noWrap/>
            <w:tcMar>
              <w:top w:w="15" w:type="dxa"/>
              <w:left w:w="0" w:type="dxa"/>
              <w:bottom w:w="0" w:type="dxa"/>
              <w:right w:w="15" w:type="dxa"/>
            </w:tcMar>
            <w:vAlign w:val="bottom"/>
            <w:hideMark/>
          </w:tcPr>
          <w:p w14:paraId="4F8CA34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6161857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549B41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278EC759"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6,252</w:t>
            </w:r>
          </w:p>
        </w:tc>
        <w:tc>
          <w:tcPr>
            <w:tcW w:w="192" w:type="dxa"/>
            <w:shd w:val="clear" w:color="auto" w:fill="CFF0FC"/>
            <w:noWrap/>
            <w:tcMar>
              <w:top w:w="15" w:type="dxa"/>
              <w:left w:w="0" w:type="dxa"/>
              <w:bottom w:w="0" w:type="dxa"/>
              <w:right w:w="15" w:type="dxa"/>
            </w:tcMar>
            <w:vAlign w:val="bottom"/>
            <w:hideMark/>
          </w:tcPr>
          <w:p w14:paraId="2B8277E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59194A3" w14:textId="77777777" w:rsidTr="00141675">
        <w:tc>
          <w:tcPr>
            <w:tcW w:w="14774" w:type="dxa"/>
            <w:shd w:val="clear" w:color="auto" w:fill="FFFFFF"/>
            <w:tcMar>
              <w:top w:w="15" w:type="dxa"/>
              <w:left w:w="0" w:type="dxa"/>
              <w:bottom w:w="0" w:type="dxa"/>
              <w:right w:w="15" w:type="dxa"/>
            </w:tcMar>
            <w:hideMark/>
          </w:tcPr>
          <w:p w14:paraId="21F08B3C"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Intangible assets, net</w:t>
            </w:r>
          </w:p>
        </w:tc>
        <w:tc>
          <w:tcPr>
            <w:tcW w:w="335" w:type="dxa"/>
            <w:shd w:val="clear" w:color="auto" w:fill="FFFFFF"/>
            <w:tcMar>
              <w:top w:w="15" w:type="dxa"/>
              <w:left w:w="0" w:type="dxa"/>
              <w:bottom w:w="0" w:type="dxa"/>
              <w:right w:w="15" w:type="dxa"/>
            </w:tcMar>
            <w:vAlign w:val="bottom"/>
            <w:hideMark/>
          </w:tcPr>
          <w:p w14:paraId="241A3A8A"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D448D6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69F0CCDA"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4,492</w:t>
            </w:r>
          </w:p>
        </w:tc>
        <w:tc>
          <w:tcPr>
            <w:tcW w:w="191" w:type="dxa"/>
            <w:shd w:val="clear" w:color="auto" w:fill="FFFFFF"/>
            <w:noWrap/>
            <w:tcMar>
              <w:top w:w="15" w:type="dxa"/>
              <w:left w:w="0" w:type="dxa"/>
              <w:bottom w:w="0" w:type="dxa"/>
              <w:right w:w="15" w:type="dxa"/>
            </w:tcMar>
            <w:vAlign w:val="bottom"/>
            <w:hideMark/>
          </w:tcPr>
          <w:p w14:paraId="55EFC8B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6AF5236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95BDBF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34137451"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5,279</w:t>
            </w:r>
          </w:p>
        </w:tc>
        <w:tc>
          <w:tcPr>
            <w:tcW w:w="192" w:type="dxa"/>
            <w:shd w:val="clear" w:color="auto" w:fill="FFFFFF"/>
            <w:noWrap/>
            <w:tcMar>
              <w:top w:w="15" w:type="dxa"/>
              <w:left w:w="0" w:type="dxa"/>
              <w:bottom w:w="0" w:type="dxa"/>
              <w:right w:w="15" w:type="dxa"/>
            </w:tcMar>
            <w:vAlign w:val="bottom"/>
            <w:hideMark/>
          </w:tcPr>
          <w:p w14:paraId="6962277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18A05EA8" w14:textId="77777777" w:rsidTr="00141675">
        <w:tc>
          <w:tcPr>
            <w:tcW w:w="14774" w:type="dxa"/>
            <w:shd w:val="clear" w:color="auto" w:fill="CFF0FC"/>
            <w:tcMar>
              <w:top w:w="15" w:type="dxa"/>
              <w:left w:w="0" w:type="dxa"/>
              <w:bottom w:w="0" w:type="dxa"/>
              <w:right w:w="15" w:type="dxa"/>
            </w:tcMar>
            <w:hideMark/>
          </w:tcPr>
          <w:p w14:paraId="6D003430"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Goodwill, net</w:t>
            </w:r>
          </w:p>
        </w:tc>
        <w:tc>
          <w:tcPr>
            <w:tcW w:w="335" w:type="dxa"/>
            <w:shd w:val="clear" w:color="auto" w:fill="CFF0FC"/>
            <w:tcMar>
              <w:top w:w="15" w:type="dxa"/>
              <w:left w:w="0" w:type="dxa"/>
              <w:bottom w:w="0" w:type="dxa"/>
              <w:right w:w="15" w:type="dxa"/>
            </w:tcMar>
            <w:vAlign w:val="bottom"/>
            <w:hideMark/>
          </w:tcPr>
          <w:p w14:paraId="3BDF02C2"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579A6E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57054210"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43,810</w:t>
            </w:r>
          </w:p>
        </w:tc>
        <w:tc>
          <w:tcPr>
            <w:tcW w:w="191" w:type="dxa"/>
            <w:shd w:val="clear" w:color="auto" w:fill="CFF0FC"/>
            <w:noWrap/>
            <w:tcMar>
              <w:top w:w="15" w:type="dxa"/>
              <w:left w:w="0" w:type="dxa"/>
              <w:bottom w:w="0" w:type="dxa"/>
              <w:right w:w="15" w:type="dxa"/>
            </w:tcMar>
            <w:vAlign w:val="bottom"/>
            <w:hideMark/>
          </w:tcPr>
          <w:p w14:paraId="7FC43EB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26A8048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6C33CB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5AFCE164"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43,779</w:t>
            </w:r>
          </w:p>
        </w:tc>
        <w:tc>
          <w:tcPr>
            <w:tcW w:w="192" w:type="dxa"/>
            <w:shd w:val="clear" w:color="auto" w:fill="CFF0FC"/>
            <w:noWrap/>
            <w:tcMar>
              <w:top w:w="15" w:type="dxa"/>
              <w:left w:w="0" w:type="dxa"/>
              <w:bottom w:w="0" w:type="dxa"/>
              <w:right w:w="15" w:type="dxa"/>
            </w:tcMar>
            <w:vAlign w:val="bottom"/>
            <w:hideMark/>
          </w:tcPr>
          <w:p w14:paraId="325F99E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CE47045" w14:textId="77777777" w:rsidTr="00141675">
        <w:tc>
          <w:tcPr>
            <w:tcW w:w="14774" w:type="dxa"/>
            <w:shd w:val="clear" w:color="auto" w:fill="FFFFFF"/>
            <w:tcMar>
              <w:top w:w="15" w:type="dxa"/>
              <w:left w:w="0" w:type="dxa"/>
              <w:bottom w:w="0" w:type="dxa"/>
              <w:right w:w="15" w:type="dxa"/>
            </w:tcMar>
            <w:hideMark/>
          </w:tcPr>
          <w:p w14:paraId="5B5C12CB"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Deferred tax assets</w:t>
            </w:r>
          </w:p>
        </w:tc>
        <w:tc>
          <w:tcPr>
            <w:tcW w:w="335" w:type="dxa"/>
            <w:shd w:val="clear" w:color="auto" w:fill="FFFFFF"/>
            <w:tcMar>
              <w:top w:w="15" w:type="dxa"/>
              <w:left w:w="0" w:type="dxa"/>
              <w:bottom w:w="0" w:type="dxa"/>
              <w:right w:w="15" w:type="dxa"/>
            </w:tcMar>
            <w:vAlign w:val="bottom"/>
            <w:hideMark/>
          </w:tcPr>
          <w:p w14:paraId="7649E5B0"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BFD790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16184D79"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2,751</w:t>
            </w:r>
          </w:p>
        </w:tc>
        <w:tc>
          <w:tcPr>
            <w:tcW w:w="191" w:type="dxa"/>
            <w:shd w:val="clear" w:color="auto" w:fill="FFFFFF"/>
            <w:noWrap/>
            <w:tcMar>
              <w:top w:w="15" w:type="dxa"/>
              <w:left w:w="0" w:type="dxa"/>
              <w:bottom w:w="0" w:type="dxa"/>
              <w:right w:w="15" w:type="dxa"/>
            </w:tcMar>
            <w:vAlign w:val="bottom"/>
            <w:hideMark/>
          </w:tcPr>
          <w:p w14:paraId="3D60C538"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447AB9E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33AB47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6E2A72D3"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2,696</w:t>
            </w:r>
          </w:p>
        </w:tc>
        <w:tc>
          <w:tcPr>
            <w:tcW w:w="192" w:type="dxa"/>
            <w:shd w:val="clear" w:color="auto" w:fill="FFFFFF"/>
            <w:noWrap/>
            <w:tcMar>
              <w:top w:w="15" w:type="dxa"/>
              <w:left w:w="0" w:type="dxa"/>
              <w:bottom w:w="0" w:type="dxa"/>
              <w:right w:w="15" w:type="dxa"/>
            </w:tcMar>
            <w:vAlign w:val="bottom"/>
            <w:hideMark/>
          </w:tcPr>
          <w:p w14:paraId="6D8405E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3CF50EAF" w14:textId="77777777" w:rsidTr="00141675">
        <w:tc>
          <w:tcPr>
            <w:tcW w:w="14774" w:type="dxa"/>
            <w:shd w:val="clear" w:color="auto" w:fill="CFF0FC"/>
            <w:tcMar>
              <w:top w:w="15" w:type="dxa"/>
              <w:left w:w="0" w:type="dxa"/>
              <w:bottom w:w="0" w:type="dxa"/>
              <w:right w:w="15" w:type="dxa"/>
            </w:tcMar>
            <w:hideMark/>
          </w:tcPr>
          <w:p w14:paraId="62B40E29"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Other non-current assets</w:t>
            </w:r>
          </w:p>
        </w:tc>
        <w:tc>
          <w:tcPr>
            <w:tcW w:w="335" w:type="dxa"/>
            <w:shd w:val="clear" w:color="auto" w:fill="CFF0FC"/>
            <w:tcMar>
              <w:top w:w="15" w:type="dxa"/>
              <w:left w:w="0" w:type="dxa"/>
              <w:bottom w:w="0" w:type="dxa"/>
              <w:right w:w="15" w:type="dxa"/>
            </w:tcMar>
            <w:vAlign w:val="bottom"/>
            <w:hideMark/>
          </w:tcPr>
          <w:p w14:paraId="309027EB"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55820D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CFF0FC"/>
            <w:noWrap/>
            <w:tcMar>
              <w:top w:w="15" w:type="dxa"/>
              <w:left w:w="0" w:type="dxa"/>
              <w:bottom w:w="0" w:type="dxa"/>
              <w:right w:w="15" w:type="dxa"/>
            </w:tcMar>
            <w:vAlign w:val="bottom"/>
            <w:hideMark/>
          </w:tcPr>
          <w:p w14:paraId="40F1847E"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6,580</w:t>
            </w:r>
          </w:p>
        </w:tc>
        <w:tc>
          <w:tcPr>
            <w:tcW w:w="191" w:type="dxa"/>
            <w:shd w:val="clear" w:color="auto" w:fill="CFF0FC"/>
            <w:noWrap/>
            <w:tcMar>
              <w:top w:w="15" w:type="dxa"/>
              <w:left w:w="0" w:type="dxa"/>
              <w:bottom w:w="0" w:type="dxa"/>
              <w:right w:w="15" w:type="dxa"/>
            </w:tcMar>
            <w:vAlign w:val="bottom"/>
            <w:hideMark/>
          </w:tcPr>
          <w:p w14:paraId="0C74B72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74A43EA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C041F1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CFF0FC"/>
            <w:noWrap/>
            <w:tcMar>
              <w:top w:w="15" w:type="dxa"/>
              <w:left w:w="0" w:type="dxa"/>
              <w:bottom w:w="0" w:type="dxa"/>
              <w:right w:w="15" w:type="dxa"/>
            </w:tcMar>
            <w:vAlign w:val="bottom"/>
            <w:hideMark/>
          </w:tcPr>
          <w:p w14:paraId="2529F64C"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4,317</w:t>
            </w:r>
          </w:p>
        </w:tc>
        <w:tc>
          <w:tcPr>
            <w:tcW w:w="192" w:type="dxa"/>
            <w:shd w:val="clear" w:color="auto" w:fill="CFF0FC"/>
            <w:noWrap/>
            <w:tcMar>
              <w:top w:w="15" w:type="dxa"/>
              <w:left w:w="0" w:type="dxa"/>
              <w:bottom w:w="0" w:type="dxa"/>
              <w:right w:w="15" w:type="dxa"/>
            </w:tcMar>
            <w:vAlign w:val="bottom"/>
            <w:hideMark/>
          </w:tcPr>
          <w:p w14:paraId="55DA90E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8625D73" w14:textId="77777777" w:rsidTr="00141675">
        <w:tc>
          <w:tcPr>
            <w:tcW w:w="14774" w:type="dxa"/>
            <w:shd w:val="clear" w:color="auto" w:fill="FFFFFF"/>
            <w:tcMar>
              <w:top w:w="15" w:type="dxa"/>
              <w:left w:w="0" w:type="dxa"/>
              <w:bottom w:w="0" w:type="dxa"/>
              <w:right w:w="15" w:type="dxa"/>
            </w:tcMar>
            <w:hideMark/>
          </w:tcPr>
          <w:p w14:paraId="20412E96" w14:textId="77777777" w:rsidR="00141675" w:rsidRPr="00141675" w:rsidRDefault="00141675" w:rsidP="00141675">
            <w:pPr>
              <w:widowControl/>
              <w:ind w:left="68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non-current assets</w:t>
            </w:r>
          </w:p>
        </w:tc>
        <w:tc>
          <w:tcPr>
            <w:tcW w:w="335" w:type="dxa"/>
            <w:shd w:val="clear" w:color="auto" w:fill="FFFFFF"/>
            <w:tcMar>
              <w:top w:w="15" w:type="dxa"/>
              <w:left w:w="0" w:type="dxa"/>
              <w:bottom w:w="0" w:type="dxa"/>
              <w:right w:w="15" w:type="dxa"/>
            </w:tcMar>
            <w:vAlign w:val="bottom"/>
            <w:hideMark/>
          </w:tcPr>
          <w:p w14:paraId="7FA4F041"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5A1DD8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DBD78CF"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63,903</w:t>
            </w:r>
          </w:p>
        </w:tc>
        <w:tc>
          <w:tcPr>
            <w:tcW w:w="191" w:type="dxa"/>
            <w:shd w:val="clear" w:color="auto" w:fill="FFFFFF"/>
            <w:noWrap/>
            <w:tcMar>
              <w:top w:w="15" w:type="dxa"/>
              <w:left w:w="0" w:type="dxa"/>
              <w:bottom w:w="0" w:type="dxa"/>
              <w:right w:w="15" w:type="dxa"/>
            </w:tcMar>
            <w:vAlign w:val="bottom"/>
            <w:hideMark/>
          </w:tcPr>
          <w:p w14:paraId="48D0908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0444E056"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15F088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5D7E3BD"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62,323</w:t>
            </w:r>
          </w:p>
        </w:tc>
        <w:tc>
          <w:tcPr>
            <w:tcW w:w="192" w:type="dxa"/>
            <w:shd w:val="clear" w:color="auto" w:fill="FFFFFF"/>
            <w:noWrap/>
            <w:tcMar>
              <w:top w:w="15" w:type="dxa"/>
              <w:left w:w="0" w:type="dxa"/>
              <w:bottom w:w="0" w:type="dxa"/>
              <w:right w:w="15" w:type="dxa"/>
            </w:tcMar>
            <w:vAlign w:val="bottom"/>
            <w:hideMark/>
          </w:tcPr>
          <w:p w14:paraId="16488D5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42829204" w14:textId="77777777" w:rsidTr="00141675">
        <w:tc>
          <w:tcPr>
            <w:tcW w:w="14774" w:type="dxa"/>
            <w:shd w:val="clear" w:color="auto" w:fill="CFF0FC"/>
            <w:tcMar>
              <w:top w:w="15" w:type="dxa"/>
              <w:left w:w="0" w:type="dxa"/>
              <w:bottom w:w="0" w:type="dxa"/>
              <w:right w:w="15" w:type="dxa"/>
            </w:tcMar>
            <w:hideMark/>
          </w:tcPr>
          <w:p w14:paraId="70A7FCBC" w14:textId="77777777" w:rsidR="00141675" w:rsidRPr="00141675" w:rsidRDefault="00141675" w:rsidP="00141675">
            <w:pPr>
              <w:widowControl/>
              <w:ind w:left="958"/>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assets</w:t>
            </w:r>
          </w:p>
        </w:tc>
        <w:tc>
          <w:tcPr>
            <w:tcW w:w="335" w:type="dxa"/>
            <w:shd w:val="clear" w:color="auto" w:fill="CFF0FC"/>
            <w:tcMar>
              <w:top w:w="15" w:type="dxa"/>
              <w:left w:w="0" w:type="dxa"/>
              <w:bottom w:w="0" w:type="dxa"/>
              <w:right w:w="15" w:type="dxa"/>
            </w:tcMar>
            <w:vAlign w:val="bottom"/>
            <w:hideMark/>
          </w:tcPr>
          <w:p w14:paraId="7797B127"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7424E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2134"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B94009"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98,443</w:t>
            </w:r>
          </w:p>
        </w:tc>
        <w:tc>
          <w:tcPr>
            <w:tcW w:w="191" w:type="dxa"/>
            <w:shd w:val="clear" w:color="auto" w:fill="CFF0FC"/>
            <w:noWrap/>
            <w:tcMar>
              <w:top w:w="15" w:type="dxa"/>
              <w:left w:w="0" w:type="dxa"/>
              <w:bottom w:w="0" w:type="dxa"/>
              <w:right w:w="15" w:type="dxa"/>
            </w:tcMar>
            <w:vAlign w:val="bottom"/>
            <w:hideMark/>
          </w:tcPr>
          <w:p w14:paraId="70DA6BF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066DB72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174E5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2134"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2477C2"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108,709</w:t>
            </w:r>
          </w:p>
        </w:tc>
        <w:tc>
          <w:tcPr>
            <w:tcW w:w="192" w:type="dxa"/>
            <w:shd w:val="clear" w:color="auto" w:fill="CFF0FC"/>
            <w:noWrap/>
            <w:tcMar>
              <w:top w:w="15" w:type="dxa"/>
              <w:left w:w="0" w:type="dxa"/>
              <w:bottom w:w="0" w:type="dxa"/>
              <w:right w:w="15" w:type="dxa"/>
            </w:tcMar>
            <w:vAlign w:val="bottom"/>
            <w:hideMark/>
          </w:tcPr>
          <w:p w14:paraId="31130A65"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620718BF" w14:textId="77777777" w:rsidTr="00141675">
        <w:tc>
          <w:tcPr>
            <w:tcW w:w="14774" w:type="dxa"/>
            <w:shd w:val="clear" w:color="auto" w:fill="FFFFFF"/>
            <w:tcMar>
              <w:top w:w="15" w:type="dxa"/>
              <w:left w:w="0" w:type="dxa"/>
              <w:bottom w:w="0" w:type="dxa"/>
              <w:right w:w="15" w:type="dxa"/>
            </w:tcMar>
            <w:vAlign w:val="bottom"/>
            <w:hideMark/>
          </w:tcPr>
          <w:p w14:paraId="26288EAD" w14:textId="77777777" w:rsidR="00141675" w:rsidRPr="00141675" w:rsidRDefault="00141675" w:rsidP="00141675">
            <w:pPr>
              <w:widowControl/>
              <w:jc w:val="center"/>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LIABILITIES AND EQUITY</w:t>
            </w:r>
          </w:p>
        </w:tc>
        <w:tc>
          <w:tcPr>
            <w:tcW w:w="335" w:type="dxa"/>
            <w:shd w:val="clear" w:color="auto" w:fill="FFFFFF"/>
            <w:tcMar>
              <w:top w:w="15" w:type="dxa"/>
              <w:left w:w="0" w:type="dxa"/>
              <w:bottom w:w="0" w:type="dxa"/>
              <w:right w:w="15" w:type="dxa"/>
            </w:tcMar>
            <w:vAlign w:val="bottom"/>
            <w:hideMark/>
          </w:tcPr>
          <w:p w14:paraId="7CF659E9"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1E4426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double" w:sz="6" w:space="0" w:color="000000"/>
            </w:tcBorders>
            <w:shd w:val="clear" w:color="auto" w:fill="FFFFFF"/>
            <w:noWrap/>
            <w:tcMar>
              <w:top w:w="15" w:type="dxa"/>
              <w:left w:w="0" w:type="dxa"/>
              <w:bottom w:w="0" w:type="dxa"/>
              <w:right w:w="15" w:type="dxa"/>
            </w:tcMar>
            <w:vAlign w:val="bottom"/>
            <w:hideMark/>
          </w:tcPr>
          <w:p w14:paraId="7CD3F52E"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6A71D36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2BC813A0"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35A5A89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double" w:sz="6" w:space="0" w:color="000000"/>
            </w:tcBorders>
            <w:shd w:val="clear" w:color="auto" w:fill="FFFFFF"/>
            <w:noWrap/>
            <w:tcMar>
              <w:top w:w="15" w:type="dxa"/>
              <w:left w:w="0" w:type="dxa"/>
              <w:bottom w:w="0" w:type="dxa"/>
              <w:right w:w="15" w:type="dxa"/>
            </w:tcMar>
            <w:vAlign w:val="bottom"/>
            <w:hideMark/>
          </w:tcPr>
          <w:p w14:paraId="2F422717"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7E25C9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201F1FF3" w14:textId="77777777" w:rsidTr="00141675">
        <w:tc>
          <w:tcPr>
            <w:tcW w:w="14774" w:type="dxa"/>
            <w:shd w:val="clear" w:color="auto" w:fill="CFF0FC"/>
            <w:tcMar>
              <w:top w:w="15" w:type="dxa"/>
              <w:left w:w="0" w:type="dxa"/>
              <w:bottom w:w="0" w:type="dxa"/>
              <w:right w:w="15" w:type="dxa"/>
            </w:tcMar>
            <w:hideMark/>
          </w:tcPr>
          <w:p w14:paraId="454D35F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Current liabilities:</w:t>
            </w:r>
          </w:p>
        </w:tc>
        <w:tc>
          <w:tcPr>
            <w:tcW w:w="335" w:type="dxa"/>
            <w:shd w:val="clear" w:color="auto" w:fill="CFF0FC"/>
            <w:tcMar>
              <w:top w:w="15" w:type="dxa"/>
              <w:left w:w="0" w:type="dxa"/>
              <w:bottom w:w="0" w:type="dxa"/>
              <w:right w:w="15" w:type="dxa"/>
            </w:tcMar>
            <w:vAlign w:val="bottom"/>
            <w:hideMark/>
          </w:tcPr>
          <w:p w14:paraId="3E1B6798"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C62148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19BA3E83"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18FCD54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368F96CE"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D9940A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3B51AB52"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4726372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34507E14" w14:textId="77777777" w:rsidTr="00141675">
        <w:tc>
          <w:tcPr>
            <w:tcW w:w="14774" w:type="dxa"/>
            <w:shd w:val="clear" w:color="auto" w:fill="FFFFFF"/>
            <w:tcMar>
              <w:top w:w="15" w:type="dxa"/>
              <w:left w:w="0" w:type="dxa"/>
              <w:bottom w:w="0" w:type="dxa"/>
              <w:right w:w="15" w:type="dxa"/>
            </w:tcMar>
            <w:hideMark/>
          </w:tcPr>
          <w:p w14:paraId="65197103"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Notes payable, current</w:t>
            </w:r>
          </w:p>
        </w:tc>
        <w:tc>
          <w:tcPr>
            <w:tcW w:w="335" w:type="dxa"/>
            <w:shd w:val="clear" w:color="auto" w:fill="FFFFFF"/>
            <w:tcMar>
              <w:top w:w="15" w:type="dxa"/>
              <w:left w:w="0" w:type="dxa"/>
              <w:bottom w:w="0" w:type="dxa"/>
              <w:right w:w="15" w:type="dxa"/>
            </w:tcMar>
            <w:vAlign w:val="bottom"/>
            <w:hideMark/>
          </w:tcPr>
          <w:p w14:paraId="1C1161B9"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1DEC3A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2134" w:type="dxa"/>
            <w:shd w:val="clear" w:color="auto" w:fill="FFFFFF"/>
            <w:noWrap/>
            <w:tcMar>
              <w:top w:w="15" w:type="dxa"/>
              <w:left w:w="0" w:type="dxa"/>
              <w:bottom w:w="0" w:type="dxa"/>
              <w:right w:w="15" w:type="dxa"/>
            </w:tcMar>
            <w:vAlign w:val="bottom"/>
            <w:hideMark/>
          </w:tcPr>
          <w:p w14:paraId="3A05E35F"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999</w:t>
            </w:r>
          </w:p>
        </w:tc>
        <w:tc>
          <w:tcPr>
            <w:tcW w:w="191" w:type="dxa"/>
            <w:shd w:val="clear" w:color="auto" w:fill="FFFFFF"/>
            <w:noWrap/>
            <w:tcMar>
              <w:top w:w="15" w:type="dxa"/>
              <w:left w:w="0" w:type="dxa"/>
              <w:bottom w:w="0" w:type="dxa"/>
              <w:right w:w="15" w:type="dxa"/>
            </w:tcMar>
            <w:vAlign w:val="bottom"/>
            <w:hideMark/>
          </w:tcPr>
          <w:p w14:paraId="0EF0825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3BC4FA6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EC62C9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2134" w:type="dxa"/>
            <w:shd w:val="clear" w:color="auto" w:fill="FFFFFF"/>
            <w:noWrap/>
            <w:tcMar>
              <w:top w:w="15" w:type="dxa"/>
              <w:left w:w="0" w:type="dxa"/>
              <w:bottom w:w="0" w:type="dxa"/>
              <w:right w:w="15" w:type="dxa"/>
            </w:tcMar>
            <w:vAlign w:val="bottom"/>
            <w:hideMark/>
          </w:tcPr>
          <w:p w14:paraId="63AA408D"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4,494</w:t>
            </w:r>
          </w:p>
        </w:tc>
        <w:tc>
          <w:tcPr>
            <w:tcW w:w="192" w:type="dxa"/>
            <w:shd w:val="clear" w:color="auto" w:fill="FFFFFF"/>
            <w:noWrap/>
            <w:tcMar>
              <w:top w:w="15" w:type="dxa"/>
              <w:left w:w="0" w:type="dxa"/>
              <w:bottom w:w="0" w:type="dxa"/>
              <w:right w:w="15" w:type="dxa"/>
            </w:tcMar>
            <w:vAlign w:val="bottom"/>
            <w:hideMark/>
          </w:tcPr>
          <w:p w14:paraId="157B3FE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115D724A" w14:textId="77777777" w:rsidTr="00141675">
        <w:tc>
          <w:tcPr>
            <w:tcW w:w="14774" w:type="dxa"/>
            <w:shd w:val="clear" w:color="auto" w:fill="CFF0FC"/>
            <w:tcMar>
              <w:top w:w="15" w:type="dxa"/>
              <w:left w:w="0" w:type="dxa"/>
              <w:bottom w:w="0" w:type="dxa"/>
              <w:right w:w="15" w:type="dxa"/>
            </w:tcMar>
            <w:hideMark/>
          </w:tcPr>
          <w:p w14:paraId="0F019F55"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lastRenderedPageBreak/>
              <w:t>Accounts payable</w:t>
            </w:r>
          </w:p>
        </w:tc>
        <w:tc>
          <w:tcPr>
            <w:tcW w:w="335" w:type="dxa"/>
            <w:shd w:val="clear" w:color="auto" w:fill="CFF0FC"/>
            <w:tcMar>
              <w:top w:w="15" w:type="dxa"/>
              <w:left w:w="0" w:type="dxa"/>
              <w:bottom w:w="0" w:type="dxa"/>
              <w:right w:w="15" w:type="dxa"/>
            </w:tcMar>
            <w:vAlign w:val="bottom"/>
            <w:hideMark/>
          </w:tcPr>
          <w:p w14:paraId="4C4A4018"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789A5B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56A85FBC"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534</w:t>
            </w:r>
          </w:p>
        </w:tc>
        <w:tc>
          <w:tcPr>
            <w:tcW w:w="191" w:type="dxa"/>
            <w:shd w:val="clear" w:color="auto" w:fill="CFF0FC"/>
            <w:noWrap/>
            <w:tcMar>
              <w:top w:w="15" w:type="dxa"/>
              <w:left w:w="0" w:type="dxa"/>
              <w:bottom w:w="0" w:type="dxa"/>
              <w:right w:w="15" w:type="dxa"/>
            </w:tcMar>
            <w:vAlign w:val="bottom"/>
            <w:hideMark/>
          </w:tcPr>
          <w:p w14:paraId="146D96D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4B40DD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286C25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56DA9664"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580</w:t>
            </w:r>
          </w:p>
        </w:tc>
        <w:tc>
          <w:tcPr>
            <w:tcW w:w="192" w:type="dxa"/>
            <w:shd w:val="clear" w:color="auto" w:fill="CFF0FC"/>
            <w:noWrap/>
            <w:tcMar>
              <w:top w:w="15" w:type="dxa"/>
              <w:left w:w="0" w:type="dxa"/>
              <w:bottom w:w="0" w:type="dxa"/>
              <w:right w:w="15" w:type="dxa"/>
            </w:tcMar>
            <w:vAlign w:val="bottom"/>
            <w:hideMark/>
          </w:tcPr>
          <w:p w14:paraId="1AC84DC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09C03E9A" w14:textId="77777777" w:rsidTr="00141675">
        <w:tc>
          <w:tcPr>
            <w:tcW w:w="14774" w:type="dxa"/>
            <w:shd w:val="clear" w:color="auto" w:fill="FFFFFF"/>
            <w:tcMar>
              <w:top w:w="15" w:type="dxa"/>
              <w:left w:w="0" w:type="dxa"/>
              <w:bottom w:w="0" w:type="dxa"/>
              <w:right w:w="15" w:type="dxa"/>
            </w:tcMar>
            <w:hideMark/>
          </w:tcPr>
          <w:p w14:paraId="48F638EE"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Accrued compensation and related benefits</w:t>
            </w:r>
          </w:p>
        </w:tc>
        <w:tc>
          <w:tcPr>
            <w:tcW w:w="335" w:type="dxa"/>
            <w:shd w:val="clear" w:color="auto" w:fill="FFFFFF"/>
            <w:tcMar>
              <w:top w:w="15" w:type="dxa"/>
              <w:left w:w="0" w:type="dxa"/>
              <w:bottom w:w="0" w:type="dxa"/>
              <w:right w:w="15" w:type="dxa"/>
            </w:tcMar>
            <w:vAlign w:val="bottom"/>
            <w:hideMark/>
          </w:tcPr>
          <w:p w14:paraId="28F2D735"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736D07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5CE73DC4"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1,312</w:t>
            </w:r>
          </w:p>
        </w:tc>
        <w:tc>
          <w:tcPr>
            <w:tcW w:w="191" w:type="dxa"/>
            <w:shd w:val="clear" w:color="auto" w:fill="FFFFFF"/>
            <w:noWrap/>
            <w:tcMar>
              <w:top w:w="15" w:type="dxa"/>
              <w:left w:w="0" w:type="dxa"/>
              <w:bottom w:w="0" w:type="dxa"/>
              <w:right w:w="15" w:type="dxa"/>
            </w:tcMar>
            <w:vAlign w:val="bottom"/>
            <w:hideMark/>
          </w:tcPr>
          <w:p w14:paraId="2E39635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6AA3EF7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E26AEA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1D071144"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1,628</w:t>
            </w:r>
          </w:p>
        </w:tc>
        <w:tc>
          <w:tcPr>
            <w:tcW w:w="192" w:type="dxa"/>
            <w:shd w:val="clear" w:color="auto" w:fill="FFFFFF"/>
            <w:noWrap/>
            <w:tcMar>
              <w:top w:w="15" w:type="dxa"/>
              <w:left w:w="0" w:type="dxa"/>
              <w:bottom w:w="0" w:type="dxa"/>
              <w:right w:w="15" w:type="dxa"/>
            </w:tcMar>
            <w:vAlign w:val="bottom"/>
            <w:hideMark/>
          </w:tcPr>
          <w:p w14:paraId="332E13F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05D7CCA" w14:textId="77777777" w:rsidTr="00141675">
        <w:tc>
          <w:tcPr>
            <w:tcW w:w="14774" w:type="dxa"/>
            <w:shd w:val="clear" w:color="auto" w:fill="CFF0FC"/>
            <w:tcMar>
              <w:top w:w="15" w:type="dxa"/>
              <w:left w:w="0" w:type="dxa"/>
              <w:bottom w:w="0" w:type="dxa"/>
              <w:right w:w="15" w:type="dxa"/>
            </w:tcMar>
            <w:hideMark/>
          </w:tcPr>
          <w:p w14:paraId="2F2E4DF2"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Deferred revenues</w:t>
            </w:r>
          </w:p>
        </w:tc>
        <w:tc>
          <w:tcPr>
            <w:tcW w:w="335" w:type="dxa"/>
            <w:shd w:val="clear" w:color="auto" w:fill="CFF0FC"/>
            <w:tcMar>
              <w:top w:w="15" w:type="dxa"/>
              <w:left w:w="0" w:type="dxa"/>
              <w:bottom w:w="0" w:type="dxa"/>
              <w:right w:w="15" w:type="dxa"/>
            </w:tcMar>
            <w:vAlign w:val="bottom"/>
            <w:hideMark/>
          </w:tcPr>
          <w:p w14:paraId="1E711901"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3D8F7E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65AB5020"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8,087</w:t>
            </w:r>
          </w:p>
        </w:tc>
        <w:tc>
          <w:tcPr>
            <w:tcW w:w="191" w:type="dxa"/>
            <w:shd w:val="clear" w:color="auto" w:fill="CFF0FC"/>
            <w:noWrap/>
            <w:tcMar>
              <w:top w:w="15" w:type="dxa"/>
              <w:left w:w="0" w:type="dxa"/>
              <w:bottom w:w="0" w:type="dxa"/>
              <w:right w:w="15" w:type="dxa"/>
            </w:tcMar>
            <w:vAlign w:val="bottom"/>
            <w:hideMark/>
          </w:tcPr>
          <w:p w14:paraId="782DDB8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124BA63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B3402E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1560A5AD"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8,374</w:t>
            </w:r>
          </w:p>
        </w:tc>
        <w:tc>
          <w:tcPr>
            <w:tcW w:w="192" w:type="dxa"/>
            <w:shd w:val="clear" w:color="auto" w:fill="CFF0FC"/>
            <w:noWrap/>
            <w:tcMar>
              <w:top w:w="15" w:type="dxa"/>
              <w:left w:w="0" w:type="dxa"/>
              <w:bottom w:w="0" w:type="dxa"/>
              <w:right w:w="15" w:type="dxa"/>
            </w:tcMar>
            <w:vAlign w:val="bottom"/>
            <w:hideMark/>
          </w:tcPr>
          <w:p w14:paraId="37C0893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2103A7CA" w14:textId="77777777" w:rsidTr="00141675">
        <w:tc>
          <w:tcPr>
            <w:tcW w:w="14774" w:type="dxa"/>
            <w:shd w:val="clear" w:color="auto" w:fill="FFFFFF"/>
            <w:tcMar>
              <w:top w:w="15" w:type="dxa"/>
              <w:left w:w="0" w:type="dxa"/>
              <w:bottom w:w="0" w:type="dxa"/>
              <w:right w:w="15" w:type="dxa"/>
            </w:tcMar>
            <w:hideMark/>
          </w:tcPr>
          <w:p w14:paraId="4D8941DA"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Other current liabilities</w:t>
            </w:r>
          </w:p>
        </w:tc>
        <w:tc>
          <w:tcPr>
            <w:tcW w:w="335" w:type="dxa"/>
            <w:shd w:val="clear" w:color="auto" w:fill="FFFFFF"/>
            <w:tcMar>
              <w:top w:w="15" w:type="dxa"/>
              <w:left w:w="0" w:type="dxa"/>
              <w:bottom w:w="0" w:type="dxa"/>
              <w:right w:w="15" w:type="dxa"/>
            </w:tcMar>
            <w:vAlign w:val="bottom"/>
            <w:hideMark/>
          </w:tcPr>
          <w:p w14:paraId="25B01466"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F0B5C7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FFFFFF"/>
            <w:noWrap/>
            <w:tcMar>
              <w:top w:w="15" w:type="dxa"/>
              <w:left w:w="0" w:type="dxa"/>
              <w:bottom w:w="0" w:type="dxa"/>
              <w:right w:w="15" w:type="dxa"/>
            </w:tcMar>
            <w:vAlign w:val="bottom"/>
            <w:hideMark/>
          </w:tcPr>
          <w:p w14:paraId="21E7A2D7"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3,660</w:t>
            </w:r>
          </w:p>
        </w:tc>
        <w:tc>
          <w:tcPr>
            <w:tcW w:w="191" w:type="dxa"/>
            <w:shd w:val="clear" w:color="auto" w:fill="FFFFFF"/>
            <w:noWrap/>
            <w:tcMar>
              <w:top w:w="15" w:type="dxa"/>
              <w:left w:w="0" w:type="dxa"/>
              <w:bottom w:w="0" w:type="dxa"/>
              <w:right w:w="15" w:type="dxa"/>
            </w:tcMar>
            <w:vAlign w:val="bottom"/>
            <w:hideMark/>
          </w:tcPr>
          <w:p w14:paraId="4E5EE8F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2A1B79C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B1AEC4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FFFFFF"/>
            <w:noWrap/>
            <w:tcMar>
              <w:top w:w="15" w:type="dxa"/>
              <w:left w:w="0" w:type="dxa"/>
              <w:bottom w:w="0" w:type="dxa"/>
              <w:right w:w="15" w:type="dxa"/>
            </w:tcMar>
            <w:vAlign w:val="bottom"/>
            <w:hideMark/>
          </w:tcPr>
          <w:p w14:paraId="52E65F37"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3,554</w:t>
            </w:r>
          </w:p>
        </w:tc>
        <w:tc>
          <w:tcPr>
            <w:tcW w:w="192" w:type="dxa"/>
            <w:shd w:val="clear" w:color="auto" w:fill="FFFFFF"/>
            <w:noWrap/>
            <w:tcMar>
              <w:top w:w="15" w:type="dxa"/>
              <w:left w:w="0" w:type="dxa"/>
              <w:bottom w:w="0" w:type="dxa"/>
              <w:right w:w="15" w:type="dxa"/>
            </w:tcMar>
            <w:vAlign w:val="bottom"/>
            <w:hideMark/>
          </w:tcPr>
          <w:p w14:paraId="6ADFA68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2FA33A0A" w14:textId="77777777" w:rsidTr="00141675">
        <w:tc>
          <w:tcPr>
            <w:tcW w:w="14774" w:type="dxa"/>
            <w:shd w:val="clear" w:color="auto" w:fill="CFF0FC"/>
            <w:tcMar>
              <w:top w:w="15" w:type="dxa"/>
              <w:left w:w="0" w:type="dxa"/>
              <w:bottom w:w="0" w:type="dxa"/>
              <w:right w:w="15" w:type="dxa"/>
            </w:tcMar>
            <w:hideMark/>
          </w:tcPr>
          <w:p w14:paraId="2448ACDA" w14:textId="77777777" w:rsidR="00141675" w:rsidRPr="00141675" w:rsidRDefault="00141675" w:rsidP="00141675">
            <w:pPr>
              <w:widowControl/>
              <w:ind w:left="68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current liabilities</w:t>
            </w:r>
          </w:p>
        </w:tc>
        <w:tc>
          <w:tcPr>
            <w:tcW w:w="335" w:type="dxa"/>
            <w:shd w:val="clear" w:color="auto" w:fill="CFF0FC"/>
            <w:tcMar>
              <w:top w:w="15" w:type="dxa"/>
              <w:left w:w="0" w:type="dxa"/>
              <w:bottom w:w="0" w:type="dxa"/>
              <w:right w:w="15" w:type="dxa"/>
            </w:tcMar>
            <w:vAlign w:val="bottom"/>
            <w:hideMark/>
          </w:tcPr>
          <w:p w14:paraId="131BF114"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1FC437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5B5E73B"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14,592</w:t>
            </w:r>
          </w:p>
        </w:tc>
        <w:tc>
          <w:tcPr>
            <w:tcW w:w="191" w:type="dxa"/>
            <w:shd w:val="clear" w:color="auto" w:fill="CFF0FC"/>
            <w:noWrap/>
            <w:tcMar>
              <w:top w:w="15" w:type="dxa"/>
              <w:left w:w="0" w:type="dxa"/>
              <w:bottom w:w="0" w:type="dxa"/>
              <w:right w:w="15" w:type="dxa"/>
            </w:tcMar>
            <w:vAlign w:val="bottom"/>
            <w:hideMark/>
          </w:tcPr>
          <w:p w14:paraId="1E748D9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78689472"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F13DB4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7CF914E"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18,630</w:t>
            </w:r>
          </w:p>
        </w:tc>
        <w:tc>
          <w:tcPr>
            <w:tcW w:w="192" w:type="dxa"/>
            <w:shd w:val="clear" w:color="auto" w:fill="CFF0FC"/>
            <w:noWrap/>
            <w:tcMar>
              <w:top w:w="15" w:type="dxa"/>
              <w:left w:w="0" w:type="dxa"/>
              <w:bottom w:w="0" w:type="dxa"/>
              <w:right w:w="15" w:type="dxa"/>
            </w:tcMar>
            <w:vAlign w:val="bottom"/>
            <w:hideMark/>
          </w:tcPr>
          <w:p w14:paraId="1106096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2E7E7F01" w14:textId="77777777" w:rsidTr="00141675">
        <w:tc>
          <w:tcPr>
            <w:tcW w:w="14774" w:type="dxa"/>
            <w:shd w:val="clear" w:color="auto" w:fill="FFFFFF"/>
            <w:tcMar>
              <w:top w:w="15" w:type="dxa"/>
              <w:left w:w="0" w:type="dxa"/>
              <w:bottom w:w="0" w:type="dxa"/>
              <w:right w:w="15" w:type="dxa"/>
            </w:tcMar>
            <w:hideMark/>
          </w:tcPr>
          <w:p w14:paraId="23F65D0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Non-current liabilities:</w:t>
            </w:r>
          </w:p>
        </w:tc>
        <w:tc>
          <w:tcPr>
            <w:tcW w:w="335" w:type="dxa"/>
            <w:shd w:val="clear" w:color="auto" w:fill="FFFFFF"/>
            <w:tcMar>
              <w:top w:w="15" w:type="dxa"/>
              <w:left w:w="0" w:type="dxa"/>
              <w:bottom w:w="0" w:type="dxa"/>
              <w:right w:w="15" w:type="dxa"/>
            </w:tcMar>
            <w:vAlign w:val="bottom"/>
            <w:hideMark/>
          </w:tcPr>
          <w:p w14:paraId="3D5B0B97"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8D86EF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FFFFFF"/>
            <w:noWrap/>
            <w:tcMar>
              <w:top w:w="15" w:type="dxa"/>
              <w:left w:w="0" w:type="dxa"/>
              <w:bottom w:w="0" w:type="dxa"/>
              <w:right w:w="15" w:type="dxa"/>
            </w:tcMar>
            <w:vAlign w:val="bottom"/>
            <w:hideMark/>
          </w:tcPr>
          <w:p w14:paraId="522665D4"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261D5D45"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4F8FDF15"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D6DF94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FFFFFF"/>
            <w:noWrap/>
            <w:tcMar>
              <w:top w:w="15" w:type="dxa"/>
              <w:left w:w="0" w:type="dxa"/>
              <w:bottom w:w="0" w:type="dxa"/>
              <w:right w:w="15" w:type="dxa"/>
            </w:tcMar>
            <w:vAlign w:val="bottom"/>
            <w:hideMark/>
          </w:tcPr>
          <w:p w14:paraId="5EFFF72C"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1CBA348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41677ACE" w14:textId="77777777" w:rsidTr="00141675">
        <w:tc>
          <w:tcPr>
            <w:tcW w:w="14774" w:type="dxa"/>
            <w:shd w:val="clear" w:color="auto" w:fill="CFF0FC"/>
            <w:tcMar>
              <w:top w:w="15" w:type="dxa"/>
              <w:left w:w="0" w:type="dxa"/>
              <w:bottom w:w="0" w:type="dxa"/>
              <w:right w:w="15" w:type="dxa"/>
            </w:tcMar>
            <w:hideMark/>
          </w:tcPr>
          <w:p w14:paraId="45DB2048"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Notes payable and other borrowings, non-current</w:t>
            </w:r>
          </w:p>
        </w:tc>
        <w:tc>
          <w:tcPr>
            <w:tcW w:w="335" w:type="dxa"/>
            <w:shd w:val="clear" w:color="auto" w:fill="CFF0FC"/>
            <w:tcMar>
              <w:top w:w="15" w:type="dxa"/>
              <w:left w:w="0" w:type="dxa"/>
              <w:bottom w:w="0" w:type="dxa"/>
              <w:right w:w="15" w:type="dxa"/>
            </w:tcMar>
            <w:vAlign w:val="bottom"/>
            <w:hideMark/>
          </w:tcPr>
          <w:p w14:paraId="0272389C"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2F272F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5A3153B5"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50,670</w:t>
            </w:r>
          </w:p>
        </w:tc>
        <w:tc>
          <w:tcPr>
            <w:tcW w:w="191" w:type="dxa"/>
            <w:shd w:val="clear" w:color="auto" w:fill="CFF0FC"/>
            <w:noWrap/>
            <w:tcMar>
              <w:top w:w="15" w:type="dxa"/>
              <w:left w:w="0" w:type="dxa"/>
              <w:bottom w:w="0" w:type="dxa"/>
              <w:right w:w="15" w:type="dxa"/>
            </w:tcMar>
            <w:vAlign w:val="bottom"/>
            <w:hideMark/>
          </w:tcPr>
          <w:p w14:paraId="31653FC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144C031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31F6EB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27E7F2EC"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51,673</w:t>
            </w:r>
          </w:p>
        </w:tc>
        <w:tc>
          <w:tcPr>
            <w:tcW w:w="192" w:type="dxa"/>
            <w:shd w:val="clear" w:color="auto" w:fill="CFF0FC"/>
            <w:noWrap/>
            <w:tcMar>
              <w:top w:w="15" w:type="dxa"/>
              <w:left w:w="0" w:type="dxa"/>
              <w:bottom w:w="0" w:type="dxa"/>
              <w:right w:w="15" w:type="dxa"/>
            </w:tcMar>
            <w:vAlign w:val="bottom"/>
            <w:hideMark/>
          </w:tcPr>
          <w:p w14:paraId="085F0C4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254E9A63" w14:textId="77777777" w:rsidTr="00141675">
        <w:tc>
          <w:tcPr>
            <w:tcW w:w="14774" w:type="dxa"/>
            <w:shd w:val="clear" w:color="auto" w:fill="FFFFFF"/>
            <w:tcMar>
              <w:top w:w="15" w:type="dxa"/>
              <w:left w:w="0" w:type="dxa"/>
              <w:bottom w:w="0" w:type="dxa"/>
              <w:right w:w="15" w:type="dxa"/>
            </w:tcMar>
            <w:hideMark/>
          </w:tcPr>
          <w:p w14:paraId="39DEF758"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Income taxes payable</w:t>
            </w:r>
          </w:p>
        </w:tc>
        <w:tc>
          <w:tcPr>
            <w:tcW w:w="335" w:type="dxa"/>
            <w:shd w:val="clear" w:color="auto" w:fill="FFFFFF"/>
            <w:tcMar>
              <w:top w:w="15" w:type="dxa"/>
              <w:left w:w="0" w:type="dxa"/>
              <w:bottom w:w="0" w:type="dxa"/>
              <w:right w:w="15" w:type="dxa"/>
            </w:tcMar>
            <w:vAlign w:val="bottom"/>
            <w:hideMark/>
          </w:tcPr>
          <w:p w14:paraId="39C3C1E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5F1EFE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4D8DC4AA"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13,042</w:t>
            </w:r>
          </w:p>
        </w:tc>
        <w:tc>
          <w:tcPr>
            <w:tcW w:w="191" w:type="dxa"/>
            <w:shd w:val="clear" w:color="auto" w:fill="FFFFFF"/>
            <w:noWrap/>
            <w:tcMar>
              <w:top w:w="15" w:type="dxa"/>
              <w:left w:w="0" w:type="dxa"/>
              <w:bottom w:w="0" w:type="dxa"/>
              <w:right w:w="15" w:type="dxa"/>
            </w:tcMar>
            <w:vAlign w:val="bottom"/>
            <w:hideMark/>
          </w:tcPr>
          <w:p w14:paraId="52BE93B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7436754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83EFB4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533B2A83"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13,295</w:t>
            </w:r>
          </w:p>
        </w:tc>
        <w:tc>
          <w:tcPr>
            <w:tcW w:w="192" w:type="dxa"/>
            <w:shd w:val="clear" w:color="auto" w:fill="FFFFFF"/>
            <w:noWrap/>
            <w:tcMar>
              <w:top w:w="15" w:type="dxa"/>
              <w:left w:w="0" w:type="dxa"/>
              <w:bottom w:w="0" w:type="dxa"/>
              <w:right w:w="15" w:type="dxa"/>
            </w:tcMar>
            <w:vAlign w:val="bottom"/>
            <w:hideMark/>
          </w:tcPr>
          <w:p w14:paraId="1FDABB4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2FB5E7EC" w14:textId="77777777" w:rsidTr="00141675">
        <w:tc>
          <w:tcPr>
            <w:tcW w:w="14774" w:type="dxa"/>
            <w:shd w:val="clear" w:color="auto" w:fill="CFF0FC"/>
            <w:tcMar>
              <w:top w:w="15" w:type="dxa"/>
              <w:left w:w="0" w:type="dxa"/>
              <w:bottom w:w="0" w:type="dxa"/>
              <w:right w:w="15" w:type="dxa"/>
            </w:tcMar>
            <w:hideMark/>
          </w:tcPr>
          <w:p w14:paraId="53857F69"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Other non-current liabilities</w:t>
            </w:r>
          </w:p>
        </w:tc>
        <w:tc>
          <w:tcPr>
            <w:tcW w:w="335" w:type="dxa"/>
            <w:shd w:val="clear" w:color="auto" w:fill="CFF0FC"/>
            <w:tcMar>
              <w:top w:w="15" w:type="dxa"/>
              <w:left w:w="0" w:type="dxa"/>
              <w:bottom w:w="0" w:type="dxa"/>
              <w:right w:w="15" w:type="dxa"/>
            </w:tcMar>
            <w:vAlign w:val="bottom"/>
            <w:hideMark/>
          </w:tcPr>
          <w:p w14:paraId="4375C8DE"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8A7D1C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CFF0FC"/>
            <w:noWrap/>
            <w:tcMar>
              <w:top w:w="15" w:type="dxa"/>
              <w:left w:w="0" w:type="dxa"/>
              <w:bottom w:w="0" w:type="dxa"/>
              <w:right w:w="15" w:type="dxa"/>
            </w:tcMar>
            <w:vAlign w:val="bottom"/>
            <w:hideMark/>
          </w:tcPr>
          <w:p w14:paraId="7928878D"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3,954</w:t>
            </w:r>
          </w:p>
        </w:tc>
        <w:tc>
          <w:tcPr>
            <w:tcW w:w="191" w:type="dxa"/>
            <w:shd w:val="clear" w:color="auto" w:fill="CFF0FC"/>
            <w:noWrap/>
            <w:tcMar>
              <w:top w:w="15" w:type="dxa"/>
              <w:left w:w="0" w:type="dxa"/>
              <w:bottom w:w="0" w:type="dxa"/>
              <w:right w:w="15" w:type="dxa"/>
            </w:tcMar>
            <w:vAlign w:val="bottom"/>
            <w:hideMark/>
          </w:tcPr>
          <w:p w14:paraId="22E5238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4B9012A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128AE7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CFF0FC"/>
            <w:noWrap/>
            <w:tcMar>
              <w:top w:w="15" w:type="dxa"/>
              <w:left w:w="0" w:type="dxa"/>
              <w:bottom w:w="0" w:type="dxa"/>
              <w:right w:w="15" w:type="dxa"/>
            </w:tcMar>
            <w:vAlign w:val="bottom"/>
            <w:hideMark/>
          </w:tcPr>
          <w:p w14:paraId="40B9F99A"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2,748</w:t>
            </w:r>
          </w:p>
        </w:tc>
        <w:tc>
          <w:tcPr>
            <w:tcW w:w="192" w:type="dxa"/>
            <w:shd w:val="clear" w:color="auto" w:fill="CFF0FC"/>
            <w:noWrap/>
            <w:tcMar>
              <w:top w:w="15" w:type="dxa"/>
              <w:left w:w="0" w:type="dxa"/>
              <w:bottom w:w="0" w:type="dxa"/>
              <w:right w:w="15" w:type="dxa"/>
            </w:tcMar>
            <w:vAlign w:val="bottom"/>
            <w:hideMark/>
          </w:tcPr>
          <w:p w14:paraId="39A951D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3165858C" w14:textId="77777777" w:rsidTr="00141675">
        <w:tc>
          <w:tcPr>
            <w:tcW w:w="14774" w:type="dxa"/>
            <w:shd w:val="clear" w:color="auto" w:fill="FFFFFF"/>
            <w:tcMar>
              <w:top w:w="15" w:type="dxa"/>
              <w:left w:w="0" w:type="dxa"/>
              <w:bottom w:w="0" w:type="dxa"/>
              <w:right w:w="15" w:type="dxa"/>
            </w:tcMar>
            <w:hideMark/>
          </w:tcPr>
          <w:p w14:paraId="708F0666" w14:textId="77777777" w:rsidR="00141675" w:rsidRPr="00141675" w:rsidRDefault="00141675" w:rsidP="00141675">
            <w:pPr>
              <w:widowControl/>
              <w:ind w:left="68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non-current liabilities</w:t>
            </w:r>
          </w:p>
        </w:tc>
        <w:tc>
          <w:tcPr>
            <w:tcW w:w="335" w:type="dxa"/>
            <w:shd w:val="clear" w:color="auto" w:fill="FFFFFF"/>
            <w:tcMar>
              <w:top w:w="15" w:type="dxa"/>
              <w:left w:w="0" w:type="dxa"/>
              <w:bottom w:w="0" w:type="dxa"/>
              <w:right w:w="15" w:type="dxa"/>
            </w:tcMar>
            <w:vAlign w:val="bottom"/>
            <w:hideMark/>
          </w:tcPr>
          <w:p w14:paraId="39F563B4"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5FEB28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14B3F8"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67,666</w:t>
            </w:r>
          </w:p>
        </w:tc>
        <w:tc>
          <w:tcPr>
            <w:tcW w:w="191" w:type="dxa"/>
            <w:shd w:val="clear" w:color="auto" w:fill="FFFFFF"/>
            <w:noWrap/>
            <w:tcMar>
              <w:top w:w="15" w:type="dxa"/>
              <w:left w:w="0" w:type="dxa"/>
              <w:bottom w:w="0" w:type="dxa"/>
              <w:right w:w="15" w:type="dxa"/>
            </w:tcMar>
            <w:vAlign w:val="bottom"/>
            <w:hideMark/>
          </w:tcPr>
          <w:p w14:paraId="20492EC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329346AE"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70B4D4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79FEB30"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67,716</w:t>
            </w:r>
          </w:p>
        </w:tc>
        <w:tc>
          <w:tcPr>
            <w:tcW w:w="192" w:type="dxa"/>
            <w:shd w:val="clear" w:color="auto" w:fill="FFFFFF"/>
            <w:noWrap/>
            <w:tcMar>
              <w:top w:w="15" w:type="dxa"/>
              <w:left w:w="0" w:type="dxa"/>
              <w:bottom w:w="0" w:type="dxa"/>
              <w:right w:w="15" w:type="dxa"/>
            </w:tcMar>
            <w:vAlign w:val="bottom"/>
            <w:hideMark/>
          </w:tcPr>
          <w:p w14:paraId="7D0E873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1A33182" w14:textId="77777777" w:rsidTr="00141675">
        <w:tc>
          <w:tcPr>
            <w:tcW w:w="14774" w:type="dxa"/>
            <w:shd w:val="clear" w:color="auto" w:fill="CFF0FC"/>
            <w:tcMar>
              <w:top w:w="15" w:type="dxa"/>
              <w:left w:w="0" w:type="dxa"/>
              <w:bottom w:w="0" w:type="dxa"/>
              <w:right w:w="15" w:type="dxa"/>
            </w:tcMar>
            <w:hideMark/>
          </w:tcPr>
          <w:p w14:paraId="1EC1136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Commitments and contingencies</w:t>
            </w:r>
          </w:p>
        </w:tc>
        <w:tc>
          <w:tcPr>
            <w:tcW w:w="335" w:type="dxa"/>
            <w:shd w:val="clear" w:color="auto" w:fill="CFF0FC"/>
            <w:tcMar>
              <w:top w:w="15" w:type="dxa"/>
              <w:left w:w="0" w:type="dxa"/>
              <w:bottom w:w="0" w:type="dxa"/>
              <w:right w:w="15" w:type="dxa"/>
            </w:tcMar>
            <w:vAlign w:val="bottom"/>
            <w:hideMark/>
          </w:tcPr>
          <w:p w14:paraId="7012B541"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8C0601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CFF0FC"/>
            <w:noWrap/>
            <w:tcMar>
              <w:top w:w="15" w:type="dxa"/>
              <w:left w:w="0" w:type="dxa"/>
              <w:bottom w:w="0" w:type="dxa"/>
              <w:right w:w="15" w:type="dxa"/>
            </w:tcMar>
            <w:vAlign w:val="bottom"/>
            <w:hideMark/>
          </w:tcPr>
          <w:p w14:paraId="27335EB3"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1" w:type="dxa"/>
            <w:shd w:val="clear" w:color="auto" w:fill="CFF0FC"/>
            <w:noWrap/>
            <w:tcMar>
              <w:top w:w="15" w:type="dxa"/>
              <w:left w:w="0" w:type="dxa"/>
              <w:bottom w:w="0" w:type="dxa"/>
              <w:right w:w="15" w:type="dxa"/>
            </w:tcMar>
            <w:vAlign w:val="bottom"/>
            <w:hideMark/>
          </w:tcPr>
          <w:p w14:paraId="78C4B4A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2D53F471"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8D5515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CFF0FC"/>
            <w:noWrap/>
            <w:tcMar>
              <w:top w:w="15" w:type="dxa"/>
              <w:left w:w="0" w:type="dxa"/>
              <w:bottom w:w="0" w:type="dxa"/>
              <w:right w:w="15" w:type="dxa"/>
            </w:tcMar>
            <w:vAlign w:val="bottom"/>
            <w:hideMark/>
          </w:tcPr>
          <w:p w14:paraId="7A9D6817"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03AF282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3135ABFA" w14:textId="77777777" w:rsidTr="00141675">
        <w:tc>
          <w:tcPr>
            <w:tcW w:w="14774" w:type="dxa"/>
            <w:shd w:val="clear" w:color="auto" w:fill="FFFFFF"/>
            <w:tcMar>
              <w:top w:w="15" w:type="dxa"/>
              <w:left w:w="0" w:type="dxa"/>
              <w:bottom w:w="0" w:type="dxa"/>
              <w:right w:w="15" w:type="dxa"/>
            </w:tcMar>
            <w:hideMark/>
          </w:tcPr>
          <w:p w14:paraId="1CAF38E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Oracle Corporation stockholders’ equity:</w:t>
            </w:r>
          </w:p>
        </w:tc>
        <w:tc>
          <w:tcPr>
            <w:tcW w:w="335" w:type="dxa"/>
            <w:shd w:val="clear" w:color="auto" w:fill="FFFFFF"/>
            <w:tcMar>
              <w:top w:w="15" w:type="dxa"/>
              <w:left w:w="0" w:type="dxa"/>
              <w:bottom w:w="0" w:type="dxa"/>
              <w:right w:w="15" w:type="dxa"/>
            </w:tcMar>
            <w:vAlign w:val="bottom"/>
            <w:hideMark/>
          </w:tcPr>
          <w:p w14:paraId="09277068"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91001E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0624BBC8"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1" w:type="dxa"/>
            <w:shd w:val="clear" w:color="auto" w:fill="FFFFFF"/>
            <w:noWrap/>
            <w:tcMar>
              <w:top w:w="15" w:type="dxa"/>
              <w:left w:w="0" w:type="dxa"/>
              <w:bottom w:w="0" w:type="dxa"/>
              <w:right w:w="15" w:type="dxa"/>
            </w:tcMar>
            <w:vAlign w:val="bottom"/>
            <w:hideMark/>
          </w:tcPr>
          <w:p w14:paraId="4A448D1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42E6B135"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7291B0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6EFE3D58"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A84517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28296FF5" w14:textId="77777777" w:rsidTr="00141675">
        <w:tc>
          <w:tcPr>
            <w:tcW w:w="14774" w:type="dxa"/>
            <w:shd w:val="clear" w:color="auto" w:fill="CFF0FC"/>
            <w:tcMar>
              <w:top w:w="15" w:type="dxa"/>
              <w:left w:w="0" w:type="dxa"/>
              <w:bottom w:w="0" w:type="dxa"/>
              <w:right w:w="15" w:type="dxa"/>
            </w:tcMar>
            <w:hideMark/>
          </w:tcPr>
          <w:p w14:paraId="731371AE"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Preferred stock, $0.01 par value—authorized: 1.0 shares; outstanding: none</w:t>
            </w:r>
          </w:p>
        </w:tc>
        <w:tc>
          <w:tcPr>
            <w:tcW w:w="335" w:type="dxa"/>
            <w:shd w:val="clear" w:color="auto" w:fill="CFF0FC"/>
            <w:tcMar>
              <w:top w:w="15" w:type="dxa"/>
              <w:left w:w="0" w:type="dxa"/>
              <w:bottom w:w="0" w:type="dxa"/>
              <w:right w:w="15" w:type="dxa"/>
            </w:tcMar>
            <w:vAlign w:val="bottom"/>
            <w:hideMark/>
          </w:tcPr>
          <w:p w14:paraId="4BFD149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70B28B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1224C740"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91" w:type="dxa"/>
            <w:shd w:val="clear" w:color="auto" w:fill="CFF0FC"/>
            <w:noWrap/>
            <w:tcMar>
              <w:top w:w="15" w:type="dxa"/>
              <w:left w:w="0" w:type="dxa"/>
              <w:bottom w:w="0" w:type="dxa"/>
              <w:right w:w="15" w:type="dxa"/>
            </w:tcMar>
            <w:vAlign w:val="bottom"/>
            <w:hideMark/>
          </w:tcPr>
          <w:p w14:paraId="27FC978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204DCF2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4105B4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628AFD19"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92" w:type="dxa"/>
            <w:shd w:val="clear" w:color="auto" w:fill="CFF0FC"/>
            <w:noWrap/>
            <w:tcMar>
              <w:top w:w="15" w:type="dxa"/>
              <w:left w:w="0" w:type="dxa"/>
              <w:bottom w:w="0" w:type="dxa"/>
              <w:right w:w="15" w:type="dxa"/>
            </w:tcMar>
            <w:vAlign w:val="bottom"/>
            <w:hideMark/>
          </w:tcPr>
          <w:p w14:paraId="091C926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52A04055" w14:textId="77777777" w:rsidTr="00141675">
        <w:tc>
          <w:tcPr>
            <w:tcW w:w="14774" w:type="dxa"/>
            <w:shd w:val="clear" w:color="auto" w:fill="FFFFFF"/>
            <w:tcMar>
              <w:top w:w="15" w:type="dxa"/>
              <w:left w:w="0" w:type="dxa"/>
              <w:bottom w:w="0" w:type="dxa"/>
              <w:right w:w="15" w:type="dxa"/>
            </w:tcMar>
            <w:hideMark/>
          </w:tcPr>
          <w:p w14:paraId="58B8CB1E" w14:textId="77777777" w:rsidR="00141675" w:rsidRPr="00141675" w:rsidRDefault="00141675" w:rsidP="00141675">
            <w:pPr>
              <w:widowControl/>
              <w:ind w:left="547" w:hanging="14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Common stock, $0.01 par value and additional paid in capital—authorized: 11,000 shares; outstanding: 3,214 shares and 3,359 shares as of November 30, 2019 and May 31, 2019, respectively</w:t>
            </w:r>
          </w:p>
        </w:tc>
        <w:tc>
          <w:tcPr>
            <w:tcW w:w="335" w:type="dxa"/>
            <w:shd w:val="clear" w:color="auto" w:fill="FFFFFF"/>
            <w:tcMar>
              <w:top w:w="15" w:type="dxa"/>
              <w:left w:w="0" w:type="dxa"/>
              <w:bottom w:w="0" w:type="dxa"/>
              <w:right w:w="15" w:type="dxa"/>
            </w:tcMar>
            <w:vAlign w:val="bottom"/>
            <w:hideMark/>
          </w:tcPr>
          <w:p w14:paraId="445511D1"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E99698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2E730BE8"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26,374</w:t>
            </w:r>
          </w:p>
        </w:tc>
        <w:tc>
          <w:tcPr>
            <w:tcW w:w="191" w:type="dxa"/>
            <w:shd w:val="clear" w:color="auto" w:fill="FFFFFF"/>
            <w:noWrap/>
            <w:tcMar>
              <w:top w:w="15" w:type="dxa"/>
              <w:left w:w="0" w:type="dxa"/>
              <w:bottom w:w="0" w:type="dxa"/>
              <w:right w:w="15" w:type="dxa"/>
            </w:tcMar>
            <w:vAlign w:val="bottom"/>
            <w:hideMark/>
          </w:tcPr>
          <w:p w14:paraId="0E9C9A4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28D744D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579155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FFFFFF"/>
            <w:noWrap/>
            <w:tcMar>
              <w:top w:w="15" w:type="dxa"/>
              <w:left w:w="0" w:type="dxa"/>
              <w:bottom w:w="0" w:type="dxa"/>
              <w:right w:w="15" w:type="dxa"/>
            </w:tcMar>
            <w:vAlign w:val="bottom"/>
            <w:hideMark/>
          </w:tcPr>
          <w:p w14:paraId="71359D7F"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26,909</w:t>
            </w:r>
          </w:p>
        </w:tc>
        <w:tc>
          <w:tcPr>
            <w:tcW w:w="192" w:type="dxa"/>
            <w:shd w:val="clear" w:color="auto" w:fill="FFFFFF"/>
            <w:noWrap/>
            <w:tcMar>
              <w:top w:w="15" w:type="dxa"/>
              <w:left w:w="0" w:type="dxa"/>
              <w:bottom w:w="0" w:type="dxa"/>
              <w:right w:w="15" w:type="dxa"/>
            </w:tcMar>
            <w:vAlign w:val="bottom"/>
            <w:hideMark/>
          </w:tcPr>
          <w:p w14:paraId="30E815F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25C87408" w14:textId="77777777" w:rsidTr="00141675">
        <w:tc>
          <w:tcPr>
            <w:tcW w:w="14774" w:type="dxa"/>
            <w:shd w:val="clear" w:color="auto" w:fill="CFF0FC"/>
            <w:tcMar>
              <w:top w:w="15" w:type="dxa"/>
              <w:left w:w="0" w:type="dxa"/>
              <w:bottom w:w="0" w:type="dxa"/>
              <w:right w:w="15" w:type="dxa"/>
            </w:tcMar>
            <w:hideMark/>
          </w:tcPr>
          <w:p w14:paraId="68D0EA46"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Accumulated deficit</w:t>
            </w:r>
          </w:p>
        </w:tc>
        <w:tc>
          <w:tcPr>
            <w:tcW w:w="335" w:type="dxa"/>
            <w:shd w:val="clear" w:color="auto" w:fill="CFF0FC"/>
            <w:tcMar>
              <w:top w:w="15" w:type="dxa"/>
              <w:left w:w="0" w:type="dxa"/>
              <w:bottom w:w="0" w:type="dxa"/>
              <w:right w:w="15" w:type="dxa"/>
            </w:tcMar>
            <w:vAlign w:val="bottom"/>
            <w:hideMark/>
          </w:tcPr>
          <w:p w14:paraId="31B860C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964F0C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0076F21F"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(9,174</w:t>
            </w:r>
          </w:p>
        </w:tc>
        <w:tc>
          <w:tcPr>
            <w:tcW w:w="191" w:type="dxa"/>
            <w:shd w:val="clear" w:color="auto" w:fill="CFF0FC"/>
            <w:noWrap/>
            <w:tcMar>
              <w:top w:w="15" w:type="dxa"/>
              <w:left w:w="0" w:type="dxa"/>
              <w:bottom w:w="0" w:type="dxa"/>
              <w:right w:w="15" w:type="dxa"/>
            </w:tcMar>
            <w:vAlign w:val="bottom"/>
            <w:hideMark/>
          </w:tcPr>
          <w:p w14:paraId="6E33363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335" w:type="dxa"/>
            <w:shd w:val="clear" w:color="auto" w:fill="CFF0FC"/>
            <w:tcMar>
              <w:top w:w="15" w:type="dxa"/>
              <w:left w:w="0" w:type="dxa"/>
              <w:bottom w:w="0" w:type="dxa"/>
              <w:right w:w="15" w:type="dxa"/>
            </w:tcMar>
            <w:vAlign w:val="bottom"/>
            <w:hideMark/>
          </w:tcPr>
          <w:p w14:paraId="3DB413E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06D742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shd w:val="clear" w:color="auto" w:fill="CFF0FC"/>
            <w:noWrap/>
            <w:tcMar>
              <w:top w:w="15" w:type="dxa"/>
              <w:left w:w="0" w:type="dxa"/>
              <w:bottom w:w="0" w:type="dxa"/>
              <w:right w:w="15" w:type="dxa"/>
            </w:tcMar>
            <w:vAlign w:val="bottom"/>
            <w:hideMark/>
          </w:tcPr>
          <w:p w14:paraId="420D6B62"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(3,496</w:t>
            </w:r>
          </w:p>
        </w:tc>
        <w:tc>
          <w:tcPr>
            <w:tcW w:w="192" w:type="dxa"/>
            <w:shd w:val="clear" w:color="auto" w:fill="CFF0FC"/>
            <w:noWrap/>
            <w:tcMar>
              <w:top w:w="15" w:type="dxa"/>
              <w:left w:w="0" w:type="dxa"/>
              <w:bottom w:w="0" w:type="dxa"/>
              <w:right w:w="15" w:type="dxa"/>
            </w:tcMar>
            <w:vAlign w:val="bottom"/>
            <w:hideMark/>
          </w:tcPr>
          <w:p w14:paraId="17DD746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r>
      <w:tr w:rsidR="00141675" w:rsidRPr="00141675" w14:paraId="4064C8B0" w14:textId="77777777" w:rsidTr="00141675">
        <w:tc>
          <w:tcPr>
            <w:tcW w:w="14774" w:type="dxa"/>
            <w:shd w:val="clear" w:color="auto" w:fill="FFFFFF"/>
            <w:tcMar>
              <w:top w:w="15" w:type="dxa"/>
              <w:left w:w="0" w:type="dxa"/>
              <w:bottom w:w="0" w:type="dxa"/>
              <w:right w:w="15" w:type="dxa"/>
            </w:tcMar>
            <w:hideMark/>
          </w:tcPr>
          <w:p w14:paraId="1618291B" w14:textId="77777777" w:rsidR="00141675" w:rsidRPr="00141675" w:rsidRDefault="00141675" w:rsidP="00141675">
            <w:pPr>
              <w:widowControl/>
              <w:ind w:left="410"/>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Accumulated other comprehensive loss</w:t>
            </w:r>
          </w:p>
        </w:tc>
        <w:tc>
          <w:tcPr>
            <w:tcW w:w="335" w:type="dxa"/>
            <w:shd w:val="clear" w:color="auto" w:fill="FFFFFF"/>
            <w:tcMar>
              <w:top w:w="15" w:type="dxa"/>
              <w:left w:w="0" w:type="dxa"/>
              <w:bottom w:w="0" w:type="dxa"/>
              <w:right w:w="15" w:type="dxa"/>
            </w:tcMar>
            <w:vAlign w:val="bottom"/>
            <w:hideMark/>
          </w:tcPr>
          <w:p w14:paraId="37EDAE40"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442A4FE"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FFFFFF"/>
            <w:noWrap/>
            <w:tcMar>
              <w:top w:w="15" w:type="dxa"/>
              <w:left w:w="0" w:type="dxa"/>
              <w:bottom w:w="0" w:type="dxa"/>
              <w:right w:w="15" w:type="dxa"/>
            </w:tcMar>
            <w:vAlign w:val="bottom"/>
            <w:hideMark/>
          </w:tcPr>
          <w:p w14:paraId="7BC072A5"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(1,637</w:t>
            </w:r>
          </w:p>
        </w:tc>
        <w:tc>
          <w:tcPr>
            <w:tcW w:w="191" w:type="dxa"/>
            <w:shd w:val="clear" w:color="auto" w:fill="FFFFFF"/>
            <w:noWrap/>
            <w:tcMar>
              <w:top w:w="15" w:type="dxa"/>
              <w:left w:w="0" w:type="dxa"/>
              <w:bottom w:w="0" w:type="dxa"/>
              <w:right w:w="15" w:type="dxa"/>
            </w:tcMar>
            <w:vAlign w:val="bottom"/>
            <w:hideMark/>
          </w:tcPr>
          <w:p w14:paraId="20FB23F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335" w:type="dxa"/>
            <w:shd w:val="clear" w:color="auto" w:fill="FFFFFF"/>
            <w:tcMar>
              <w:top w:w="15" w:type="dxa"/>
              <w:left w:w="0" w:type="dxa"/>
              <w:bottom w:w="0" w:type="dxa"/>
              <w:right w:w="15" w:type="dxa"/>
            </w:tcMar>
            <w:vAlign w:val="bottom"/>
            <w:hideMark/>
          </w:tcPr>
          <w:p w14:paraId="5DA0B17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8C44B0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FFFFFF"/>
            <w:noWrap/>
            <w:tcMar>
              <w:top w:w="15" w:type="dxa"/>
              <w:left w:w="0" w:type="dxa"/>
              <w:bottom w:w="0" w:type="dxa"/>
              <w:right w:w="15" w:type="dxa"/>
            </w:tcMar>
            <w:vAlign w:val="bottom"/>
            <w:hideMark/>
          </w:tcPr>
          <w:p w14:paraId="1D7EA1CF"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(1,628</w:t>
            </w:r>
          </w:p>
        </w:tc>
        <w:tc>
          <w:tcPr>
            <w:tcW w:w="192" w:type="dxa"/>
            <w:shd w:val="clear" w:color="auto" w:fill="FFFFFF"/>
            <w:noWrap/>
            <w:tcMar>
              <w:top w:w="15" w:type="dxa"/>
              <w:left w:w="0" w:type="dxa"/>
              <w:bottom w:w="0" w:type="dxa"/>
              <w:right w:w="15" w:type="dxa"/>
            </w:tcMar>
            <w:vAlign w:val="bottom"/>
            <w:hideMark/>
          </w:tcPr>
          <w:p w14:paraId="1E12557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r>
      <w:tr w:rsidR="00141675" w:rsidRPr="00141675" w14:paraId="012A544E" w14:textId="77777777" w:rsidTr="00141675">
        <w:tc>
          <w:tcPr>
            <w:tcW w:w="14774" w:type="dxa"/>
            <w:shd w:val="clear" w:color="auto" w:fill="CFF0FC"/>
            <w:tcMar>
              <w:top w:w="15" w:type="dxa"/>
              <w:left w:w="0" w:type="dxa"/>
              <w:bottom w:w="0" w:type="dxa"/>
              <w:right w:w="15" w:type="dxa"/>
            </w:tcMar>
            <w:hideMark/>
          </w:tcPr>
          <w:p w14:paraId="7573CC58" w14:textId="77777777" w:rsidR="00141675" w:rsidRPr="00141675" w:rsidRDefault="00141675" w:rsidP="00141675">
            <w:pPr>
              <w:widowControl/>
              <w:ind w:left="68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Oracle Corporation stockholders’ equity</w:t>
            </w:r>
          </w:p>
        </w:tc>
        <w:tc>
          <w:tcPr>
            <w:tcW w:w="335" w:type="dxa"/>
            <w:shd w:val="clear" w:color="auto" w:fill="CFF0FC"/>
            <w:tcMar>
              <w:top w:w="15" w:type="dxa"/>
              <w:left w:w="0" w:type="dxa"/>
              <w:bottom w:w="0" w:type="dxa"/>
              <w:right w:w="15" w:type="dxa"/>
            </w:tcMar>
            <w:vAlign w:val="bottom"/>
            <w:hideMark/>
          </w:tcPr>
          <w:p w14:paraId="767345F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F4F706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CFF0FC"/>
            <w:noWrap/>
            <w:tcMar>
              <w:top w:w="15" w:type="dxa"/>
              <w:left w:w="0" w:type="dxa"/>
              <w:bottom w:w="0" w:type="dxa"/>
              <w:right w:w="15" w:type="dxa"/>
            </w:tcMar>
            <w:vAlign w:val="bottom"/>
            <w:hideMark/>
          </w:tcPr>
          <w:p w14:paraId="65978292"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15,563</w:t>
            </w:r>
          </w:p>
        </w:tc>
        <w:tc>
          <w:tcPr>
            <w:tcW w:w="191" w:type="dxa"/>
            <w:shd w:val="clear" w:color="auto" w:fill="CFF0FC"/>
            <w:noWrap/>
            <w:tcMar>
              <w:top w:w="15" w:type="dxa"/>
              <w:left w:w="0" w:type="dxa"/>
              <w:bottom w:w="0" w:type="dxa"/>
              <w:right w:w="15" w:type="dxa"/>
            </w:tcMar>
            <w:vAlign w:val="bottom"/>
            <w:hideMark/>
          </w:tcPr>
          <w:p w14:paraId="0078F78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3BBBC8E2"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E1668B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tcBorders>
            <w:shd w:val="clear" w:color="auto" w:fill="CFF0FC"/>
            <w:noWrap/>
            <w:tcMar>
              <w:top w:w="15" w:type="dxa"/>
              <w:left w:w="0" w:type="dxa"/>
              <w:bottom w:w="0" w:type="dxa"/>
              <w:right w:w="15" w:type="dxa"/>
            </w:tcMar>
            <w:vAlign w:val="bottom"/>
            <w:hideMark/>
          </w:tcPr>
          <w:p w14:paraId="2CBBCE8F"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21,785</w:t>
            </w:r>
          </w:p>
        </w:tc>
        <w:tc>
          <w:tcPr>
            <w:tcW w:w="192" w:type="dxa"/>
            <w:shd w:val="clear" w:color="auto" w:fill="CFF0FC"/>
            <w:noWrap/>
            <w:tcMar>
              <w:top w:w="15" w:type="dxa"/>
              <w:left w:w="0" w:type="dxa"/>
              <w:bottom w:w="0" w:type="dxa"/>
              <w:right w:w="15" w:type="dxa"/>
            </w:tcMar>
            <w:vAlign w:val="bottom"/>
            <w:hideMark/>
          </w:tcPr>
          <w:p w14:paraId="3BEFFF85"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07F33359" w14:textId="77777777" w:rsidTr="00141675">
        <w:tc>
          <w:tcPr>
            <w:tcW w:w="14774" w:type="dxa"/>
            <w:shd w:val="clear" w:color="auto" w:fill="FFFFFF"/>
            <w:tcMar>
              <w:top w:w="15" w:type="dxa"/>
              <w:left w:w="0" w:type="dxa"/>
              <w:bottom w:w="0" w:type="dxa"/>
              <w:right w:w="15" w:type="dxa"/>
            </w:tcMar>
            <w:hideMark/>
          </w:tcPr>
          <w:p w14:paraId="4FF0F6A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Noncontrolling interests</w:t>
            </w:r>
          </w:p>
        </w:tc>
        <w:tc>
          <w:tcPr>
            <w:tcW w:w="335" w:type="dxa"/>
            <w:shd w:val="clear" w:color="auto" w:fill="FFFFFF"/>
            <w:tcMar>
              <w:top w:w="15" w:type="dxa"/>
              <w:left w:w="0" w:type="dxa"/>
              <w:bottom w:w="0" w:type="dxa"/>
              <w:right w:w="15" w:type="dxa"/>
            </w:tcMar>
            <w:vAlign w:val="bottom"/>
            <w:hideMark/>
          </w:tcPr>
          <w:p w14:paraId="6A330EA0"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3C5110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FFFFFF"/>
            <w:noWrap/>
            <w:tcMar>
              <w:top w:w="15" w:type="dxa"/>
              <w:left w:w="0" w:type="dxa"/>
              <w:bottom w:w="0" w:type="dxa"/>
              <w:right w:w="15" w:type="dxa"/>
            </w:tcMar>
            <w:vAlign w:val="bottom"/>
            <w:hideMark/>
          </w:tcPr>
          <w:p w14:paraId="7A2A1705"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622</w:t>
            </w:r>
          </w:p>
        </w:tc>
        <w:tc>
          <w:tcPr>
            <w:tcW w:w="191" w:type="dxa"/>
            <w:shd w:val="clear" w:color="auto" w:fill="FFFFFF"/>
            <w:noWrap/>
            <w:tcMar>
              <w:top w:w="15" w:type="dxa"/>
              <w:left w:w="0" w:type="dxa"/>
              <w:bottom w:w="0" w:type="dxa"/>
              <w:right w:w="15" w:type="dxa"/>
            </w:tcMar>
            <w:vAlign w:val="bottom"/>
            <w:hideMark/>
          </w:tcPr>
          <w:p w14:paraId="3BC21BD8"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20B2FF38"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DF5C15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bottom w:val="single" w:sz="6" w:space="0" w:color="000000"/>
            </w:tcBorders>
            <w:shd w:val="clear" w:color="auto" w:fill="FFFFFF"/>
            <w:noWrap/>
            <w:tcMar>
              <w:top w:w="15" w:type="dxa"/>
              <w:left w:w="0" w:type="dxa"/>
              <w:bottom w:w="0" w:type="dxa"/>
              <w:right w:w="15" w:type="dxa"/>
            </w:tcMar>
            <w:vAlign w:val="bottom"/>
            <w:hideMark/>
          </w:tcPr>
          <w:p w14:paraId="2806F0B6"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578</w:t>
            </w:r>
          </w:p>
        </w:tc>
        <w:tc>
          <w:tcPr>
            <w:tcW w:w="192" w:type="dxa"/>
            <w:shd w:val="clear" w:color="auto" w:fill="FFFFFF"/>
            <w:noWrap/>
            <w:tcMar>
              <w:top w:w="15" w:type="dxa"/>
              <w:left w:w="0" w:type="dxa"/>
              <w:bottom w:w="0" w:type="dxa"/>
              <w:right w:w="15" w:type="dxa"/>
            </w:tcMar>
            <w:vAlign w:val="bottom"/>
            <w:hideMark/>
          </w:tcPr>
          <w:p w14:paraId="2D4D423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E3B0C7F" w14:textId="77777777" w:rsidTr="00141675">
        <w:tc>
          <w:tcPr>
            <w:tcW w:w="14774" w:type="dxa"/>
            <w:shd w:val="clear" w:color="auto" w:fill="CFF0FC"/>
            <w:tcMar>
              <w:top w:w="15" w:type="dxa"/>
              <w:left w:w="0" w:type="dxa"/>
              <w:bottom w:w="0" w:type="dxa"/>
              <w:right w:w="15" w:type="dxa"/>
            </w:tcMar>
            <w:hideMark/>
          </w:tcPr>
          <w:p w14:paraId="18058340" w14:textId="77777777" w:rsidR="00141675" w:rsidRPr="00141675" w:rsidRDefault="00141675" w:rsidP="00141675">
            <w:pPr>
              <w:widowControl/>
              <w:ind w:left="68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equity</w:t>
            </w:r>
          </w:p>
        </w:tc>
        <w:tc>
          <w:tcPr>
            <w:tcW w:w="335" w:type="dxa"/>
            <w:shd w:val="clear" w:color="auto" w:fill="CFF0FC"/>
            <w:tcMar>
              <w:top w:w="15" w:type="dxa"/>
              <w:left w:w="0" w:type="dxa"/>
              <w:bottom w:w="0" w:type="dxa"/>
              <w:right w:w="15" w:type="dxa"/>
            </w:tcMar>
            <w:vAlign w:val="bottom"/>
            <w:hideMark/>
          </w:tcPr>
          <w:p w14:paraId="2688DE48"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C4343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11312F1"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16,185</w:t>
            </w:r>
          </w:p>
        </w:tc>
        <w:tc>
          <w:tcPr>
            <w:tcW w:w="191" w:type="dxa"/>
            <w:shd w:val="clear" w:color="auto" w:fill="CFF0FC"/>
            <w:noWrap/>
            <w:tcMar>
              <w:top w:w="15" w:type="dxa"/>
              <w:left w:w="0" w:type="dxa"/>
              <w:bottom w:w="0" w:type="dxa"/>
              <w:right w:w="15" w:type="dxa"/>
            </w:tcMar>
            <w:vAlign w:val="bottom"/>
            <w:hideMark/>
          </w:tcPr>
          <w:p w14:paraId="33CA8AF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CFF0FC"/>
            <w:tcMar>
              <w:top w:w="15" w:type="dxa"/>
              <w:left w:w="0" w:type="dxa"/>
              <w:bottom w:w="0" w:type="dxa"/>
              <w:right w:w="15" w:type="dxa"/>
            </w:tcMar>
            <w:vAlign w:val="bottom"/>
            <w:hideMark/>
          </w:tcPr>
          <w:p w14:paraId="7C429A71"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22BEA6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134"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CBFC96"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22,363</w:t>
            </w:r>
          </w:p>
        </w:tc>
        <w:tc>
          <w:tcPr>
            <w:tcW w:w="192" w:type="dxa"/>
            <w:shd w:val="clear" w:color="auto" w:fill="CFF0FC"/>
            <w:noWrap/>
            <w:tcMar>
              <w:top w:w="15" w:type="dxa"/>
              <w:left w:w="0" w:type="dxa"/>
              <w:bottom w:w="0" w:type="dxa"/>
              <w:right w:w="15" w:type="dxa"/>
            </w:tcMar>
            <w:vAlign w:val="bottom"/>
            <w:hideMark/>
          </w:tcPr>
          <w:p w14:paraId="71A5BC7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328CD627" w14:textId="77777777" w:rsidTr="00141675">
        <w:tc>
          <w:tcPr>
            <w:tcW w:w="14774" w:type="dxa"/>
            <w:shd w:val="clear" w:color="auto" w:fill="FFFFFF"/>
            <w:tcMar>
              <w:top w:w="15" w:type="dxa"/>
              <w:left w:w="0" w:type="dxa"/>
              <w:bottom w:w="0" w:type="dxa"/>
              <w:right w:w="15" w:type="dxa"/>
            </w:tcMar>
            <w:hideMark/>
          </w:tcPr>
          <w:p w14:paraId="3A5B4F0F" w14:textId="77777777" w:rsidR="00141675" w:rsidRPr="00141675" w:rsidRDefault="00141675" w:rsidP="00141675">
            <w:pPr>
              <w:widowControl/>
              <w:ind w:left="958"/>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liabilities and equity</w:t>
            </w:r>
          </w:p>
        </w:tc>
        <w:tc>
          <w:tcPr>
            <w:tcW w:w="335" w:type="dxa"/>
            <w:shd w:val="clear" w:color="auto" w:fill="FFFFFF"/>
            <w:tcMar>
              <w:top w:w="15" w:type="dxa"/>
              <w:left w:w="0" w:type="dxa"/>
              <w:bottom w:w="0" w:type="dxa"/>
              <w:right w:w="15" w:type="dxa"/>
            </w:tcMar>
            <w:vAlign w:val="bottom"/>
            <w:hideMark/>
          </w:tcPr>
          <w:p w14:paraId="5BF4D414"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78F71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2134"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DAC999A"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98,443</w:t>
            </w:r>
          </w:p>
        </w:tc>
        <w:tc>
          <w:tcPr>
            <w:tcW w:w="191" w:type="dxa"/>
            <w:shd w:val="clear" w:color="auto" w:fill="FFFFFF"/>
            <w:noWrap/>
            <w:tcMar>
              <w:top w:w="15" w:type="dxa"/>
              <w:left w:w="0" w:type="dxa"/>
              <w:bottom w:w="0" w:type="dxa"/>
              <w:right w:w="15" w:type="dxa"/>
            </w:tcMar>
            <w:vAlign w:val="bottom"/>
            <w:hideMark/>
          </w:tcPr>
          <w:p w14:paraId="118D9E23"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335" w:type="dxa"/>
            <w:shd w:val="clear" w:color="auto" w:fill="FFFFFF"/>
            <w:tcMar>
              <w:top w:w="15" w:type="dxa"/>
              <w:left w:w="0" w:type="dxa"/>
              <w:bottom w:w="0" w:type="dxa"/>
              <w:right w:w="15" w:type="dxa"/>
            </w:tcMar>
            <w:vAlign w:val="bottom"/>
            <w:hideMark/>
          </w:tcPr>
          <w:p w14:paraId="00F85B7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DA9BC8"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2134"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972B8A"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108,709</w:t>
            </w:r>
          </w:p>
        </w:tc>
        <w:tc>
          <w:tcPr>
            <w:tcW w:w="192" w:type="dxa"/>
            <w:shd w:val="clear" w:color="auto" w:fill="FFFFFF"/>
            <w:noWrap/>
            <w:tcMar>
              <w:top w:w="15" w:type="dxa"/>
              <w:left w:w="0" w:type="dxa"/>
              <w:bottom w:w="0" w:type="dxa"/>
              <w:right w:w="15" w:type="dxa"/>
            </w:tcMar>
            <w:vAlign w:val="bottom"/>
            <w:hideMark/>
          </w:tcPr>
          <w:p w14:paraId="6D6E10F1"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60005F85" w14:textId="77777777" w:rsidR="00141675" w:rsidRPr="00141675" w:rsidRDefault="00141675" w:rsidP="00141675">
      <w:pPr>
        <w:widowControl/>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p w14:paraId="095D6ADB" w14:textId="77777777" w:rsidR="00141675" w:rsidRPr="00141675" w:rsidRDefault="00141675" w:rsidP="00141675">
      <w:pPr>
        <w:widowControl/>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p w14:paraId="5FD8F87F" w14:textId="77777777" w:rsidR="00141675" w:rsidRPr="00141675" w:rsidRDefault="00141675" w:rsidP="00141675">
      <w:pPr>
        <w:widowControl/>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See notes to condensed consolidated financial statements.</w:t>
      </w:r>
    </w:p>
    <w:p w14:paraId="21C20F08"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p w14:paraId="2CC77927"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700E1BCD">
          <v:rect id="_x0000_i1029" style="width:0;height:1.5pt" o:hralign="center" o:hrstd="t" o:hrnoshade="t" o:hr="t" fillcolor="black" stroked="f"/>
        </w:pict>
      </w:r>
    </w:p>
    <w:p w14:paraId="7B7F9F70" w14:textId="77777777" w:rsidR="00141675" w:rsidRPr="00141675" w:rsidRDefault="00141675" w:rsidP="00141675">
      <w:pPr>
        <w:widowControl/>
        <w:jc w:val="left"/>
        <w:rPr>
          <w:rFonts w:ascii="Calibri" w:eastAsia="宋体" w:hAnsi="Calibri" w:cs="Calibri"/>
          <w:b/>
          <w:bCs/>
          <w:color w:val="000000"/>
          <w:kern w:val="0"/>
          <w:sz w:val="20"/>
          <w:szCs w:val="20"/>
        </w:rPr>
      </w:pPr>
      <w:hyperlink r:id="rId26" w:anchor="TABLE_CONTENTS" w:history="1">
        <w:r w:rsidRPr="00141675">
          <w:rPr>
            <w:rFonts w:ascii="Calibri" w:eastAsia="宋体" w:hAnsi="Calibri" w:cs="Calibri"/>
            <w:b/>
            <w:bCs/>
            <w:color w:val="0000FF"/>
            <w:kern w:val="0"/>
            <w:sz w:val="20"/>
            <w:szCs w:val="20"/>
            <w:u w:val="single"/>
          </w:rPr>
          <w:t>Table of Contents</w:t>
        </w:r>
      </w:hyperlink>
    </w:p>
    <w:p w14:paraId="6A147675"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2E116090"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6BB24A07"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CONDENSED CONSOLIDATED STATEMENTS OF OPERATIONS</w:t>
      </w:r>
    </w:p>
    <w:p w14:paraId="31CEE6F4"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For the Three and Six Months Ended November 30, 2019 and 2018</w:t>
      </w:r>
    </w:p>
    <w:p w14:paraId="697EF495"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4679DF15" w14:textId="77777777" w:rsidR="00141675" w:rsidRPr="00141675" w:rsidRDefault="00141675" w:rsidP="00141675">
      <w:pPr>
        <w:widowControl/>
        <w:jc w:val="left"/>
        <w:rPr>
          <w:rFonts w:ascii="微软雅黑" w:eastAsia="微软雅黑" w:hAnsi="微软雅黑" w:cs="宋体"/>
          <w:color w:val="000000"/>
          <w:kern w:val="0"/>
          <w:sz w:val="15"/>
          <w:szCs w:val="15"/>
        </w:rPr>
      </w:pPr>
      <w:r w:rsidRPr="00141675">
        <w:rPr>
          <w:rFonts w:ascii="微软雅黑" w:eastAsia="微软雅黑" w:hAnsi="微软雅黑" w:cs="宋体" w:hint="eastAsia"/>
          <w:color w:val="000000"/>
          <w:kern w:val="0"/>
          <w:sz w:val="15"/>
          <w:szCs w:val="15"/>
        </w:rPr>
        <w:t> </w:t>
      </w:r>
    </w:p>
    <w:tbl>
      <w:tblPr>
        <w:tblW w:w="20614" w:type="dxa"/>
        <w:tblCellMar>
          <w:left w:w="0" w:type="dxa"/>
          <w:right w:w="0" w:type="dxa"/>
        </w:tblCellMar>
        <w:tblLook w:val="04A0" w:firstRow="1" w:lastRow="0" w:firstColumn="1" w:lastColumn="0" w:noHBand="0" w:noVBand="1"/>
      </w:tblPr>
      <w:tblGrid>
        <w:gridCol w:w="12484"/>
        <w:gridCol w:w="283"/>
        <w:gridCol w:w="199"/>
        <w:gridCol w:w="1328"/>
        <w:gridCol w:w="199"/>
        <w:gridCol w:w="283"/>
        <w:gridCol w:w="199"/>
        <w:gridCol w:w="1374"/>
        <w:gridCol w:w="199"/>
        <w:gridCol w:w="283"/>
        <w:gridCol w:w="199"/>
        <w:gridCol w:w="1328"/>
        <w:gridCol w:w="199"/>
        <w:gridCol w:w="283"/>
        <w:gridCol w:w="199"/>
        <w:gridCol w:w="1374"/>
        <w:gridCol w:w="201"/>
      </w:tblGrid>
      <w:tr w:rsidR="00141675" w:rsidRPr="00141675" w14:paraId="215769C9" w14:textId="77777777" w:rsidTr="00141675">
        <w:tc>
          <w:tcPr>
            <w:tcW w:w="12460" w:type="dxa"/>
            <w:shd w:val="clear" w:color="auto" w:fill="FFFFFF"/>
            <w:tcMar>
              <w:top w:w="15" w:type="dxa"/>
              <w:left w:w="0" w:type="dxa"/>
              <w:bottom w:w="0" w:type="dxa"/>
              <w:right w:w="15" w:type="dxa"/>
            </w:tcMar>
            <w:vAlign w:val="bottom"/>
            <w:hideMark/>
          </w:tcPr>
          <w:p w14:paraId="4C6FF222" w14:textId="77777777" w:rsidR="00141675" w:rsidRPr="00141675" w:rsidRDefault="00141675" w:rsidP="00141675">
            <w:pPr>
              <w:widowControl/>
              <w:jc w:val="center"/>
              <w:rPr>
                <w:rFonts w:ascii="Times New Roman" w:eastAsia="宋体" w:hAnsi="Times New Roman" w:cs="Times New Roman" w:hint="eastAsia"/>
                <w:kern w:val="0"/>
                <w:sz w:val="15"/>
                <w:szCs w:val="15"/>
              </w:rPr>
            </w:pPr>
            <w:r w:rsidRPr="00141675">
              <w:rPr>
                <w:rFonts w:ascii="Times New Roman" w:eastAsia="宋体" w:hAnsi="Times New Roman" w:cs="Times New Roman"/>
                <w:kern w:val="0"/>
                <w:sz w:val="15"/>
                <w:szCs w:val="15"/>
              </w:rPr>
              <w:t> </w:t>
            </w:r>
          </w:p>
        </w:tc>
        <w:tc>
          <w:tcPr>
            <w:tcW w:w="282" w:type="dxa"/>
            <w:shd w:val="clear" w:color="auto" w:fill="FFFFFF"/>
            <w:tcMar>
              <w:top w:w="15" w:type="dxa"/>
              <w:left w:w="0" w:type="dxa"/>
              <w:bottom w:w="0" w:type="dxa"/>
              <w:right w:w="15" w:type="dxa"/>
            </w:tcMar>
            <w:vAlign w:val="bottom"/>
            <w:hideMark/>
          </w:tcPr>
          <w:p w14:paraId="7DA8E37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551" w:type="dxa"/>
            <w:gridSpan w:val="6"/>
            <w:tcBorders>
              <w:bottom w:val="single" w:sz="6" w:space="0" w:color="000000"/>
            </w:tcBorders>
            <w:shd w:val="clear" w:color="auto" w:fill="FFFFFF"/>
            <w:tcMar>
              <w:top w:w="15" w:type="dxa"/>
              <w:left w:w="0" w:type="dxa"/>
              <w:bottom w:w="0" w:type="dxa"/>
              <w:right w:w="15" w:type="dxa"/>
            </w:tcMar>
            <w:vAlign w:val="bottom"/>
            <w:hideMark/>
          </w:tcPr>
          <w:p w14:paraId="532AE8E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3036BBD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3ED0141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82" w:type="dxa"/>
            <w:shd w:val="clear" w:color="auto" w:fill="FFFFFF"/>
            <w:tcMar>
              <w:top w:w="15" w:type="dxa"/>
              <w:left w:w="0" w:type="dxa"/>
              <w:bottom w:w="0" w:type="dxa"/>
              <w:right w:w="15" w:type="dxa"/>
            </w:tcMar>
            <w:vAlign w:val="bottom"/>
            <w:hideMark/>
          </w:tcPr>
          <w:p w14:paraId="4F9FCE62" w14:textId="77777777" w:rsidR="00141675" w:rsidRPr="00141675" w:rsidRDefault="00141675" w:rsidP="00141675">
            <w:pPr>
              <w:widowControl/>
              <w:jc w:val="center"/>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3551" w:type="dxa"/>
            <w:gridSpan w:val="6"/>
            <w:tcBorders>
              <w:bottom w:val="single" w:sz="6" w:space="0" w:color="000000"/>
            </w:tcBorders>
            <w:shd w:val="clear" w:color="auto" w:fill="FFFFFF"/>
            <w:tcMar>
              <w:top w:w="15" w:type="dxa"/>
              <w:left w:w="0" w:type="dxa"/>
              <w:bottom w:w="0" w:type="dxa"/>
              <w:right w:w="15" w:type="dxa"/>
            </w:tcMar>
            <w:vAlign w:val="bottom"/>
            <w:hideMark/>
          </w:tcPr>
          <w:p w14:paraId="40BD747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3F2AFF6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3" w:type="dxa"/>
            <w:shd w:val="clear" w:color="auto" w:fill="FFFFFF"/>
            <w:noWrap/>
            <w:tcMar>
              <w:top w:w="15" w:type="dxa"/>
              <w:left w:w="0" w:type="dxa"/>
              <w:bottom w:w="0" w:type="dxa"/>
              <w:right w:w="15" w:type="dxa"/>
            </w:tcMar>
            <w:vAlign w:val="bottom"/>
            <w:hideMark/>
          </w:tcPr>
          <w:p w14:paraId="6F9424D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077874F2" w14:textId="77777777" w:rsidTr="00141675">
        <w:tc>
          <w:tcPr>
            <w:tcW w:w="12460" w:type="dxa"/>
            <w:tcBorders>
              <w:bottom w:val="single" w:sz="6" w:space="0" w:color="000000"/>
            </w:tcBorders>
            <w:shd w:val="clear" w:color="auto" w:fill="FFFFFF"/>
            <w:tcMar>
              <w:top w:w="15" w:type="dxa"/>
              <w:left w:w="0" w:type="dxa"/>
              <w:bottom w:w="0" w:type="dxa"/>
              <w:right w:w="15" w:type="dxa"/>
            </w:tcMar>
            <w:vAlign w:val="bottom"/>
            <w:hideMark/>
          </w:tcPr>
          <w:p w14:paraId="318217B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 except per share data)</w:t>
            </w:r>
          </w:p>
        </w:tc>
        <w:tc>
          <w:tcPr>
            <w:tcW w:w="282" w:type="dxa"/>
            <w:shd w:val="clear" w:color="auto" w:fill="FFFFFF"/>
            <w:tcMar>
              <w:top w:w="15" w:type="dxa"/>
              <w:left w:w="0" w:type="dxa"/>
              <w:bottom w:w="0" w:type="dxa"/>
              <w:right w:w="15" w:type="dxa"/>
            </w:tcMar>
            <w:vAlign w:val="bottom"/>
            <w:hideMark/>
          </w:tcPr>
          <w:p w14:paraId="66D49D3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1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9F7F9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2EE004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82" w:type="dxa"/>
            <w:tcBorders>
              <w:top w:val="single" w:sz="6" w:space="0" w:color="000000"/>
            </w:tcBorders>
            <w:shd w:val="clear" w:color="auto" w:fill="FFFFFF"/>
            <w:tcMar>
              <w:top w:w="15" w:type="dxa"/>
              <w:left w:w="0" w:type="dxa"/>
              <w:bottom w:w="0" w:type="dxa"/>
              <w:right w:w="15" w:type="dxa"/>
            </w:tcMar>
            <w:vAlign w:val="bottom"/>
            <w:hideMark/>
          </w:tcPr>
          <w:p w14:paraId="0F8D370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1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85BB5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2071261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82" w:type="dxa"/>
            <w:shd w:val="clear" w:color="auto" w:fill="FFFFFF"/>
            <w:tcMar>
              <w:top w:w="15" w:type="dxa"/>
              <w:left w:w="0" w:type="dxa"/>
              <w:bottom w:w="0" w:type="dxa"/>
              <w:right w:w="15" w:type="dxa"/>
            </w:tcMar>
            <w:vAlign w:val="bottom"/>
            <w:hideMark/>
          </w:tcPr>
          <w:p w14:paraId="2FCE20C2" w14:textId="77777777" w:rsidR="00141675" w:rsidRPr="00141675" w:rsidRDefault="00141675" w:rsidP="00141675">
            <w:pPr>
              <w:widowControl/>
              <w:jc w:val="center"/>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151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1CB905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96E0A1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82" w:type="dxa"/>
            <w:tcBorders>
              <w:top w:val="single" w:sz="6" w:space="0" w:color="000000"/>
            </w:tcBorders>
            <w:shd w:val="clear" w:color="auto" w:fill="FFFFFF"/>
            <w:tcMar>
              <w:top w:w="15" w:type="dxa"/>
              <w:left w:w="0" w:type="dxa"/>
              <w:bottom w:w="0" w:type="dxa"/>
              <w:right w:w="15" w:type="dxa"/>
            </w:tcMar>
            <w:vAlign w:val="bottom"/>
            <w:hideMark/>
          </w:tcPr>
          <w:p w14:paraId="1D86DB92"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151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A22C2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3D83E1C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14A620EE" w14:textId="77777777" w:rsidTr="00141675">
        <w:tc>
          <w:tcPr>
            <w:tcW w:w="12460" w:type="dxa"/>
            <w:tcBorders>
              <w:top w:val="single" w:sz="6" w:space="0" w:color="000000"/>
            </w:tcBorders>
            <w:shd w:val="clear" w:color="auto" w:fill="CFF0FC"/>
            <w:tcMar>
              <w:top w:w="15" w:type="dxa"/>
              <w:left w:w="0" w:type="dxa"/>
              <w:bottom w:w="0" w:type="dxa"/>
              <w:right w:w="15" w:type="dxa"/>
            </w:tcMar>
            <w:hideMark/>
          </w:tcPr>
          <w:p w14:paraId="332B147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Revenues:</w:t>
            </w:r>
          </w:p>
        </w:tc>
        <w:tc>
          <w:tcPr>
            <w:tcW w:w="282" w:type="dxa"/>
            <w:shd w:val="clear" w:color="auto" w:fill="CFF0FC"/>
            <w:tcMar>
              <w:top w:w="15" w:type="dxa"/>
              <w:left w:w="0" w:type="dxa"/>
              <w:bottom w:w="0" w:type="dxa"/>
              <w:right w:w="15" w:type="dxa"/>
            </w:tcMar>
            <w:vAlign w:val="bottom"/>
            <w:hideMark/>
          </w:tcPr>
          <w:p w14:paraId="16BE28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833D47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176A11E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B3D816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6199B5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0C8E6C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164B23B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BA4C8E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BBC98C4"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D3D7649" w14:textId="77777777" w:rsidR="00141675" w:rsidRPr="00141675" w:rsidRDefault="00141675" w:rsidP="00141675">
            <w:pPr>
              <w:widowControl/>
              <w:jc w:val="lef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69EFBB9D" w14:textId="77777777" w:rsidR="00141675" w:rsidRPr="00141675" w:rsidRDefault="00141675" w:rsidP="00141675">
            <w:pPr>
              <w:widowControl/>
              <w:jc w:val="righ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2CFD61DC" w14:textId="77777777" w:rsidR="00141675" w:rsidRPr="00141675" w:rsidRDefault="00141675" w:rsidP="00141675">
            <w:pPr>
              <w:widowControl/>
              <w:jc w:val="lef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282" w:type="dxa"/>
            <w:shd w:val="clear" w:color="auto" w:fill="CFF0FC"/>
            <w:tcMar>
              <w:top w:w="15" w:type="dxa"/>
              <w:left w:w="0" w:type="dxa"/>
              <w:bottom w:w="0" w:type="dxa"/>
              <w:right w:w="15" w:type="dxa"/>
            </w:tcMar>
            <w:vAlign w:val="bottom"/>
            <w:hideMark/>
          </w:tcPr>
          <w:p w14:paraId="0F9FF703"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6D3E98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0AB1FBA5"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3" w:type="dxa"/>
            <w:shd w:val="clear" w:color="auto" w:fill="CFF0FC"/>
            <w:noWrap/>
            <w:tcMar>
              <w:top w:w="15" w:type="dxa"/>
              <w:left w:w="0" w:type="dxa"/>
              <w:bottom w:w="0" w:type="dxa"/>
              <w:right w:w="15" w:type="dxa"/>
            </w:tcMar>
            <w:vAlign w:val="bottom"/>
            <w:hideMark/>
          </w:tcPr>
          <w:p w14:paraId="690F8D2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012B00FC" w14:textId="77777777" w:rsidTr="00141675">
        <w:tc>
          <w:tcPr>
            <w:tcW w:w="12460" w:type="dxa"/>
            <w:shd w:val="clear" w:color="auto" w:fill="FFFFFF"/>
            <w:tcMar>
              <w:top w:w="15" w:type="dxa"/>
              <w:left w:w="0" w:type="dxa"/>
              <w:bottom w:w="0" w:type="dxa"/>
              <w:right w:w="15" w:type="dxa"/>
            </w:tcMar>
            <w:hideMark/>
          </w:tcPr>
          <w:p w14:paraId="4449FA31"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Cloud services and license support</w:t>
            </w:r>
          </w:p>
        </w:tc>
        <w:tc>
          <w:tcPr>
            <w:tcW w:w="282" w:type="dxa"/>
            <w:shd w:val="clear" w:color="auto" w:fill="FFFFFF"/>
            <w:tcMar>
              <w:top w:w="15" w:type="dxa"/>
              <w:left w:w="0" w:type="dxa"/>
              <w:bottom w:w="0" w:type="dxa"/>
              <w:right w:w="15" w:type="dxa"/>
            </w:tcMar>
            <w:vAlign w:val="bottom"/>
            <w:hideMark/>
          </w:tcPr>
          <w:p w14:paraId="650FF8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0B66FC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FFFFFF"/>
            <w:noWrap/>
            <w:tcMar>
              <w:top w:w="15" w:type="dxa"/>
              <w:left w:w="0" w:type="dxa"/>
              <w:bottom w:w="0" w:type="dxa"/>
              <w:right w:w="15" w:type="dxa"/>
            </w:tcMar>
            <w:vAlign w:val="bottom"/>
            <w:hideMark/>
          </w:tcPr>
          <w:p w14:paraId="61EB072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6,811</w:t>
            </w:r>
          </w:p>
        </w:tc>
        <w:tc>
          <w:tcPr>
            <w:tcW w:w="191" w:type="dxa"/>
            <w:shd w:val="clear" w:color="auto" w:fill="FFFFFF"/>
            <w:noWrap/>
            <w:tcMar>
              <w:top w:w="15" w:type="dxa"/>
              <w:left w:w="0" w:type="dxa"/>
              <w:bottom w:w="0" w:type="dxa"/>
              <w:right w:w="15" w:type="dxa"/>
            </w:tcMar>
            <w:vAlign w:val="bottom"/>
            <w:hideMark/>
          </w:tcPr>
          <w:p w14:paraId="107E1F3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17F3A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9024C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FFFFFF"/>
            <w:noWrap/>
            <w:tcMar>
              <w:top w:w="15" w:type="dxa"/>
              <w:left w:w="0" w:type="dxa"/>
              <w:bottom w:w="0" w:type="dxa"/>
              <w:right w:w="15" w:type="dxa"/>
            </w:tcMar>
            <w:vAlign w:val="bottom"/>
            <w:hideMark/>
          </w:tcPr>
          <w:p w14:paraId="084F4BF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6,637</w:t>
            </w:r>
          </w:p>
        </w:tc>
        <w:tc>
          <w:tcPr>
            <w:tcW w:w="191" w:type="dxa"/>
            <w:shd w:val="clear" w:color="auto" w:fill="FFFFFF"/>
            <w:noWrap/>
            <w:tcMar>
              <w:top w:w="15" w:type="dxa"/>
              <w:left w:w="0" w:type="dxa"/>
              <w:bottom w:w="0" w:type="dxa"/>
              <w:right w:w="15" w:type="dxa"/>
            </w:tcMar>
            <w:vAlign w:val="bottom"/>
            <w:hideMark/>
          </w:tcPr>
          <w:p w14:paraId="6521167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167E318"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97FDF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FFFFFF"/>
            <w:noWrap/>
            <w:tcMar>
              <w:top w:w="15" w:type="dxa"/>
              <w:left w:w="0" w:type="dxa"/>
              <w:bottom w:w="0" w:type="dxa"/>
              <w:right w:w="15" w:type="dxa"/>
            </w:tcMar>
            <w:vAlign w:val="bottom"/>
            <w:hideMark/>
          </w:tcPr>
          <w:p w14:paraId="49BFF52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13,616</w:t>
            </w:r>
          </w:p>
        </w:tc>
        <w:tc>
          <w:tcPr>
            <w:tcW w:w="191" w:type="dxa"/>
            <w:shd w:val="clear" w:color="auto" w:fill="FFFFFF"/>
            <w:noWrap/>
            <w:tcMar>
              <w:top w:w="15" w:type="dxa"/>
              <w:left w:w="0" w:type="dxa"/>
              <w:bottom w:w="0" w:type="dxa"/>
              <w:right w:w="15" w:type="dxa"/>
            </w:tcMar>
            <w:vAlign w:val="bottom"/>
            <w:hideMark/>
          </w:tcPr>
          <w:p w14:paraId="642D8F2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2D96970"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9AED63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310" w:type="dxa"/>
            <w:shd w:val="clear" w:color="auto" w:fill="FFFFFF"/>
            <w:noWrap/>
            <w:tcMar>
              <w:top w:w="15" w:type="dxa"/>
              <w:left w:w="0" w:type="dxa"/>
              <w:bottom w:w="0" w:type="dxa"/>
              <w:right w:w="15" w:type="dxa"/>
            </w:tcMar>
            <w:vAlign w:val="bottom"/>
            <w:hideMark/>
          </w:tcPr>
          <w:p w14:paraId="335CBE5E"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13,246</w:t>
            </w:r>
          </w:p>
        </w:tc>
        <w:tc>
          <w:tcPr>
            <w:tcW w:w="193" w:type="dxa"/>
            <w:shd w:val="clear" w:color="auto" w:fill="FFFFFF"/>
            <w:noWrap/>
            <w:tcMar>
              <w:top w:w="15" w:type="dxa"/>
              <w:left w:w="0" w:type="dxa"/>
              <w:bottom w:w="0" w:type="dxa"/>
              <w:right w:w="15" w:type="dxa"/>
            </w:tcMar>
            <w:vAlign w:val="bottom"/>
            <w:hideMark/>
          </w:tcPr>
          <w:p w14:paraId="07FFF37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21201F7D" w14:textId="77777777" w:rsidTr="00141675">
        <w:tc>
          <w:tcPr>
            <w:tcW w:w="12460" w:type="dxa"/>
            <w:shd w:val="clear" w:color="auto" w:fill="CFF0FC"/>
            <w:tcMar>
              <w:top w:w="15" w:type="dxa"/>
              <w:left w:w="0" w:type="dxa"/>
              <w:bottom w:w="0" w:type="dxa"/>
              <w:right w:w="15" w:type="dxa"/>
            </w:tcMar>
            <w:hideMark/>
          </w:tcPr>
          <w:p w14:paraId="69D1693C"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Cloud license and on-premise license</w:t>
            </w:r>
          </w:p>
        </w:tc>
        <w:tc>
          <w:tcPr>
            <w:tcW w:w="282" w:type="dxa"/>
            <w:shd w:val="clear" w:color="auto" w:fill="CFF0FC"/>
            <w:tcMar>
              <w:top w:w="15" w:type="dxa"/>
              <w:left w:w="0" w:type="dxa"/>
              <w:bottom w:w="0" w:type="dxa"/>
              <w:right w:w="15" w:type="dxa"/>
            </w:tcMar>
            <w:vAlign w:val="bottom"/>
            <w:hideMark/>
          </w:tcPr>
          <w:p w14:paraId="21BF0AA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9085E2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111165A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1,126</w:t>
            </w:r>
          </w:p>
        </w:tc>
        <w:tc>
          <w:tcPr>
            <w:tcW w:w="191" w:type="dxa"/>
            <w:shd w:val="clear" w:color="auto" w:fill="CFF0FC"/>
            <w:noWrap/>
            <w:tcMar>
              <w:top w:w="15" w:type="dxa"/>
              <w:left w:w="0" w:type="dxa"/>
              <w:bottom w:w="0" w:type="dxa"/>
              <w:right w:w="15" w:type="dxa"/>
            </w:tcMar>
            <w:vAlign w:val="bottom"/>
            <w:hideMark/>
          </w:tcPr>
          <w:p w14:paraId="637461F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02DF65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F5122D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76B37DB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1,217</w:t>
            </w:r>
          </w:p>
        </w:tc>
        <w:tc>
          <w:tcPr>
            <w:tcW w:w="191" w:type="dxa"/>
            <w:shd w:val="clear" w:color="auto" w:fill="CFF0FC"/>
            <w:noWrap/>
            <w:tcMar>
              <w:top w:w="15" w:type="dxa"/>
              <w:left w:w="0" w:type="dxa"/>
              <w:bottom w:w="0" w:type="dxa"/>
              <w:right w:w="15" w:type="dxa"/>
            </w:tcMar>
            <w:vAlign w:val="bottom"/>
            <w:hideMark/>
          </w:tcPr>
          <w:p w14:paraId="5EEB730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09A8DCBE"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E29088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773973B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1,937</w:t>
            </w:r>
          </w:p>
        </w:tc>
        <w:tc>
          <w:tcPr>
            <w:tcW w:w="191" w:type="dxa"/>
            <w:shd w:val="clear" w:color="auto" w:fill="CFF0FC"/>
            <w:noWrap/>
            <w:tcMar>
              <w:top w:w="15" w:type="dxa"/>
              <w:left w:w="0" w:type="dxa"/>
              <w:bottom w:w="0" w:type="dxa"/>
              <w:right w:w="15" w:type="dxa"/>
            </w:tcMar>
            <w:vAlign w:val="bottom"/>
            <w:hideMark/>
          </w:tcPr>
          <w:p w14:paraId="72192EA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4B1FFAE9"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4E99DA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CFF0FC"/>
            <w:noWrap/>
            <w:tcMar>
              <w:top w:w="15" w:type="dxa"/>
              <w:left w:w="0" w:type="dxa"/>
              <w:bottom w:w="0" w:type="dxa"/>
              <w:right w:w="15" w:type="dxa"/>
            </w:tcMar>
            <w:vAlign w:val="bottom"/>
            <w:hideMark/>
          </w:tcPr>
          <w:p w14:paraId="3152D84E"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2,083</w:t>
            </w:r>
          </w:p>
        </w:tc>
        <w:tc>
          <w:tcPr>
            <w:tcW w:w="193" w:type="dxa"/>
            <w:shd w:val="clear" w:color="auto" w:fill="CFF0FC"/>
            <w:noWrap/>
            <w:tcMar>
              <w:top w:w="15" w:type="dxa"/>
              <w:left w:w="0" w:type="dxa"/>
              <w:bottom w:w="0" w:type="dxa"/>
              <w:right w:w="15" w:type="dxa"/>
            </w:tcMar>
            <w:vAlign w:val="bottom"/>
            <w:hideMark/>
          </w:tcPr>
          <w:p w14:paraId="5240F5B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708F4A58" w14:textId="77777777" w:rsidTr="00141675">
        <w:tc>
          <w:tcPr>
            <w:tcW w:w="12460" w:type="dxa"/>
            <w:shd w:val="clear" w:color="auto" w:fill="FFFFFF"/>
            <w:tcMar>
              <w:top w:w="15" w:type="dxa"/>
              <w:left w:w="0" w:type="dxa"/>
              <w:bottom w:w="0" w:type="dxa"/>
              <w:right w:w="15" w:type="dxa"/>
            </w:tcMar>
            <w:hideMark/>
          </w:tcPr>
          <w:p w14:paraId="6864D15B"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Hardware</w:t>
            </w:r>
          </w:p>
        </w:tc>
        <w:tc>
          <w:tcPr>
            <w:tcW w:w="282" w:type="dxa"/>
            <w:shd w:val="clear" w:color="auto" w:fill="FFFFFF"/>
            <w:tcMar>
              <w:top w:w="15" w:type="dxa"/>
              <w:left w:w="0" w:type="dxa"/>
              <w:bottom w:w="0" w:type="dxa"/>
              <w:right w:w="15" w:type="dxa"/>
            </w:tcMar>
            <w:vAlign w:val="bottom"/>
            <w:hideMark/>
          </w:tcPr>
          <w:p w14:paraId="7EC06CD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71B892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366AA24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871</w:t>
            </w:r>
          </w:p>
        </w:tc>
        <w:tc>
          <w:tcPr>
            <w:tcW w:w="191" w:type="dxa"/>
            <w:shd w:val="clear" w:color="auto" w:fill="FFFFFF"/>
            <w:noWrap/>
            <w:tcMar>
              <w:top w:w="15" w:type="dxa"/>
              <w:left w:w="0" w:type="dxa"/>
              <w:bottom w:w="0" w:type="dxa"/>
              <w:right w:w="15" w:type="dxa"/>
            </w:tcMar>
            <w:vAlign w:val="bottom"/>
            <w:hideMark/>
          </w:tcPr>
          <w:p w14:paraId="33E014D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368D86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E77687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75F05D1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891</w:t>
            </w:r>
          </w:p>
        </w:tc>
        <w:tc>
          <w:tcPr>
            <w:tcW w:w="191" w:type="dxa"/>
            <w:shd w:val="clear" w:color="auto" w:fill="FFFFFF"/>
            <w:noWrap/>
            <w:tcMar>
              <w:top w:w="15" w:type="dxa"/>
              <w:left w:w="0" w:type="dxa"/>
              <w:bottom w:w="0" w:type="dxa"/>
              <w:right w:w="15" w:type="dxa"/>
            </w:tcMar>
            <w:vAlign w:val="bottom"/>
            <w:hideMark/>
          </w:tcPr>
          <w:p w14:paraId="2130724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A9C1049"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029B73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4B663B4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1,686</w:t>
            </w:r>
          </w:p>
        </w:tc>
        <w:tc>
          <w:tcPr>
            <w:tcW w:w="191" w:type="dxa"/>
            <w:shd w:val="clear" w:color="auto" w:fill="FFFFFF"/>
            <w:noWrap/>
            <w:tcMar>
              <w:top w:w="15" w:type="dxa"/>
              <w:left w:w="0" w:type="dxa"/>
              <w:bottom w:w="0" w:type="dxa"/>
              <w:right w:w="15" w:type="dxa"/>
            </w:tcMar>
            <w:vAlign w:val="bottom"/>
            <w:hideMark/>
          </w:tcPr>
          <w:p w14:paraId="2BFDEB0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72DBD76"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0CA3CD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FFFFFF"/>
            <w:noWrap/>
            <w:tcMar>
              <w:top w:w="15" w:type="dxa"/>
              <w:left w:w="0" w:type="dxa"/>
              <w:bottom w:w="0" w:type="dxa"/>
              <w:right w:w="15" w:type="dxa"/>
            </w:tcMar>
            <w:vAlign w:val="bottom"/>
            <w:hideMark/>
          </w:tcPr>
          <w:p w14:paraId="298E0B28"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1,796</w:t>
            </w:r>
          </w:p>
        </w:tc>
        <w:tc>
          <w:tcPr>
            <w:tcW w:w="193" w:type="dxa"/>
            <w:shd w:val="clear" w:color="auto" w:fill="FFFFFF"/>
            <w:noWrap/>
            <w:tcMar>
              <w:top w:w="15" w:type="dxa"/>
              <w:left w:w="0" w:type="dxa"/>
              <w:bottom w:w="0" w:type="dxa"/>
              <w:right w:w="15" w:type="dxa"/>
            </w:tcMar>
            <w:vAlign w:val="bottom"/>
            <w:hideMark/>
          </w:tcPr>
          <w:p w14:paraId="494ED6B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17EC77A0" w14:textId="77777777" w:rsidTr="00141675">
        <w:tc>
          <w:tcPr>
            <w:tcW w:w="12460" w:type="dxa"/>
            <w:shd w:val="clear" w:color="auto" w:fill="CFF0FC"/>
            <w:tcMar>
              <w:top w:w="15" w:type="dxa"/>
              <w:left w:w="0" w:type="dxa"/>
              <w:bottom w:w="0" w:type="dxa"/>
              <w:right w:w="15" w:type="dxa"/>
            </w:tcMar>
            <w:hideMark/>
          </w:tcPr>
          <w:p w14:paraId="44241073"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Services</w:t>
            </w:r>
          </w:p>
        </w:tc>
        <w:tc>
          <w:tcPr>
            <w:tcW w:w="282" w:type="dxa"/>
            <w:shd w:val="clear" w:color="auto" w:fill="CFF0FC"/>
            <w:tcMar>
              <w:top w:w="15" w:type="dxa"/>
              <w:left w:w="0" w:type="dxa"/>
              <w:bottom w:w="0" w:type="dxa"/>
              <w:right w:w="15" w:type="dxa"/>
            </w:tcMar>
            <w:vAlign w:val="bottom"/>
            <w:hideMark/>
          </w:tcPr>
          <w:p w14:paraId="3697D6A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A11C9E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CFF0FC"/>
            <w:noWrap/>
            <w:tcMar>
              <w:top w:w="15" w:type="dxa"/>
              <w:left w:w="0" w:type="dxa"/>
              <w:bottom w:w="0" w:type="dxa"/>
              <w:right w:w="15" w:type="dxa"/>
            </w:tcMar>
            <w:vAlign w:val="bottom"/>
            <w:hideMark/>
          </w:tcPr>
          <w:p w14:paraId="177CC1C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806</w:t>
            </w:r>
          </w:p>
        </w:tc>
        <w:tc>
          <w:tcPr>
            <w:tcW w:w="191" w:type="dxa"/>
            <w:shd w:val="clear" w:color="auto" w:fill="CFF0FC"/>
            <w:noWrap/>
            <w:tcMar>
              <w:top w:w="15" w:type="dxa"/>
              <w:left w:w="0" w:type="dxa"/>
              <w:bottom w:w="0" w:type="dxa"/>
              <w:right w:w="15" w:type="dxa"/>
            </w:tcMar>
            <w:vAlign w:val="bottom"/>
            <w:hideMark/>
          </w:tcPr>
          <w:p w14:paraId="28237F3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74D3F4C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261B4E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CFF0FC"/>
            <w:noWrap/>
            <w:tcMar>
              <w:top w:w="15" w:type="dxa"/>
              <w:left w:w="0" w:type="dxa"/>
              <w:bottom w:w="0" w:type="dxa"/>
              <w:right w:w="15" w:type="dxa"/>
            </w:tcMar>
            <w:vAlign w:val="bottom"/>
            <w:hideMark/>
          </w:tcPr>
          <w:p w14:paraId="7965060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817</w:t>
            </w:r>
          </w:p>
        </w:tc>
        <w:tc>
          <w:tcPr>
            <w:tcW w:w="191" w:type="dxa"/>
            <w:shd w:val="clear" w:color="auto" w:fill="CFF0FC"/>
            <w:noWrap/>
            <w:tcMar>
              <w:top w:w="15" w:type="dxa"/>
              <w:left w:w="0" w:type="dxa"/>
              <w:bottom w:w="0" w:type="dxa"/>
              <w:right w:w="15" w:type="dxa"/>
            </w:tcMar>
            <w:vAlign w:val="bottom"/>
            <w:hideMark/>
          </w:tcPr>
          <w:p w14:paraId="33A663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1156B91B"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707EC4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CFF0FC"/>
            <w:noWrap/>
            <w:tcMar>
              <w:top w:w="15" w:type="dxa"/>
              <w:left w:w="0" w:type="dxa"/>
              <w:bottom w:w="0" w:type="dxa"/>
              <w:right w:w="15" w:type="dxa"/>
            </w:tcMar>
            <w:vAlign w:val="bottom"/>
            <w:hideMark/>
          </w:tcPr>
          <w:p w14:paraId="15FFD40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1,593</w:t>
            </w:r>
          </w:p>
        </w:tc>
        <w:tc>
          <w:tcPr>
            <w:tcW w:w="191" w:type="dxa"/>
            <w:shd w:val="clear" w:color="auto" w:fill="CFF0FC"/>
            <w:noWrap/>
            <w:tcMar>
              <w:top w:w="15" w:type="dxa"/>
              <w:left w:w="0" w:type="dxa"/>
              <w:bottom w:w="0" w:type="dxa"/>
              <w:right w:w="15" w:type="dxa"/>
            </w:tcMar>
            <w:vAlign w:val="bottom"/>
            <w:hideMark/>
          </w:tcPr>
          <w:p w14:paraId="1275FCE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3738354"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18218D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bottom w:val="single" w:sz="6" w:space="0" w:color="000000"/>
            </w:tcBorders>
            <w:shd w:val="clear" w:color="auto" w:fill="CFF0FC"/>
            <w:noWrap/>
            <w:tcMar>
              <w:top w:w="15" w:type="dxa"/>
              <w:left w:w="0" w:type="dxa"/>
              <w:bottom w:w="0" w:type="dxa"/>
              <w:right w:w="15" w:type="dxa"/>
            </w:tcMar>
            <w:vAlign w:val="bottom"/>
            <w:hideMark/>
          </w:tcPr>
          <w:p w14:paraId="46FEC199"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1,630</w:t>
            </w:r>
          </w:p>
        </w:tc>
        <w:tc>
          <w:tcPr>
            <w:tcW w:w="193" w:type="dxa"/>
            <w:shd w:val="clear" w:color="auto" w:fill="CFF0FC"/>
            <w:noWrap/>
            <w:tcMar>
              <w:top w:w="15" w:type="dxa"/>
              <w:left w:w="0" w:type="dxa"/>
              <w:bottom w:w="0" w:type="dxa"/>
              <w:right w:w="15" w:type="dxa"/>
            </w:tcMar>
            <w:vAlign w:val="bottom"/>
            <w:hideMark/>
          </w:tcPr>
          <w:p w14:paraId="3655E2D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3DAC0D29" w14:textId="77777777" w:rsidTr="00141675">
        <w:tc>
          <w:tcPr>
            <w:tcW w:w="12460" w:type="dxa"/>
            <w:shd w:val="clear" w:color="auto" w:fill="FFFFFF"/>
            <w:tcMar>
              <w:top w:w="15" w:type="dxa"/>
              <w:left w:w="0" w:type="dxa"/>
              <w:bottom w:w="0" w:type="dxa"/>
              <w:right w:w="15" w:type="dxa"/>
            </w:tcMar>
            <w:hideMark/>
          </w:tcPr>
          <w:p w14:paraId="65B5F1F7" w14:textId="77777777" w:rsidR="00141675" w:rsidRPr="00141675" w:rsidRDefault="00141675" w:rsidP="00141675">
            <w:pPr>
              <w:widowControl/>
              <w:ind w:left="821"/>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revenues</w:t>
            </w:r>
          </w:p>
        </w:tc>
        <w:tc>
          <w:tcPr>
            <w:tcW w:w="282" w:type="dxa"/>
            <w:shd w:val="clear" w:color="auto" w:fill="FFFFFF"/>
            <w:tcMar>
              <w:top w:w="15" w:type="dxa"/>
              <w:left w:w="0" w:type="dxa"/>
              <w:bottom w:w="0" w:type="dxa"/>
              <w:right w:w="15" w:type="dxa"/>
            </w:tcMar>
            <w:vAlign w:val="bottom"/>
            <w:hideMark/>
          </w:tcPr>
          <w:p w14:paraId="10107D7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3A9941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BA43FF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9,614</w:t>
            </w:r>
          </w:p>
        </w:tc>
        <w:tc>
          <w:tcPr>
            <w:tcW w:w="191" w:type="dxa"/>
            <w:shd w:val="clear" w:color="auto" w:fill="FFFFFF"/>
            <w:noWrap/>
            <w:tcMar>
              <w:top w:w="15" w:type="dxa"/>
              <w:left w:w="0" w:type="dxa"/>
              <w:bottom w:w="0" w:type="dxa"/>
              <w:right w:w="15" w:type="dxa"/>
            </w:tcMar>
            <w:vAlign w:val="bottom"/>
            <w:hideMark/>
          </w:tcPr>
          <w:p w14:paraId="6736538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2A300EE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B7B29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24B376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9,562</w:t>
            </w:r>
          </w:p>
        </w:tc>
        <w:tc>
          <w:tcPr>
            <w:tcW w:w="191" w:type="dxa"/>
            <w:shd w:val="clear" w:color="auto" w:fill="FFFFFF"/>
            <w:noWrap/>
            <w:tcMar>
              <w:top w:w="15" w:type="dxa"/>
              <w:left w:w="0" w:type="dxa"/>
              <w:bottom w:w="0" w:type="dxa"/>
              <w:right w:w="15" w:type="dxa"/>
            </w:tcMar>
            <w:vAlign w:val="bottom"/>
            <w:hideMark/>
          </w:tcPr>
          <w:p w14:paraId="4A9A320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187D2F4D"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58C55C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3C3344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18,832</w:t>
            </w:r>
          </w:p>
        </w:tc>
        <w:tc>
          <w:tcPr>
            <w:tcW w:w="191" w:type="dxa"/>
            <w:shd w:val="clear" w:color="auto" w:fill="FFFFFF"/>
            <w:noWrap/>
            <w:tcMar>
              <w:top w:w="15" w:type="dxa"/>
              <w:left w:w="0" w:type="dxa"/>
              <w:bottom w:w="0" w:type="dxa"/>
              <w:right w:w="15" w:type="dxa"/>
            </w:tcMar>
            <w:vAlign w:val="bottom"/>
            <w:hideMark/>
          </w:tcPr>
          <w:p w14:paraId="32B8FC6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7DB7E43D"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2BBFCC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0DD71FA"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18,755</w:t>
            </w:r>
          </w:p>
        </w:tc>
        <w:tc>
          <w:tcPr>
            <w:tcW w:w="193" w:type="dxa"/>
            <w:shd w:val="clear" w:color="auto" w:fill="FFFFFF"/>
            <w:noWrap/>
            <w:tcMar>
              <w:top w:w="15" w:type="dxa"/>
              <w:left w:w="0" w:type="dxa"/>
              <w:bottom w:w="0" w:type="dxa"/>
              <w:right w:w="15" w:type="dxa"/>
            </w:tcMar>
            <w:vAlign w:val="bottom"/>
            <w:hideMark/>
          </w:tcPr>
          <w:p w14:paraId="5A6A5E2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5EEA77C0" w14:textId="77777777" w:rsidTr="00141675">
        <w:tc>
          <w:tcPr>
            <w:tcW w:w="12460" w:type="dxa"/>
            <w:shd w:val="clear" w:color="auto" w:fill="CFF0FC"/>
            <w:tcMar>
              <w:top w:w="15" w:type="dxa"/>
              <w:left w:w="0" w:type="dxa"/>
              <w:bottom w:w="0" w:type="dxa"/>
              <w:right w:w="15" w:type="dxa"/>
            </w:tcMar>
            <w:hideMark/>
          </w:tcPr>
          <w:p w14:paraId="0C81C0C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lastRenderedPageBreak/>
              <w:t>Operating expenses:</w:t>
            </w:r>
          </w:p>
        </w:tc>
        <w:tc>
          <w:tcPr>
            <w:tcW w:w="282" w:type="dxa"/>
            <w:shd w:val="clear" w:color="auto" w:fill="CFF0FC"/>
            <w:tcMar>
              <w:top w:w="15" w:type="dxa"/>
              <w:left w:w="0" w:type="dxa"/>
              <w:bottom w:w="0" w:type="dxa"/>
              <w:right w:w="15" w:type="dxa"/>
            </w:tcMar>
            <w:vAlign w:val="bottom"/>
            <w:hideMark/>
          </w:tcPr>
          <w:p w14:paraId="68CE49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CDFA84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3B469AC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EADBED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0A7EBD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B418C4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5CAFFF8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6EA8F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4F8450FF"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2242CB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60D344E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4078AD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0663F08"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D8D097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26B037B4"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3" w:type="dxa"/>
            <w:shd w:val="clear" w:color="auto" w:fill="CFF0FC"/>
            <w:noWrap/>
            <w:tcMar>
              <w:top w:w="15" w:type="dxa"/>
              <w:left w:w="0" w:type="dxa"/>
              <w:bottom w:w="0" w:type="dxa"/>
              <w:right w:w="15" w:type="dxa"/>
            </w:tcMar>
            <w:vAlign w:val="bottom"/>
            <w:hideMark/>
          </w:tcPr>
          <w:p w14:paraId="5155AD6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166A1BE5" w14:textId="77777777" w:rsidTr="00141675">
        <w:tc>
          <w:tcPr>
            <w:tcW w:w="12460" w:type="dxa"/>
            <w:shd w:val="clear" w:color="auto" w:fill="FFFFFF"/>
            <w:tcMar>
              <w:top w:w="15" w:type="dxa"/>
              <w:left w:w="0" w:type="dxa"/>
              <w:bottom w:w="0" w:type="dxa"/>
              <w:right w:w="15" w:type="dxa"/>
            </w:tcMar>
            <w:hideMark/>
          </w:tcPr>
          <w:p w14:paraId="6400DC16"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Cloud services and license support</w:t>
            </w:r>
            <w:r w:rsidRPr="00141675">
              <w:rPr>
                <w:rFonts w:ascii="Calibri" w:eastAsia="宋体" w:hAnsi="Calibri" w:cs="Calibri"/>
                <w:color w:val="000000"/>
                <w:kern w:val="0"/>
                <w:sz w:val="18"/>
                <w:szCs w:val="18"/>
                <w:vertAlign w:val="superscript"/>
              </w:rPr>
              <w:t>(1)</w:t>
            </w:r>
          </w:p>
        </w:tc>
        <w:tc>
          <w:tcPr>
            <w:tcW w:w="282" w:type="dxa"/>
            <w:shd w:val="clear" w:color="auto" w:fill="FFFFFF"/>
            <w:tcMar>
              <w:top w:w="15" w:type="dxa"/>
              <w:left w:w="0" w:type="dxa"/>
              <w:bottom w:w="0" w:type="dxa"/>
              <w:right w:w="15" w:type="dxa"/>
            </w:tcMar>
            <w:vAlign w:val="bottom"/>
            <w:hideMark/>
          </w:tcPr>
          <w:p w14:paraId="100821F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30AEE3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7562BC9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1,022</w:t>
            </w:r>
          </w:p>
        </w:tc>
        <w:tc>
          <w:tcPr>
            <w:tcW w:w="191" w:type="dxa"/>
            <w:shd w:val="clear" w:color="auto" w:fill="FFFFFF"/>
            <w:noWrap/>
            <w:tcMar>
              <w:top w:w="15" w:type="dxa"/>
              <w:left w:w="0" w:type="dxa"/>
              <w:bottom w:w="0" w:type="dxa"/>
              <w:right w:w="15" w:type="dxa"/>
            </w:tcMar>
            <w:vAlign w:val="bottom"/>
            <w:hideMark/>
          </w:tcPr>
          <w:p w14:paraId="67EA585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244C710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397F3F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1776A12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956</w:t>
            </w:r>
          </w:p>
        </w:tc>
        <w:tc>
          <w:tcPr>
            <w:tcW w:w="191" w:type="dxa"/>
            <w:shd w:val="clear" w:color="auto" w:fill="FFFFFF"/>
            <w:noWrap/>
            <w:tcMar>
              <w:top w:w="15" w:type="dxa"/>
              <w:left w:w="0" w:type="dxa"/>
              <w:bottom w:w="0" w:type="dxa"/>
              <w:right w:w="15" w:type="dxa"/>
            </w:tcMar>
            <w:vAlign w:val="bottom"/>
            <w:hideMark/>
          </w:tcPr>
          <w:p w14:paraId="3D10E98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CDC8948"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38B7EC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598C4AA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2,003</w:t>
            </w:r>
          </w:p>
        </w:tc>
        <w:tc>
          <w:tcPr>
            <w:tcW w:w="191" w:type="dxa"/>
            <w:shd w:val="clear" w:color="auto" w:fill="FFFFFF"/>
            <w:noWrap/>
            <w:tcMar>
              <w:top w:w="15" w:type="dxa"/>
              <w:left w:w="0" w:type="dxa"/>
              <w:bottom w:w="0" w:type="dxa"/>
              <w:right w:w="15" w:type="dxa"/>
            </w:tcMar>
            <w:vAlign w:val="bottom"/>
            <w:hideMark/>
          </w:tcPr>
          <w:p w14:paraId="76199E4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FD9AB96"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C98705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FFFFFF"/>
            <w:noWrap/>
            <w:tcMar>
              <w:top w:w="15" w:type="dxa"/>
              <w:left w:w="0" w:type="dxa"/>
              <w:bottom w:w="0" w:type="dxa"/>
              <w:right w:w="15" w:type="dxa"/>
            </w:tcMar>
            <w:vAlign w:val="bottom"/>
            <w:hideMark/>
          </w:tcPr>
          <w:p w14:paraId="2F1A5ABA"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1,870</w:t>
            </w:r>
          </w:p>
        </w:tc>
        <w:tc>
          <w:tcPr>
            <w:tcW w:w="193" w:type="dxa"/>
            <w:shd w:val="clear" w:color="auto" w:fill="FFFFFF"/>
            <w:noWrap/>
            <w:tcMar>
              <w:top w:w="15" w:type="dxa"/>
              <w:left w:w="0" w:type="dxa"/>
              <w:bottom w:w="0" w:type="dxa"/>
              <w:right w:w="15" w:type="dxa"/>
            </w:tcMar>
            <w:vAlign w:val="bottom"/>
            <w:hideMark/>
          </w:tcPr>
          <w:p w14:paraId="2117502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3104E47A" w14:textId="77777777" w:rsidTr="00141675">
        <w:tc>
          <w:tcPr>
            <w:tcW w:w="12460" w:type="dxa"/>
            <w:shd w:val="clear" w:color="auto" w:fill="CFF0FC"/>
            <w:tcMar>
              <w:top w:w="15" w:type="dxa"/>
              <w:left w:w="0" w:type="dxa"/>
              <w:bottom w:w="0" w:type="dxa"/>
              <w:right w:w="15" w:type="dxa"/>
            </w:tcMar>
            <w:hideMark/>
          </w:tcPr>
          <w:p w14:paraId="7FBCD71C"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Hardware</w:t>
            </w:r>
            <w:r w:rsidRPr="00141675">
              <w:rPr>
                <w:rFonts w:ascii="Calibri" w:eastAsia="宋体" w:hAnsi="Calibri" w:cs="Calibri"/>
                <w:color w:val="000000"/>
                <w:kern w:val="0"/>
                <w:sz w:val="18"/>
                <w:szCs w:val="18"/>
                <w:vertAlign w:val="superscript"/>
              </w:rPr>
              <w:t>(1)</w:t>
            </w:r>
          </w:p>
        </w:tc>
        <w:tc>
          <w:tcPr>
            <w:tcW w:w="282" w:type="dxa"/>
            <w:shd w:val="clear" w:color="auto" w:fill="CFF0FC"/>
            <w:tcMar>
              <w:top w:w="15" w:type="dxa"/>
              <w:left w:w="0" w:type="dxa"/>
              <w:bottom w:w="0" w:type="dxa"/>
              <w:right w:w="15" w:type="dxa"/>
            </w:tcMar>
            <w:vAlign w:val="bottom"/>
            <w:hideMark/>
          </w:tcPr>
          <w:p w14:paraId="0A9552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D98041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6BE25F4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285</w:t>
            </w:r>
          </w:p>
        </w:tc>
        <w:tc>
          <w:tcPr>
            <w:tcW w:w="191" w:type="dxa"/>
            <w:shd w:val="clear" w:color="auto" w:fill="CFF0FC"/>
            <w:noWrap/>
            <w:tcMar>
              <w:top w:w="15" w:type="dxa"/>
              <w:left w:w="0" w:type="dxa"/>
              <w:bottom w:w="0" w:type="dxa"/>
              <w:right w:w="15" w:type="dxa"/>
            </w:tcMar>
            <w:vAlign w:val="bottom"/>
            <w:hideMark/>
          </w:tcPr>
          <w:p w14:paraId="666D9D4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1637841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AD30AE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3D56CBC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332</w:t>
            </w:r>
          </w:p>
        </w:tc>
        <w:tc>
          <w:tcPr>
            <w:tcW w:w="191" w:type="dxa"/>
            <w:shd w:val="clear" w:color="auto" w:fill="CFF0FC"/>
            <w:noWrap/>
            <w:tcMar>
              <w:top w:w="15" w:type="dxa"/>
              <w:left w:w="0" w:type="dxa"/>
              <w:bottom w:w="0" w:type="dxa"/>
              <w:right w:w="15" w:type="dxa"/>
            </w:tcMar>
            <w:vAlign w:val="bottom"/>
            <w:hideMark/>
          </w:tcPr>
          <w:p w14:paraId="45D4C5F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0EBAAC49"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A70180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2957990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557</w:t>
            </w:r>
          </w:p>
        </w:tc>
        <w:tc>
          <w:tcPr>
            <w:tcW w:w="191" w:type="dxa"/>
            <w:shd w:val="clear" w:color="auto" w:fill="CFF0FC"/>
            <w:noWrap/>
            <w:tcMar>
              <w:top w:w="15" w:type="dxa"/>
              <w:left w:w="0" w:type="dxa"/>
              <w:bottom w:w="0" w:type="dxa"/>
              <w:right w:w="15" w:type="dxa"/>
            </w:tcMar>
            <w:vAlign w:val="bottom"/>
            <w:hideMark/>
          </w:tcPr>
          <w:p w14:paraId="209616A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38F0DE17"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B84D9C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CFF0FC"/>
            <w:noWrap/>
            <w:tcMar>
              <w:top w:w="15" w:type="dxa"/>
              <w:left w:w="0" w:type="dxa"/>
              <w:bottom w:w="0" w:type="dxa"/>
              <w:right w:w="15" w:type="dxa"/>
            </w:tcMar>
            <w:vAlign w:val="bottom"/>
            <w:hideMark/>
          </w:tcPr>
          <w:p w14:paraId="02A32400"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658</w:t>
            </w:r>
          </w:p>
        </w:tc>
        <w:tc>
          <w:tcPr>
            <w:tcW w:w="193" w:type="dxa"/>
            <w:shd w:val="clear" w:color="auto" w:fill="CFF0FC"/>
            <w:noWrap/>
            <w:tcMar>
              <w:top w:w="15" w:type="dxa"/>
              <w:left w:w="0" w:type="dxa"/>
              <w:bottom w:w="0" w:type="dxa"/>
              <w:right w:w="15" w:type="dxa"/>
            </w:tcMar>
            <w:vAlign w:val="bottom"/>
            <w:hideMark/>
          </w:tcPr>
          <w:p w14:paraId="47A8C7C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05E81AFE" w14:textId="77777777" w:rsidTr="00141675">
        <w:tc>
          <w:tcPr>
            <w:tcW w:w="12460" w:type="dxa"/>
            <w:shd w:val="clear" w:color="auto" w:fill="FFFFFF"/>
            <w:tcMar>
              <w:top w:w="15" w:type="dxa"/>
              <w:left w:w="0" w:type="dxa"/>
              <w:bottom w:w="0" w:type="dxa"/>
              <w:right w:w="15" w:type="dxa"/>
            </w:tcMar>
            <w:hideMark/>
          </w:tcPr>
          <w:p w14:paraId="23BDFC3B"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Services</w:t>
            </w:r>
            <w:r w:rsidRPr="00141675">
              <w:rPr>
                <w:rFonts w:ascii="Calibri" w:eastAsia="宋体" w:hAnsi="Calibri" w:cs="Calibri"/>
                <w:color w:val="000000"/>
                <w:kern w:val="0"/>
                <w:sz w:val="18"/>
                <w:szCs w:val="18"/>
                <w:vertAlign w:val="superscript"/>
              </w:rPr>
              <w:t>(1)</w:t>
            </w:r>
          </w:p>
        </w:tc>
        <w:tc>
          <w:tcPr>
            <w:tcW w:w="282" w:type="dxa"/>
            <w:shd w:val="clear" w:color="auto" w:fill="FFFFFF"/>
            <w:tcMar>
              <w:top w:w="15" w:type="dxa"/>
              <w:left w:w="0" w:type="dxa"/>
              <w:bottom w:w="0" w:type="dxa"/>
              <w:right w:w="15" w:type="dxa"/>
            </w:tcMar>
            <w:vAlign w:val="bottom"/>
            <w:hideMark/>
          </w:tcPr>
          <w:p w14:paraId="4A822A1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E95993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4C2372D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741</w:t>
            </w:r>
          </w:p>
        </w:tc>
        <w:tc>
          <w:tcPr>
            <w:tcW w:w="191" w:type="dxa"/>
            <w:shd w:val="clear" w:color="auto" w:fill="FFFFFF"/>
            <w:noWrap/>
            <w:tcMar>
              <w:top w:w="15" w:type="dxa"/>
              <w:left w:w="0" w:type="dxa"/>
              <w:bottom w:w="0" w:type="dxa"/>
              <w:right w:w="15" w:type="dxa"/>
            </w:tcMar>
            <w:vAlign w:val="bottom"/>
            <w:hideMark/>
          </w:tcPr>
          <w:p w14:paraId="06F8EA2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163B00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08598A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503E0CB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713</w:t>
            </w:r>
          </w:p>
        </w:tc>
        <w:tc>
          <w:tcPr>
            <w:tcW w:w="191" w:type="dxa"/>
            <w:shd w:val="clear" w:color="auto" w:fill="FFFFFF"/>
            <w:noWrap/>
            <w:tcMar>
              <w:top w:w="15" w:type="dxa"/>
              <w:left w:w="0" w:type="dxa"/>
              <w:bottom w:w="0" w:type="dxa"/>
              <w:right w:w="15" w:type="dxa"/>
            </w:tcMar>
            <w:vAlign w:val="bottom"/>
            <w:hideMark/>
          </w:tcPr>
          <w:p w14:paraId="777BB95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608293DA"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C6EEA3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161CEA0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1,445</w:t>
            </w:r>
          </w:p>
        </w:tc>
        <w:tc>
          <w:tcPr>
            <w:tcW w:w="191" w:type="dxa"/>
            <w:shd w:val="clear" w:color="auto" w:fill="FFFFFF"/>
            <w:noWrap/>
            <w:tcMar>
              <w:top w:w="15" w:type="dxa"/>
              <w:left w:w="0" w:type="dxa"/>
              <w:bottom w:w="0" w:type="dxa"/>
              <w:right w:w="15" w:type="dxa"/>
            </w:tcMar>
            <w:vAlign w:val="bottom"/>
            <w:hideMark/>
          </w:tcPr>
          <w:p w14:paraId="6E4B979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65025AE8"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666703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FFFFFF"/>
            <w:noWrap/>
            <w:tcMar>
              <w:top w:w="15" w:type="dxa"/>
              <w:left w:w="0" w:type="dxa"/>
              <w:bottom w:w="0" w:type="dxa"/>
              <w:right w:w="15" w:type="dxa"/>
            </w:tcMar>
            <w:vAlign w:val="bottom"/>
            <w:hideMark/>
          </w:tcPr>
          <w:p w14:paraId="42EACF95"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1,428</w:t>
            </w:r>
          </w:p>
        </w:tc>
        <w:tc>
          <w:tcPr>
            <w:tcW w:w="193" w:type="dxa"/>
            <w:shd w:val="clear" w:color="auto" w:fill="FFFFFF"/>
            <w:noWrap/>
            <w:tcMar>
              <w:top w:w="15" w:type="dxa"/>
              <w:left w:w="0" w:type="dxa"/>
              <w:bottom w:w="0" w:type="dxa"/>
              <w:right w:w="15" w:type="dxa"/>
            </w:tcMar>
            <w:vAlign w:val="bottom"/>
            <w:hideMark/>
          </w:tcPr>
          <w:p w14:paraId="452A616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25CDFC18" w14:textId="77777777" w:rsidTr="00141675">
        <w:tc>
          <w:tcPr>
            <w:tcW w:w="12460" w:type="dxa"/>
            <w:shd w:val="clear" w:color="auto" w:fill="CFF0FC"/>
            <w:tcMar>
              <w:top w:w="15" w:type="dxa"/>
              <w:left w:w="0" w:type="dxa"/>
              <w:bottom w:w="0" w:type="dxa"/>
              <w:right w:w="15" w:type="dxa"/>
            </w:tcMar>
            <w:hideMark/>
          </w:tcPr>
          <w:p w14:paraId="346042F0"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Sales and marketing</w:t>
            </w:r>
            <w:r w:rsidRPr="00141675">
              <w:rPr>
                <w:rFonts w:ascii="Calibri" w:eastAsia="宋体" w:hAnsi="Calibri" w:cs="Calibri"/>
                <w:color w:val="000000"/>
                <w:kern w:val="0"/>
                <w:sz w:val="18"/>
                <w:szCs w:val="18"/>
                <w:vertAlign w:val="superscript"/>
              </w:rPr>
              <w:t>(1)</w:t>
            </w:r>
          </w:p>
        </w:tc>
        <w:tc>
          <w:tcPr>
            <w:tcW w:w="282" w:type="dxa"/>
            <w:shd w:val="clear" w:color="auto" w:fill="CFF0FC"/>
            <w:tcMar>
              <w:top w:w="15" w:type="dxa"/>
              <w:left w:w="0" w:type="dxa"/>
              <w:bottom w:w="0" w:type="dxa"/>
              <w:right w:w="15" w:type="dxa"/>
            </w:tcMar>
            <w:vAlign w:val="bottom"/>
            <w:hideMark/>
          </w:tcPr>
          <w:p w14:paraId="6BF4C1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7B64D6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17C36C1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2,068</w:t>
            </w:r>
          </w:p>
        </w:tc>
        <w:tc>
          <w:tcPr>
            <w:tcW w:w="191" w:type="dxa"/>
            <w:shd w:val="clear" w:color="auto" w:fill="CFF0FC"/>
            <w:noWrap/>
            <w:tcMar>
              <w:top w:w="15" w:type="dxa"/>
              <w:left w:w="0" w:type="dxa"/>
              <w:bottom w:w="0" w:type="dxa"/>
              <w:right w:w="15" w:type="dxa"/>
            </w:tcMar>
            <w:vAlign w:val="bottom"/>
            <w:hideMark/>
          </w:tcPr>
          <w:p w14:paraId="3F17614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7EFB21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334B36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17D2902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2,101</w:t>
            </w:r>
          </w:p>
        </w:tc>
        <w:tc>
          <w:tcPr>
            <w:tcW w:w="191" w:type="dxa"/>
            <w:shd w:val="clear" w:color="auto" w:fill="CFF0FC"/>
            <w:noWrap/>
            <w:tcMar>
              <w:top w:w="15" w:type="dxa"/>
              <w:left w:w="0" w:type="dxa"/>
              <w:bottom w:w="0" w:type="dxa"/>
              <w:right w:w="15" w:type="dxa"/>
            </w:tcMar>
            <w:vAlign w:val="bottom"/>
            <w:hideMark/>
          </w:tcPr>
          <w:p w14:paraId="03F0913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3F00D20A"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D868D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4DE750E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4,086</w:t>
            </w:r>
          </w:p>
        </w:tc>
        <w:tc>
          <w:tcPr>
            <w:tcW w:w="191" w:type="dxa"/>
            <w:shd w:val="clear" w:color="auto" w:fill="CFF0FC"/>
            <w:noWrap/>
            <w:tcMar>
              <w:top w:w="15" w:type="dxa"/>
              <w:left w:w="0" w:type="dxa"/>
              <w:bottom w:w="0" w:type="dxa"/>
              <w:right w:w="15" w:type="dxa"/>
            </w:tcMar>
            <w:vAlign w:val="bottom"/>
            <w:hideMark/>
          </w:tcPr>
          <w:p w14:paraId="3E17CC3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320338F2"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0AC6E4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CFF0FC"/>
            <w:noWrap/>
            <w:tcMar>
              <w:top w:w="15" w:type="dxa"/>
              <w:left w:w="0" w:type="dxa"/>
              <w:bottom w:w="0" w:type="dxa"/>
              <w:right w:w="15" w:type="dxa"/>
            </w:tcMar>
            <w:vAlign w:val="bottom"/>
            <w:hideMark/>
          </w:tcPr>
          <w:p w14:paraId="320ECBB8"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4,140</w:t>
            </w:r>
          </w:p>
        </w:tc>
        <w:tc>
          <w:tcPr>
            <w:tcW w:w="193" w:type="dxa"/>
            <w:shd w:val="clear" w:color="auto" w:fill="CFF0FC"/>
            <w:noWrap/>
            <w:tcMar>
              <w:top w:w="15" w:type="dxa"/>
              <w:left w:w="0" w:type="dxa"/>
              <w:bottom w:w="0" w:type="dxa"/>
              <w:right w:w="15" w:type="dxa"/>
            </w:tcMar>
            <w:vAlign w:val="bottom"/>
            <w:hideMark/>
          </w:tcPr>
          <w:p w14:paraId="7CAA215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0F4E973B" w14:textId="77777777" w:rsidTr="00141675">
        <w:tc>
          <w:tcPr>
            <w:tcW w:w="12460" w:type="dxa"/>
            <w:shd w:val="clear" w:color="auto" w:fill="FFFFFF"/>
            <w:tcMar>
              <w:top w:w="15" w:type="dxa"/>
              <w:left w:w="0" w:type="dxa"/>
              <w:bottom w:w="0" w:type="dxa"/>
              <w:right w:w="15" w:type="dxa"/>
            </w:tcMar>
            <w:hideMark/>
          </w:tcPr>
          <w:p w14:paraId="6A4CF75D"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Research and development</w:t>
            </w:r>
          </w:p>
        </w:tc>
        <w:tc>
          <w:tcPr>
            <w:tcW w:w="282" w:type="dxa"/>
            <w:shd w:val="clear" w:color="auto" w:fill="FFFFFF"/>
            <w:tcMar>
              <w:top w:w="15" w:type="dxa"/>
              <w:left w:w="0" w:type="dxa"/>
              <w:bottom w:w="0" w:type="dxa"/>
              <w:right w:w="15" w:type="dxa"/>
            </w:tcMar>
            <w:vAlign w:val="bottom"/>
            <w:hideMark/>
          </w:tcPr>
          <w:p w14:paraId="25BA920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18148A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57CCD8E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1,531</w:t>
            </w:r>
          </w:p>
        </w:tc>
        <w:tc>
          <w:tcPr>
            <w:tcW w:w="191" w:type="dxa"/>
            <w:shd w:val="clear" w:color="auto" w:fill="FFFFFF"/>
            <w:noWrap/>
            <w:tcMar>
              <w:top w:w="15" w:type="dxa"/>
              <w:left w:w="0" w:type="dxa"/>
              <w:bottom w:w="0" w:type="dxa"/>
              <w:right w:w="15" w:type="dxa"/>
            </w:tcMar>
            <w:vAlign w:val="bottom"/>
            <w:hideMark/>
          </w:tcPr>
          <w:p w14:paraId="68AAE70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7F6D97D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A66D19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4583A0F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1,475</w:t>
            </w:r>
          </w:p>
        </w:tc>
        <w:tc>
          <w:tcPr>
            <w:tcW w:w="191" w:type="dxa"/>
            <w:shd w:val="clear" w:color="auto" w:fill="FFFFFF"/>
            <w:noWrap/>
            <w:tcMar>
              <w:top w:w="15" w:type="dxa"/>
              <w:left w:w="0" w:type="dxa"/>
              <w:bottom w:w="0" w:type="dxa"/>
              <w:right w:w="15" w:type="dxa"/>
            </w:tcMar>
            <w:vAlign w:val="bottom"/>
            <w:hideMark/>
          </w:tcPr>
          <w:p w14:paraId="65C2068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F816619"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236ACF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069752E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3,088</w:t>
            </w:r>
          </w:p>
        </w:tc>
        <w:tc>
          <w:tcPr>
            <w:tcW w:w="191" w:type="dxa"/>
            <w:shd w:val="clear" w:color="auto" w:fill="FFFFFF"/>
            <w:noWrap/>
            <w:tcMar>
              <w:top w:w="15" w:type="dxa"/>
              <w:left w:w="0" w:type="dxa"/>
              <w:bottom w:w="0" w:type="dxa"/>
              <w:right w:w="15" w:type="dxa"/>
            </w:tcMar>
            <w:vAlign w:val="bottom"/>
            <w:hideMark/>
          </w:tcPr>
          <w:p w14:paraId="7655595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35055A1"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BF1CAB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FFFFFF"/>
            <w:noWrap/>
            <w:tcMar>
              <w:top w:w="15" w:type="dxa"/>
              <w:left w:w="0" w:type="dxa"/>
              <w:bottom w:w="0" w:type="dxa"/>
              <w:right w:w="15" w:type="dxa"/>
            </w:tcMar>
            <w:vAlign w:val="bottom"/>
            <w:hideMark/>
          </w:tcPr>
          <w:p w14:paraId="05F9D3E7"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3,039</w:t>
            </w:r>
          </w:p>
        </w:tc>
        <w:tc>
          <w:tcPr>
            <w:tcW w:w="193" w:type="dxa"/>
            <w:shd w:val="clear" w:color="auto" w:fill="FFFFFF"/>
            <w:noWrap/>
            <w:tcMar>
              <w:top w:w="15" w:type="dxa"/>
              <w:left w:w="0" w:type="dxa"/>
              <w:bottom w:w="0" w:type="dxa"/>
              <w:right w:w="15" w:type="dxa"/>
            </w:tcMar>
            <w:vAlign w:val="bottom"/>
            <w:hideMark/>
          </w:tcPr>
          <w:p w14:paraId="5C42F21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1550C296" w14:textId="77777777" w:rsidTr="00141675">
        <w:tc>
          <w:tcPr>
            <w:tcW w:w="12460" w:type="dxa"/>
            <w:shd w:val="clear" w:color="auto" w:fill="CFF0FC"/>
            <w:tcMar>
              <w:top w:w="15" w:type="dxa"/>
              <w:left w:w="0" w:type="dxa"/>
              <w:bottom w:w="0" w:type="dxa"/>
              <w:right w:w="15" w:type="dxa"/>
            </w:tcMar>
            <w:hideMark/>
          </w:tcPr>
          <w:p w14:paraId="550C665C"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General and administrative</w:t>
            </w:r>
          </w:p>
        </w:tc>
        <w:tc>
          <w:tcPr>
            <w:tcW w:w="282" w:type="dxa"/>
            <w:shd w:val="clear" w:color="auto" w:fill="CFF0FC"/>
            <w:tcMar>
              <w:top w:w="15" w:type="dxa"/>
              <w:left w:w="0" w:type="dxa"/>
              <w:bottom w:w="0" w:type="dxa"/>
              <w:right w:w="15" w:type="dxa"/>
            </w:tcMar>
            <w:vAlign w:val="bottom"/>
            <w:hideMark/>
          </w:tcPr>
          <w:p w14:paraId="57BFAC8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F4B112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2DDE225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323</w:t>
            </w:r>
          </w:p>
        </w:tc>
        <w:tc>
          <w:tcPr>
            <w:tcW w:w="191" w:type="dxa"/>
            <w:shd w:val="clear" w:color="auto" w:fill="CFF0FC"/>
            <w:noWrap/>
            <w:tcMar>
              <w:top w:w="15" w:type="dxa"/>
              <w:left w:w="0" w:type="dxa"/>
              <w:bottom w:w="0" w:type="dxa"/>
              <w:right w:w="15" w:type="dxa"/>
            </w:tcMar>
            <w:vAlign w:val="bottom"/>
            <w:hideMark/>
          </w:tcPr>
          <w:p w14:paraId="3DD94D4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476BAE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9ECA0B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35DE1E7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299</w:t>
            </w:r>
          </w:p>
        </w:tc>
        <w:tc>
          <w:tcPr>
            <w:tcW w:w="191" w:type="dxa"/>
            <w:shd w:val="clear" w:color="auto" w:fill="CFF0FC"/>
            <w:noWrap/>
            <w:tcMar>
              <w:top w:w="15" w:type="dxa"/>
              <w:left w:w="0" w:type="dxa"/>
              <w:bottom w:w="0" w:type="dxa"/>
              <w:right w:w="15" w:type="dxa"/>
            </w:tcMar>
            <w:vAlign w:val="bottom"/>
            <w:hideMark/>
          </w:tcPr>
          <w:p w14:paraId="2543857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2A64C01D"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62AD8B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64CA0AC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615</w:t>
            </w:r>
          </w:p>
        </w:tc>
        <w:tc>
          <w:tcPr>
            <w:tcW w:w="191" w:type="dxa"/>
            <w:shd w:val="clear" w:color="auto" w:fill="CFF0FC"/>
            <w:noWrap/>
            <w:tcMar>
              <w:top w:w="15" w:type="dxa"/>
              <w:left w:w="0" w:type="dxa"/>
              <w:bottom w:w="0" w:type="dxa"/>
              <w:right w:w="15" w:type="dxa"/>
            </w:tcMar>
            <w:vAlign w:val="bottom"/>
            <w:hideMark/>
          </w:tcPr>
          <w:p w14:paraId="360C43A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0F8BD222"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20916E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CFF0FC"/>
            <w:noWrap/>
            <w:tcMar>
              <w:top w:w="15" w:type="dxa"/>
              <w:left w:w="0" w:type="dxa"/>
              <w:bottom w:w="0" w:type="dxa"/>
              <w:right w:w="15" w:type="dxa"/>
            </w:tcMar>
            <w:vAlign w:val="bottom"/>
            <w:hideMark/>
          </w:tcPr>
          <w:p w14:paraId="31BF75E1"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619</w:t>
            </w:r>
          </w:p>
        </w:tc>
        <w:tc>
          <w:tcPr>
            <w:tcW w:w="193" w:type="dxa"/>
            <w:shd w:val="clear" w:color="auto" w:fill="CFF0FC"/>
            <w:noWrap/>
            <w:tcMar>
              <w:top w:w="15" w:type="dxa"/>
              <w:left w:w="0" w:type="dxa"/>
              <w:bottom w:w="0" w:type="dxa"/>
              <w:right w:w="15" w:type="dxa"/>
            </w:tcMar>
            <w:vAlign w:val="bottom"/>
            <w:hideMark/>
          </w:tcPr>
          <w:p w14:paraId="1919FEC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105D6B9A" w14:textId="77777777" w:rsidTr="00141675">
        <w:tc>
          <w:tcPr>
            <w:tcW w:w="12460" w:type="dxa"/>
            <w:shd w:val="clear" w:color="auto" w:fill="FFFFFF"/>
            <w:tcMar>
              <w:top w:w="15" w:type="dxa"/>
              <w:left w:w="0" w:type="dxa"/>
              <w:bottom w:w="0" w:type="dxa"/>
              <w:right w:w="15" w:type="dxa"/>
            </w:tcMar>
            <w:hideMark/>
          </w:tcPr>
          <w:p w14:paraId="5645AC3D"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Amortization of intangible assets</w:t>
            </w:r>
          </w:p>
        </w:tc>
        <w:tc>
          <w:tcPr>
            <w:tcW w:w="282" w:type="dxa"/>
            <w:shd w:val="clear" w:color="auto" w:fill="FFFFFF"/>
            <w:tcMar>
              <w:top w:w="15" w:type="dxa"/>
              <w:left w:w="0" w:type="dxa"/>
              <w:bottom w:w="0" w:type="dxa"/>
              <w:right w:w="15" w:type="dxa"/>
            </w:tcMar>
            <w:vAlign w:val="bottom"/>
            <w:hideMark/>
          </w:tcPr>
          <w:p w14:paraId="49ED7F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73D1A5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3E291F0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407</w:t>
            </w:r>
          </w:p>
        </w:tc>
        <w:tc>
          <w:tcPr>
            <w:tcW w:w="191" w:type="dxa"/>
            <w:shd w:val="clear" w:color="auto" w:fill="FFFFFF"/>
            <w:noWrap/>
            <w:tcMar>
              <w:top w:w="15" w:type="dxa"/>
              <w:left w:w="0" w:type="dxa"/>
              <w:bottom w:w="0" w:type="dxa"/>
              <w:right w:w="15" w:type="dxa"/>
            </w:tcMar>
            <w:vAlign w:val="bottom"/>
            <w:hideMark/>
          </w:tcPr>
          <w:p w14:paraId="4A972C3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24877B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C90B84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56F9FD5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424</w:t>
            </w:r>
          </w:p>
        </w:tc>
        <w:tc>
          <w:tcPr>
            <w:tcW w:w="191" w:type="dxa"/>
            <w:shd w:val="clear" w:color="auto" w:fill="FFFFFF"/>
            <w:noWrap/>
            <w:tcMar>
              <w:top w:w="15" w:type="dxa"/>
              <w:left w:w="0" w:type="dxa"/>
              <w:bottom w:w="0" w:type="dxa"/>
              <w:right w:w="15" w:type="dxa"/>
            </w:tcMar>
            <w:vAlign w:val="bottom"/>
            <w:hideMark/>
          </w:tcPr>
          <w:p w14:paraId="4F79D1F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F77FFBE"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99AD2C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1395AD7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821</w:t>
            </w:r>
          </w:p>
        </w:tc>
        <w:tc>
          <w:tcPr>
            <w:tcW w:w="191" w:type="dxa"/>
            <w:shd w:val="clear" w:color="auto" w:fill="FFFFFF"/>
            <w:noWrap/>
            <w:tcMar>
              <w:top w:w="15" w:type="dxa"/>
              <w:left w:w="0" w:type="dxa"/>
              <w:bottom w:w="0" w:type="dxa"/>
              <w:right w:w="15" w:type="dxa"/>
            </w:tcMar>
            <w:vAlign w:val="bottom"/>
            <w:hideMark/>
          </w:tcPr>
          <w:p w14:paraId="702D2B8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FED1206"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4D93A7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FFFFFF"/>
            <w:noWrap/>
            <w:tcMar>
              <w:top w:w="15" w:type="dxa"/>
              <w:left w:w="0" w:type="dxa"/>
              <w:bottom w:w="0" w:type="dxa"/>
              <w:right w:w="15" w:type="dxa"/>
            </w:tcMar>
            <w:vAlign w:val="bottom"/>
            <w:hideMark/>
          </w:tcPr>
          <w:p w14:paraId="6CA38E63"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858</w:t>
            </w:r>
          </w:p>
        </w:tc>
        <w:tc>
          <w:tcPr>
            <w:tcW w:w="193" w:type="dxa"/>
            <w:shd w:val="clear" w:color="auto" w:fill="FFFFFF"/>
            <w:noWrap/>
            <w:tcMar>
              <w:top w:w="15" w:type="dxa"/>
              <w:left w:w="0" w:type="dxa"/>
              <w:bottom w:w="0" w:type="dxa"/>
              <w:right w:w="15" w:type="dxa"/>
            </w:tcMar>
            <w:vAlign w:val="bottom"/>
            <w:hideMark/>
          </w:tcPr>
          <w:p w14:paraId="599A528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70D75A1A" w14:textId="77777777" w:rsidTr="00141675">
        <w:tc>
          <w:tcPr>
            <w:tcW w:w="12460" w:type="dxa"/>
            <w:shd w:val="clear" w:color="auto" w:fill="CFF0FC"/>
            <w:tcMar>
              <w:top w:w="15" w:type="dxa"/>
              <w:left w:w="0" w:type="dxa"/>
              <w:bottom w:w="0" w:type="dxa"/>
              <w:right w:w="15" w:type="dxa"/>
            </w:tcMar>
            <w:hideMark/>
          </w:tcPr>
          <w:p w14:paraId="6AF5A2E6"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Acquisition related and other</w:t>
            </w:r>
          </w:p>
        </w:tc>
        <w:tc>
          <w:tcPr>
            <w:tcW w:w="282" w:type="dxa"/>
            <w:shd w:val="clear" w:color="auto" w:fill="CFF0FC"/>
            <w:tcMar>
              <w:top w:w="15" w:type="dxa"/>
              <w:left w:w="0" w:type="dxa"/>
              <w:bottom w:w="0" w:type="dxa"/>
              <w:right w:w="15" w:type="dxa"/>
            </w:tcMar>
            <w:vAlign w:val="bottom"/>
            <w:hideMark/>
          </w:tcPr>
          <w:p w14:paraId="6C7734F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43882E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7702021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w:t>
            </w:r>
          </w:p>
        </w:tc>
        <w:tc>
          <w:tcPr>
            <w:tcW w:w="191" w:type="dxa"/>
            <w:shd w:val="clear" w:color="auto" w:fill="CFF0FC"/>
            <w:noWrap/>
            <w:tcMar>
              <w:top w:w="15" w:type="dxa"/>
              <w:left w:w="0" w:type="dxa"/>
              <w:bottom w:w="0" w:type="dxa"/>
              <w:right w:w="15" w:type="dxa"/>
            </w:tcMar>
            <w:vAlign w:val="bottom"/>
            <w:hideMark/>
          </w:tcPr>
          <w:p w14:paraId="2318604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7932C8A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C47A8D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5425571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18</w:t>
            </w:r>
          </w:p>
        </w:tc>
        <w:tc>
          <w:tcPr>
            <w:tcW w:w="191" w:type="dxa"/>
            <w:shd w:val="clear" w:color="auto" w:fill="CFF0FC"/>
            <w:noWrap/>
            <w:tcMar>
              <w:top w:w="15" w:type="dxa"/>
              <w:left w:w="0" w:type="dxa"/>
              <w:bottom w:w="0" w:type="dxa"/>
              <w:right w:w="15" w:type="dxa"/>
            </w:tcMar>
            <w:vAlign w:val="bottom"/>
            <w:hideMark/>
          </w:tcPr>
          <w:p w14:paraId="378AC10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611D1CA9"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4E172C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47FD585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37</w:t>
            </w:r>
          </w:p>
        </w:tc>
        <w:tc>
          <w:tcPr>
            <w:tcW w:w="191" w:type="dxa"/>
            <w:shd w:val="clear" w:color="auto" w:fill="CFF0FC"/>
            <w:noWrap/>
            <w:tcMar>
              <w:top w:w="15" w:type="dxa"/>
              <w:left w:w="0" w:type="dxa"/>
              <w:bottom w:w="0" w:type="dxa"/>
              <w:right w:w="15" w:type="dxa"/>
            </w:tcMar>
            <w:vAlign w:val="bottom"/>
            <w:hideMark/>
          </w:tcPr>
          <w:p w14:paraId="5D33F5B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2D65AEE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0F42D8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shd w:val="clear" w:color="auto" w:fill="CFF0FC"/>
            <w:noWrap/>
            <w:tcMar>
              <w:top w:w="15" w:type="dxa"/>
              <w:left w:w="0" w:type="dxa"/>
              <w:bottom w:w="0" w:type="dxa"/>
              <w:right w:w="15" w:type="dxa"/>
            </w:tcMar>
            <w:vAlign w:val="bottom"/>
            <w:hideMark/>
          </w:tcPr>
          <w:p w14:paraId="2282C0A6"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32</w:t>
            </w:r>
          </w:p>
        </w:tc>
        <w:tc>
          <w:tcPr>
            <w:tcW w:w="193" w:type="dxa"/>
            <w:shd w:val="clear" w:color="auto" w:fill="CFF0FC"/>
            <w:noWrap/>
            <w:tcMar>
              <w:top w:w="15" w:type="dxa"/>
              <w:left w:w="0" w:type="dxa"/>
              <w:bottom w:w="0" w:type="dxa"/>
              <w:right w:w="15" w:type="dxa"/>
            </w:tcMar>
            <w:vAlign w:val="bottom"/>
            <w:hideMark/>
          </w:tcPr>
          <w:p w14:paraId="0D2573C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205B73B1" w14:textId="77777777" w:rsidTr="00141675">
        <w:tc>
          <w:tcPr>
            <w:tcW w:w="12460" w:type="dxa"/>
            <w:shd w:val="clear" w:color="auto" w:fill="FFFFFF"/>
            <w:tcMar>
              <w:top w:w="15" w:type="dxa"/>
              <w:left w:w="0" w:type="dxa"/>
              <w:bottom w:w="0" w:type="dxa"/>
              <w:right w:w="15" w:type="dxa"/>
            </w:tcMar>
            <w:hideMark/>
          </w:tcPr>
          <w:p w14:paraId="10A89C39"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Restructuring</w:t>
            </w:r>
          </w:p>
        </w:tc>
        <w:tc>
          <w:tcPr>
            <w:tcW w:w="282" w:type="dxa"/>
            <w:shd w:val="clear" w:color="auto" w:fill="FFFFFF"/>
            <w:tcMar>
              <w:top w:w="15" w:type="dxa"/>
              <w:left w:w="0" w:type="dxa"/>
              <w:bottom w:w="0" w:type="dxa"/>
              <w:right w:w="15" w:type="dxa"/>
            </w:tcMar>
            <w:vAlign w:val="bottom"/>
            <w:hideMark/>
          </w:tcPr>
          <w:p w14:paraId="2F7DE51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BCA678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6EF2FE3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42</w:t>
            </w:r>
          </w:p>
        </w:tc>
        <w:tc>
          <w:tcPr>
            <w:tcW w:w="191" w:type="dxa"/>
            <w:shd w:val="clear" w:color="auto" w:fill="FFFFFF"/>
            <w:noWrap/>
            <w:tcMar>
              <w:top w:w="15" w:type="dxa"/>
              <w:left w:w="0" w:type="dxa"/>
              <w:bottom w:w="0" w:type="dxa"/>
              <w:right w:w="15" w:type="dxa"/>
            </w:tcMar>
            <w:vAlign w:val="bottom"/>
            <w:hideMark/>
          </w:tcPr>
          <w:p w14:paraId="7B0F38B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120032F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CB080F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0A4FEC3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143</w:t>
            </w:r>
          </w:p>
        </w:tc>
        <w:tc>
          <w:tcPr>
            <w:tcW w:w="191" w:type="dxa"/>
            <w:shd w:val="clear" w:color="auto" w:fill="FFFFFF"/>
            <w:noWrap/>
            <w:tcMar>
              <w:top w:w="15" w:type="dxa"/>
              <w:left w:w="0" w:type="dxa"/>
              <w:bottom w:w="0" w:type="dxa"/>
              <w:right w:w="15" w:type="dxa"/>
            </w:tcMar>
            <w:vAlign w:val="bottom"/>
            <w:hideMark/>
          </w:tcPr>
          <w:p w14:paraId="37255F6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2FC8F9EF"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C291CA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603D939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120</w:t>
            </w:r>
          </w:p>
        </w:tc>
        <w:tc>
          <w:tcPr>
            <w:tcW w:w="191" w:type="dxa"/>
            <w:shd w:val="clear" w:color="auto" w:fill="FFFFFF"/>
            <w:noWrap/>
            <w:tcMar>
              <w:top w:w="15" w:type="dxa"/>
              <w:left w:w="0" w:type="dxa"/>
              <w:bottom w:w="0" w:type="dxa"/>
              <w:right w:w="15" w:type="dxa"/>
            </w:tcMar>
            <w:vAlign w:val="bottom"/>
            <w:hideMark/>
          </w:tcPr>
          <w:p w14:paraId="35545FB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0E921D0"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AC2E7B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7240A921"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233</w:t>
            </w:r>
          </w:p>
        </w:tc>
        <w:tc>
          <w:tcPr>
            <w:tcW w:w="193" w:type="dxa"/>
            <w:shd w:val="clear" w:color="auto" w:fill="FFFFFF"/>
            <w:noWrap/>
            <w:tcMar>
              <w:top w:w="15" w:type="dxa"/>
              <w:left w:w="0" w:type="dxa"/>
              <w:bottom w:w="0" w:type="dxa"/>
              <w:right w:w="15" w:type="dxa"/>
            </w:tcMar>
            <w:vAlign w:val="bottom"/>
            <w:hideMark/>
          </w:tcPr>
          <w:p w14:paraId="35A5452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2CB56E56" w14:textId="77777777" w:rsidTr="00141675">
        <w:tc>
          <w:tcPr>
            <w:tcW w:w="12460" w:type="dxa"/>
            <w:shd w:val="clear" w:color="auto" w:fill="CFF0FC"/>
            <w:tcMar>
              <w:top w:w="15" w:type="dxa"/>
              <w:left w:w="0" w:type="dxa"/>
              <w:bottom w:w="0" w:type="dxa"/>
              <w:right w:w="15" w:type="dxa"/>
            </w:tcMar>
            <w:vAlign w:val="bottom"/>
            <w:hideMark/>
          </w:tcPr>
          <w:p w14:paraId="6F720472" w14:textId="77777777" w:rsidR="00141675" w:rsidRPr="00141675" w:rsidRDefault="00141675" w:rsidP="00141675">
            <w:pPr>
              <w:widowControl/>
              <w:ind w:left="821"/>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operating expenses</w:t>
            </w:r>
          </w:p>
        </w:tc>
        <w:tc>
          <w:tcPr>
            <w:tcW w:w="282" w:type="dxa"/>
            <w:shd w:val="clear" w:color="auto" w:fill="CFF0FC"/>
            <w:tcMar>
              <w:top w:w="15" w:type="dxa"/>
              <w:left w:w="0" w:type="dxa"/>
              <w:bottom w:w="0" w:type="dxa"/>
              <w:right w:w="15" w:type="dxa"/>
            </w:tcMar>
            <w:vAlign w:val="bottom"/>
            <w:hideMark/>
          </w:tcPr>
          <w:p w14:paraId="04217DA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3DD58D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DA5F14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6,431</w:t>
            </w:r>
          </w:p>
        </w:tc>
        <w:tc>
          <w:tcPr>
            <w:tcW w:w="191" w:type="dxa"/>
            <w:shd w:val="clear" w:color="auto" w:fill="CFF0FC"/>
            <w:noWrap/>
            <w:tcMar>
              <w:top w:w="15" w:type="dxa"/>
              <w:left w:w="0" w:type="dxa"/>
              <w:bottom w:w="0" w:type="dxa"/>
              <w:right w:w="15" w:type="dxa"/>
            </w:tcMar>
            <w:vAlign w:val="bottom"/>
            <w:hideMark/>
          </w:tcPr>
          <w:p w14:paraId="5226A52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2F99EFD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F936A9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56E02D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6,461</w:t>
            </w:r>
          </w:p>
        </w:tc>
        <w:tc>
          <w:tcPr>
            <w:tcW w:w="191" w:type="dxa"/>
            <w:shd w:val="clear" w:color="auto" w:fill="CFF0FC"/>
            <w:noWrap/>
            <w:tcMar>
              <w:top w:w="15" w:type="dxa"/>
              <w:left w:w="0" w:type="dxa"/>
              <w:bottom w:w="0" w:type="dxa"/>
              <w:right w:w="15" w:type="dxa"/>
            </w:tcMar>
            <w:vAlign w:val="bottom"/>
            <w:hideMark/>
          </w:tcPr>
          <w:p w14:paraId="3870E5D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E2DAE0F"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97B708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99E22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12,772</w:t>
            </w:r>
          </w:p>
        </w:tc>
        <w:tc>
          <w:tcPr>
            <w:tcW w:w="191" w:type="dxa"/>
            <w:shd w:val="clear" w:color="auto" w:fill="CFF0FC"/>
            <w:noWrap/>
            <w:tcMar>
              <w:top w:w="15" w:type="dxa"/>
              <w:left w:w="0" w:type="dxa"/>
              <w:bottom w:w="0" w:type="dxa"/>
              <w:right w:w="15" w:type="dxa"/>
            </w:tcMar>
            <w:vAlign w:val="bottom"/>
            <w:hideMark/>
          </w:tcPr>
          <w:p w14:paraId="3D85176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35E0B213"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81C57F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266BEF9"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12,877</w:t>
            </w:r>
          </w:p>
        </w:tc>
        <w:tc>
          <w:tcPr>
            <w:tcW w:w="193" w:type="dxa"/>
            <w:shd w:val="clear" w:color="auto" w:fill="CFF0FC"/>
            <w:noWrap/>
            <w:tcMar>
              <w:top w:w="15" w:type="dxa"/>
              <w:left w:w="0" w:type="dxa"/>
              <w:bottom w:w="0" w:type="dxa"/>
              <w:right w:w="15" w:type="dxa"/>
            </w:tcMar>
            <w:vAlign w:val="bottom"/>
            <w:hideMark/>
          </w:tcPr>
          <w:p w14:paraId="7AB92B0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2C553634" w14:textId="77777777" w:rsidTr="00141675">
        <w:tc>
          <w:tcPr>
            <w:tcW w:w="12460" w:type="dxa"/>
            <w:shd w:val="clear" w:color="auto" w:fill="FFFFFF"/>
            <w:tcMar>
              <w:top w:w="15" w:type="dxa"/>
              <w:left w:w="0" w:type="dxa"/>
              <w:bottom w:w="0" w:type="dxa"/>
              <w:right w:w="15" w:type="dxa"/>
            </w:tcMar>
            <w:hideMark/>
          </w:tcPr>
          <w:p w14:paraId="4756A03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Operating income</w:t>
            </w:r>
          </w:p>
        </w:tc>
        <w:tc>
          <w:tcPr>
            <w:tcW w:w="282" w:type="dxa"/>
            <w:shd w:val="clear" w:color="auto" w:fill="FFFFFF"/>
            <w:tcMar>
              <w:top w:w="15" w:type="dxa"/>
              <w:left w:w="0" w:type="dxa"/>
              <w:bottom w:w="0" w:type="dxa"/>
              <w:right w:w="15" w:type="dxa"/>
            </w:tcMar>
            <w:vAlign w:val="bottom"/>
            <w:hideMark/>
          </w:tcPr>
          <w:p w14:paraId="614C9EE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786CE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F72FE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3,183</w:t>
            </w:r>
          </w:p>
        </w:tc>
        <w:tc>
          <w:tcPr>
            <w:tcW w:w="191" w:type="dxa"/>
            <w:shd w:val="clear" w:color="auto" w:fill="FFFFFF"/>
            <w:noWrap/>
            <w:tcMar>
              <w:top w:w="15" w:type="dxa"/>
              <w:left w:w="0" w:type="dxa"/>
              <w:bottom w:w="0" w:type="dxa"/>
              <w:right w:w="15" w:type="dxa"/>
            </w:tcMar>
            <w:vAlign w:val="bottom"/>
            <w:hideMark/>
          </w:tcPr>
          <w:p w14:paraId="1EF5F4D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CBF4F0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2476E6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962208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3,101</w:t>
            </w:r>
          </w:p>
        </w:tc>
        <w:tc>
          <w:tcPr>
            <w:tcW w:w="191" w:type="dxa"/>
            <w:shd w:val="clear" w:color="auto" w:fill="FFFFFF"/>
            <w:noWrap/>
            <w:tcMar>
              <w:top w:w="15" w:type="dxa"/>
              <w:left w:w="0" w:type="dxa"/>
              <w:bottom w:w="0" w:type="dxa"/>
              <w:right w:w="15" w:type="dxa"/>
            </w:tcMar>
            <w:vAlign w:val="bottom"/>
            <w:hideMark/>
          </w:tcPr>
          <w:p w14:paraId="4485E79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6011F633"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C1EEFC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9E1525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6,060</w:t>
            </w:r>
          </w:p>
        </w:tc>
        <w:tc>
          <w:tcPr>
            <w:tcW w:w="191" w:type="dxa"/>
            <w:shd w:val="clear" w:color="auto" w:fill="FFFFFF"/>
            <w:noWrap/>
            <w:tcMar>
              <w:top w:w="15" w:type="dxa"/>
              <w:left w:w="0" w:type="dxa"/>
              <w:bottom w:w="0" w:type="dxa"/>
              <w:right w:w="15" w:type="dxa"/>
            </w:tcMar>
            <w:vAlign w:val="bottom"/>
            <w:hideMark/>
          </w:tcPr>
          <w:p w14:paraId="14201A5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2EA01DF4"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FA9EE0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1CB0CC"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5,878</w:t>
            </w:r>
          </w:p>
        </w:tc>
        <w:tc>
          <w:tcPr>
            <w:tcW w:w="193" w:type="dxa"/>
            <w:shd w:val="clear" w:color="auto" w:fill="FFFFFF"/>
            <w:noWrap/>
            <w:tcMar>
              <w:top w:w="15" w:type="dxa"/>
              <w:left w:w="0" w:type="dxa"/>
              <w:bottom w:w="0" w:type="dxa"/>
              <w:right w:w="15" w:type="dxa"/>
            </w:tcMar>
            <w:vAlign w:val="bottom"/>
            <w:hideMark/>
          </w:tcPr>
          <w:p w14:paraId="78B7556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3FB5B5B5" w14:textId="77777777" w:rsidTr="00141675">
        <w:tc>
          <w:tcPr>
            <w:tcW w:w="12460" w:type="dxa"/>
            <w:shd w:val="clear" w:color="auto" w:fill="CFF0FC"/>
            <w:tcMar>
              <w:top w:w="15" w:type="dxa"/>
              <w:left w:w="0" w:type="dxa"/>
              <w:bottom w:w="0" w:type="dxa"/>
              <w:right w:w="15" w:type="dxa"/>
            </w:tcMar>
            <w:hideMark/>
          </w:tcPr>
          <w:p w14:paraId="5C0D294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Interest expense</w:t>
            </w:r>
          </w:p>
        </w:tc>
        <w:tc>
          <w:tcPr>
            <w:tcW w:w="282" w:type="dxa"/>
            <w:shd w:val="clear" w:color="auto" w:fill="CFF0FC"/>
            <w:tcMar>
              <w:top w:w="15" w:type="dxa"/>
              <w:left w:w="0" w:type="dxa"/>
              <w:bottom w:w="0" w:type="dxa"/>
              <w:right w:w="15" w:type="dxa"/>
            </w:tcMar>
            <w:vAlign w:val="bottom"/>
            <w:hideMark/>
          </w:tcPr>
          <w:p w14:paraId="7FF47D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1825DD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61581C6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(465</w:t>
            </w:r>
          </w:p>
        </w:tc>
        <w:tc>
          <w:tcPr>
            <w:tcW w:w="191" w:type="dxa"/>
            <w:shd w:val="clear" w:color="auto" w:fill="CFF0FC"/>
            <w:noWrap/>
            <w:tcMar>
              <w:top w:w="15" w:type="dxa"/>
              <w:left w:w="0" w:type="dxa"/>
              <w:bottom w:w="0" w:type="dxa"/>
              <w:right w:w="15" w:type="dxa"/>
            </w:tcMar>
            <w:vAlign w:val="bottom"/>
            <w:hideMark/>
          </w:tcPr>
          <w:p w14:paraId="0C45DCC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6F339DD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A3A98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24ED896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(519</w:t>
            </w:r>
          </w:p>
        </w:tc>
        <w:tc>
          <w:tcPr>
            <w:tcW w:w="191" w:type="dxa"/>
            <w:shd w:val="clear" w:color="auto" w:fill="CFF0FC"/>
            <w:noWrap/>
            <w:tcMar>
              <w:top w:w="15" w:type="dxa"/>
              <w:left w:w="0" w:type="dxa"/>
              <w:bottom w:w="0" w:type="dxa"/>
              <w:right w:w="15" w:type="dxa"/>
            </w:tcMar>
            <w:vAlign w:val="bottom"/>
            <w:hideMark/>
          </w:tcPr>
          <w:p w14:paraId="47BD536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4535F448"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1E941C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2C8D3E0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(959</w:t>
            </w:r>
          </w:p>
        </w:tc>
        <w:tc>
          <w:tcPr>
            <w:tcW w:w="191" w:type="dxa"/>
            <w:shd w:val="clear" w:color="auto" w:fill="CFF0FC"/>
            <w:noWrap/>
            <w:tcMar>
              <w:top w:w="15" w:type="dxa"/>
              <w:left w:w="0" w:type="dxa"/>
              <w:bottom w:w="0" w:type="dxa"/>
              <w:right w:w="15" w:type="dxa"/>
            </w:tcMar>
            <w:vAlign w:val="bottom"/>
            <w:hideMark/>
          </w:tcPr>
          <w:p w14:paraId="4192022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1969DAC1"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CF9DB4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685D2ED8"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(1,048</w:t>
            </w:r>
          </w:p>
        </w:tc>
        <w:tc>
          <w:tcPr>
            <w:tcW w:w="193" w:type="dxa"/>
            <w:shd w:val="clear" w:color="auto" w:fill="CFF0FC"/>
            <w:noWrap/>
            <w:tcMar>
              <w:top w:w="15" w:type="dxa"/>
              <w:left w:w="0" w:type="dxa"/>
              <w:bottom w:w="0" w:type="dxa"/>
              <w:right w:w="15" w:type="dxa"/>
            </w:tcMar>
            <w:vAlign w:val="bottom"/>
            <w:hideMark/>
          </w:tcPr>
          <w:p w14:paraId="59DAF35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02A78206" w14:textId="77777777" w:rsidTr="00141675">
        <w:tc>
          <w:tcPr>
            <w:tcW w:w="12460" w:type="dxa"/>
            <w:shd w:val="clear" w:color="auto" w:fill="FFFFFF"/>
            <w:tcMar>
              <w:top w:w="15" w:type="dxa"/>
              <w:left w:w="0" w:type="dxa"/>
              <w:bottom w:w="0" w:type="dxa"/>
              <w:right w:w="15" w:type="dxa"/>
            </w:tcMar>
            <w:hideMark/>
          </w:tcPr>
          <w:p w14:paraId="3908B29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Non-operating income, net</w:t>
            </w:r>
          </w:p>
        </w:tc>
        <w:tc>
          <w:tcPr>
            <w:tcW w:w="282" w:type="dxa"/>
            <w:shd w:val="clear" w:color="auto" w:fill="FFFFFF"/>
            <w:tcMar>
              <w:top w:w="15" w:type="dxa"/>
              <w:left w:w="0" w:type="dxa"/>
              <w:bottom w:w="0" w:type="dxa"/>
              <w:right w:w="15" w:type="dxa"/>
            </w:tcMar>
            <w:vAlign w:val="bottom"/>
            <w:hideMark/>
          </w:tcPr>
          <w:p w14:paraId="1DB798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76B03E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4F821AD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92</w:t>
            </w:r>
          </w:p>
        </w:tc>
        <w:tc>
          <w:tcPr>
            <w:tcW w:w="191" w:type="dxa"/>
            <w:shd w:val="clear" w:color="auto" w:fill="FFFFFF"/>
            <w:noWrap/>
            <w:tcMar>
              <w:top w:w="15" w:type="dxa"/>
              <w:left w:w="0" w:type="dxa"/>
              <w:bottom w:w="0" w:type="dxa"/>
              <w:right w:w="15" w:type="dxa"/>
            </w:tcMar>
            <w:vAlign w:val="bottom"/>
            <w:hideMark/>
          </w:tcPr>
          <w:p w14:paraId="4D4DC84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3C0A5C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494708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7DAF1D1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192</w:t>
            </w:r>
          </w:p>
        </w:tc>
        <w:tc>
          <w:tcPr>
            <w:tcW w:w="191" w:type="dxa"/>
            <w:shd w:val="clear" w:color="auto" w:fill="FFFFFF"/>
            <w:noWrap/>
            <w:tcMar>
              <w:top w:w="15" w:type="dxa"/>
              <w:left w:w="0" w:type="dxa"/>
              <w:bottom w:w="0" w:type="dxa"/>
              <w:right w:w="15" w:type="dxa"/>
            </w:tcMar>
            <w:vAlign w:val="bottom"/>
            <w:hideMark/>
          </w:tcPr>
          <w:p w14:paraId="41FC51B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7D819FA"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869314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4694907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191</w:t>
            </w:r>
          </w:p>
        </w:tc>
        <w:tc>
          <w:tcPr>
            <w:tcW w:w="191" w:type="dxa"/>
            <w:shd w:val="clear" w:color="auto" w:fill="FFFFFF"/>
            <w:noWrap/>
            <w:tcMar>
              <w:top w:w="15" w:type="dxa"/>
              <w:left w:w="0" w:type="dxa"/>
              <w:bottom w:w="0" w:type="dxa"/>
              <w:right w:w="15" w:type="dxa"/>
            </w:tcMar>
            <w:vAlign w:val="bottom"/>
            <w:hideMark/>
          </w:tcPr>
          <w:p w14:paraId="4C7701F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C94422C"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EBB3DB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603C7EDC"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484</w:t>
            </w:r>
          </w:p>
        </w:tc>
        <w:tc>
          <w:tcPr>
            <w:tcW w:w="193" w:type="dxa"/>
            <w:shd w:val="clear" w:color="auto" w:fill="FFFFFF"/>
            <w:noWrap/>
            <w:tcMar>
              <w:top w:w="15" w:type="dxa"/>
              <w:left w:w="0" w:type="dxa"/>
              <w:bottom w:w="0" w:type="dxa"/>
              <w:right w:w="15" w:type="dxa"/>
            </w:tcMar>
            <w:vAlign w:val="bottom"/>
            <w:hideMark/>
          </w:tcPr>
          <w:p w14:paraId="0BDB99C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31693F7D" w14:textId="77777777" w:rsidTr="00141675">
        <w:tc>
          <w:tcPr>
            <w:tcW w:w="12460" w:type="dxa"/>
            <w:shd w:val="clear" w:color="auto" w:fill="CFF0FC"/>
            <w:tcMar>
              <w:top w:w="15" w:type="dxa"/>
              <w:left w:w="0" w:type="dxa"/>
              <w:bottom w:w="0" w:type="dxa"/>
              <w:right w:w="15" w:type="dxa"/>
            </w:tcMar>
            <w:hideMark/>
          </w:tcPr>
          <w:p w14:paraId="6F33D70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Income before provision for income taxes</w:t>
            </w:r>
          </w:p>
        </w:tc>
        <w:tc>
          <w:tcPr>
            <w:tcW w:w="282" w:type="dxa"/>
            <w:shd w:val="clear" w:color="auto" w:fill="CFF0FC"/>
            <w:tcMar>
              <w:top w:w="15" w:type="dxa"/>
              <w:left w:w="0" w:type="dxa"/>
              <w:bottom w:w="0" w:type="dxa"/>
              <w:right w:w="15" w:type="dxa"/>
            </w:tcMar>
            <w:vAlign w:val="bottom"/>
            <w:hideMark/>
          </w:tcPr>
          <w:p w14:paraId="32CCFF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D8177D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AE02F4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2,810</w:t>
            </w:r>
          </w:p>
        </w:tc>
        <w:tc>
          <w:tcPr>
            <w:tcW w:w="191" w:type="dxa"/>
            <w:shd w:val="clear" w:color="auto" w:fill="CFF0FC"/>
            <w:noWrap/>
            <w:tcMar>
              <w:top w:w="15" w:type="dxa"/>
              <w:left w:w="0" w:type="dxa"/>
              <w:bottom w:w="0" w:type="dxa"/>
              <w:right w:w="15" w:type="dxa"/>
            </w:tcMar>
            <w:vAlign w:val="bottom"/>
            <w:hideMark/>
          </w:tcPr>
          <w:p w14:paraId="35838AE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127438A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FAE20C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62B6DE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2,774</w:t>
            </w:r>
          </w:p>
        </w:tc>
        <w:tc>
          <w:tcPr>
            <w:tcW w:w="191" w:type="dxa"/>
            <w:shd w:val="clear" w:color="auto" w:fill="CFF0FC"/>
            <w:noWrap/>
            <w:tcMar>
              <w:top w:w="15" w:type="dxa"/>
              <w:left w:w="0" w:type="dxa"/>
              <w:bottom w:w="0" w:type="dxa"/>
              <w:right w:w="15" w:type="dxa"/>
            </w:tcMar>
            <w:vAlign w:val="bottom"/>
            <w:hideMark/>
          </w:tcPr>
          <w:p w14:paraId="6B23C59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66095DC"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620EE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6E3C3E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5,292</w:t>
            </w:r>
          </w:p>
        </w:tc>
        <w:tc>
          <w:tcPr>
            <w:tcW w:w="191" w:type="dxa"/>
            <w:shd w:val="clear" w:color="auto" w:fill="CFF0FC"/>
            <w:noWrap/>
            <w:tcMar>
              <w:top w:w="15" w:type="dxa"/>
              <w:left w:w="0" w:type="dxa"/>
              <w:bottom w:w="0" w:type="dxa"/>
              <w:right w:w="15" w:type="dxa"/>
            </w:tcMar>
            <w:vAlign w:val="bottom"/>
            <w:hideMark/>
          </w:tcPr>
          <w:p w14:paraId="3ADEA5D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0A8E1DA7"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1447A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A0D2C5A"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5,314</w:t>
            </w:r>
          </w:p>
        </w:tc>
        <w:tc>
          <w:tcPr>
            <w:tcW w:w="193" w:type="dxa"/>
            <w:shd w:val="clear" w:color="auto" w:fill="CFF0FC"/>
            <w:noWrap/>
            <w:tcMar>
              <w:top w:w="15" w:type="dxa"/>
              <w:left w:w="0" w:type="dxa"/>
              <w:bottom w:w="0" w:type="dxa"/>
              <w:right w:w="15" w:type="dxa"/>
            </w:tcMar>
            <w:vAlign w:val="bottom"/>
            <w:hideMark/>
          </w:tcPr>
          <w:p w14:paraId="166B675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48B51262" w14:textId="77777777" w:rsidTr="00141675">
        <w:tc>
          <w:tcPr>
            <w:tcW w:w="12460" w:type="dxa"/>
            <w:shd w:val="clear" w:color="auto" w:fill="FFFFFF"/>
            <w:tcMar>
              <w:top w:w="15" w:type="dxa"/>
              <w:left w:w="0" w:type="dxa"/>
              <w:bottom w:w="0" w:type="dxa"/>
              <w:right w:w="15" w:type="dxa"/>
            </w:tcMar>
            <w:hideMark/>
          </w:tcPr>
          <w:p w14:paraId="2DB57D0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Provision for income taxes</w:t>
            </w:r>
          </w:p>
        </w:tc>
        <w:tc>
          <w:tcPr>
            <w:tcW w:w="282" w:type="dxa"/>
            <w:shd w:val="clear" w:color="auto" w:fill="FFFFFF"/>
            <w:tcMar>
              <w:top w:w="15" w:type="dxa"/>
              <w:left w:w="0" w:type="dxa"/>
              <w:bottom w:w="0" w:type="dxa"/>
              <w:right w:w="15" w:type="dxa"/>
            </w:tcMar>
            <w:vAlign w:val="bottom"/>
            <w:hideMark/>
          </w:tcPr>
          <w:p w14:paraId="268AF8A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C71B02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07EA1D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499</w:t>
            </w:r>
          </w:p>
        </w:tc>
        <w:tc>
          <w:tcPr>
            <w:tcW w:w="191" w:type="dxa"/>
            <w:shd w:val="clear" w:color="auto" w:fill="FFFFFF"/>
            <w:noWrap/>
            <w:tcMar>
              <w:top w:w="15" w:type="dxa"/>
              <w:left w:w="0" w:type="dxa"/>
              <w:bottom w:w="0" w:type="dxa"/>
              <w:right w:w="15" w:type="dxa"/>
            </w:tcMar>
            <w:vAlign w:val="bottom"/>
            <w:hideMark/>
          </w:tcPr>
          <w:p w14:paraId="4513129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7BC025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2B2B04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2C206FA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441</w:t>
            </w:r>
          </w:p>
        </w:tc>
        <w:tc>
          <w:tcPr>
            <w:tcW w:w="191" w:type="dxa"/>
            <w:shd w:val="clear" w:color="auto" w:fill="FFFFFF"/>
            <w:noWrap/>
            <w:tcMar>
              <w:top w:w="15" w:type="dxa"/>
              <w:left w:w="0" w:type="dxa"/>
              <w:bottom w:w="0" w:type="dxa"/>
              <w:right w:w="15" w:type="dxa"/>
            </w:tcMar>
            <w:vAlign w:val="bottom"/>
            <w:hideMark/>
          </w:tcPr>
          <w:p w14:paraId="736727E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77401B8"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872E07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A19E8E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844</w:t>
            </w:r>
          </w:p>
        </w:tc>
        <w:tc>
          <w:tcPr>
            <w:tcW w:w="191" w:type="dxa"/>
            <w:shd w:val="clear" w:color="auto" w:fill="FFFFFF"/>
            <w:noWrap/>
            <w:tcMar>
              <w:top w:w="15" w:type="dxa"/>
              <w:left w:w="0" w:type="dxa"/>
              <w:bottom w:w="0" w:type="dxa"/>
              <w:right w:w="15" w:type="dxa"/>
            </w:tcMar>
            <w:vAlign w:val="bottom"/>
            <w:hideMark/>
          </w:tcPr>
          <w:p w14:paraId="1F09D90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7D821A8"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9901FB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91EA393"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716</w:t>
            </w:r>
          </w:p>
        </w:tc>
        <w:tc>
          <w:tcPr>
            <w:tcW w:w="193" w:type="dxa"/>
            <w:shd w:val="clear" w:color="auto" w:fill="FFFFFF"/>
            <w:noWrap/>
            <w:tcMar>
              <w:top w:w="15" w:type="dxa"/>
              <w:left w:w="0" w:type="dxa"/>
              <w:bottom w:w="0" w:type="dxa"/>
              <w:right w:w="15" w:type="dxa"/>
            </w:tcMar>
            <w:vAlign w:val="bottom"/>
            <w:hideMark/>
          </w:tcPr>
          <w:p w14:paraId="3776194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69890136" w14:textId="77777777" w:rsidTr="00141675">
        <w:tc>
          <w:tcPr>
            <w:tcW w:w="12460" w:type="dxa"/>
            <w:shd w:val="clear" w:color="auto" w:fill="CFF0FC"/>
            <w:tcMar>
              <w:top w:w="15" w:type="dxa"/>
              <w:left w:w="0" w:type="dxa"/>
              <w:bottom w:w="0" w:type="dxa"/>
              <w:right w:w="15" w:type="dxa"/>
            </w:tcMar>
            <w:hideMark/>
          </w:tcPr>
          <w:p w14:paraId="658F260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Net income</w:t>
            </w:r>
          </w:p>
        </w:tc>
        <w:tc>
          <w:tcPr>
            <w:tcW w:w="282" w:type="dxa"/>
            <w:shd w:val="clear" w:color="auto" w:fill="CFF0FC"/>
            <w:tcMar>
              <w:top w:w="15" w:type="dxa"/>
              <w:left w:w="0" w:type="dxa"/>
              <w:bottom w:w="0" w:type="dxa"/>
              <w:right w:w="15" w:type="dxa"/>
            </w:tcMar>
            <w:vAlign w:val="bottom"/>
            <w:hideMark/>
          </w:tcPr>
          <w:p w14:paraId="3FB287A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0AD27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39971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2,311</w:t>
            </w:r>
          </w:p>
        </w:tc>
        <w:tc>
          <w:tcPr>
            <w:tcW w:w="191" w:type="dxa"/>
            <w:shd w:val="clear" w:color="auto" w:fill="CFF0FC"/>
            <w:noWrap/>
            <w:tcMar>
              <w:top w:w="15" w:type="dxa"/>
              <w:left w:w="0" w:type="dxa"/>
              <w:bottom w:w="0" w:type="dxa"/>
              <w:right w:w="15" w:type="dxa"/>
            </w:tcMar>
            <w:vAlign w:val="bottom"/>
            <w:hideMark/>
          </w:tcPr>
          <w:p w14:paraId="4566487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7FF6C16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66E49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5C29A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2,333</w:t>
            </w:r>
          </w:p>
        </w:tc>
        <w:tc>
          <w:tcPr>
            <w:tcW w:w="191" w:type="dxa"/>
            <w:shd w:val="clear" w:color="auto" w:fill="CFF0FC"/>
            <w:noWrap/>
            <w:tcMar>
              <w:top w:w="15" w:type="dxa"/>
              <w:left w:w="0" w:type="dxa"/>
              <w:bottom w:w="0" w:type="dxa"/>
              <w:right w:w="15" w:type="dxa"/>
            </w:tcMar>
            <w:vAlign w:val="bottom"/>
            <w:hideMark/>
          </w:tcPr>
          <w:p w14:paraId="10B7D43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77556AA4"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E910E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3A93E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4,448</w:t>
            </w:r>
          </w:p>
        </w:tc>
        <w:tc>
          <w:tcPr>
            <w:tcW w:w="191" w:type="dxa"/>
            <w:shd w:val="clear" w:color="auto" w:fill="CFF0FC"/>
            <w:noWrap/>
            <w:tcMar>
              <w:top w:w="15" w:type="dxa"/>
              <w:left w:w="0" w:type="dxa"/>
              <w:bottom w:w="0" w:type="dxa"/>
              <w:right w:w="15" w:type="dxa"/>
            </w:tcMar>
            <w:vAlign w:val="bottom"/>
            <w:hideMark/>
          </w:tcPr>
          <w:p w14:paraId="7C482BC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77C35F1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24807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310"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6190EE"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4,598</w:t>
            </w:r>
          </w:p>
        </w:tc>
        <w:tc>
          <w:tcPr>
            <w:tcW w:w="193" w:type="dxa"/>
            <w:shd w:val="clear" w:color="auto" w:fill="CFF0FC"/>
            <w:noWrap/>
            <w:tcMar>
              <w:top w:w="15" w:type="dxa"/>
              <w:left w:w="0" w:type="dxa"/>
              <w:bottom w:w="0" w:type="dxa"/>
              <w:right w:w="15" w:type="dxa"/>
            </w:tcMar>
            <w:vAlign w:val="bottom"/>
            <w:hideMark/>
          </w:tcPr>
          <w:p w14:paraId="6601AE4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5BBEA95E" w14:textId="77777777" w:rsidTr="00141675">
        <w:tc>
          <w:tcPr>
            <w:tcW w:w="12460" w:type="dxa"/>
            <w:shd w:val="clear" w:color="auto" w:fill="FFFFFF"/>
            <w:tcMar>
              <w:top w:w="15" w:type="dxa"/>
              <w:left w:w="0" w:type="dxa"/>
              <w:bottom w:w="0" w:type="dxa"/>
              <w:right w:w="15" w:type="dxa"/>
            </w:tcMar>
            <w:hideMark/>
          </w:tcPr>
          <w:p w14:paraId="48005FC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Earnings per share:</w:t>
            </w:r>
          </w:p>
        </w:tc>
        <w:tc>
          <w:tcPr>
            <w:tcW w:w="282" w:type="dxa"/>
            <w:shd w:val="clear" w:color="auto" w:fill="FFFFFF"/>
            <w:tcMar>
              <w:top w:w="15" w:type="dxa"/>
              <w:left w:w="0" w:type="dxa"/>
              <w:bottom w:w="0" w:type="dxa"/>
              <w:right w:w="15" w:type="dxa"/>
            </w:tcMar>
            <w:vAlign w:val="bottom"/>
            <w:hideMark/>
          </w:tcPr>
          <w:p w14:paraId="5166B24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6BD3147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double" w:sz="6" w:space="0" w:color="000000"/>
            </w:tcBorders>
            <w:shd w:val="clear" w:color="auto" w:fill="FFFFFF"/>
            <w:noWrap/>
            <w:tcMar>
              <w:top w:w="15" w:type="dxa"/>
              <w:left w:w="0" w:type="dxa"/>
              <w:bottom w:w="0" w:type="dxa"/>
              <w:right w:w="15" w:type="dxa"/>
            </w:tcMar>
            <w:vAlign w:val="bottom"/>
            <w:hideMark/>
          </w:tcPr>
          <w:p w14:paraId="1BC58AB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467C58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1C11C29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70628F3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double" w:sz="6" w:space="0" w:color="000000"/>
            </w:tcBorders>
            <w:shd w:val="clear" w:color="auto" w:fill="FFFFFF"/>
            <w:noWrap/>
            <w:tcMar>
              <w:top w:w="15" w:type="dxa"/>
              <w:left w:w="0" w:type="dxa"/>
              <w:bottom w:w="0" w:type="dxa"/>
              <w:right w:w="15" w:type="dxa"/>
            </w:tcMar>
            <w:vAlign w:val="bottom"/>
            <w:hideMark/>
          </w:tcPr>
          <w:p w14:paraId="101E117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C9006A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6C5CE087"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421E988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double" w:sz="6" w:space="0" w:color="000000"/>
            </w:tcBorders>
            <w:shd w:val="clear" w:color="auto" w:fill="FFFFFF"/>
            <w:noWrap/>
            <w:tcMar>
              <w:top w:w="15" w:type="dxa"/>
              <w:left w:w="0" w:type="dxa"/>
              <w:bottom w:w="0" w:type="dxa"/>
              <w:right w:w="15" w:type="dxa"/>
            </w:tcMar>
            <w:vAlign w:val="bottom"/>
            <w:hideMark/>
          </w:tcPr>
          <w:p w14:paraId="2ACF164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596F02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6A879E6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6FD56D0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double" w:sz="6" w:space="0" w:color="000000"/>
            </w:tcBorders>
            <w:shd w:val="clear" w:color="auto" w:fill="FFFFFF"/>
            <w:noWrap/>
            <w:tcMar>
              <w:top w:w="15" w:type="dxa"/>
              <w:left w:w="0" w:type="dxa"/>
              <w:bottom w:w="0" w:type="dxa"/>
              <w:right w:w="15" w:type="dxa"/>
            </w:tcMar>
            <w:vAlign w:val="bottom"/>
            <w:hideMark/>
          </w:tcPr>
          <w:p w14:paraId="69C56110"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3" w:type="dxa"/>
            <w:shd w:val="clear" w:color="auto" w:fill="FFFFFF"/>
            <w:noWrap/>
            <w:tcMar>
              <w:top w:w="15" w:type="dxa"/>
              <w:left w:w="0" w:type="dxa"/>
              <w:bottom w:w="0" w:type="dxa"/>
              <w:right w:w="15" w:type="dxa"/>
            </w:tcMar>
            <w:vAlign w:val="bottom"/>
            <w:hideMark/>
          </w:tcPr>
          <w:p w14:paraId="54299ED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346E0F87" w14:textId="77777777" w:rsidTr="00141675">
        <w:tc>
          <w:tcPr>
            <w:tcW w:w="12460" w:type="dxa"/>
            <w:shd w:val="clear" w:color="auto" w:fill="CFF0FC"/>
            <w:tcMar>
              <w:top w:w="15" w:type="dxa"/>
              <w:left w:w="0" w:type="dxa"/>
              <w:bottom w:w="0" w:type="dxa"/>
              <w:right w:w="15" w:type="dxa"/>
            </w:tcMar>
            <w:hideMark/>
          </w:tcPr>
          <w:p w14:paraId="3C745523"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Basic</w:t>
            </w:r>
          </w:p>
        </w:tc>
        <w:tc>
          <w:tcPr>
            <w:tcW w:w="282" w:type="dxa"/>
            <w:shd w:val="clear" w:color="auto" w:fill="CFF0FC"/>
            <w:tcMar>
              <w:top w:w="15" w:type="dxa"/>
              <w:left w:w="0" w:type="dxa"/>
              <w:bottom w:w="0" w:type="dxa"/>
              <w:right w:w="15" w:type="dxa"/>
            </w:tcMar>
            <w:vAlign w:val="bottom"/>
            <w:hideMark/>
          </w:tcPr>
          <w:p w14:paraId="55F2FF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double" w:sz="6" w:space="0" w:color="000000"/>
            </w:tcBorders>
            <w:shd w:val="clear" w:color="auto" w:fill="CFF0FC"/>
            <w:noWrap/>
            <w:tcMar>
              <w:top w:w="15" w:type="dxa"/>
              <w:left w:w="0" w:type="dxa"/>
              <w:bottom w:w="0" w:type="dxa"/>
              <w:right w:w="15" w:type="dxa"/>
            </w:tcMar>
            <w:vAlign w:val="bottom"/>
            <w:hideMark/>
          </w:tcPr>
          <w:p w14:paraId="6639E4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bottom w:val="double" w:sz="6" w:space="0" w:color="000000"/>
            </w:tcBorders>
            <w:shd w:val="clear" w:color="auto" w:fill="CFF0FC"/>
            <w:noWrap/>
            <w:tcMar>
              <w:top w:w="15" w:type="dxa"/>
              <w:left w:w="0" w:type="dxa"/>
              <w:bottom w:w="0" w:type="dxa"/>
              <w:right w:w="15" w:type="dxa"/>
            </w:tcMar>
            <w:vAlign w:val="bottom"/>
            <w:hideMark/>
          </w:tcPr>
          <w:p w14:paraId="55F82CF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0.71</w:t>
            </w:r>
          </w:p>
        </w:tc>
        <w:tc>
          <w:tcPr>
            <w:tcW w:w="191" w:type="dxa"/>
            <w:shd w:val="clear" w:color="auto" w:fill="CFF0FC"/>
            <w:noWrap/>
            <w:tcMar>
              <w:top w:w="15" w:type="dxa"/>
              <w:left w:w="0" w:type="dxa"/>
              <w:bottom w:w="0" w:type="dxa"/>
              <w:right w:w="15" w:type="dxa"/>
            </w:tcMar>
            <w:vAlign w:val="bottom"/>
            <w:hideMark/>
          </w:tcPr>
          <w:p w14:paraId="2CE12A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53AF50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double" w:sz="6" w:space="0" w:color="000000"/>
            </w:tcBorders>
            <w:shd w:val="clear" w:color="auto" w:fill="CFF0FC"/>
            <w:noWrap/>
            <w:tcMar>
              <w:top w:w="15" w:type="dxa"/>
              <w:left w:w="0" w:type="dxa"/>
              <w:bottom w:w="0" w:type="dxa"/>
              <w:right w:w="15" w:type="dxa"/>
            </w:tcMar>
            <w:vAlign w:val="bottom"/>
            <w:hideMark/>
          </w:tcPr>
          <w:p w14:paraId="51D7654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bottom w:val="double" w:sz="6" w:space="0" w:color="000000"/>
            </w:tcBorders>
            <w:shd w:val="clear" w:color="auto" w:fill="CFF0FC"/>
            <w:noWrap/>
            <w:tcMar>
              <w:top w:w="15" w:type="dxa"/>
              <w:left w:w="0" w:type="dxa"/>
              <w:bottom w:w="0" w:type="dxa"/>
              <w:right w:w="15" w:type="dxa"/>
            </w:tcMar>
            <w:vAlign w:val="bottom"/>
            <w:hideMark/>
          </w:tcPr>
          <w:p w14:paraId="4F54930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0.63</w:t>
            </w:r>
          </w:p>
        </w:tc>
        <w:tc>
          <w:tcPr>
            <w:tcW w:w="191" w:type="dxa"/>
            <w:shd w:val="clear" w:color="auto" w:fill="CFF0FC"/>
            <w:noWrap/>
            <w:tcMar>
              <w:top w:w="15" w:type="dxa"/>
              <w:left w:w="0" w:type="dxa"/>
              <w:bottom w:w="0" w:type="dxa"/>
              <w:right w:w="15" w:type="dxa"/>
            </w:tcMar>
            <w:vAlign w:val="bottom"/>
            <w:hideMark/>
          </w:tcPr>
          <w:p w14:paraId="7A987B2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46B8A529"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double" w:sz="6" w:space="0" w:color="000000"/>
            </w:tcBorders>
            <w:shd w:val="clear" w:color="auto" w:fill="CFF0FC"/>
            <w:noWrap/>
            <w:tcMar>
              <w:top w:w="15" w:type="dxa"/>
              <w:left w:w="0" w:type="dxa"/>
              <w:bottom w:w="0" w:type="dxa"/>
              <w:right w:w="15" w:type="dxa"/>
            </w:tcMar>
            <w:vAlign w:val="bottom"/>
            <w:hideMark/>
          </w:tcPr>
          <w:p w14:paraId="34A4FF9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bottom w:val="double" w:sz="6" w:space="0" w:color="000000"/>
            </w:tcBorders>
            <w:shd w:val="clear" w:color="auto" w:fill="CFF0FC"/>
            <w:noWrap/>
            <w:tcMar>
              <w:top w:w="15" w:type="dxa"/>
              <w:left w:w="0" w:type="dxa"/>
              <w:bottom w:w="0" w:type="dxa"/>
              <w:right w:w="15" w:type="dxa"/>
            </w:tcMar>
            <w:vAlign w:val="bottom"/>
            <w:hideMark/>
          </w:tcPr>
          <w:p w14:paraId="38EF358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1.36</w:t>
            </w:r>
          </w:p>
        </w:tc>
        <w:tc>
          <w:tcPr>
            <w:tcW w:w="191" w:type="dxa"/>
            <w:shd w:val="clear" w:color="auto" w:fill="CFF0FC"/>
            <w:noWrap/>
            <w:tcMar>
              <w:top w:w="15" w:type="dxa"/>
              <w:left w:w="0" w:type="dxa"/>
              <w:bottom w:w="0" w:type="dxa"/>
              <w:right w:w="15" w:type="dxa"/>
            </w:tcMar>
            <w:vAlign w:val="bottom"/>
            <w:hideMark/>
          </w:tcPr>
          <w:p w14:paraId="4BE6444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BD73542"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double" w:sz="6" w:space="0" w:color="000000"/>
            </w:tcBorders>
            <w:shd w:val="clear" w:color="auto" w:fill="CFF0FC"/>
            <w:noWrap/>
            <w:tcMar>
              <w:top w:w="15" w:type="dxa"/>
              <w:left w:w="0" w:type="dxa"/>
              <w:bottom w:w="0" w:type="dxa"/>
              <w:right w:w="15" w:type="dxa"/>
            </w:tcMar>
            <w:vAlign w:val="bottom"/>
            <w:hideMark/>
          </w:tcPr>
          <w:p w14:paraId="6A23056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310" w:type="dxa"/>
            <w:tcBorders>
              <w:bottom w:val="double" w:sz="6" w:space="0" w:color="000000"/>
            </w:tcBorders>
            <w:shd w:val="clear" w:color="auto" w:fill="CFF0FC"/>
            <w:noWrap/>
            <w:tcMar>
              <w:top w:w="15" w:type="dxa"/>
              <w:left w:w="0" w:type="dxa"/>
              <w:bottom w:w="0" w:type="dxa"/>
              <w:right w:w="15" w:type="dxa"/>
            </w:tcMar>
            <w:vAlign w:val="bottom"/>
            <w:hideMark/>
          </w:tcPr>
          <w:p w14:paraId="5C935E37"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1.21</w:t>
            </w:r>
          </w:p>
        </w:tc>
        <w:tc>
          <w:tcPr>
            <w:tcW w:w="193" w:type="dxa"/>
            <w:shd w:val="clear" w:color="auto" w:fill="CFF0FC"/>
            <w:noWrap/>
            <w:tcMar>
              <w:top w:w="15" w:type="dxa"/>
              <w:left w:w="0" w:type="dxa"/>
              <w:bottom w:w="0" w:type="dxa"/>
              <w:right w:w="15" w:type="dxa"/>
            </w:tcMar>
            <w:vAlign w:val="bottom"/>
            <w:hideMark/>
          </w:tcPr>
          <w:p w14:paraId="1C92525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374A637F" w14:textId="77777777" w:rsidTr="00141675">
        <w:tc>
          <w:tcPr>
            <w:tcW w:w="12460" w:type="dxa"/>
            <w:shd w:val="clear" w:color="auto" w:fill="FFFFFF"/>
            <w:tcMar>
              <w:top w:w="15" w:type="dxa"/>
              <w:left w:w="0" w:type="dxa"/>
              <w:bottom w:w="0" w:type="dxa"/>
              <w:right w:w="15" w:type="dxa"/>
            </w:tcMar>
            <w:hideMark/>
          </w:tcPr>
          <w:p w14:paraId="7D5676CC"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Diluted</w:t>
            </w:r>
          </w:p>
        </w:tc>
        <w:tc>
          <w:tcPr>
            <w:tcW w:w="282" w:type="dxa"/>
            <w:shd w:val="clear" w:color="auto" w:fill="FFFFFF"/>
            <w:tcMar>
              <w:top w:w="15" w:type="dxa"/>
              <w:left w:w="0" w:type="dxa"/>
              <w:bottom w:w="0" w:type="dxa"/>
              <w:right w:w="15" w:type="dxa"/>
            </w:tcMar>
            <w:vAlign w:val="bottom"/>
            <w:hideMark/>
          </w:tcPr>
          <w:p w14:paraId="791858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5FEC86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A5AC49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0.69</w:t>
            </w:r>
          </w:p>
        </w:tc>
        <w:tc>
          <w:tcPr>
            <w:tcW w:w="191" w:type="dxa"/>
            <w:shd w:val="clear" w:color="auto" w:fill="FFFFFF"/>
            <w:noWrap/>
            <w:tcMar>
              <w:top w:w="15" w:type="dxa"/>
              <w:left w:w="0" w:type="dxa"/>
              <w:bottom w:w="0" w:type="dxa"/>
              <w:right w:w="15" w:type="dxa"/>
            </w:tcMar>
            <w:vAlign w:val="bottom"/>
            <w:hideMark/>
          </w:tcPr>
          <w:p w14:paraId="57350FB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29A92C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A2AC90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66F6BA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0.61</w:t>
            </w:r>
          </w:p>
        </w:tc>
        <w:tc>
          <w:tcPr>
            <w:tcW w:w="191" w:type="dxa"/>
            <w:shd w:val="clear" w:color="auto" w:fill="FFFFFF"/>
            <w:noWrap/>
            <w:tcMar>
              <w:top w:w="15" w:type="dxa"/>
              <w:left w:w="0" w:type="dxa"/>
              <w:bottom w:w="0" w:type="dxa"/>
              <w:right w:w="15" w:type="dxa"/>
            </w:tcMar>
            <w:vAlign w:val="bottom"/>
            <w:hideMark/>
          </w:tcPr>
          <w:p w14:paraId="6B8202D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75B4DBA2"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65ABFB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27A0F5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1.32</w:t>
            </w:r>
          </w:p>
        </w:tc>
        <w:tc>
          <w:tcPr>
            <w:tcW w:w="191" w:type="dxa"/>
            <w:shd w:val="clear" w:color="auto" w:fill="FFFFFF"/>
            <w:noWrap/>
            <w:tcMar>
              <w:top w:w="15" w:type="dxa"/>
              <w:left w:w="0" w:type="dxa"/>
              <w:bottom w:w="0" w:type="dxa"/>
              <w:right w:w="15" w:type="dxa"/>
            </w:tcMar>
            <w:vAlign w:val="bottom"/>
            <w:hideMark/>
          </w:tcPr>
          <w:p w14:paraId="2FAC905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A296758"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16E4E5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310"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FC15D37"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1.18</w:t>
            </w:r>
          </w:p>
        </w:tc>
        <w:tc>
          <w:tcPr>
            <w:tcW w:w="193" w:type="dxa"/>
            <w:shd w:val="clear" w:color="auto" w:fill="FFFFFF"/>
            <w:noWrap/>
            <w:tcMar>
              <w:top w:w="15" w:type="dxa"/>
              <w:left w:w="0" w:type="dxa"/>
              <w:bottom w:w="0" w:type="dxa"/>
              <w:right w:w="15" w:type="dxa"/>
            </w:tcMar>
            <w:vAlign w:val="bottom"/>
            <w:hideMark/>
          </w:tcPr>
          <w:p w14:paraId="2821E49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1DA3685A" w14:textId="77777777" w:rsidTr="00141675">
        <w:tc>
          <w:tcPr>
            <w:tcW w:w="12460" w:type="dxa"/>
            <w:shd w:val="clear" w:color="auto" w:fill="CFF0FC"/>
            <w:tcMar>
              <w:top w:w="15" w:type="dxa"/>
              <w:left w:w="0" w:type="dxa"/>
              <w:bottom w:w="0" w:type="dxa"/>
              <w:right w:w="15" w:type="dxa"/>
            </w:tcMar>
            <w:hideMark/>
          </w:tcPr>
          <w:p w14:paraId="3BD7CA4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Weighted average common shares outstanding:</w:t>
            </w:r>
          </w:p>
        </w:tc>
        <w:tc>
          <w:tcPr>
            <w:tcW w:w="282" w:type="dxa"/>
            <w:shd w:val="clear" w:color="auto" w:fill="CFF0FC"/>
            <w:tcMar>
              <w:top w:w="15" w:type="dxa"/>
              <w:left w:w="0" w:type="dxa"/>
              <w:bottom w:w="0" w:type="dxa"/>
              <w:right w:w="15" w:type="dxa"/>
            </w:tcMar>
            <w:vAlign w:val="bottom"/>
            <w:hideMark/>
          </w:tcPr>
          <w:p w14:paraId="607859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041B689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double" w:sz="6" w:space="0" w:color="000000"/>
            </w:tcBorders>
            <w:shd w:val="clear" w:color="auto" w:fill="CFF0FC"/>
            <w:noWrap/>
            <w:tcMar>
              <w:top w:w="15" w:type="dxa"/>
              <w:left w:w="0" w:type="dxa"/>
              <w:bottom w:w="0" w:type="dxa"/>
              <w:right w:w="15" w:type="dxa"/>
            </w:tcMar>
            <w:vAlign w:val="bottom"/>
            <w:hideMark/>
          </w:tcPr>
          <w:p w14:paraId="2A8860B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CF4247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4D2832C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1A313A6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double" w:sz="6" w:space="0" w:color="000000"/>
            </w:tcBorders>
            <w:shd w:val="clear" w:color="auto" w:fill="CFF0FC"/>
            <w:noWrap/>
            <w:tcMar>
              <w:top w:w="15" w:type="dxa"/>
              <w:left w:w="0" w:type="dxa"/>
              <w:bottom w:w="0" w:type="dxa"/>
              <w:right w:w="15" w:type="dxa"/>
            </w:tcMar>
            <w:vAlign w:val="bottom"/>
            <w:hideMark/>
          </w:tcPr>
          <w:p w14:paraId="6D99BAF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DA7394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34D29A4"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524352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double" w:sz="6" w:space="0" w:color="000000"/>
            </w:tcBorders>
            <w:shd w:val="clear" w:color="auto" w:fill="CFF0FC"/>
            <w:noWrap/>
            <w:tcMar>
              <w:top w:w="15" w:type="dxa"/>
              <w:left w:w="0" w:type="dxa"/>
              <w:bottom w:w="0" w:type="dxa"/>
              <w:right w:w="15" w:type="dxa"/>
            </w:tcMar>
            <w:vAlign w:val="bottom"/>
            <w:hideMark/>
          </w:tcPr>
          <w:p w14:paraId="7BAF453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DFE307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6B94DEAC"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492F703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double" w:sz="6" w:space="0" w:color="000000"/>
            </w:tcBorders>
            <w:shd w:val="clear" w:color="auto" w:fill="CFF0FC"/>
            <w:noWrap/>
            <w:tcMar>
              <w:top w:w="15" w:type="dxa"/>
              <w:left w:w="0" w:type="dxa"/>
              <w:bottom w:w="0" w:type="dxa"/>
              <w:right w:w="15" w:type="dxa"/>
            </w:tcMar>
            <w:vAlign w:val="bottom"/>
            <w:hideMark/>
          </w:tcPr>
          <w:p w14:paraId="3BF087AE"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3" w:type="dxa"/>
            <w:shd w:val="clear" w:color="auto" w:fill="CFF0FC"/>
            <w:noWrap/>
            <w:tcMar>
              <w:top w:w="15" w:type="dxa"/>
              <w:left w:w="0" w:type="dxa"/>
              <w:bottom w:w="0" w:type="dxa"/>
              <w:right w:w="15" w:type="dxa"/>
            </w:tcMar>
            <w:vAlign w:val="bottom"/>
            <w:hideMark/>
          </w:tcPr>
          <w:p w14:paraId="159203A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1965F5ED" w14:textId="77777777" w:rsidTr="00141675">
        <w:tc>
          <w:tcPr>
            <w:tcW w:w="12460" w:type="dxa"/>
            <w:shd w:val="clear" w:color="auto" w:fill="FFFFFF"/>
            <w:tcMar>
              <w:top w:w="15" w:type="dxa"/>
              <w:left w:w="0" w:type="dxa"/>
              <w:bottom w:w="0" w:type="dxa"/>
              <w:right w:w="15" w:type="dxa"/>
            </w:tcMar>
            <w:hideMark/>
          </w:tcPr>
          <w:p w14:paraId="20E70523"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Basic</w:t>
            </w:r>
          </w:p>
        </w:tc>
        <w:tc>
          <w:tcPr>
            <w:tcW w:w="282" w:type="dxa"/>
            <w:shd w:val="clear" w:color="auto" w:fill="FFFFFF"/>
            <w:tcMar>
              <w:top w:w="15" w:type="dxa"/>
              <w:left w:w="0" w:type="dxa"/>
              <w:bottom w:w="0" w:type="dxa"/>
              <w:right w:w="15" w:type="dxa"/>
            </w:tcMar>
            <w:vAlign w:val="bottom"/>
            <w:hideMark/>
          </w:tcPr>
          <w:p w14:paraId="59BCCB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3ACF728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double" w:sz="6" w:space="0" w:color="000000"/>
            </w:tcBorders>
            <w:shd w:val="clear" w:color="auto" w:fill="FFFFFF"/>
            <w:noWrap/>
            <w:tcMar>
              <w:top w:w="15" w:type="dxa"/>
              <w:left w:w="0" w:type="dxa"/>
              <w:bottom w:w="0" w:type="dxa"/>
              <w:right w:w="15" w:type="dxa"/>
            </w:tcMar>
            <w:vAlign w:val="bottom"/>
            <w:hideMark/>
          </w:tcPr>
          <w:p w14:paraId="4368A78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3,245</w:t>
            </w:r>
          </w:p>
        </w:tc>
        <w:tc>
          <w:tcPr>
            <w:tcW w:w="191" w:type="dxa"/>
            <w:shd w:val="clear" w:color="auto" w:fill="FFFFFF"/>
            <w:noWrap/>
            <w:tcMar>
              <w:top w:w="15" w:type="dxa"/>
              <w:left w:w="0" w:type="dxa"/>
              <w:bottom w:w="0" w:type="dxa"/>
              <w:right w:w="15" w:type="dxa"/>
            </w:tcMar>
            <w:vAlign w:val="bottom"/>
            <w:hideMark/>
          </w:tcPr>
          <w:p w14:paraId="20F0297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38733C8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37E6DF4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double" w:sz="6" w:space="0" w:color="000000"/>
            </w:tcBorders>
            <w:shd w:val="clear" w:color="auto" w:fill="FFFFFF"/>
            <w:noWrap/>
            <w:tcMar>
              <w:top w:w="15" w:type="dxa"/>
              <w:left w:w="0" w:type="dxa"/>
              <w:bottom w:w="0" w:type="dxa"/>
              <w:right w:w="15" w:type="dxa"/>
            </w:tcMar>
            <w:vAlign w:val="bottom"/>
            <w:hideMark/>
          </w:tcPr>
          <w:p w14:paraId="2F0FF8B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3,720</w:t>
            </w:r>
          </w:p>
        </w:tc>
        <w:tc>
          <w:tcPr>
            <w:tcW w:w="191" w:type="dxa"/>
            <w:shd w:val="clear" w:color="auto" w:fill="FFFFFF"/>
            <w:noWrap/>
            <w:tcMar>
              <w:top w:w="15" w:type="dxa"/>
              <w:left w:w="0" w:type="dxa"/>
              <w:bottom w:w="0" w:type="dxa"/>
              <w:right w:w="15" w:type="dxa"/>
            </w:tcMar>
            <w:vAlign w:val="bottom"/>
            <w:hideMark/>
          </w:tcPr>
          <w:p w14:paraId="12C5432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34ACD068"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64C3FEF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double" w:sz="6" w:space="0" w:color="000000"/>
            </w:tcBorders>
            <w:shd w:val="clear" w:color="auto" w:fill="FFFFFF"/>
            <w:noWrap/>
            <w:tcMar>
              <w:top w:w="15" w:type="dxa"/>
              <w:left w:w="0" w:type="dxa"/>
              <w:bottom w:w="0" w:type="dxa"/>
              <w:right w:w="15" w:type="dxa"/>
            </w:tcMar>
            <w:vAlign w:val="bottom"/>
            <w:hideMark/>
          </w:tcPr>
          <w:p w14:paraId="4E18699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3,281</w:t>
            </w:r>
          </w:p>
        </w:tc>
        <w:tc>
          <w:tcPr>
            <w:tcW w:w="191" w:type="dxa"/>
            <w:shd w:val="clear" w:color="auto" w:fill="FFFFFF"/>
            <w:noWrap/>
            <w:tcMar>
              <w:top w:w="15" w:type="dxa"/>
              <w:left w:w="0" w:type="dxa"/>
              <w:bottom w:w="0" w:type="dxa"/>
              <w:right w:w="15" w:type="dxa"/>
            </w:tcMar>
            <w:vAlign w:val="bottom"/>
            <w:hideMark/>
          </w:tcPr>
          <w:p w14:paraId="1997EAB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74139FE1"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2FE9663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bottom w:val="double" w:sz="6" w:space="0" w:color="000000"/>
            </w:tcBorders>
            <w:shd w:val="clear" w:color="auto" w:fill="FFFFFF"/>
            <w:noWrap/>
            <w:tcMar>
              <w:top w:w="15" w:type="dxa"/>
              <w:left w:w="0" w:type="dxa"/>
              <w:bottom w:w="0" w:type="dxa"/>
              <w:right w:w="15" w:type="dxa"/>
            </w:tcMar>
            <w:vAlign w:val="bottom"/>
            <w:hideMark/>
          </w:tcPr>
          <w:p w14:paraId="28020533"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3,812</w:t>
            </w:r>
          </w:p>
        </w:tc>
        <w:tc>
          <w:tcPr>
            <w:tcW w:w="193" w:type="dxa"/>
            <w:shd w:val="clear" w:color="auto" w:fill="FFFFFF"/>
            <w:noWrap/>
            <w:tcMar>
              <w:top w:w="15" w:type="dxa"/>
              <w:left w:w="0" w:type="dxa"/>
              <w:bottom w:w="0" w:type="dxa"/>
              <w:right w:w="15" w:type="dxa"/>
            </w:tcMar>
            <w:vAlign w:val="bottom"/>
            <w:hideMark/>
          </w:tcPr>
          <w:p w14:paraId="708E2D1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63657C3B" w14:textId="77777777" w:rsidTr="00141675">
        <w:tc>
          <w:tcPr>
            <w:tcW w:w="12460" w:type="dxa"/>
            <w:shd w:val="clear" w:color="auto" w:fill="CFF0FC"/>
            <w:tcMar>
              <w:top w:w="15" w:type="dxa"/>
              <w:left w:w="0" w:type="dxa"/>
              <w:bottom w:w="0" w:type="dxa"/>
              <w:right w:w="15" w:type="dxa"/>
            </w:tcMar>
            <w:hideMark/>
          </w:tcPr>
          <w:p w14:paraId="77983BB8"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Diluted</w:t>
            </w:r>
          </w:p>
        </w:tc>
        <w:tc>
          <w:tcPr>
            <w:tcW w:w="282" w:type="dxa"/>
            <w:shd w:val="clear" w:color="auto" w:fill="CFF0FC"/>
            <w:tcMar>
              <w:top w:w="15" w:type="dxa"/>
              <w:left w:w="0" w:type="dxa"/>
              <w:bottom w:w="0" w:type="dxa"/>
              <w:right w:w="15" w:type="dxa"/>
            </w:tcMar>
            <w:vAlign w:val="bottom"/>
            <w:hideMark/>
          </w:tcPr>
          <w:p w14:paraId="2637EBA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A57DEB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80756F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3,331</w:t>
            </w:r>
          </w:p>
        </w:tc>
        <w:tc>
          <w:tcPr>
            <w:tcW w:w="191" w:type="dxa"/>
            <w:shd w:val="clear" w:color="auto" w:fill="CFF0FC"/>
            <w:noWrap/>
            <w:tcMar>
              <w:top w:w="15" w:type="dxa"/>
              <w:left w:w="0" w:type="dxa"/>
              <w:bottom w:w="0" w:type="dxa"/>
              <w:right w:w="15" w:type="dxa"/>
            </w:tcMar>
            <w:vAlign w:val="bottom"/>
            <w:hideMark/>
          </w:tcPr>
          <w:p w14:paraId="3CA0F93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0685432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16E851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7F48D3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3,817</w:t>
            </w:r>
          </w:p>
        </w:tc>
        <w:tc>
          <w:tcPr>
            <w:tcW w:w="191" w:type="dxa"/>
            <w:shd w:val="clear" w:color="auto" w:fill="CFF0FC"/>
            <w:noWrap/>
            <w:tcMar>
              <w:top w:w="15" w:type="dxa"/>
              <w:left w:w="0" w:type="dxa"/>
              <w:bottom w:w="0" w:type="dxa"/>
              <w:right w:w="15" w:type="dxa"/>
            </w:tcMar>
            <w:vAlign w:val="bottom"/>
            <w:hideMark/>
          </w:tcPr>
          <w:p w14:paraId="0BDB146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6EA9C86B" w14:textId="77777777" w:rsidR="00141675" w:rsidRPr="00141675" w:rsidRDefault="00141675" w:rsidP="00141675">
            <w:pPr>
              <w:widowControl/>
              <w:jc w:val="righ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27AA26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35B490F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3,370</w:t>
            </w:r>
          </w:p>
        </w:tc>
        <w:tc>
          <w:tcPr>
            <w:tcW w:w="191" w:type="dxa"/>
            <w:shd w:val="clear" w:color="auto" w:fill="CFF0FC"/>
            <w:noWrap/>
            <w:tcMar>
              <w:top w:w="15" w:type="dxa"/>
              <w:left w:w="0" w:type="dxa"/>
              <w:bottom w:w="0" w:type="dxa"/>
              <w:right w:w="15" w:type="dxa"/>
            </w:tcMar>
            <w:vAlign w:val="bottom"/>
            <w:hideMark/>
          </w:tcPr>
          <w:p w14:paraId="6B2B691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7B6BA21F"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B37686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310"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7AC71C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3,908</w:t>
            </w:r>
          </w:p>
        </w:tc>
        <w:tc>
          <w:tcPr>
            <w:tcW w:w="193" w:type="dxa"/>
            <w:shd w:val="clear" w:color="auto" w:fill="CFF0FC"/>
            <w:noWrap/>
            <w:tcMar>
              <w:top w:w="15" w:type="dxa"/>
              <w:left w:w="0" w:type="dxa"/>
              <w:bottom w:w="0" w:type="dxa"/>
              <w:right w:w="15" w:type="dxa"/>
            </w:tcMar>
            <w:vAlign w:val="bottom"/>
            <w:hideMark/>
          </w:tcPr>
          <w:p w14:paraId="3D96F5EE"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475BDC4B" w14:textId="77777777" w:rsidR="00141675" w:rsidRPr="00141675" w:rsidRDefault="00141675" w:rsidP="00141675">
      <w:pPr>
        <w:widowControl/>
        <w:pBdr>
          <w:bottom w:val="single" w:sz="6" w:space="1" w:color="auto"/>
        </w:pBdr>
        <w:ind w:right="18324"/>
        <w:jc w:val="left"/>
        <w:rPr>
          <w:rFonts w:ascii="Times New Roman" w:eastAsia="宋体" w:hAnsi="Times New Roman" w:cs="Times New Roman"/>
          <w:color w:val="000000"/>
          <w:kern w:val="0"/>
          <w:sz w:val="12"/>
          <w:szCs w:val="12"/>
        </w:rPr>
      </w:pPr>
      <w:r w:rsidRPr="00141675">
        <w:rPr>
          <w:rFonts w:ascii="Times New Roman" w:eastAsia="宋体" w:hAnsi="Times New Roman" w:cs="Times New Roman"/>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04F251EB" w14:textId="77777777" w:rsidTr="00141675">
        <w:tc>
          <w:tcPr>
            <w:tcW w:w="794" w:type="dxa"/>
            <w:noWrap/>
            <w:hideMark/>
          </w:tcPr>
          <w:p w14:paraId="2A1F0290"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02B21593"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Exclusive of amortization of intangible assets, which is shown separately.</w:t>
            </w:r>
          </w:p>
        </w:tc>
      </w:tr>
    </w:tbl>
    <w:p w14:paraId="5F3D499C"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4D3DE112" w14:textId="77777777" w:rsidR="00141675" w:rsidRPr="00141675" w:rsidRDefault="00141675" w:rsidP="00141675">
      <w:pPr>
        <w:widowControl/>
        <w:rPr>
          <w:rFonts w:ascii="Times New Roman" w:eastAsia="宋体" w:hAnsi="Times New Roman" w:cs="Times New Roman" w:hint="eastAsia"/>
          <w:color w:val="000000"/>
          <w:kern w:val="0"/>
          <w:sz w:val="27"/>
          <w:szCs w:val="27"/>
        </w:rPr>
      </w:pPr>
      <w:r w:rsidRPr="00141675">
        <w:rPr>
          <w:rFonts w:ascii="Times New Roman" w:eastAsia="宋体" w:hAnsi="Times New Roman" w:cs="Times New Roman"/>
          <w:color w:val="000000"/>
          <w:kern w:val="0"/>
          <w:sz w:val="27"/>
          <w:szCs w:val="27"/>
        </w:rPr>
        <w:t> </w:t>
      </w:r>
    </w:p>
    <w:p w14:paraId="59F0404F" w14:textId="77777777" w:rsidR="00141675" w:rsidRPr="00141675" w:rsidRDefault="00141675" w:rsidP="00141675">
      <w:pPr>
        <w:widowControl/>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p w14:paraId="70E00F8E" w14:textId="77777777" w:rsidR="00141675" w:rsidRPr="00141675" w:rsidRDefault="00141675" w:rsidP="00141675">
      <w:pPr>
        <w:widowControl/>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See notes to condensed consolidated financial statements.</w:t>
      </w:r>
    </w:p>
    <w:p w14:paraId="5EC1BA43"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p w14:paraId="491389F6"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684D80A1">
          <v:rect id="_x0000_i1030" style="width:0;height:1.5pt" o:hralign="center" o:hrstd="t" o:hrnoshade="t" o:hr="t" fillcolor="black" stroked="f"/>
        </w:pict>
      </w:r>
    </w:p>
    <w:p w14:paraId="0DA0723F" w14:textId="77777777" w:rsidR="00141675" w:rsidRPr="00141675" w:rsidRDefault="00141675" w:rsidP="00141675">
      <w:pPr>
        <w:widowControl/>
        <w:jc w:val="left"/>
        <w:rPr>
          <w:rFonts w:ascii="Calibri" w:eastAsia="宋体" w:hAnsi="Calibri" w:cs="Calibri"/>
          <w:b/>
          <w:bCs/>
          <w:color w:val="000000"/>
          <w:kern w:val="0"/>
          <w:sz w:val="20"/>
          <w:szCs w:val="20"/>
        </w:rPr>
      </w:pPr>
      <w:hyperlink r:id="rId27" w:anchor="TABLE_CONTENTS" w:history="1">
        <w:r w:rsidRPr="00141675">
          <w:rPr>
            <w:rFonts w:ascii="Calibri" w:eastAsia="宋体" w:hAnsi="Calibri" w:cs="Calibri"/>
            <w:b/>
            <w:bCs/>
            <w:color w:val="0000FF"/>
            <w:kern w:val="0"/>
            <w:sz w:val="20"/>
            <w:szCs w:val="20"/>
            <w:u w:val="single"/>
          </w:rPr>
          <w:t>Table of Contents</w:t>
        </w:r>
      </w:hyperlink>
    </w:p>
    <w:p w14:paraId="5F4B8020"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6E7F3007"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206265AB"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CONDENSED CONSOLIDATED STATEMENTS OF COMPREHENSIVE INCOME</w:t>
      </w:r>
    </w:p>
    <w:p w14:paraId="79E324F6"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For the Three and Six Months Ended November 30, 2019 and 2018</w:t>
      </w:r>
    </w:p>
    <w:p w14:paraId="1A0DFB63"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2571CEEC" w14:textId="77777777" w:rsidR="00141675" w:rsidRPr="00141675" w:rsidRDefault="00141675" w:rsidP="00141675">
      <w:pPr>
        <w:widowControl/>
        <w:jc w:val="left"/>
        <w:rPr>
          <w:rFonts w:ascii="微软雅黑" w:eastAsia="微软雅黑" w:hAnsi="微软雅黑" w:cs="宋体"/>
          <w:color w:val="000000"/>
          <w:kern w:val="0"/>
          <w:sz w:val="16"/>
          <w:szCs w:val="16"/>
        </w:rPr>
      </w:pPr>
      <w:r w:rsidRPr="00141675">
        <w:rPr>
          <w:rFonts w:ascii="微软雅黑" w:eastAsia="微软雅黑" w:hAnsi="微软雅黑" w:cs="宋体" w:hint="eastAsia"/>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1988"/>
        <w:gridCol w:w="272"/>
        <w:gridCol w:w="199"/>
        <w:gridCol w:w="1257"/>
        <w:gridCol w:w="199"/>
        <w:gridCol w:w="271"/>
        <w:gridCol w:w="199"/>
        <w:gridCol w:w="1303"/>
        <w:gridCol w:w="199"/>
        <w:gridCol w:w="271"/>
        <w:gridCol w:w="199"/>
        <w:gridCol w:w="1671"/>
        <w:gridCol w:w="199"/>
        <w:gridCol w:w="271"/>
        <w:gridCol w:w="199"/>
        <w:gridCol w:w="1716"/>
        <w:gridCol w:w="201"/>
      </w:tblGrid>
      <w:tr w:rsidR="00141675" w:rsidRPr="00141675" w14:paraId="67EBD23A" w14:textId="77777777" w:rsidTr="00141675">
        <w:tc>
          <w:tcPr>
            <w:tcW w:w="11964" w:type="dxa"/>
            <w:shd w:val="clear" w:color="auto" w:fill="FFFFFF"/>
            <w:tcMar>
              <w:top w:w="15" w:type="dxa"/>
              <w:left w:w="0" w:type="dxa"/>
              <w:bottom w:w="0" w:type="dxa"/>
              <w:right w:w="15" w:type="dxa"/>
            </w:tcMar>
            <w:vAlign w:val="bottom"/>
            <w:hideMark/>
          </w:tcPr>
          <w:p w14:paraId="1A1BF1ED" w14:textId="77777777" w:rsidR="00141675" w:rsidRPr="00141675" w:rsidRDefault="00141675" w:rsidP="00141675">
            <w:pPr>
              <w:widowControl/>
              <w:jc w:val="center"/>
              <w:rPr>
                <w:rFonts w:ascii="Times New Roman" w:eastAsia="宋体" w:hAnsi="Times New Roman" w:cs="Times New Roman" w:hint="eastAsia"/>
                <w:kern w:val="0"/>
                <w:sz w:val="20"/>
                <w:szCs w:val="20"/>
              </w:rPr>
            </w:pPr>
            <w:r w:rsidRPr="00141675">
              <w:rPr>
                <w:rFonts w:ascii="Times New Roman" w:eastAsia="宋体" w:hAnsi="Times New Roman" w:cs="Times New Roman"/>
                <w:kern w:val="0"/>
                <w:sz w:val="20"/>
                <w:szCs w:val="20"/>
              </w:rPr>
              <w:t> </w:t>
            </w:r>
          </w:p>
        </w:tc>
        <w:tc>
          <w:tcPr>
            <w:tcW w:w="270" w:type="dxa"/>
            <w:shd w:val="clear" w:color="auto" w:fill="FFFFFF"/>
            <w:tcMar>
              <w:top w:w="15" w:type="dxa"/>
              <w:left w:w="0" w:type="dxa"/>
              <w:bottom w:w="0" w:type="dxa"/>
              <w:right w:w="15" w:type="dxa"/>
            </w:tcMar>
            <w:vAlign w:val="bottom"/>
            <w:hideMark/>
          </w:tcPr>
          <w:p w14:paraId="3D1CE1C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398" w:type="dxa"/>
            <w:gridSpan w:val="6"/>
            <w:tcBorders>
              <w:bottom w:val="single" w:sz="6" w:space="0" w:color="000000"/>
            </w:tcBorders>
            <w:shd w:val="clear" w:color="auto" w:fill="FFFFFF"/>
            <w:tcMar>
              <w:top w:w="15" w:type="dxa"/>
              <w:left w:w="0" w:type="dxa"/>
              <w:bottom w:w="0" w:type="dxa"/>
              <w:right w:w="15" w:type="dxa"/>
            </w:tcMar>
            <w:vAlign w:val="bottom"/>
            <w:hideMark/>
          </w:tcPr>
          <w:p w14:paraId="180F1AA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167DBCA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70BB198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0" w:type="dxa"/>
            <w:shd w:val="clear" w:color="auto" w:fill="FFFFFF"/>
            <w:tcMar>
              <w:top w:w="15" w:type="dxa"/>
              <w:left w:w="0" w:type="dxa"/>
              <w:bottom w:w="0" w:type="dxa"/>
              <w:right w:w="15" w:type="dxa"/>
            </w:tcMar>
            <w:vAlign w:val="bottom"/>
            <w:hideMark/>
          </w:tcPr>
          <w:p w14:paraId="54D0099E"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4224" w:type="dxa"/>
            <w:gridSpan w:val="6"/>
            <w:tcBorders>
              <w:bottom w:val="single" w:sz="6" w:space="0" w:color="000000"/>
            </w:tcBorders>
            <w:shd w:val="clear" w:color="auto" w:fill="FFFFFF"/>
            <w:tcMar>
              <w:top w:w="15" w:type="dxa"/>
              <w:left w:w="0" w:type="dxa"/>
              <w:bottom w:w="0" w:type="dxa"/>
              <w:right w:w="15" w:type="dxa"/>
            </w:tcMar>
            <w:vAlign w:val="bottom"/>
            <w:hideMark/>
          </w:tcPr>
          <w:p w14:paraId="4C0DD2A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495846B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3" w:type="dxa"/>
            <w:shd w:val="clear" w:color="auto" w:fill="FFFFFF"/>
            <w:noWrap/>
            <w:tcMar>
              <w:top w:w="15" w:type="dxa"/>
              <w:left w:w="0" w:type="dxa"/>
              <w:bottom w:w="0" w:type="dxa"/>
              <w:right w:w="15" w:type="dxa"/>
            </w:tcMar>
            <w:vAlign w:val="bottom"/>
            <w:hideMark/>
          </w:tcPr>
          <w:p w14:paraId="5A9D845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75F354F5" w14:textId="77777777" w:rsidTr="00141675">
        <w:tc>
          <w:tcPr>
            <w:tcW w:w="11964" w:type="dxa"/>
            <w:tcBorders>
              <w:bottom w:val="single" w:sz="6" w:space="0" w:color="000000"/>
            </w:tcBorders>
            <w:shd w:val="clear" w:color="auto" w:fill="FFFFFF"/>
            <w:tcMar>
              <w:top w:w="15" w:type="dxa"/>
              <w:left w:w="0" w:type="dxa"/>
              <w:bottom w:w="0" w:type="dxa"/>
              <w:right w:w="15" w:type="dxa"/>
            </w:tcMar>
            <w:vAlign w:val="bottom"/>
            <w:hideMark/>
          </w:tcPr>
          <w:p w14:paraId="5CECF13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70" w:type="dxa"/>
            <w:shd w:val="clear" w:color="auto" w:fill="FFFFFF"/>
            <w:tcMar>
              <w:top w:w="15" w:type="dxa"/>
              <w:left w:w="0" w:type="dxa"/>
              <w:bottom w:w="0" w:type="dxa"/>
              <w:right w:w="15" w:type="dxa"/>
            </w:tcMar>
            <w:vAlign w:val="bottom"/>
            <w:hideMark/>
          </w:tcPr>
          <w:p w14:paraId="08EF4F6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4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FC7177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3DCD8C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0" w:type="dxa"/>
            <w:tcBorders>
              <w:top w:val="single" w:sz="6" w:space="0" w:color="000000"/>
            </w:tcBorders>
            <w:shd w:val="clear" w:color="auto" w:fill="FFFFFF"/>
            <w:tcMar>
              <w:top w:w="15" w:type="dxa"/>
              <w:left w:w="0" w:type="dxa"/>
              <w:bottom w:w="0" w:type="dxa"/>
              <w:right w:w="15" w:type="dxa"/>
            </w:tcMar>
            <w:vAlign w:val="bottom"/>
            <w:hideMark/>
          </w:tcPr>
          <w:p w14:paraId="7A75E16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4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754F76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31A4BD5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0" w:type="dxa"/>
            <w:shd w:val="clear" w:color="auto" w:fill="FFFFFF"/>
            <w:tcMar>
              <w:top w:w="15" w:type="dxa"/>
              <w:left w:w="0" w:type="dxa"/>
              <w:bottom w:w="0" w:type="dxa"/>
              <w:right w:w="15" w:type="dxa"/>
            </w:tcMar>
            <w:vAlign w:val="bottom"/>
            <w:hideMark/>
          </w:tcPr>
          <w:p w14:paraId="18002A37"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185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9604CA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E68B5B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0" w:type="dxa"/>
            <w:tcBorders>
              <w:top w:val="single" w:sz="6" w:space="0" w:color="000000"/>
            </w:tcBorders>
            <w:shd w:val="clear" w:color="auto" w:fill="FFFFFF"/>
            <w:tcMar>
              <w:top w:w="15" w:type="dxa"/>
              <w:left w:w="0" w:type="dxa"/>
              <w:bottom w:w="0" w:type="dxa"/>
              <w:right w:w="15" w:type="dxa"/>
            </w:tcMar>
            <w:vAlign w:val="bottom"/>
            <w:hideMark/>
          </w:tcPr>
          <w:p w14:paraId="72104FF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85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D9E90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20CD103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174B2206" w14:textId="77777777" w:rsidTr="00141675">
        <w:tc>
          <w:tcPr>
            <w:tcW w:w="11964" w:type="dxa"/>
            <w:tcBorders>
              <w:top w:val="single" w:sz="6" w:space="0" w:color="000000"/>
            </w:tcBorders>
            <w:shd w:val="clear" w:color="auto" w:fill="CFF0FC"/>
            <w:tcMar>
              <w:top w:w="15" w:type="dxa"/>
              <w:left w:w="0" w:type="dxa"/>
              <w:bottom w:w="0" w:type="dxa"/>
              <w:right w:w="15" w:type="dxa"/>
            </w:tcMar>
            <w:hideMark/>
          </w:tcPr>
          <w:p w14:paraId="130F327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lastRenderedPageBreak/>
              <w:t>Net income</w:t>
            </w:r>
          </w:p>
        </w:tc>
        <w:tc>
          <w:tcPr>
            <w:tcW w:w="270" w:type="dxa"/>
            <w:shd w:val="clear" w:color="auto" w:fill="CFF0FC"/>
            <w:tcMar>
              <w:top w:w="15" w:type="dxa"/>
              <w:left w:w="0" w:type="dxa"/>
              <w:bottom w:w="0" w:type="dxa"/>
              <w:right w:w="15" w:type="dxa"/>
            </w:tcMar>
            <w:vAlign w:val="bottom"/>
            <w:hideMark/>
          </w:tcPr>
          <w:p w14:paraId="490EE13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AE2850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240" w:type="dxa"/>
            <w:tcBorders>
              <w:top w:val="single" w:sz="6" w:space="0" w:color="000000"/>
            </w:tcBorders>
            <w:shd w:val="clear" w:color="auto" w:fill="CFF0FC"/>
            <w:noWrap/>
            <w:tcMar>
              <w:top w:w="15" w:type="dxa"/>
              <w:left w:w="0" w:type="dxa"/>
              <w:bottom w:w="0" w:type="dxa"/>
              <w:right w:w="15" w:type="dxa"/>
            </w:tcMar>
            <w:vAlign w:val="bottom"/>
            <w:hideMark/>
          </w:tcPr>
          <w:p w14:paraId="3F15F7B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2,311</w:t>
            </w:r>
          </w:p>
        </w:tc>
        <w:tc>
          <w:tcPr>
            <w:tcW w:w="191" w:type="dxa"/>
            <w:shd w:val="clear" w:color="auto" w:fill="CFF0FC"/>
            <w:noWrap/>
            <w:tcMar>
              <w:top w:w="15" w:type="dxa"/>
              <w:left w:w="0" w:type="dxa"/>
              <w:bottom w:w="0" w:type="dxa"/>
              <w:right w:w="15" w:type="dxa"/>
            </w:tcMar>
            <w:vAlign w:val="bottom"/>
            <w:hideMark/>
          </w:tcPr>
          <w:p w14:paraId="48CC2A3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CFF0FC"/>
            <w:tcMar>
              <w:top w:w="15" w:type="dxa"/>
              <w:left w:w="0" w:type="dxa"/>
              <w:bottom w:w="0" w:type="dxa"/>
              <w:right w:w="15" w:type="dxa"/>
            </w:tcMar>
            <w:vAlign w:val="bottom"/>
            <w:hideMark/>
          </w:tcPr>
          <w:p w14:paraId="5B7BCB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744942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240" w:type="dxa"/>
            <w:tcBorders>
              <w:top w:val="single" w:sz="6" w:space="0" w:color="000000"/>
            </w:tcBorders>
            <w:shd w:val="clear" w:color="auto" w:fill="CFF0FC"/>
            <w:noWrap/>
            <w:tcMar>
              <w:top w:w="15" w:type="dxa"/>
              <w:left w:w="0" w:type="dxa"/>
              <w:bottom w:w="0" w:type="dxa"/>
              <w:right w:w="15" w:type="dxa"/>
            </w:tcMar>
            <w:vAlign w:val="bottom"/>
            <w:hideMark/>
          </w:tcPr>
          <w:p w14:paraId="5CF4DC0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2,333</w:t>
            </w:r>
          </w:p>
        </w:tc>
        <w:tc>
          <w:tcPr>
            <w:tcW w:w="191" w:type="dxa"/>
            <w:shd w:val="clear" w:color="auto" w:fill="CFF0FC"/>
            <w:noWrap/>
            <w:tcMar>
              <w:top w:w="15" w:type="dxa"/>
              <w:left w:w="0" w:type="dxa"/>
              <w:bottom w:w="0" w:type="dxa"/>
              <w:right w:w="15" w:type="dxa"/>
            </w:tcMar>
            <w:vAlign w:val="bottom"/>
            <w:hideMark/>
          </w:tcPr>
          <w:p w14:paraId="38AB0C4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CFF0FC"/>
            <w:tcMar>
              <w:top w:w="15" w:type="dxa"/>
              <w:left w:w="0" w:type="dxa"/>
              <w:bottom w:w="0" w:type="dxa"/>
              <w:right w:w="15" w:type="dxa"/>
            </w:tcMar>
            <w:vAlign w:val="bottom"/>
            <w:hideMark/>
          </w:tcPr>
          <w:p w14:paraId="15020D88"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ACDCDD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653" w:type="dxa"/>
            <w:tcBorders>
              <w:top w:val="single" w:sz="6" w:space="0" w:color="000000"/>
            </w:tcBorders>
            <w:shd w:val="clear" w:color="auto" w:fill="CFF0FC"/>
            <w:noWrap/>
            <w:tcMar>
              <w:top w:w="15" w:type="dxa"/>
              <w:left w:w="0" w:type="dxa"/>
              <w:bottom w:w="0" w:type="dxa"/>
              <w:right w:w="15" w:type="dxa"/>
            </w:tcMar>
            <w:vAlign w:val="bottom"/>
            <w:hideMark/>
          </w:tcPr>
          <w:p w14:paraId="145D48E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4,448</w:t>
            </w:r>
          </w:p>
        </w:tc>
        <w:tc>
          <w:tcPr>
            <w:tcW w:w="191" w:type="dxa"/>
            <w:shd w:val="clear" w:color="auto" w:fill="CFF0FC"/>
            <w:noWrap/>
            <w:tcMar>
              <w:top w:w="15" w:type="dxa"/>
              <w:left w:w="0" w:type="dxa"/>
              <w:bottom w:w="0" w:type="dxa"/>
              <w:right w:w="15" w:type="dxa"/>
            </w:tcMar>
            <w:vAlign w:val="bottom"/>
            <w:hideMark/>
          </w:tcPr>
          <w:p w14:paraId="59C2A36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CFF0FC"/>
            <w:tcMar>
              <w:top w:w="15" w:type="dxa"/>
              <w:left w:w="0" w:type="dxa"/>
              <w:bottom w:w="0" w:type="dxa"/>
              <w:right w:w="15" w:type="dxa"/>
            </w:tcMar>
            <w:vAlign w:val="bottom"/>
            <w:hideMark/>
          </w:tcPr>
          <w:p w14:paraId="1B0480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6CE7A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3" w:type="dxa"/>
            <w:tcBorders>
              <w:top w:val="single" w:sz="6" w:space="0" w:color="000000"/>
            </w:tcBorders>
            <w:shd w:val="clear" w:color="auto" w:fill="CFF0FC"/>
            <w:noWrap/>
            <w:tcMar>
              <w:top w:w="15" w:type="dxa"/>
              <w:left w:w="0" w:type="dxa"/>
              <w:bottom w:w="0" w:type="dxa"/>
              <w:right w:w="15" w:type="dxa"/>
            </w:tcMar>
            <w:vAlign w:val="bottom"/>
            <w:hideMark/>
          </w:tcPr>
          <w:p w14:paraId="0A4B445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4,598</w:t>
            </w:r>
          </w:p>
        </w:tc>
        <w:tc>
          <w:tcPr>
            <w:tcW w:w="193" w:type="dxa"/>
            <w:shd w:val="clear" w:color="auto" w:fill="CFF0FC"/>
            <w:noWrap/>
            <w:tcMar>
              <w:top w:w="15" w:type="dxa"/>
              <w:left w:w="0" w:type="dxa"/>
              <w:bottom w:w="0" w:type="dxa"/>
              <w:right w:w="15" w:type="dxa"/>
            </w:tcMar>
            <w:vAlign w:val="bottom"/>
            <w:hideMark/>
          </w:tcPr>
          <w:p w14:paraId="048903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C4E114E" w14:textId="77777777" w:rsidTr="00141675">
        <w:tc>
          <w:tcPr>
            <w:tcW w:w="11964" w:type="dxa"/>
            <w:shd w:val="clear" w:color="auto" w:fill="FFFFFF"/>
            <w:tcMar>
              <w:top w:w="15" w:type="dxa"/>
              <w:left w:w="0" w:type="dxa"/>
              <w:bottom w:w="0" w:type="dxa"/>
              <w:right w:w="15" w:type="dxa"/>
            </w:tcMar>
            <w:hideMark/>
          </w:tcPr>
          <w:p w14:paraId="386509C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Other comprehensive loss, net of tax:</w:t>
            </w:r>
          </w:p>
        </w:tc>
        <w:tc>
          <w:tcPr>
            <w:tcW w:w="270" w:type="dxa"/>
            <w:shd w:val="clear" w:color="auto" w:fill="FFFFFF"/>
            <w:tcMar>
              <w:top w:w="15" w:type="dxa"/>
              <w:left w:w="0" w:type="dxa"/>
              <w:bottom w:w="0" w:type="dxa"/>
              <w:right w:w="15" w:type="dxa"/>
            </w:tcMar>
            <w:vAlign w:val="bottom"/>
            <w:hideMark/>
          </w:tcPr>
          <w:p w14:paraId="17343F8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A76E98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FFFFFF"/>
            <w:noWrap/>
            <w:tcMar>
              <w:top w:w="15" w:type="dxa"/>
              <w:left w:w="0" w:type="dxa"/>
              <w:bottom w:w="0" w:type="dxa"/>
              <w:right w:w="15" w:type="dxa"/>
            </w:tcMar>
            <w:vAlign w:val="bottom"/>
            <w:hideMark/>
          </w:tcPr>
          <w:p w14:paraId="4EE9A9B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52000B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67C800E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ED8C14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FFFFFF"/>
            <w:noWrap/>
            <w:tcMar>
              <w:top w:w="15" w:type="dxa"/>
              <w:left w:w="0" w:type="dxa"/>
              <w:bottom w:w="0" w:type="dxa"/>
              <w:right w:w="15" w:type="dxa"/>
            </w:tcMar>
            <w:vAlign w:val="bottom"/>
            <w:hideMark/>
          </w:tcPr>
          <w:p w14:paraId="5C7C265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1D8F95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1BE1FE29"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7E01AE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3" w:type="dxa"/>
            <w:shd w:val="clear" w:color="auto" w:fill="FFFFFF"/>
            <w:noWrap/>
            <w:tcMar>
              <w:top w:w="15" w:type="dxa"/>
              <w:left w:w="0" w:type="dxa"/>
              <w:bottom w:w="0" w:type="dxa"/>
              <w:right w:w="15" w:type="dxa"/>
            </w:tcMar>
            <w:vAlign w:val="bottom"/>
            <w:hideMark/>
          </w:tcPr>
          <w:p w14:paraId="7B75BA2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E72817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0" w:type="dxa"/>
            <w:shd w:val="clear" w:color="auto" w:fill="FFFFFF"/>
            <w:tcMar>
              <w:top w:w="15" w:type="dxa"/>
              <w:left w:w="0" w:type="dxa"/>
              <w:bottom w:w="0" w:type="dxa"/>
              <w:right w:w="15" w:type="dxa"/>
            </w:tcMar>
            <w:vAlign w:val="bottom"/>
            <w:hideMark/>
          </w:tcPr>
          <w:p w14:paraId="39DEA23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D01803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3" w:type="dxa"/>
            <w:shd w:val="clear" w:color="auto" w:fill="FFFFFF"/>
            <w:noWrap/>
            <w:tcMar>
              <w:top w:w="15" w:type="dxa"/>
              <w:left w:w="0" w:type="dxa"/>
              <w:bottom w:w="0" w:type="dxa"/>
              <w:right w:w="15" w:type="dxa"/>
            </w:tcMar>
            <w:vAlign w:val="bottom"/>
            <w:hideMark/>
          </w:tcPr>
          <w:p w14:paraId="2DA11B0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FFFFFF"/>
            <w:noWrap/>
            <w:tcMar>
              <w:top w:w="15" w:type="dxa"/>
              <w:left w:w="0" w:type="dxa"/>
              <w:bottom w:w="0" w:type="dxa"/>
              <w:right w:w="15" w:type="dxa"/>
            </w:tcMar>
            <w:vAlign w:val="bottom"/>
            <w:hideMark/>
          </w:tcPr>
          <w:p w14:paraId="1896628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ECD5F62" w14:textId="77777777" w:rsidTr="00141675">
        <w:tc>
          <w:tcPr>
            <w:tcW w:w="11964" w:type="dxa"/>
            <w:shd w:val="clear" w:color="auto" w:fill="CFF0FC"/>
            <w:tcMar>
              <w:top w:w="15" w:type="dxa"/>
              <w:left w:w="0" w:type="dxa"/>
              <w:bottom w:w="0" w:type="dxa"/>
              <w:right w:w="15" w:type="dxa"/>
            </w:tcMar>
            <w:hideMark/>
          </w:tcPr>
          <w:p w14:paraId="39FAD5BF"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Net foreign currency translation losses</w:t>
            </w:r>
          </w:p>
        </w:tc>
        <w:tc>
          <w:tcPr>
            <w:tcW w:w="270" w:type="dxa"/>
            <w:shd w:val="clear" w:color="auto" w:fill="CFF0FC"/>
            <w:tcMar>
              <w:top w:w="15" w:type="dxa"/>
              <w:left w:w="0" w:type="dxa"/>
              <w:bottom w:w="0" w:type="dxa"/>
              <w:right w:w="15" w:type="dxa"/>
            </w:tcMar>
            <w:vAlign w:val="bottom"/>
            <w:hideMark/>
          </w:tcPr>
          <w:p w14:paraId="66E6D64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0B65B9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CFF0FC"/>
            <w:noWrap/>
            <w:tcMar>
              <w:top w:w="15" w:type="dxa"/>
              <w:left w:w="0" w:type="dxa"/>
              <w:bottom w:w="0" w:type="dxa"/>
              <w:right w:w="15" w:type="dxa"/>
            </w:tcMar>
            <w:vAlign w:val="bottom"/>
            <w:hideMark/>
          </w:tcPr>
          <w:p w14:paraId="2EE4CA3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(84</w:t>
            </w:r>
          </w:p>
        </w:tc>
        <w:tc>
          <w:tcPr>
            <w:tcW w:w="191" w:type="dxa"/>
            <w:shd w:val="clear" w:color="auto" w:fill="CFF0FC"/>
            <w:noWrap/>
            <w:tcMar>
              <w:top w:w="15" w:type="dxa"/>
              <w:left w:w="0" w:type="dxa"/>
              <w:bottom w:w="0" w:type="dxa"/>
              <w:right w:w="15" w:type="dxa"/>
            </w:tcMar>
            <w:vAlign w:val="bottom"/>
            <w:hideMark/>
          </w:tcPr>
          <w:p w14:paraId="1A2E33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70" w:type="dxa"/>
            <w:shd w:val="clear" w:color="auto" w:fill="CFF0FC"/>
            <w:tcMar>
              <w:top w:w="15" w:type="dxa"/>
              <w:left w:w="0" w:type="dxa"/>
              <w:bottom w:w="0" w:type="dxa"/>
              <w:right w:w="15" w:type="dxa"/>
            </w:tcMar>
            <w:vAlign w:val="bottom"/>
            <w:hideMark/>
          </w:tcPr>
          <w:p w14:paraId="798D37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996BAA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CFF0FC"/>
            <w:noWrap/>
            <w:tcMar>
              <w:top w:w="15" w:type="dxa"/>
              <w:left w:w="0" w:type="dxa"/>
              <w:bottom w:w="0" w:type="dxa"/>
              <w:right w:w="15" w:type="dxa"/>
            </w:tcMar>
            <w:vAlign w:val="bottom"/>
            <w:hideMark/>
          </w:tcPr>
          <w:p w14:paraId="6683AFC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(97</w:t>
            </w:r>
          </w:p>
        </w:tc>
        <w:tc>
          <w:tcPr>
            <w:tcW w:w="191" w:type="dxa"/>
            <w:shd w:val="clear" w:color="auto" w:fill="CFF0FC"/>
            <w:noWrap/>
            <w:tcMar>
              <w:top w:w="15" w:type="dxa"/>
              <w:left w:w="0" w:type="dxa"/>
              <w:bottom w:w="0" w:type="dxa"/>
              <w:right w:w="15" w:type="dxa"/>
            </w:tcMar>
            <w:vAlign w:val="bottom"/>
            <w:hideMark/>
          </w:tcPr>
          <w:p w14:paraId="64FC0D1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70" w:type="dxa"/>
            <w:shd w:val="clear" w:color="auto" w:fill="CFF0FC"/>
            <w:tcMar>
              <w:top w:w="15" w:type="dxa"/>
              <w:left w:w="0" w:type="dxa"/>
              <w:bottom w:w="0" w:type="dxa"/>
              <w:right w:w="15" w:type="dxa"/>
            </w:tcMar>
            <w:vAlign w:val="bottom"/>
            <w:hideMark/>
          </w:tcPr>
          <w:p w14:paraId="348FC982"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B324E0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653" w:type="dxa"/>
            <w:shd w:val="clear" w:color="auto" w:fill="CFF0FC"/>
            <w:noWrap/>
            <w:tcMar>
              <w:top w:w="15" w:type="dxa"/>
              <w:left w:w="0" w:type="dxa"/>
              <w:bottom w:w="0" w:type="dxa"/>
              <w:right w:w="15" w:type="dxa"/>
            </w:tcMar>
            <w:vAlign w:val="bottom"/>
            <w:hideMark/>
          </w:tcPr>
          <w:p w14:paraId="23E744A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(92</w:t>
            </w:r>
          </w:p>
        </w:tc>
        <w:tc>
          <w:tcPr>
            <w:tcW w:w="191" w:type="dxa"/>
            <w:shd w:val="clear" w:color="auto" w:fill="CFF0FC"/>
            <w:noWrap/>
            <w:tcMar>
              <w:top w:w="15" w:type="dxa"/>
              <w:left w:w="0" w:type="dxa"/>
              <w:bottom w:w="0" w:type="dxa"/>
              <w:right w:w="15" w:type="dxa"/>
            </w:tcMar>
            <w:vAlign w:val="bottom"/>
            <w:hideMark/>
          </w:tcPr>
          <w:p w14:paraId="7A4238D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70" w:type="dxa"/>
            <w:shd w:val="clear" w:color="auto" w:fill="CFF0FC"/>
            <w:tcMar>
              <w:top w:w="15" w:type="dxa"/>
              <w:left w:w="0" w:type="dxa"/>
              <w:bottom w:w="0" w:type="dxa"/>
              <w:right w:w="15" w:type="dxa"/>
            </w:tcMar>
            <w:vAlign w:val="bottom"/>
            <w:hideMark/>
          </w:tcPr>
          <w:p w14:paraId="598AD54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E253B3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3" w:type="dxa"/>
            <w:shd w:val="clear" w:color="auto" w:fill="CFF0FC"/>
            <w:noWrap/>
            <w:tcMar>
              <w:top w:w="15" w:type="dxa"/>
              <w:left w:w="0" w:type="dxa"/>
              <w:bottom w:w="0" w:type="dxa"/>
              <w:right w:w="15" w:type="dxa"/>
            </w:tcMar>
            <w:vAlign w:val="bottom"/>
            <w:hideMark/>
          </w:tcPr>
          <w:p w14:paraId="355E9EA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(158</w:t>
            </w:r>
          </w:p>
        </w:tc>
        <w:tc>
          <w:tcPr>
            <w:tcW w:w="193" w:type="dxa"/>
            <w:shd w:val="clear" w:color="auto" w:fill="CFF0FC"/>
            <w:noWrap/>
            <w:tcMar>
              <w:top w:w="15" w:type="dxa"/>
              <w:left w:w="0" w:type="dxa"/>
              <w:bottom w:w="0" w:type="dxa"/>
              <w:right w:w="15" w:type="dxa"/>
            </w:tcMar>
            <w:vAlign w:val="bottom"/>
            <w:hideMark/>
          </w:tcPr>
          <w:p w14:paraId="09FA34E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6A49EC2C" w14:textId="77777777" w:rsidTr="00141675">
        <w:tc>
          <w:tcPr>
            <w:tcW w:w="11964" w:type="dxa"/>
            <w:shd w:val="clear" w:color="auto" w:fill="FFFFFF"/>
            <w:tcMar>
              <w:top w:w="15" w:type="dxa"/>
              <w:left w:w="0" w:type="dxa"/>
              <w:bottom w:w="0" w:type="dxa"/>
              <w:right w:w="15" w:type="dxa"/>
            </w:tcMar>
            <w:hideMark/>
          </w:tcPr>
          <w:p w14:paraId="07D1130A"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Net unrealized gains on defined benefit plans</w:t>
            </w:r>
          </w:p>
        </w:tc>
        <w:tc>
          <w:tcPr>
            <w:tcW w:w="270" w:type="dxa"/>
            <w:shd w:val="clear" w:color="auto" w:fill="FFFFFF"/>
            <w:tcMar>
              <w:top w:w="15" w:type="dxa"/>
              <w:left w:w="0" w:type="dxa"/>
              <w:bottom w:w="0" w:type="dxa"/>
              <w:right w:w="15" w:type="dxa"/>
            </w:tcMar>
            <w:vAlign w:val="bottom"/>
            <w:hideMark/>
          </w:tcPr>
          <w:p w14:paraId="7AD4115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4AA24F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FFFFFF"/>
            <w:noWrap/>
            <w:tcMar>
              <w:top w:w="15" w:type="dxa"/>
              <w:left w:w="0" w:type="dxa"/>
              <w:bottom w:w="0" w:type="dxa"/>
              <w:right w:w="15" w:type="dxa"/>
            </w:tcMar>
            <w:vAlign w:val="bottom"/>
            <w:hideMark/>
          </w:tcPr>
          <w:p w14:paraId="7E5953B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191" w:type="dxa"/>
            <w:shd w:val="clear" w:color="auto" w:fill="FFFFFF"/>
            <w:noWrap/>
            <w:tcMar>
              <w:top w:w="15" w:type="dxa"/>
              <w:left w:w="0" w:type="dxa"/>
              <w:bottom w:w="0" w:type="dxa"/>
              <w:right w:w="15" w:type="dxa"/>
            </w:tcMar>
            <w:vAlign w:val="bottom"/>
            <w:hideMark/>
          </w:tcPr>
          <w:p w14:paraId="43EDD64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1642DF4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E7C6D1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FFFFFF"/>
            <w:noWrap/>
            <w:tcMar>
              <w:top w:w="15" w:type="dxa"/>
              <w:left w:w="0" w:type="dxa"/>
              <w:bottom w:w="0" w:type="dxa"/>
              <w:right w:w="15" w:type="dxa"/>
            </w:tcMar>
            <w:vAlign w:val="bottom"/>
            <w:hideMark/>
          </w:tcPr>
          <w:p w14:paraId="26715A4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191" w:type="dxa"/>
            <w:shd w:val="clear" w:color="auto" w:fill="FFFFFF"/>
            <w:noWrap/>
            <w:tcMar>
              <w:top w:w="15" w:type="dxa"/>
              <w:left w:w="0" w:type="dxa"/>
              <w:bottom w:w="0" w:type="dxa"/>
              <w:right w:w="15" w:type="dxa"/>
            </w:tcMar>
            <w:vAlign w:val="bottom"/>
            <w:hideMark/>
          </w:tcPr>
          <w:p w14:paraId="65A1309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73D289D7"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EFEEDA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653" w:type="dxa"/>
            <w:shd w:val="clear" w:color="auto" w:fill="FFFFFF"/>
            <w:noWrap/>
            <w:tcMar>
              <w:top w:w="15" w:type="dxa"/>
              <w:left w:w="0" w:type="dxa"/>
              <w:bottom w:w="0" w:type="dxa"/>
              <w:right w:w="15" w:type="dxa"/>
            </w:tcMar>
            <w:vAlign w:val="bottom"/>
            <w:hideMark/>
          </w:tcPr>
          <w:p w14:paraId="44EFCC8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11</w:t>
            </w:r>
          </w:p>
        </w:tc>
        <w:tc>
          <w:tcPr>
            <w:tcW w:w="191" w:type="dxa"/>
            <w:shd w:val="clear" w:color="auto" w:fill="FFFFFF"/>
            <w:noWrap/>
            <w:tcMar>
              <w:top w:w="15" w:type="dxa"/>
              <w:left w:w="0" w:type="dxa"/>
              <w:bottom w:w="0" w:type="dxa"/>
              <w:right w:w="15" w:type="dxa"/>
            </w:tcMar>
            <w:vAlign w:val="bottom"/>
            <w:hideMark/>
          </w:tcPr>
          <w:p w14:paraId="3E870F9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5E6D1F6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B5B1B5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3" w:type="dxa"/>
            <w:shd w:val="clear" w:color="auto" w:fill="FFFFFF"/>
            <w:noWrap/>
            <w:tcMar>
              <w:top w:w="15" w:type="dxa"/>
              <w:left w:w="0" w:type="dxa"/>
              <w:bottom w:w="0" w:type="dxa"/>
              <w:right w:w="15" w:type="dxa"/>
            </w:tcMar>
            <w:vAlign w:val="bottom"/>
            <w:hideMark/>
          </w:tcPr>
          <w:p w14:paraId="1135DAA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193" w:type="dxa"/>
            <w:shd w:val="clear" w:color="auto" w:fill="FFFFFF"/>
            <w:noWrap/>
            <w:tcMar>
              <w:top w:w="15" w:type="dxa"/>
              <w:left w:w="0" w:type="dxa"/>
              <w:bottom w:w="0" w:type="dxa"/>
              <w:right w:w="15" w:type="dxa"/>
            </w:tcMar>
            <w:vAlign w:val="bottom"/>
            <w:hideMark/>
          </w:tcPr>
          <w:p w14:paraId="5A1171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FD33CBB" w14:textId="77777777" w:rsidTr="00141675">
        <w:tc>
          <w:tcPr>
            <w:tcW w:w="11964" w:type="dxa"/>
            <w:shd w:val="clear" w:color="auto" w:fill="CFF0FC"/>
            <w:tcMar>
              <w:top w:w="15" w:type="dxa"/>
              <w:left w:w="0" w:type="dxa"/>
              <w:bottom w:w="0" w:type="dxa"/>
              <w:right w:w="15" w:type="dxa"/>
            </w:tcMar>
            <w:hideMark/>
          </w:tcPr>
          <w:p w14:paraId="30F6395D"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Net unrealized gains (losses) on marketable securities</w:t>
            </w:r>
          </w:p>
        </w:tc>
        <w:tc>
          <w:tcPr>
            <w:tcW w:w="270" w:type="dxa"/>
            <w:shd w:val="clear" w:color="auto" w:fill="CFF0FC"/>
            <w:tcMar>
              <w:top w:w="15" w:type="dxa"/>
              <w:left w:w="0" w:type="dxa"/>
              <w:bottom w:w="0" w:type="dxa"/>
              <w:right w:w="15" w:type="dxa"/>
            </w:tcMar>
            <w:vAlign w:val="bottom"/>
            <w:hideMark/>
          </w:tcPr>
          <w:p w14:paraId="710375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CBC01B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CFF0FC"/>
            <w:noWrap/>
            <w:tcMar>
              <w:top w:w="15" w:type="dxa"/>
              <w:left w:w="0" w:type="dxa"/>
              <w:bottom w:w="0" w:type="dxa"/>
              <w:right w:w="15" w:type="dxa"/>
            </w:tcMar>
            <w:vAlign w:val="bottom"/>
            <w:hideMark/>
          </w:tcPr>
          <w:p w14:paraId="439A380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191" w:type="dxa"/>
            <w:shd w:val="clear" w:color="auto" w:fill="CFF0FC"/>
            <w:noWrap/>
            <w:tcMar>
              <w:top w:w="15" w:type="dxa"/>
              <w:left w:w="0" w:type="dxa"/>
              <w:bottom w:w="0" w:type="dxa"/>
              <w:right w:w="15" w:type="dxa"/>
            </w:tcMar>
            <w:vAlign w:val="bottom"/>
            <w:hideMark/>
          </w:tcPr>
          <w:p w14:paraId="0E640BA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CFF0FC"/>
            <w:tcMar>
              <w:top w:w="15" w:type="dxa"/>
              <w:left w:w="0" w:type="dxa"/>
              <w:bottom w:w="0" w:type="dxa"/>
              <w:right w:w="15" w:type="dxa"/>
            </w:tcMar>
            <w:vAlign w:val="bottom"/>
            <w:hideMark/>
          </w:tcPr>
          <w:p w14:paraId="2F1FFE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97FD9D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CFF0FC"/>
            <w:noWrap/>
            <w:tcMar>
              <w:top w:w="15" w:type="dxa"/>
              <w:left w:w="0" w:type="dxa"/>
              <w:bottom w:w="0" w:type="dxa"/>
              <w:right w:w="15" w:type="dxa"/>
            </w:tcMar>
            <w:vAlign w:val="bottom"/>
            <w:hideMark/>
          </w:tcPr>
          <w:p w14:paraId="38D4EA3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(117</w:t>
            </w:r>
          </w:p>
        </w:tc>
        <w:tc>
          <w:tcPr>
            <w:tcW w:w="191" w:type="dxa"/>
            <w:shd w:val="clear" w:color="auto" w:fill="CFF0FC"/>
            <w:noWrap/>
            <w:tcMar>
              <w:top w:w="15" w:type="dxa"/>
              <w:left w:w="0" w:type="dxa"/>
              <w:bottom w:w="0" w:type="dxa"/>
              <w:right w:w="15" w:type="dxa"/>
            </w:tcMar>
            <w:vAlign w:val="bottom"/>
            <w:hideMark/>
          </w:tcPr>
          <w:p w14:paraId="5B2B1DF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70" w:type="dxa"/>
            <w:shd w:val="clear" w:color="auto" w:fill="CFF0FC"/>
            <w:tcMar>
              <w:top w:w="15" w:type="dxa"/>
              <w:left w:w="0" w:type="dxa"/>
              <w:bottom w:w="0" w:type="dxa"/>
              <w:right w:w="15" w:type="dxa"/>
            </w:tcMar>
            <w:vAlign w:val="bottom"/>
            <w:hideMark/>
          </w:tcPr>
          <w:p w14:paraId="20299DF2"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79D012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653" w:type="dxa"/>
            <w:shd w:val="clear" w:color="auto" w:fill="CFF0FC"/>
            <w:noWrap/>
            <w:tcMar>
              <w:top w:w="15" w:type="dxa"/>
              <w:left w:w="0" w:type="dxa"/>
              <w:bottom w:w="0" w:type="dxa"/>
              <w:right w:w="15" w:type="dxa"/>
            </w:tcMar>
            <w:vAlign w:val="bottom"/>
            <w:hideMark/>
          </w:tcPr>
          <w:p w14:paraId="5D418CB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88</w:t>
            </w:r>
          </w:p>
        </w:tc>
        <w:tc>
          <w:tcPr>
            <w:tcW w:w="191" w:type="dxa"/>
            <w:shd w:val="clear" w:color="auto" w:fill="CFF0FC"/>
            <w:noWrap/>
            <w:tcMar>
              <w:top w:w="15" w:type="dxa"/>
              <w:left w:w="0" w:type="dxa"/>
              <w:bottom w:w="0" w:type="dxa"/>
              <w:right w:w="15" w:type="dxa"/>
            </w:tcMar>
            <w:vAlign w:val="bottom"/>
            <w:hideMark/>
          </w:tcPr>
          <w:p w14:paraId="36BFD2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CFF0FC"/>
            <w:tcMar>
              <w:top w:w="15" w:type="dxa"/>
              <w:left w:w="0" w:type="dxa"/>
              <w:bottom w:w="0" w:type="dxa"/>
              <w:right w:w="15" w:type="dxa"/>
            </w:tcMar>
            <w:vAlign w:val="bottom"/>
            <w:hideMark/>
          </w:tcPr>
          <w:p w14:paraId="77F37F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372460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3" w:type="dxa"/>
            <w:shd w:val="clear" w:color="auto" w:fill="CFF0FC"/>
            <w:noWrap/>
            <w:tcMar>
              <w:top w:w="15" w:type="dxa"/>
              <w:left w:w="0" w:type="dxa"/>
              <w:bottom w:w="0" w:type="dxa"/>
              <w:right w:w="15" w:type="dxa"/>
            </w:tcMar>
            <w:vAlign w:val="bottom"/>
            <w:hideMark/>
          </w:tcPr>
          <w:p w14:paraId="61F55EB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(113</w:t>
            </w:r>
          </w:p>
        </w:tc>
        <w:tc>
          <w:tcPr>
            <w:tcW w:w="193" w:type="dxa"/>
            <w:shd w:val="clear" w:color="auto" w:fill="CFF0FC"/>
            <w:noWrap/>
            <w:tcMar>
              <w:top w:w="15" w:type="dxa"/>
              <w:left w:w="0" w:type="dxa"/>
              <w:bottom w:w="0" w:type="dxa"/>
              <w:right w:w="15" w:type="dxa"/>
            </w:tcMar>
            <w:vAlign w:val="bottom"/>
            <w:hideMark/>
          </w:tcPr>
          <w:p w14:paraId="1D3FB3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2C77F454" w14:textId="77777777" w:rsidTr="00141675">
        <w:tc>
          <w:tcPr>
            <w:tcW w:w="11964" w:type="dxa"/>
            <w:shd w:val="clear" w:color="auto" w:fill="FFFFFF"/>
            <w:tcMar>
              <w:top w:w="15" w:type="dxa"/>
              <w:left w:w="0" w:type="dxa"/>
              <w:bottom w:w="0" w:type="dxa"/>
              <w:right w:w="15" w:type="dxa"/>
            </w:tcMar>
            <w:hideMark/>
          </w:tcPr>
          <w:p w14:paraId="55CDAD7F"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Net unrealized gains (losses) on cash flow hedges</w:t>
            </w:r>
          </w:p>
        </w:tc>
        <w:tc>
          <w:tcPr>
            <w:tcW w:w="270" w:type="dxa"/>
            <w:shd w:val="clear" w:color="auto" w:fill="FFFFFF"/>
            <w:tcMar>
              <w:top w:w="15" w:type="dxa"/>
              <w:left w:w="0" w:type="dxa"/>
              <w:bottom w:w="0" w:type="dxa"/>
              <w:right w:w="15" w:type="dxa"/>
            </w:tcMar>
            <w:vAlign w:val="bottom"/>
            <w:hideMark/>
          </w:tcPr>
          <w:p w14:paraId="4E85B9A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B2F1CD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FFFFFF"/>
            <w:noWrap/>
            <w:tcMar>
              <w:top w:w="15" w:type="dxa"/>
              <w:left w:w="0" w:type="dxa"/>
              <w:bottom w:w="0" w:type="dxa"/>
              <w:right w:w="15" w:type="dxa"/>
            </w:tcMar>
            <w:vAlign w:val="bottom"/>
            <w:hideMark/>
          </w:tcPr>
          <w:p w14:paraId="59717B2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w:t>
            </w:r>
          </w:p>
        </w:tc>
        <w:tc>
          <w:tcPr>
            <w:tcW w:w="191" w:type="dxa"/>
            <w:shd w:val="clear" w:color="auto" w:fill="FFFFFF"/>
            <w:noWrap/>
            <w:tcMar>
              <w:top w:w="15" w:type="dxa"/>
              <w:left w:w="0" w:type="dxa"/>
              <w:bottom w:w="0" w:type="dxa"/>
              <w:right w:w="15" w:type="dxa"/>
            </w:tcMar>
            <w:vAlign w:val="bottom"/>
            <w:hideMark/>
          </w:tcPr>
          <w:p w14:paraId="718D8EE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5EB0460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B7B5C2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shd w:val="clear" w:color="auto" w:fill="FFFFFF"/>
            <w:noWrap/>
            <w:tcMar>
              <w:top w:w="15" w:type="dxa"/>
              <w:left w:w="0" w:type="dxa"/>
              <w:bottom w:w="0" w:type="dxa"/>
              <w:right w:w="15" w:type="dxa"/>
            </w:tcMar>
            <w:vAlign w:val="bottom"/>
            <w:hideMark/>
          </w:tcPr>
          <w:p w14:paraId="368BF7D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w:t>
            </w:r>
          </w:p>
        </w:tc>
        <w:tc>
          <w:tcPr>
            <w:tcW w:w="191" w:type="dxa"/>
            <w:shd w:val="clear" w:color="auto" w:fill="FFFFFF"/>
            <w:noWrap/>
            <w:tcMar>
              <w:top w:w="15" w:type="dxa"/>
              <w:left w:w="0" w:type="dxa"/>
              <w:bottom w:w="0" w:type="dxa"/>
              <w:right w:w="15" w:type="dxa"/>
            </w:tcMar>
            <w:vAlign w:val="bottom"/>
            <w:hideMark/>
          </w:tcPr>
          <w:p w14:paraId="32AF2C7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0549069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D8F1F1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653" w:type="dxa"/>
            <w:tcBorders>
              <w:bottom w:val="single" w:sz="6" w:space="0" w:color="000000"/>
            </w:tcBorders>
            <w:shd w:val="clear" w:color="auto" w:fill="FFFFFF"/>
            <w:noWrap/>
            <w:tcMar>
              <w:top w:w="15" w:type="dxa"/>
              <w:left w:w="0" w:type="dxa"/>
              <w:bottom w:w="0" w:type="dxa"/>
              <w:right w:w="15" w:type="dxa"/>
            </w:tcMar>
            <w:vAlign w:val="bottom"/>
            <w:hideMark/>
          </w:tcPr>
          <w:p w14:paraId="56A83A0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w:t>
            </w:r>
          </w:p>
        </w:tc>
        <w:tc>
          <w:tcPr>
            <w:tcW w:w="191" w:type="dxa"/>
            <w:shd w:val="clear" w:color="auto" w:fill="FFFFFF"/>
            <w:noWrap/>
            <w:tcMar>
              <w:top w:w="15" w:type="dxa"/>
              <w:left w:w="0" w:type="dxa"/>
              <w:bottom w:w="0" w:type="dxa"/>
              <w:right w:w="15" w:type="dxa"/>
            </w:tcMar>
            <w:vAlign w:val="bottom"/>
            <w:hideMark/>
          </w:tcPr>
          <w:p w14:paraId="0EC5F5E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70" w:type="dxa"/>
            <w:shd w:val="clear" w:color="auto" w:fill="FFFFFF"/>
            <w:tcMar>
              <w:top w:w="15" w:type="dxa"/>
              <w:left w:w="0" w:type="dxa"/>
              <w:bottom w:w="0" w:type="dxa"/>
              <w:right w:w="15" w:type="dxa"/>
            </w:tcMar>
            <w:vAlign w:val="bottom"/>
            <w:hideMark/>
          </w:tcPr>
          <w:p w14:paraId="5B76977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F9CE10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3" w:type="dxa"/>
            <w:tcBorders>
              <w:bottom w:val="single" w:sz="6" w:space="0" w:color="000000"/>
            </w:tcBorders>
            <w:shd w:val="clear" w:color="auto" w:fill="FFFFFF"/>
            <w:noWrap/>
            <w:tcMar>
              <w:top w:w="15" w:type="dxa"/>
              <w:left w:w="0" w:type="dxa"/>
              <w:bottom w:w="0" w:type="dxa"/>
              <w:right w:w="15" w:type="dxa"/>
            </w:tcMar>
            <w:vAlign w:val="bottom"/>
            <w:hideMark/>
          </w:tcPr>
          <w:p w14:paraId="7071C9F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w:t>
            </w:r>
          </w:p>
        </w:tc>
        <w:tc>
          <w:tcPr>
            <w:tcW w:w="193" w:type="dxa"/>
            <w:shd w:val="clear" w:color="auto" w:fill="FFFFFF"/>
            <w:noWrap/>
            <w:tcMar>
              <w:top w:w="15" w:type="dxa"/>
              <w:left w:w="0" w:type="dxa"/>
              <w:bottom w:w="0" w:type="dxa"/>
              <w:right w:w="15" w:type="dxa"/>
            </w:tcMar>
            <w:vAlign w:val="bottom"/>
            <w:hideMark/>
          </w:tcPr>
          <w:p w14:paraId="585E15D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686D505C" w14:textId="77777777" w:rsidTr="00141675">
        <w:tc>
          <w:tcPr>
            <w:tcW w:w="11964" w:type="dxa"/>
            <w:shd w:val="clear" w:color="auto" w:fill="CFF0FC"/>
            <w:tcMar>
              <w:top w:w="15" w:type="dxa"/>
              <w:left w:w="0" w:type="dxa"/>
              <w:bottom w:w="0" w:type="dxa"/>
              <w:right w:w="15" w:type="dxa"/>
            </w:tcMar>
            <w:hideMark/>
          </w:tcPr>
          <w:p w14:paraId="10E50898" w14:textId="77777777" w:rsidR="00141675" w:rsidRPr="00141675" w:rsidRDefault="00141675" w:rsidP="00141675">
            <w:pPr>
              <w:widowControl/>
              <w:ind w:left="68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other comprehensive loss, net</w:t>
            </w:r>
          </w:p>
        </w:tc>
        <w:tc>
          <w:tcPr>
            <w:tcW w:w="270" w:type="dxa"/>
            <w:shd w:val="clear" w:color="auto" w:fill="CFF0FC"/>
            <w:tcMar>
              <w:top w:w="15" w:type="dxa"/>
              <w:left w:w="0" w:type="dxa"/>
              <w:bottom w:w="0" w:type="dxa"/>
              <w:right w:w="15" w:type="dxa"/>
            </w:tcMar>
            <w:vAlign w:val="bottom"/>
            <w:hideMark/>
          </w:tcPr>
          <w:p w14:paraId="3D876D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F6EC67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7C1898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(66</w:t>
            </w:r>
          </w:p>
        </w:tc>
        <w:tc>
          <w:tcPr>
            <w:tcW w:w="191" w:type="dxa"/>
            <w:shd w:val="clear" w:color="auto" w:fill="CFF0FC"/>
            <w:noWrap/>
            <w:tcMar>
              <w:top w:w="15" w:type="dxa"/>
              <w:left w:w="0" w:type="dxa"/>
              <w:bottom w:w="0" w:type="dxa"/>
              <w:right w:w="15" w:type="dxa"/>
            </w:tcMar>
            <w:vAlign w:val="bottom"/>
            <w:hideMark/>
          </w:tcPr>
          <w:p w14:paraId="46C6750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70" w:type="dxa"/>
            <w:shd w:val="clear" w:color="auto" w:fill="CFF0FC"/>
            <w:tcMar>
              <w:top w:w="15" w:type="dxa"/>
              <w:left w:w="0" w:type="dxa"/>
              <w:bottom w:w="0" w:type="dxa"/>
              <w:right w:w="15" w:type="dxa"/>
            </w:tcMar>
            <w:vAlign w:val="bottom"/>
            <w:hideMark/>
          </w:tcPr>
          <w:p w14:paraId="468598F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E491CE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5E5E0F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(199</w:t>
            </w:r>
          </w:p>
        </w:tc>
        <w:tc>
          <w:tcPr>
            <w:tcW w:w="191" w:type="dxa"/>
            <w:shd w:val="clear" w:color="auto" w:fill="CFF0FC"/>
            <w:noWrap/>
            <w:tcMar>
              <w:top w:w="15" w:type="dxa"/>
              <w:left w:w="0" w:type="dxa"/>
              <w:bottom w:w="0" w:type="dxa"/>
              <w:right w:w="15" w:type="dxa"/>
            </w:tcMar>
            <w:vAlign w:val="bottom"/>
            <w:hideMark/>
          </w:tcPr>
          <w:p w14:paraId="7EF36B6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70" w:type="dxa"/>
            <w:shd w:val="clear" w:color="auto" w:fill="CFF0FC"/>
            <w:tcMar>
              <w:top w:w="15" w:type="dxa"/>
              <w:left w:w="0" w:type="dxa"/>
              <w:bottom w:w="0" w:type="dxa"/>
              <w:right w:w="15" w:type="dxa"/>
            </w:tcMar>
            <w:vAlign w:val="bottom"/>
            <w:hideMark/>
          </w:tcPr>
          <w:p w14:paraId="5B6BE678"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5756F4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653" w:type="dxa"/>
            <w:tcBorders>
              <w:bottom w:val="single" w:sz="6" w:space="0" w:color="000000"/>
            </w:tcBorders>
            <w:shd w:val="clear" w:color="auto" w:fill="CFF0FC"/>
            <w:noWrap/>
            <w:tcMar>
              <w:top w:w="15" w:type="dxa"/>
              <w:left w:w="0" w:type="dxa"/>
              <w:bottom w:w="0" w:type="dxa"/>
              <w:right w:w="15" w:type="dxa"/>
            </w:tcMar>
            <w:vAlign w:val="bottom"/>
            <w:hideMark/>
          </w:tcPr>
          <w:p w14:paraId="153A969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w:t>
            </w:r>
          </w:p>
        </w:tc>
        <w:tc>
          <w:tcPr>
            <w:tcW w:w="191" w:type="dxa"/>
            <w:shd w:val="clear" w:color="auto" w:fill="CFF0FC"/>
            <w:noWrap/>
            <w:tcMar>
              <w:top w:w="15" w:type="dxa"/>
              <w:left w:w="0" w:type="dxa"/>
              <w:bottom w:w="0" w:type="dxa"/>
              <w:right w:w="15" w:type="dxa"/>
            </w:tcMar>
            <w:vAlign w:val="bottom"/>
            <w:hideMark/>
          </w:tcPr>
          <w:p w14:paraId="03AEECC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70" w:type="dxa"/>
            <w:shd w:val="clear" w:color="auto" w:fill="CFF0FC"/>
            <w:tcMar>
              <w:top w:w="15" w:type="dxa"/>
              <w:left w:w="0" w:type="dxa"/>
              <w:bottom w:w="0" w:type="dxa"/>
              <w:right w:w="15" w:type="dxa"/>
            </w:tcMar>
            <w:vAlign w:val="bottom"/>
            <w:hideMark/>
          </w:tcPr>
          <w:p w14:paraId="68BD64C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4D1119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3" w:type="dxa"/>
            <w:tcBorders>
              <w:bottom w:val="single" w:sz="6" w:space="0" w:color="000000"/>
            </w:tcBorders>
            <w:shd w:val="clear" w:color="auto" w:fill="CFF0FC"/>
            <w:noWrap/>
            <w:tcMar>
              <w:top w:w="15" w:type="dxa"/>
              <w:left w:w="0" w:type="dxa"/>
              <w:bottom w:w="0" w:type="dxa"/>
              <w:right w:w="15" w:type="dxa"/>
            </w:tcMar>
            <w:vAlign w:val="bottom"/>
            <w:hideMark/>
          </w:tcPr>
          <w:p w14:paraId="239DD1F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(276</w:t>
            </w:r>
          </w:p>
        </w:tc>
        <w:tc>
          <w:tcPr>
            <w:tcW w:w="193" w:type="dxa"/>
            <w:shd w:val="clear" w:color="auto" w:fill="CFF0FC"/>
            <w:noWrap/>
            <w:tcMar>
              <w:top w:w="15" w:type="dxa"/>
              <w:left w:w="0" w:type="dxa"/>
              <w:bottom w:w="0" w:type="dxa"/>
              <w:right w:w="15" w:type="dxa"/>
            </w:tcMar>
            <w:vAlign w:val="bottom"/>
            <w:hideMark/>
          </w:tcPr>
          <w:p w14:paraId="788D86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502326B5" w14:textId="77777777" w:rsidTr="00141675">
        <w:tc>
          <w:tcPr>
            <w:tcW w:w="11964" w:type="dxa"/>
            <w:shd w:val="clear" w:color="auto" w:fill="FFFFFF"/>
            <w:tcMar>
              <w:top w:w="15" w:type="dxa"/>
              <w:left w:w="0" w:type="dxa"/>
              <w:bottom w:w="0" w:type="dxa"/>
              <w:right w:w="15" w:type="dxa"/>
            </w:tcMar>
            <w:hideMark/>
          </w:tcPr>
          <w:p w14:paraId="44B0C97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Comprehensive income</w:t>
            </w:r>
          </w:p>
        </w:tc>
        <w:tc>
          <w:tcPr>
            <w:tcW w:w="270" w:type="dxa"/>
            <w:shd w:val="clear" w:color="auto" w:fill="FFFFFF"/>
            <w:tcMar>
              <w:top w:w="15" w:type="dxa"/>
              <w:left w:w="0" w:type="dxa"/>
              <w:bottom w:w="0" w:type="dxa"/>
              <w:right w:w="15" w:type="dxa"/>
            </w:tcMar>
            <w:vAlign w:val="bottom"/>
            <w:hideMark/>
          </w:tcPr>
          <w:p w14:paraId="4D2CBC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51331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240"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22CFE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2,245</w:t>
            </w:r>
          </w:p>
        </w:tc>
        <w:tc>
          <w:tcPr>
            <w:tcW w:w="191" w:type="dxa"/>
            <w:shd w:val="clear" w:color="auto" w:fill="FFFFFF"/>
            <w:noWrap/>
            <w:tcMar>
              <w:top w:w="15" w:type="dxa"/>
              <w:left w:w="0" w:type="dxa"/>
              <w:bottom w:w="0" w:type="dxa"/>
              <w:right w:w="15" w:type="dxa"/>
            </w:tcMar>
            <w:vAlign w:val="bottom"/>
            <w:hideMark/>
          </w:tcPr>
          <w:p w14:paraId="488FA29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495E7A6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88B076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240"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A6EA0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2,134</w:t>
            </w:r>
          </w:p>
        </w:tc>
        <w:tc>
          <w:tcPr>
            <w:tcW w:w="191" w:type="dxa"/>
            <w:shd w:val="clear" w:color="auto" w:fill="FFFFFF"/>
            <w:noWrap/>
            <w:tcMar>
              <w:top w:w="15" w:type="dxa"/>
              <w:left w:w="0" w:type="dxa"/>
              <w:bottom w:w="0" w:type="dxa"/>
              <w:right w:w="15" w:type="dxa"/>
            </w:tcMar>
            <w:vAlign w:val="bottom"/>
            <w:hideMark/>
          </w:tcPr>
          <w:p w14:paraId="566D0DE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30BBE87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D297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65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0F94B1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4,439</w:t>
            </w:r>
          </w:p>
        </w:tc>
        <w:tc>
          <w:tcPr>
            <w:tcW w:w="191" w:type="dxa"/>
            <w:shd w:val="clear" w:color="auto" w:fill="FFFFFF"/>
            <w:noWrap/>
            <w:tcMar>
              <w:top w:w="15" w:type="dxa"/>
              <w:left w:w="0" w:type="dxa"/>
              <w:bottom w:w="0" w:type="dxa"/>
              <w:right w:w="15" w:type="dxa"/>
            </w:tcMar>
            <w:vAlign w:val="bottom"/>
            <w:hideMark/>
          </w:tcPr>
          <w:p w14:paraId="66C2F09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70" w:type="dxa"/>
            <w:shd w:val="clear" w:color="auto" w:fill="FFFFFF"/>
            <w:tcMar>
              <w:top w:w="15" w:type="dxa"/>
              <w:left w:w="0" w:type="dxa"/>
              <w:bottom w:w="0" w:type="dxa"/>
              <w:right w:w="15" w:type="dxa"/>
            </w:tcMar>
            <w:vAlign w:val="bottom"/>
            <w:hideMark/>
          </w:tcPr>
          <w:p w14:paraId="5F93FFD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CB673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42E5E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4,322</w:t>
            </w:r>
          </w:p>
        </w:tc>
        <w:tc>
          <w:tcPr>
            <w:tcW w:w="193" w:type="dxa"/>
            <w:shd w:val="clear" w:color="auto" w:fill="FFFFFF"/>
            <w:noWrap/>
            <w:tcMar>
              <w:top w:w="15" w:type="dxa"/>
              <w:left w:w="0" w:type="dxa"/>
              <w:bottom w:w="0" w:type="dxa"/>
              <w:right w:w="15" w:type="dxa"/>
            </w:tcMar>
            <w:vAlign w:val="bottom"/>
            <w:hideMark/>
          </w:tcPr>
          <w:p w14:paraId="027B52C6"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6F90D11C"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21B30A79" w14:textId="77777777" w:rsidR="00141675" w:rsidRPr="00141675" w:rsidRDefault="00141675" w:rsidP="00141675">
      <w:pPr>
        <w:widowControl/>
        <w:rPr>
          <w:rFonts w:ascii="Times New Roman" w:eastAsia="宋体" w:hAnsi="Times New Roman" w:cs="Times New Roman" w:hint="eastAsia"/>
          <w:color w:val="000000"/>
          <w:kern w:val="0"/>
          <w:sz w:val="27"/>
          <w:szCs w:val="27"/>
        </w:rPr>
      </w:pPr>
      <w:r w:rsidRPr="00141675">
        <w:rPr>
          <w:rFonts w:ascii="Times New Roman" w:eastAsia="宋体" w:hAnsi="Times New Roman" w:cs="Times New Roman"/>
          <w:color w:val="000000"/>
          <w:kern w:val="0"/>
          <w:sz w:val="27"/>
          <w:szCs w:val="27"/>
        </w:rPr>
        <w:t> </w:t>
      </w:r>
    </w:p>
    <w:p w14:paraId="6CA57BA0" w14:textId="77777777" w:rsidR="00141675" w:rsidRPr="00141675" w:rsidRDefault="00141675" w:rsidP="00141675">
      <w:pPr>
        <w:widowControl/>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p w14:paraId="2384A7C2" w14:textId="77777777" w:rsidR="00141675" w:rsidRPr="00141675" w:rsidRDefault="00141675" w:rsidP="00141675">
      <w:pPr>
        <w:widowControl/>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p w14:paraId="3324700E" w14:textId="77777777" w:rsidR="00141675" w:rsidRPr="00141675" w:rsidRDefault="00141675" w:rsidP="00141675">
      <w:pPr>
        <w:widowControl/>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See notes to condensed consolidated financial statements.</w:t>
      </w:r>
    </w:p>
    <w:p w14:paraId="17EB93DE"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439469C4" w14:textId="77777777" w:rsidR="00141675" w:rsidRPr="00141675" w:rsidRDefault="00141675" w:rsidP="00141675">
      <w:pPr>
        <w:widowControl/>
        <w:spacing w:before="240"/>
        <w:jc w:val="center"/>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t>5</w:t>
      </w:r>
    </w:p>
    <w:p w14:paraId="2FAA4DEF"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004C95C1">
          <v:rect id="_x0000_i1031" style="width:0;height:1.5pt" o:hralign="center" o:hrstd="t" o:hrnoshade="t" o:hr="t" fillcolor="black" stroked="f"/>
        </w:pict>
      </w:r>
    </w:p>
    <w:p w14:paraId="337C9979" w14:textId="77777777" w:rsidR="00141675" w:rsidRPr="00141675" w:rsidRDefault="00141675" w:rsidP="00141675">
      <w:pPr>
        <w:widowControl/>
        <w:jc w:val="left"/>
        <w:rPr>
          <w:rFonts w:ascii="Calibri" w:eastAsia="宋体" w:hAnsi="Calibri" w:cs="Calibri"/>
          <w:b/>
          <w:bCs/>
          <w:color w:val="000000"/>
          <w:kern w:val="0"/>
          <w:sz w:val="20"/>
          <w:szCs w:val="20"/>
        </w:rPr>
      </w:pPr>
      <w:hyperlink r:id="rId28" w:anchor="TABLE_CONTENTS" w:history="1">
        <w:r w:rsidRPr="00141675">
          <w:rPr>
            <w:rFonts w:ascii="Calibri" w:eastAsia="宋体" w:hAnsi="Calibri" w:cs="Calibri"/>
            <w:b/>
            <w:bCs/>
            <w:color w:val="0000FF"/>
            <w:kern w:val="0"/>
            <w:sz w:val="20"/>
            <w:szCs w:val="20"/>
            <w:u w:val="single"/>
          </w:rPr>
          <w:t>Table of Contents</w:t>
        </w:r>
      </w:hyperlink>
    </w:p>
    <w:p w14:paraId="4E189404"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1FF34E39"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540CA258"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CONDENSED CONSOLIDATED STATEMENTS OF EQUITY</w:t>
      </w:r>
    </w:p>
    <w:p w14:paraId="03BCE84F"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For the Three and Six Months Ended November 30, 2019 and 2018</w:t>
      </w:r>
    </w:p>
    <w:p w14:paraId="0128C61E"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14450ED8" w14:textId="77777777" w:rsidR="00141675" w:rsidRPr="00141675" w:rsidRDefault="00141675" w:rsidP="00141675">
      <w:pPr>
        <w:widowControl/>
        <w:jc w:val="left"/>
        <w:rPr>
          <w:rFonts w:ascii="Times New Roman" w:eastAsia="宋体" w:hAnsi="Times New Roman" w:cs="Times New Roman"/>
          <w:b/>
          <w:bCs/>
          <w:color w:val="000000"/>
          <w:kern w:val="0"/>
          <w:sz w:val="16"/>
          <w:szCs w:val="16"/>
        </w:rPr>
      </w:pPr>
      <w:r w:rsidRPr="00141675">
        <w:rPr>
          <w:rFonts w:ascii="Times New Roman" w:eastAsia="宋体" w:hAnsi="Times New Roman" w:cs="Times New Roman"/>
          <w:b/>
          <w:bCs/>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2484"/>
        <w:gridCol w:w="283"/>
        <w:gridCol w:w="199"/>
        <w:gridCol w:w="1328"/>
        <w:gridCol w:w="199"/>
        <w:gridCol w:w="283"/>
        <w:gridCol w:w="199"/>
        <w:gridCol w:w="1374"/>
        <w:gridCol w:w="199"/>
        <w:gridCol w:w="283"/>
        <w:gridCol w:w="199"/>
        <w:gridCol w:w="1328"/>
        <w:gridCol w:w="199"/>
        <w:gridCol w:w="283"/>
        <w:gridCol w:w="199"/>
        <w:gridCol w:w="1374"/>
        <w:gridCol w:w="201"/>
      </w:tblGrid>
      <w:tr w:rsidR="00141675" w:rsidRPr="00141675" w14:paraId="5004F734" w14:textId="77777777" w:rsidTr="00141675">
        <w:tc>
          <w:tcPr>
            <w:tcW w:w="12460" w:type="dxa"/>
            <w:shd w:val="clear" w:color="auto" w:fill="FFFFFF"/>
            <w:tcMar>
              <w:top w:w="15" w:type="dxa"/>
              <w:left w:w="0" w:type="dxa"/>
              <w:bottom w:w="0" w:type="dxa"/>
              <w:right w:w="15" w:type="dxa"/>
            </w:tcMar>
            <w:vAlign w:val="bottom"/>
            <w:hideMark/>
          </w:tcPr>
          <w:p w14:paraId="385732D0" w14:textId="77777777" w:rsidR="00141675" w:rsidRPr="00141675" w:rsidRDefault="00141675" w:rsidP="00141675">
            <w:pPr>
              <w:widowControl/>
              <w:jc w:val="left"/>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282" w:type="dxa"/>
            <w:shd w:val="clear" w:color="auto" w:fill="FFFFFF"/>
            <w:tcMar>
              <w:top w:w="15" w:type="dxa"/>
              <w:left w:w="0" w:type="dxa"/>
              <w:bottom w:w="0" w:type="dxa"/>
              <w:right w:w="15" w:type="dxa"/>
            </w:tcMar>
            <w:vAlign w:val="bottom"/>
            <w:hideMark/>
          </w:tcPr>
          <w:p w14:paraId="0445195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3551" w:type="dxa"/>
            <w:gridSpan w:val="6"/>
            <w:tcBorders>
              <w:bottom w:val="single" w:sz="6" w:space="0" w:color="000000"/>
            </w:tcBorders>
            <w:shd w:val="clear" w:color="auto" w:fill="FFFFFF"/>
            <w:tcMar>
              <w:top w:w="15" w:type="dxa"/>
              <w:left w:w="0" w:type="dxa"/>
              <w:bottom w:w="0" w:type="dxa"/>
              <w:right w:w="15" w:type="dxa"/>
            </w:tcMar>
            <w:vAlign w:val="bottom"/>
            <w:hideMark/>
          </w:tcPr>
          <w:p w14:paraId="69E9CA3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48FF6EE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0A4D91D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82" w:type="dxa"/>
            <w:shd w:val="clear" w:color="auto" w:fill="FFFFFF"/>
            <w:tcMar>
              <w:top w:w="15" w:type="dxa"/>
              <w:left w:w="0" w:type="dxa"/>
              <w:bottom w:w="0" w:type="dxa"/>
              <w:right w:w="15" w:type="dxa"/>
            </w:tcMar>
            <w:vAlign w:val="bottom"/>
            <w:hideMark/>
          </w:tcPr>
          <w:p w14:paraId="5CE0D8B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3551" w:type="dxa"/>
            <w:gridSpan w:val="6"/>
            <w:tcBorders>
              <w:bottom w:val="single" w:sz="6" w:space="0" w:color="000000"/>
            </w:tcBorders>
            <w:shd w:val="clear" w:color="auto" w:fill="FFFFFF"/>
            <w:tcMar>
              <w:top w:w="15" w:type="dxa"/>
              <w:left w:w="0" w:type="dxa"/>
              <w:bottom w:w="0" w:type="dxa"/>
              <w:right w:w="15" w:type="dxa"/>
            </w:tcMar>
            <w:vAlign w:val="bottom"/>
            <w:hideMark/>
          </w:tcPr>
          <w:p w14:paraId="38E6EF1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0E6F6D4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3" w:type="dxa"/>
            <w:shd w:val="clear" w:color="auto" w:fill="FFFFFF"/>
            <w:noWrap/>
            <w:tcMar>
              <w:top w:w="15" w:type="dxa"/>
              <w:left w:w="0" w:type="dxa"/>
              <w:bottom w:w="0" w:type="dxa"/>
              <w:right w:w="15" w:type="dxa"/>
            </w:tcMar>
            <w:vAlign w:val="bottom"/>
            <w:hideMark/>
          </w:tcPr>
          <w:p w14:paraId="63BFCC1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3DBB720" w14:textId="77777777" w:rsidTr="00141675">
        <w:tc>
          <w:tcPr>
            <w:tcW w:w="12460" w:type="dxa"/>
            <w:tcBorders>
              <w:bottom w:val="single" w:sz="6" w:space="0" w:color="000000"/>
            </w:tcBorders>
            <w:shd w:val="clear" w:color="auto" w:fill="FFFFFF"/>
            <w:tcMar>
              <w:top w:w="15" w:type="dxa"/>
              <w:left w:w="0" w:type="dxa"/>
              <w:bottom w:w="0" w:type="dxa"/>
              <w:right w:w="15" w:type="dxa"/>
            </w:tcMar>
            <w:vAlign w:val="bottom"/>
            <w:hideMark/>
          </w:tcPr>
          <w:p w14:paraId="698C5AD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 except per share data)</w:t>
            </w:r>
          </w:p>
        </w:tc>
        <w:tc>
          <w:tcPr>
            <w:tcW w:w="282" w:type="dxa"/>
            <w:shd w:val="clear" w:color="auto" w:fill="FFFFFF"/>
            <w:tcMar>
              <w:top w:w="15" w:type="dxa"/>
              <w:left w:w="0" w:type="dxa"/>
              <w:bottom w:w="0" w:type="dxa"/>
              <w:right w:w="15" w:type="dxa"/>
            </w:tcMar>
            <w:vAlign w:val="bottom"/>
            <w:hideMark/>
          </w:tcPr>
          <w:p w14:paraId="4886830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1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B5CE2C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575D51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82" w:type="dxa"/>
            <w:tcBorders>
              <w:top w:val="single" w:sz="6" w:space="0" w:color="000000"/>
            </w:tcBorders>
            <w:shd w:val="clear" w:color="auto" w:fill="FFFFFF"/>
            <w:tcMar>
              <w:top w:w="15" w:type="dxa"/>
              <w:left w:w="0" w:type="dxa"/>
              <w:bottom w:w="0" w:type="dxa"/>
              <w:right w:w="15" w:type="dxa"/>
            </w:tcMar>
            <w:vAlign w:val="bottom"/>
            <w:hideMark/>
          </w:tcPr>
          <w:p w14:paraId="747C047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1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C3CC1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7678F18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82" w:type="dxa"/>
            <w:shd w:val="clear" w:color="auto" w:fill="FFFFFF"/>
            <w:tcMar>
              <w:top w:w="15" w:type="dxa"/>
              <w:left w:w="0" w:type="dxa"/>
              <w:bottom w:w="0" w:type="dxa"/>
              <w:right w:w="15" w:type="dxa"/>
            </w:tcMar>
            <w:vAlign w:val="bottom"/>
            <w:hideMark/>
          </w:tcPr>
          <w:p w14:paraId="18D5E4B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1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0B3137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0FED32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82" w:type="dxa"/>
            <w:tcBorders>
              <w:top w:val="single" w:sz="6" w:space="0" w:color="000000"/>
            </w:tcBorders>
            <w:shd w:val="clear" w:color="auto" w:fill="FFFFFF"/>
            <w:tcMar>
              <w:top w:w="15" w:type="dxa"/>
              <w:left w:w="0" w:type="dxa"/>
              <w:bottom w:w="0" w:type="dxa"/>
              <w:right w:w="15" w:type="dxa"/>
            </w:tcMar>
            <w:vAlign w:val="bottom"/>
            <w:hideMark/>
          </w:tcPr>
          <w:p w14:paraId="5AF6B8C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16"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1CC7E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592D8F3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1EB3E57" w14:textId="77777777" w:rsidTr="00141675">
        <w:tc>
          <w:tcPr>
            <w:tcW w:w="12460" w:type="dxa"/>
            <w:tcBorders>
              <w:top w:val="single" w:sz="6" w:space="0" w:color="000000"/>
            </w:tcBorders>
            <w:shd w:val="clear" w:color="auto" w:fill="CFF0FC"/>
            <w:tcMar>
              <w:top w:w="15" w:type="dxa"/>
              <w:left w:w="0" w:type="dxa"/>
              <w:bottom w:w="0" w:type="dxa"/>
              <w:right w:w="15" w:type="dxa"/>
            </w:tcMar>
            <w:hideMark/>
          </w:tcPr>
          <w:p w14:paraId="5F0D1C6B"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Common stock and additional paid in capital</w:t>
            </w:r>
          </w:p>
        </w:tc>
        <w:tc>
          <w:tcPr>
            <w:tcW w:w="282" w:type="dxa"/>
            <w:shd w:val="clear" w:color="auto" w:fill="CFF0FC"/>
            <w:tcMar>
              <w:top w:w="15" w:type="dxa"/>
              <w:left w:w="0" w:type="dxa"/>
              <w:bottom w:w="0" w:type="dxa"/>
              <w:right w:w="15" w:type="dxa"/>
            </w:tcMar>
            <w:vAlign w:val="bottom"/>
            <w:hideMark/>
          </w:tcPr>
          <w:p w14:paraId="15080DE4"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1098F3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16C7EAFA"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0E8E431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82" w:type="dxa"/>
            <w:shd w:val="clear" w:color="auto" w:fill="CFF0FC"/>
            <w:tcMar>
              <w:top w:w="15" w:type="dxa"/>
              <w:left w:w="0" w:type="dxa"/>
              <w:bottom w:w="0" w:type="dxa"/>
              <w:right w:w="15" w:type="dxa"/>
            </w:tcMar>
            <w:vAlign w:val="bottom"/>
            <w:hideMark/>
          </w:tcPr>
          <w:p w14:paraId="02B009F8"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67B2F4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2ED2B6BB"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64B8E3E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82" w:type="dxa"/>
            <w:shd w:val="clear" w:color="auto" w:fill="CFF0FC"/>
            <w:tcMar>
              <w:top w:w="15" w:type="dxa"/>
              <w:left w:w="0" w:type="dxa"/>
              <w:bottom w:w="0" w:type="dxa"/>
              <w:right w:w="15" w:type="dxa"/>
            </w:tcMar>
            <w:vAlign w:val="bottom"/>
            <w:hideMark/>
          </w:tcPr>
          <w:p w14:paraId="240CB339"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644470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5466CA83"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0673E90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82" w:type="dxa"/>
            <w:shd w:val="clear" w:color="auto" w:fill="CFF0FC"/>
            <w:tcMar>
              <w:top w:w="15" w:type="dxa"/>
              <w:left w:w="0" w:type="dxa"/>
              <w:bottom w:w="0" w:type="dxa"/>
              <w:right w:w="15" w:type="dxa"/>
            </w:tcMar>
            <w:vAlign w:val="bottom"/>
            <w:hideMark/>
          </w:tcPr>
          <w:p w14:paraId="27C02297"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0FBBB4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310" w:type="dxa"/>
            <w:tcBorders>
              <w:top w:val="single" w:sz="6" w:space="0" w:color="000000"/>
            </w:tcBorders>
            <w:shd w:val="clear" w:color="auto" w:fill="CFF0FC"/>
            <w:noWrap/>
            <w:tcMar>
              <w:top w:w="15" w:type="dxa"/>
              <w:left w:w="0" w:type="dxa"/>
              <w:bottom w:w="0" w:type="dxa"/>
              <w:right w:w="15" w:type="dxa"/>
            </w:tcMar>
            <w:vAlign w:val="bottom"/>
            <w:hideMark/>
          </w:tcPr>
          <w:p w14:paraId="244D0E2E"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CFF0FC"/>
            <w:noWrap/>
            <w:tcMar>
              <w:top w:w="15" w:type="dxa"/>
              <w:left w:w="0" w:type="dxa"/>
              <w:bottom w:w="0" w:type="dxa"/>
              <w:right w:w="15" w:type="dxa"/>
            </w:tcMar>
            <w:vAlign w:val="bottom"/>
            <w:hideMark/>
          </w:tcPr>
          <w:p w14:paraId="3B25BDB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6E572928" w14:textId="77777777" w:rsidTr="00141675">
        <w:tc>
          <w:tcPr>
            <w:tcW w:w="12460" w:type="dxa"/>
            <w:shd w:val="clear" w:color="auto" w:fill="FFFFFF"/>
            <w:tcMar>
              <w:top w:w="15" w:type="dxa"/>
              <w:left w:w="0" w:type="dxa"/>
              <w:bottom w:w="0" w:type="dxa"/>
              <w:right w:w="15" w:type="dxa"/>
            </w:tcMar>
            <w:hideMark/>
          </w:tcPr>
          <w:p w14:paraId="28C35FE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Balance, beginning of period</w:t>
            </w:r>
          </w:p>
        </w:tc>
        <w:tc>
          <w:tcPr>
            <w:tcW w:w="282" w:type="dxa"/>
            <w:shd w:val="clear" w:color="auto" w:fill="FFFFFF"/>
            <w:tcMar>
              <w:top w:w="15" w:type="dxa"/>
              <w:left w:w="0" w:type="dxa"/>
              <w:bottom w:w="0" w:type="dxa"/>
              <w:right w:w="15" w:type="dxa"/>
            </w:tcMar>
            <w:vAlign w:val="bottom"/>
            <w:hideMark/>
          </w:tcPr>
          <w:p w14:paraId="6A43FC82"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4D3AF94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FFFFFF"/>
            <w:noWrap/>
            <w:tcMar>
              <w:top w:w="15" w:type="dxa"/>
              <w:left w:w="0" w:type="dxa"/>
              <w:bottom w:w="0" w:type="dxa"/>
              <w:right w:w="15" w:type="dxa"/>
            </w:tcMar>
            <w:vAlign w:val="bottom"/>
            <w:hideMark/>
          </w:tcPr>
          <w:p w14:paraId="6A79911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26,450</w:t>
            </w:r>
          </w:p>
        </w:tc>
        <w:tc>
          <w:tcPr>
            <w:tcW w:w="191" w:type="dxa"/>
            <w:shd w:val="clear" w:color="auto" w:fill="FFFFFF"/>
            <w:noWrap/>
            <w:tcMar>
              <w:top w:w="15" w:type="dxa"/>
              <w:left w:w="0" w:type="dxa"/>
              <w:bottom w:w="0" w:type="dxa"/>
              <w:right w:w="15" w:type="dxa"/>
            </w:tcMar>
            <w:vAlign w:val="bottom"/>
            <w:hideMark/>
          </w:tcPr>
          <w:p w14:paraId="54BF6AE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E751A6D"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7D83A0C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FFFFFF"/>
            <w:noWrap/>
            <w:tcMar>
              <w:top w:w="15" w:type="dxa"/>
              <w:left w:w="0" w:type="dxa"/>
              <w:bottom w:w="0" w:type="dxa"/>
              <w:right w:w="15" w:type="dxa"/>
            </w:tcMar>
            <w:vAlign w:val="bottom"/>
            <w:hideMark/>
          </w:tcPr>
          <w:p w14:paraId="3DBB388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27,811</w:t>
            </w:r>
          </w:p>
        </w:tc>
        <w:tc>
          <w:tcPr>
            <w:tcW w:w="191" w:type="dxa"/>
            <w:shd w:val="clear" w:color="auto" w:fill="FFFFFF"/>
            <w:noWrap/>
            <w:tcMar>
              <w:top w:w="15" w:type="dxa"/>
              <w:left w:w="0" w:type="dxa"/>
              <w:bottom w:w="0" w:type="dxa"/>
              <w:right w:w="15" w:type="dxa"/>
            </w:tcMar>
            <w:vAlign w:val="bottom"/>
            <w:hideMark/>
          </w:tcPr>
          <w:p w14:paraId="527444D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182F0D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75E02B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FFFFFF"/>
            <w:noWrap/>
            <w:tcMar>
              <w:top w:w="15" w:type="dxa"/>
              <w:left w:w="0" w:type="dxa"/>
              <w:bottom w:w="0" w:type="dxa"/>
              <w:right w:w="15" w:type="dxa"/>
            </w:tcMar>
            <w:vAlign w:val="bottom"/>
            <w:hideMark/>
          </w:tcPr>
          <w:p w14:paraId="5C9A9FB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26,909</w:t>
            </w:r>
          </w:p>
        </w:tc>
        <w:tc>
          <w:tcPr>
            <w:tcW w:w="191" w:type="dxa"/>
            <w:shd w:val="clear" w:color="auto" w:fill="FFFFFF"/>
            <w:noWrap/>
            <w:tcMar>
              <w:top w:w="15" w:type="dxa"/>
              <w:left w:w="0" w:type="dxa"/>
              <w:bottom w:w="0" w:type="dxa"/>
              <w:right w:w="15" w:type="dxa"/>
            </w:tcMar>
            <w:vAlign w:val="bottom"/>
            <w:hideMark/>
          </w:tcPr>
          <w:p w14:paraId="32EEE22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11672A3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DCA77D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FFFFFF"/>
            <w:noWrap/>
            <w:tcMar>
              <w:top w:w="15" w:type="dxa"/>
              <w:left w:w="0" w:type="dxa"/>
              <w:bottom w:w="0" w:type="dxa"/>
              <w:right w:w="15" w:type="dxa"/>
            </w:tcMar>
            <w:vAlign w:val="bottom"/>
            <w:hideMark/>
          </w:tcPr>
          <w:p w14:paraId="1B64250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28,950</w:t>
            </w:r>
          </w:p>
        </w:tc>
        <w:tc>
          <w:tcPr>
            <w:tcW w:w="193" w:type="dxa"/>
            <w:shd w:val="clear" w:color="auto" w:fill="FFFFFF"/>
            <w:noWrap/>
            <w:tcMar>
              <w:top w:w="15" w:type="dxa"/>
              <w:left w:w="0" w:type="dxa"/>
              <w:bottom w:w="0" w:type="dxa"/>
              <w:right w:w="15" w:type="dxa"/>
            </w:tcMar>
            <w:vAlign w:val="bottom"/>
            <w:hideMark/>
          </w:tcPr>
          <w:p w14:paraId="6BEC968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61127589" w14:textId="77777777" w:rsidTr="00141675">
        <w:tc>
          <w:tcPr>
            <w:tcW w:w="12460" w:type="dxa"/>
            <w:shd w:val="clear" w:color="auto" w:fill="CFF0FC"/>
            <w:tcMar>
              <w:top w:w="15" w:type="dxa"/>
              <w:left w:w="0" w:type="dxa"/>
              <w:bottom w:w="0" w:type="dxa"/>
              <w:right w:w="15" w:type="dxa"/>
            </w:tcMar>
            <w:hideMark/>
          </w:tcPr>
          <w:p w14:paraId="20D2D04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Common stock issued</w:t>
            </w:r>
          </w:p>
        </w:tc>
        <w:tc>
          <w:tcPr>
            <w:tcW w:w="282" w:type="dxa"/>
            <w:shd w:val="clear" w:color="auto" w:fill="CFF0FC"/>
            <w:tcMar>
              <w:top w:w="15" w:type="dxa"/>
              <w:left w:w="0" w:type="dxa"/>
              <w:bottom w:w="0" w:type="dxa"/>
              <w:right w:w="15" w:type="dxa"/>
            </w:tcMar>
            <w:vAlign w:val="bottom"/>
            <w:hideMark/>
          </w:tcPr>
          <w:p w14:paraId="528C16AB"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634E7BC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54EF837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301</w:t>
            </w:r>
          </w:p>
        </w:tc>
        <w:tc>
          <w:tcPr>
            <w:tcW w:w="191" w:type="dxa"/>
            <w:shd w:val="clear" w:color="auto" w:fill="CFF0FC"/>
            <w:noWrap/>
            <w:tcMar>
              <w:top w:w="15" w:type="dxa"/>
              <w:left w:w="0" w:type="dxa"/>
              <w:bottom w:w="0" w:type="dxa"/>
              <w:right w:w="15" w:type="dxa"/>
            </w:tcMar>
            <w:vAlign w:val="bottom"/>
            <w:hideMark/>
          </w:tcPr>
          <w:p w14:paraId="0392737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2463BDBF"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2173205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58ACFFF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727</w:t>
            </w:r>
          </w:p>
        </w:tc>
        <w:tc>
          <w:tcPr>
            <w:tcW w:w="191" w:type="dxa"/>
            <w:shd w:val="clear" w:color="auto" w:fill="CFF0FC"/>
            <w:noWrap/>
            <w:tcMar>
              <w:top w:w="15" w:type="dxa"/>
              <w:left w:w="0" w:type="dxa"/>
              <w:bottom w:w="0" w:type="dxa"/>
              <w:right w:w="15" w:type="dxa"/>
            </w:tcMar>
            <w:vAlign w:val="bottom"/>
            <w:hideMark/>
          </w:tcPr>
          <w:p w14:paraId="7FE4E72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0B8461A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0A38DE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4D8793E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617</w:t>
            </w:r>
          </w:p>
        </w:tc>
        <w:tc>
          <w:tcPr>
            <w:tcW w:w="191" w:type="dxa"/>
            <w:shd w:val="clear" w:color="auto" w:fill="CFF0FC"/>
            <w:noWrap/>
            <w:tcMar>
              <w:top w:w="15" w:type="dxa"/>
              <w:left w:w="0" w:type="dxa"/>
              <w:bottom w:w="0" w:type="dxa"/>
              <w:right w:w="15" w:type="dxa"/>
            </w:tcMar>
            <w:vAlign w:val="bottom"/>
            <w:hideMark/>
          </w:tcPr>
          <w:p w14:paraId="6542261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35BC0F0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A99751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3C2E666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1,026</w:t>
            </w:r>
          </w:p>
        </w:tc>
        <w:tc>
          <w:tcPr>
            <w:tcW w:w="193" w:type="dxa"/>
            <w:shd w:val="clear" w:color="auto" w:fill="CFF0FC"/>
            <w:noWrap/>
            <w:tcMar>
              <w:top w:w="15" w:type="dxa"/>
              <w:left w:w="0" w:type="dxa"/>
              <w:bottom w:w="0" w:type="dxa"/>
              <w:right w:w="15" w:type="dxa"/>
            </w:tcMar>
            <w:vAlign w:val="bottom"/>
            <w:hideMark/>
          </w:tcPr>
          <w:p w14:paraId="5B1C205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254EBAB1" w14:textId="77777777" w:rsidTr="00141675">
        <w:tc>
          <w:tcPr>
            <w:tcW w:w="12460" w:type="dxa"/>
            <w:shd w:val="clear" w:color="auto" w:fill="FFFFFF"/>
            <w:tcMar>
              <w:top w:w="15" w:type="dxa"/>
              <w:left w:w="0" w:type="dxa"/>
              <w:bottom w:w="0" w:type="dxa"/>
              <w:right w:w="15" w:type="dxa"/>
            </w:tcMar>
            <w:hideMark/>
          </w:tcPr>
          <w:p w14:paraId="1C33FC3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Stock-based compensation</w:t>
            </w:r>
          </w:p>
        </w:tc>
        <w:tc>
          <w:tcPr>
            <w:tcW w:w="282" w:type="dxa"/>
            <w:shd w:val="clear" w:color="auto" w:fill="FFFFFF"/>
            <w:tcMar>
              <w:top w:w="15" w:type="dxa"/>
              <w:left w:w="0" w:type="dxa"/>
              <w:bottom w:w="0" w:type="dxa"/>
              <w:right w:w="15" w:type="dxa"/>
            </w:tcMar>
            <w:vAlign w:val="bottom"/>
            <w:hideMark/>
          </w:tcPr>
          <w:p w14:paraId="1160601E"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39541B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6AC1ADF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397</w:t>
            </w:r>
          </w:p>
        </w:tc>
        <w:tc>
          <w:tcPr>
            <w:tcW w:w="191" w:type="dxa"/>
            <w:shd w:val="clear" w:color="auto" w:fill="FFFFFF"/>
            <w:noWrap/>
            <w:tcMar>
              <w:top w:w="15" w:type="dxa"/>
              <w:left w:w="0" w:type="dxa"/>
              <w:bottom w:w="0" w:type="dxa"/>
              <w:right w:w="15" w:type="dxa"/>
            </w:tcMar>
            <w:vAlign w:val="bottom"/>
            <w:hideMark/>
          </w:tcPr>
          <w:p w14:paraId="233CCC4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6E74B16D"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0DC79E4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3E10EBF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396</w:t>
            </w:r>
          </w:p>
        </w:tc>
        <w:tc>
          <w:tcPr>
            <w:tcW w:w="191" w:type="dxa"/>
            <w:shd w:val="clear" w:color="auto" w:fill="FFFFFF"/>
            <w:noWrap/>
            <w:tcMar>
              <w:top w:w="15" w:type="dxa"/>
              <w:left w:w="0" w:type="dxa"/>
              <w:bottom w:w="0" w:type="dxa"/>
              <w:right w:w="15" w:type="dxa"/>
            </w:tcMar>
            <w:vAlign w:val="bottom"/>
            <w:hideMark/>
          </w:tcPr>
          <w:p w14:paraId="2A39C74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59E2F5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08A892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7DBB61C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843</w:t>
            </w:r>
          </w:p>
        </w:tc>
        <w:tc>
          <w:tcPr>
            <w:tcW w:w="191" w:type="dxa"/>
            <w:shd w:val="clear" w:color="auto" w:fill="FFFFFF"/>
            <w:noWrap/>
            <w:tcMar>
              <w:top w:w="15" w:type="dxa"/>
              <w:left w:w="0" w:type="dxa"/>
              <w:bottom w:w="0" w:type="dxa"/>
              <w:right w:w="15" w:type="dxa"/>
            </w:tcMar>
            <w:vAlign w:val="bottom"/>
            <w:hideMark/>
          </w:tcPr>
          <w:p w14:paraId="18A2B7E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3576042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B89B02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3C3757D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832</w:t>
            </w:r>
          </w:p>
        </w:tc>
        <w:tc>
          <w:tcPr>
            <w:tcW w:w="193" w:type="dxa"/>
            <w:shd w:val="clear" w:color="auto" w:fill="FFFFFF"/>
            <w:noWrap/>
            <w:tcMar>
              <w:top w:w="15" w:type="dxa"/>
              <w:left w:w="0" w:type="dxa"/>
              <w:bottom w:w="0" w:type="dxa"/>
              <w:right w:w="15" w:type="dxa"/>
            </w:tcMar>
            <w:vAlign w:val="bottom"/>
            <w:hideMark/>
          </w:tcPr>
          <w:p w14:paraId="3231386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023CE8BF" w14:textId="77777777" w:rsidTr="00141675">
        <w:tc>
          <w:tcPr>
            <w:tcW w:w="12460" w:type="dxa"/>
            <w:shd w:val="clear" w:color="auto" w:fill="CFF0FC"/>
            <w:tcMar>
              <w:top w:w="15" w:type="dxa"/>
              <w:left w:w="0" w:type="dxa"/>
              <w:bottom w:w="0" w:type="dxa"/>
              <w:right w:w="15" w:type="dxa"/>
            </w:tcMar>
            <w:hideMark/>
          </w:tcPr>
          <w:p w14:paraId="585CCCE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Repurchase of common stock</w:t>
            </w:r>
          </w:p>
        </w:tc>
        <w:tc>
          <w:tcPr>
            <w:tcW w:w="282" w:type="dxa"/>
            <w:shd w:val="clear" w:color="auto" w:fill="CFF0FC"/>
            <w:tcMar>
              <w:top w:w="15" w:type="dxa"/>
              <w:left w:w="0" w:type="dxa"/>
              <w:bottom w:w="0" w:type="dxa"/>
              <w:right w:w="15" w:type="dxa"/>
            </w:tcMar>
            <w:vAlign w:val="bottom"/>
            <w:hideMark/>
          </w:tcPr>
          <w:p w14:paraId="7B2D8106"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1BBBAB7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09AE618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(727</w:t>
            </w:r>
          </w:p>
        </w:tc>
        <w:tc>
          <w:tcPr>
            <w:tcW w:w="191" w:type="dxa"/>
            <w:shd w:val="clear" w:color="auto" w:fill="CFF0FC"/>
            <w:noWrap/>
            <w:tcMar>
              <w:top w:w="15" w:type="dxa"/>
              <w:left w:w="0" w:type="dxa"/>
              <w:bottom w:w="0" w:type="dxa"/>
              <w:right w:w="15" w:type="dxa"/>
            </w:tcMar>
            <w:vAlign w:val="bottom"/>
            <w:hideMark/>
          </w:tcPr>
          <w:p w14:paraId="01E05BB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172AABD6"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5B0EE0F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64DA869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(1,467</w:t>
            </w:r>
          </w:p>
        </w:tc>
        <w:tc>
          <w:tcPr>
            <w:tcW w:w="191" w:type="dxa"/>
            <w:shd w:val="clear" w:color="auto" w:fill="CFF0FC"/>
            <w:noWrap/>
            <w:tcMar>
              <w:top w:w="15" w:type="dxa"/>
              <w:left w:w="0" w:type="dxa"/>
              <w:bottom w:w="0" w:type="dxa"/>
              <w:right w:w="15" w:type="dxa"/>
            </w:tcMar>
            <w:vAlign w:val="bottom"/>
            <w:hideMark/>
          </w:tcPr>
          <w:p w14:paraId="2E69C3D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2A8AF46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FCF29C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3983662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(1,434</w:t>
            </w:r>
          </w:p>
        </w:tc>
        <w:tc>
          <w:tcPr>
            <w:tcW w:w="191" w:type="dxa"/>
            <w:shd w:val="clear" w:color="auto" w:fill="CFF0FC"/>
            <w:noWrap/>
            <w:tcMar>
              <w:top w:w="15" w:type="dxa"/>
              <w:left w:w="0" w:type="dxa"/>
              <w:bottom w:w="0" w:type="dxa"/>
              <w:right w:w="15" w:type="dxa"/>
            </w:tcMar>
            <w:vAlign w:val="bottom"/>
            <w:hideMark/>
          </w:tcPr>
          <w:p w14:paraId="00F2C75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7CD691B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EA151B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1DC94B2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(2,963</w:t>
            </w:r>
          </w:p>
        </w:tc>
        <w:tc>
          <w:tcPr>
            <w:tcW w:w="193" w:type="dxa"/>
            <w:shd w:val="clear" w:color="auto" w:fill="CFF0FC"/>
            <w:noWrap/>
            <w:tcMar>
              <w:top w:w="15" w:type="dxa"/>
              <w:left w:w="0" w:type="dxa"/>
              <w:bottom w:w="0" w:type="dxa"/>
              <w:right w:w="15" w:type="dxa"/>
            </w:tcMar>
            <w:vAlign w:val="bottom"/>
            <w:hideMark/>
          </w:tcPr>
          <w:p w14:paraId="4E53DC7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64CE8CDC" w14:textId="77777777" w:rsidTr="00141675">
        <w:tc>
          <w:tcPr>
            <w:tcW w:w="12460" w:type="dxa"/>
            <w:shd w:val="clear" w:color="auto" w:fill="FFFFFF"/>
            <w:tcMar>
              <w:top w:w="15" w:type="dxa"/>
              <w:left w:w="0" w:type="dxa"/>
              <w:bottom w:w="0" w:type="dxa"/>
              <w:right w:w="15" w:type="dxa"/>
            </w:tcMar>
            <w:hideMark/>
          </w:tcPr>
          <w:p w14:paraId="75B9870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Other, net</w:t>
            </w:r>
          </w:p>
        </w:tc>
        <w:tc>
          <w:tcPr>
            <w:tcW w:w="282" w:type="dxa"/>
            <w:shd w:val="clear" w:color="auto" w:fill="FFFFFF"/>
            <w:tcMar>
              <w:top w:w="15" w:type="dxa"/>
              <w:left w:w="0" w:type="dxa"/>
              <w:bottom w:w="0" w:type="dxa"/>
              <w:right w:w="15" w:type="dxa"/>
            </w:tcMar>
            <w:vAlign w:val="bottom"/>
            <w:hideMark/>
          </w:tcPr>
          <w:p w14:paraId="697D243A"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0E3C76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3D645C7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(47</w:t>
            </w:r>
          </w:p>
        </w:tc>
        <w:tc>
          <w:tcPr>
            <w:tcW w:w="191" w:type="dxa"/>
            <w:shd w:val="clear" w:color="auto" w:fill="FFFFFF"/>
            <w:noWrap/>
            <w:tcMar>
              <w:top w:w="15" w:type="dxa"/>
              <w:left w:w="0" w:type="dxa"/>
              <w:bottom w:w="0" w:type="dxa"/>
              <w:right w:w="15" w:type="dxa"/>
            </w:tcMar>
            <w:vAlign w:val="bottom"/>
            <w:hideMark/>
          </w:tcPr>
          <w:p w14:paraId="4E3CB3C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09C9971D"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5B6E16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23F1997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(37</w:t>
            </w:r>
          </w:p>
        </w:tc>
        <w:tc>
          <w:tcPr>
            <w:tcW w:w="191" w:type="dxa"/>
            <w:shd w:val="clear" w:color="auto" w:fill="FFFFFF"/>
            <w:noWrap/>
            <w:tcMar>
              <w:top w:w="15" w:type="dxa"/>
              <w:left w:w="0" w:type="dxa"/>
              <w:bottom w:w="0" w:type="dxa"/>
              <w:right w:w="15" w:type="dxa"/>
            </w:tcMar>
            <w:vAlign w:val="bottom"/>
            <w:hideMark/>
          </w:tcPr>
          <w:p w14:paraId="06991F6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3B57977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A5A047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5A6A6CC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(561</w:t>
            </w:r>
          </w:p>
        </w:tc>
        <w:tc>
          <w:tcPr>
            <w:tcW w:w="191" w:type="dxa"/>
            <w:shd w:val="clear" w:color="auto" w:fill="FFFFFF"/>
            <w:noWrap/>
            <w:tcMar>
              <w:top w:w="15" w:type="dxa"/>
              <w:left w:w="0" w:type="dxa"/>
              <w:bottom w:w="0" w:type="dxa"/>
              <w:right w:w="15" w:type="dxa"/>
            </w:tcMar>
            <w:vAlign w:val="bottom"/>
            <w:hideMark/>
          </w:tcPr>
          <w:p w14:paraId="3FDCBBF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1223646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2D0427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3A93017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(415</w:t>
            </w:r>
          </w:p>
        </w:tc>
        <w:tc>
          <w:tcPr>
            <w:tcW w:w="193" w:type="dxa"/>
            <w:shd w:val="clear" w:color="auto" w:fill="FFFFFF"/>
            <w:noWrap/>
            <w:tcMar>
              <w:top w:w="15" w:type="dxa"/>
              <w:left w:w="0" w:type="dxa"/>
              <w:bottom w:w="0" w:type="dxa"/>
              <w:right w:w="15" w:type="dxa"/>
            </w:tcMar>
            <w:vAlign w:val="bottom"/>
            <w:hideMark/>
          </w:tcPr>
          <w:p w14:paraId="34ACD0A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478B3FE2" w14:textId="77777777" w:rsidTr="00141675">
        <w:tc>
          <w:tcPr>
            <w:tcW w:w="12460" w:type="dxa"/>
            <w:shd w:val="clear" w:color="auto" w:fill="CFF0FC"/>
            <w:tcMar>
              <w:top w:w="15" w:type="dxa"/>
              <w:left w:w="0" w:type="dxa"/>
              <w:bottom w:w="0" w:type="dxa"/>
              <w:right w:w="15" w:type="dxa"/>
            </w:tcMar>
            <w:hideMark/>
          </w:tcPr>
          <w:p w14:paraId="62FEB21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Balance, end of period</w:t>
            </w:r>
          </w:p>
        </w:tc>
        <w:tc>
          <w:tcPr>
            <w:tcW w:w="282" w:type="dxa"/>
            <w:shd w:val="clear" w:color="auto" w:fill="CFF0FC"/>
            <w:tcMar>
              <w:top w:w="15" w:type="dxa"/>
              <w:left w:w="0" w:type="dxa"/>
              <w:bottom w:w="0" w:type="dxa"/>
              <w:right w:w="15" w:type="dxa"/>
            </w:tcMar>
            <w:vAlign w:val="bottom"/>
            <w:hideMark/>
          </w:tcPr>
          <w:p w14:paraId="60039C02"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584EFA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7EA242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26,374</w:t>
            </w:r>
          </w:p>
        </w:tc>
        <w:tc>
          <w:tcPr>
            <w:tcW w:w="191" w:type="dxa"/>
            <w:shd w:val="clear" w:color="auto" w:fill="CFF0FC"/>
            <w:noWrap/>
            <w:tcMar>
              <w:top w:w="15" w:type="dxa"/>
              <w:left w:w="0" w:type="dxa"/>
              <w:bottom w:w="0" w:type="dxa"/>
              <w:right w:w="15" w:type="dxa"/>
            </w:tcMar>
            <w:vAlign w:val="bottom"/>
            <w:hideMark/>
          </w:tcPr>
          <w:p w14:paraId="4C7A6B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0F732F1C"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0E2F93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E80C8F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27,430</w:t>
            </w:r>
          </w:p>
        </w:tc>
        <w:tc>
          <w:tcPr>
            <w:tcW w:w="191" w:type="dxa"/>
            <w:shd w:val="clear" w:color="auto" w:fill="CFF0FC"/>
            <w:noWrap/>
            <w:tcMar>
              <w:top w:w="15" w:type="dxa"/>
              <w:left w:w="0" w:type="dxa"/>
              <w:bottom w:w="0" w:type="dxa"/>
              <w:right w:w="15" w:type="dxa"/>
            </w:tcMar>
            <w:vAlign w:val="bottom"/>
            <w:hideMark/>
          </w:tcPr>
          <w:p w14:paraId="1DA9A45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1012487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872D32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81C25E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26,374</w:t>
            </w:r>
          </w:p>
        </w:tc>
        <w:tc>
          <w:tcPr>
            <w:tcW w:w="191" w:type="dxa"/>
            <w:shd w:val="clear" w:color="auto" w:fill="CFF0FC"/>
            <w:noWrap/>
            <w:tcMar>
              <w:top w:w="15" w:type="dxa"/>
              <w:left w:w="0" w:type="dxa"/>
              <w:bottom w:w="0" w:type="dxa"/>
              <w:right w:w="15" w:type="dxa"/>
            </w:tcMar>
            <w:vAlign w:val="bottom"/>
            <w:hideMark/>
          </w:tcPr>
          <w:p w14:paraId="4AE831B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48C7346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D32633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114B18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27,430</w:t>
            </w:r>
          </w:p>
        </w:tc>
        <w:tc>
          <w:tcPr>
            <w:tcW w:w="193" w:type="dxa"/>
            <w:shd w:val="clear" w:color="auto" w:fill="CFF0FC"/>
            <w:noWrap/>
            <w:tcMar>
              <w:top w:w="15" w:type="dxa"/>
              <w:left w:w="0" w:type="dxa"/>
              <w:bottom w:w="0" w:type="dxa"/>
              <w:right w:w="15" w:type="dxa"/>
            </w:tcMar>
            <w:vAlign w:val="bottom"/>
            <w:hideMark/>
          </w:tcPr>
          <w:p w14:paraId="01EBA0F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12B3F0DF" w14:textId="77777777" w:rsidTr="00141675">
        <w:tc>
          <w:tcPr>
            <w:tcW w:w="12460" w:type="dxa"/>
            <w:shd w:val="clear" w:color="auto" w:fill="FFFFFF"/>
            <w:tcMar>
              <w:top w:w="15" w:type="dxa"/>
              <w:left w:w="0" w:type="dxa"/>
              <w:bottom w:w="0" w:type="dxa"/>
              <w:right w:w="15" w:type="dxa"/>
            </w:tcMar>
            <w:hideMark/>
          </w:tcPr>
          <w:p w14:paraId="441E894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(Accumulated deficit) retained earnings</w:t>
            </w:r>
          </w:p>
        </w:tc>
        <w:tc>
          <w:tcPr>
            <w:tcW w:w="282" w:type="dxa"/>
            <w:shd w:val="clear" w:color="auto" w:fill="FFFFFF"/>
            <w:tcMar>
              <w:top w:w="15" w:type="dxa"/>
              <w:left w:w="0" w:type="dxa"/>
              <w:bottom w:w="0" w:type="dxa"/>
              <w:right w:w="15" w:type="dxa"/>
            </w:tcMar>
            <w:vAlign w:val="bottom"/>
            <w:hideMark/>
          </w:tcPr>
          <w:p w14:paraId="628496BF"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1397FB3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FFFFFF"/>
            <w:noWrap/>
            <w:tcMar>
              <w:top w:w="15" w:type="dxa"/>
              <w:left w:w="0" w:type="dxa"/>
              <w:bottom w:w="0" w:type="dxa"/>
              <w:right w:w="15" w:type="dxa"/>
            </w:tcMar>
            <w:vAlign w:val="bottom"/>
            <w:hideMark/>
          </w:tcPr>
          <w:p w14:paraId="488C96E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485679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1CE4FA7B"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176A119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FFFFFF"/>
            <w:noWrap/>
            <w:tcMar>
              <w:top w:w="15" w:type="dxa"/>
              <w:left w:w="0" w:type="dxa"/>
              <w:bottom w:w="0" w:type="dxa"/>
              <w:right w:w="15" w:type="dxa"/>
            </w:tcMar>
            <w:vAlign w:val="bottom"/>
            <w:hideMark/>
          </w:tcPr>
          <w:p w14:paraId="5B3247B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2F7151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BF1281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D9BC32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FFFFFF"/>
            <w:noWrap/>
            <w:tcMar>
              <w:top w:w="15" w:type="dxa"/>
              <w:left w:w="0" w:type="dxa"/>
              <w:bottom w:w="0" w:type="dxa"/>
              <w:right w:w="15" w:type="dxa"/>
            </w:tcMar>
            <w:vAlign w:val="bottom"/>
            <w:hideMark/>
          </w:tcPr>
          <w:p w14:paraId="5B9BD13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3B52D0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88D326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BD41AA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FFFFFF"/>
            <w:noWrap/>
            <w:tcMar>
              <w:top w:w="15" w:type="dxa"/>
              <w:left w:w="0" w:type="dxa"/>
              <w:bottom w:w="0" w:type="dxa"/>
              <w:right w:w="15" w:type="dxa"/>
            </w:tcMar>
            <w:vAlign w:val="bottom"/>
            <w:hideMark/>
          </w:tcPr>
          <w:p w14:paraId="530F1BB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3" w:type="dxa"/>
            <w:shd w:val="clear" w:color="auto" w:fill="FFFFFF"/>
            <w:noWrap/>
            <w:tcMar>
              <w:top w:w="15" w:type="dxa"/>
              <w:left w:w="0" w:type="dxa"/>
              <w:bottom w:w="0" w:type="dxa"/>
              <w:right w:w="15" w:type="dxa"/>
            </w:tcMar>
            <w:vAlign w:val="bottom"/>
            <w:hideMark/>
          </w:tcPr>
          <w:p w14:paraId="05A7D57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1B65837F" w14:textId="77777777" w:rsidTr="00141675">
        <w:tc>
          <w:tcPr>
            <w:tcW w:w="12460" w:type="dxa"/>
            <w:shd w:val="clear" w:color="auto" w:fill="CFF0FC"/>
            <w:tcMar>
              <w:top w:w="15" w:type="dxa"/>
              <w:left w:w="0" w:type="dxa"/>
              <w:bottom w:w="0" w:type="dxa"/>
              <w:right w:w="15" w:type="dxa"/>
            </w:tcMar>
            <w:hideMark/>
          </w:tcPr>
          <w:p w14:paraId="1C2C63E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Balance, beginning of period</w:t>
            </w:r>
          </w:p>
        </w:tc>
        <w:tc>
          <w:tcPr>
            <w:tcW w:w="282" w:type="dxa"/>
            <w:shd w:val="clear" w:color="auto" w:fill="CFF0FC"/>
            <w:tcMar>
              <w:top w:w="15" w:type="dxa"/>
              <w:left w:w="0" w:type="dxa"/>
              <w:bottom w:w="0" w:type="dxa"/>
              <w:right w:w="15" w:type="dxa"/>
            </w:tcMar>
            <w:vAlign w:val="bottom"/>
            <w:hideMark/>
          </w:tcPr>
          <w:p w14:paraId="6E01FE18"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5D7DC2B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CFF0FC"/>
            <w:noWrap/>
            <w:tcMar>
              <w:top w:w="15" w:type="dxa"/>
              <w:left w:w="0" w:type="dxa"/>
              <w:bottom w:w="0" w:type="dxa"/>
              <w:right w:w="15" w:type="dxa"/>
            </w:tcMar>
            <w:vAlign w:val="bottom"/>
            <w:hideMark/>
          </w:tcPr>
          <w:p w14:paraId="3CA5061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(6,446</w:t>
            </w:r>
          </w:p>
        </w:tc>
        <w:tc>
          <w:tcPr>
            <w:tcW w:w="191" w:type="dxa"/>
            <w:shd w:val="clear" w:color="auto" w:fill="CFF0FC"/>
            <w:noWrap/>
            <w:tcMar>
              <w:top w:w="15" w:type="dxa"/>
              <w:left w:w="0" w:type="dxa"/>
              <w:bottom w:w="0" w:type="dxa"/>
              <w:right w:w="15" w:type="dxa"/>
            </w:tcMar>
            <w:vAlign w:val="bottom"/>
            <w:hideMark/>
          </w:tcPr>
          <w:p w14:paraId="21E8292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627F93DC"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53583ED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CFF0FC"/>
            <w:noWrap/>
            <w:tcMar>
              <w:top w:w="15" w:type="dxa"/>
              <w:left w:w="0" w:type="dxa"/>
              <w:bottom w:w="0" w:type="dxa"/>
              <w:right w:w="15" w:type="dxa"/>
            </w:tcMar>
            <w:vAlign w:val="bottom"/>
            <w:hideMark/>
          </w:tcPr>
          <w:p w14:paraId="7B6F380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12,022</w:t>
            </w:r>
          </w:p>
        </w:tc>
        <w:tc>
          <w:tcPr>
            <w:tcW w:w="191" w:type="dxa"/>
            <w:shd w:val="clear" w:color="auto" w:fill="CFF0FC"/>
            <w:noWrap/>
            <w:tcMar>
              <w:top w:w="15" w:type="dxa"/>
              <w:left w:w="0" w:type="dxa"/>
              <w:bottom w:w="0" w:type="dxa"/>
              <w:right w:w="15" w:type="dxa"/>
            </w:tcMar>
            <w:vAlign w:val="bottom"/>
            <w:hideMark/>
          </w:tcPr>
          <w:p w14:paraId="74C5961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B1D0FF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4FAFF9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CFF0FC"/>
            <w:noWrap/>
            <w:tcMar>
              <w:top w:w="15" w:type="dxa"/>
              <w:left w:w="0" w:type="dxa"/>
              <w:bottom w:w="0" w:type="dxa"/>
              <w:right w:w="15" w:type="dxa"/>
            </w:tcMar>
            <w:vAlign w:val="bottom"/>
            <w:hideMark/>
          </w:tcPr>
          <w:p w14:paraId="2C2C949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(3,496</w:t>
            </w:r>
          </w:p>
        </w:tc>
        <w:tc>
          <w:tcPr>
            <w:tcW w:w="191" w:type="dxa"/>
            <w:shd w:val="clear" w:color="auto" w:fill="CFF0FC"/>
            <w:noWrap/>
            <w:tcMar>
              <w:top w:w="15" w:type="dxa"/>
              <w:left w:w="0" w:type="dxa"/>
              <w:bottom w:w="0" w:type="dxa"/>
              <w:right w:w="15" w:type="dxa"/>
            </w:tcMar>
            <w:vAlign w:val="bottom"/>
            <w:hideMark/>
          </w:tcPr>
          <w:p w14:paraId="454DDA1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56B4B81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E0811D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CFF0FC"/>
            <w:noWrap/>
            <w:tcMar>
              <w:top w:w="15" w:type="dxa"/>
              <w:left w:w="0" w:type="dxa"/>
              <w:bottom w:w="0" w:type="dxa"/>
              <w:right w:w="15" w:type="dxa"/>
            </w:tcMar>
            <w:vAlign w:val="bottom"/>
            <w:hideMark/>
          </w:tcPr>
          <w:p w14:paraId="46A2499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19,111</w:t>
            </w:r>
          </w:p>
        </w:tc>
        <w:tc>
          <w:tcPr>
            <w:tcW w:w="193" w:type="dxa"/>
            <w:shd w:val="clear" w:color="auto" w:fill="CFF0FC"/>
            <w:noWrap/>
            <w:tcMar>
              <w:top w:w="15" w:type="dxa"/>
              <w:left w:w="0" w:type="dxa"/>
              <w:bottom w:w="0" w:type="dxa"/>
              <w:right w:w="15" w:type="dxa"/>
            </w:tcMar>
            <w:vAlign w:val="bottom"/>
            <w:hideMark/>
          </w:tcPr>
          <w:p w14:paraId="5AEEEF7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26D18966" w14:textId="77777777" w:rsidTr="00141675">
        <w:tc>
          <w:tcPr>
            <w:tcW w:w="12460" w:type="dxa"/>
            <w:shd w:val="clear" w:color="auto" w:fill="FFFFFF"/>
            <w:tcMar>
              <w:top w:w="15" w:type="dxa"/>
              <w:left w:w="0" w:type="dxa"/>
              <w:bottom w:w="0" w:type="dxa"/>
              <w:right w:w="15" w:type="dxa"/>
            </w:tcMar>
            <w:hideMark/>
          </w:tcPr>
          <w:p w14:paraId="20725BC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Cumulative-effect of accounting change</w:t>
            </w:r>
          </w:p>
        </w:tc>
        <w:tc>
          <w:tcPr>
            <w:tcW w:w="282" w:type="dxa"/>
            <w:shd w:val="clear" w:color="auto" w:fill="FFFFFF"/>
            <w:tcMar>
              <w:top w:w="15" w:type="dxa"/>
              <w:left w:w="0" w:type="dxa"/>
              <w:bottom w:w="0" w:type="dxa"/>
              <w:right w:w="15" w:type="dxa"/>
            </w:tcMar>
            <w:vAlign w:val="bottom"/>
            <w:hideMark/>
          </w:tcPr>
          <w:p w14:paraId="5E36D2ED"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7846C9C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4EB8B96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1FAD8F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60555EAE"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461E103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0A60705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30C1633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608DB2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CCC1F4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5DD9359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70E9EEA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975156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BC29B6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73D1BFB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(110</w:t>
            </w:r>
          </w:p>
        </w:tc>
        <w:tc>
          <w:tcPr>
            <w:tcW w:w="193" w:type="dxa"/>
            <w:shd w:val="clear" w:color="auto" w:fill="FFFFFF"/>
            <w:noWrap/>
            <w:tcMar>
              <w:top w:w="15" w:type="dxa"/>
              <w:left w:w="0" w:type="dxa"/>
              <w:bottom w:w="0" w:type="dxa"/>
              <w:right w:w="15" w:type="dxa"/>
            </w:tcMar>
            <w:vAlign w:val="bottom"/>
            <w:hideMark/>
          </w:tcPr>
          <w:p w14:paraId="50B40FD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4F86ACE9" w14:textId="77777777" w:rsidTr="00141675">
        <w:tc>
          <w:tcPr>
            <w:tcW w:w="12460" w:type="dxa"/>
            <w:shd w:val="clear" w:color="auto" w:fill="CFF0FC"/>
            <w:tcMar>
              <w:top w:w="15" w:type="dxa"/>
              <w:left w:w="0" w:type="dxa"/>
              <w:bottom w:w="0" w:type="dxa"/>
              <w:right w:w="15" w:type="dxa"/>
            </w:tcMar>
            <w:hideMark/>
          </w:tcPr>
          <w:p w14:paraId="4F90C80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Repurchase of common stock</w:t>
            </w:r>
          </w:p>
        </w:tc>
        <w:tc>
          <w:tcPr>
            <w:tcW w:w="282" w:type="dxa"/>
            <w:shd w:val="clear" w:color="auto" w:fill="CFF0FC"/>
            <w:tcMar>
              <w:top w:w="15" w:type="dxa"/>
              <w:left w:w="0" w:type="dxa"/>
              <w:bottom w:w="0" w:type="dxa"/>
              <w:right w:w="15" w:type="dxa"/>
            </w:tcMar>
            <w:vAlign w:val="bottom"/>
            <w:hideMark/>
          </w:tcPr>
          <w:p w14:paraId="005764D5"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33C3E52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7D3A84E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(4,273</w:t>
            </w:r>
          </w:p>
        </w:tc>
        <w:tc>
          <w:tcPr>
            <w:tcW w:w="191" w:type="dxa"/>
            <w:shd w:val="clear" w:color="auto" w:fill="CFF0FC"/>
            <w:noWrap/>
            <w:tcMar>
              <w:top w:w="15" w:type="dxa"/>
              <w:left w:w="0" w:type="dxa"/>
              <w:bottom w:w="0" w:type="dxa"/>
              <w:right w:w="15" w:type="dxa"/>
            </w:tcMar>
            <w:vAlign w:val="bottom"/>
            <w:hideMark/>
          </w:tcPr>
          <w:p w14:paraId="4909463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03D7A418"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02BEE6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70A5C49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(8,534</w:t>
            </w:r>
          </w:p>
        </w:tc>
        <w:tc>
          <w:tcPr>
            <w:tcW w:w="191" w:type="dxa"/>
            <w:shd w:val="clear" w:color="auto" w:fill="CFF0FC"/>
            <w:noWrap/>
            <w:tcMar>
              <w:top w:w="15" w:type="dxa"/>
              <w:left w:w="0" w:type="dxa"/>
              <w:bottom w:w="0" w:type="dxa"/>
              <w:right w:w="15" w:type="dxa"/>
            </w:tcMar>
            <w:vAlign w:val="bottom"/>
            <w:hideMark/>
          </w:tcPr>
          <w:p w14:paraId="22737AA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4334054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DBBFEC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702A5E7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(8,566</w:t>
            </w:r>
          </w:p>
        </w:tc>
        <w:tc>
          <w:tcPr>
            <w:tcW w:w="191" w:type="dxa"/>
            <w:shd w:val="clear" w:color="auto" w:fill="CFF0FC"/>
            <w:noWrap/>
            <w:tcMar>
              <w:top w:w="15" w:type="dxa"/>
              <w:left w:w="0" w:type="dxa"/>
              <w:bottom w:w="0" w:type="dxa"/>
              <w:right w:w="15" w:type="dxa"/>
            </w:tcMar>
            <w:vAlign w:val="bottom"/>
            <w:hideMark/>
          </w:tcPr>
          <w:p w14:paraId="2477590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119EE17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73C8B7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08BF2A0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(17,038</w:t>
            </w:r>
          </w:p>
        </w:tc>
        <w:tc>
          <w:tcPr>
            <w:tcW w:w="193" w:type="dxa"/>
            <w:shd w:val="clear" w:color="auto" w:fill="CFF0FC"/>
            <w:noWrap/>
            <w:tcMar>
              <w:top w:w="15" w:type="dxa"/>
              <w:left w:w="0" w:type="dxa"/>
              <w:bottom w:w="0" w:type="dxa"/>
              <w:right w:w="15" w:type="dxa"/>
            </w:tcMar>
            <w:vAlign w:val="bottom"/>
            <w:hideMark/>
          </w:tcPr>
          <w:p w14:paraId="28BC01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612A592E" w14:textId="77777777" w:rsidTr="00141675">
        <w:tc>
          <w:tcPr>
            <w:tcW w:w="12460" w:type="dxa"/>
            <w:shd w:val="clear" w:color="auto" w:fill="FFFFFF"/>
            <w:tcMar>
              <w:top w:w="15" w:type="dxa"/>
              <w:left w:w="0" w:type="dxa"/>
              <w:bottom w:w="0" w:type="dxa"/>
              <w:right w:w="15" w:type="dxa"/>
            </w:tcMar>
            <w:hideMark/>
          </w:tcPr>
          <w:p w14:paraId="7CA4470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Cash dividends declared</w:t>
            </w:r>
          </w:p>
        </w:tc>
        <w:tc>
          <w:tcPr>
            <w:tcW w:w="282" w:type="dxa"/>
            <w:shd w:val="clear" w:color="auto" w:fill="FFFFFF"/>
            <w:tcMar>
              <w:top w:w="15" w:type="dxa"/>
              <w:left w:w="0" w:type="dxa"/>
              <w:bottom w:w="0" w:type="dxa"/>
              <w:right w:w="15" w:type="dxa"/>
            </w:tcMar>
            <w:vAlign w:val="bottom"/>
            <w:hideMark/>
          </w:tcPr>
          <w:p w14:paraId="4544BB78"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78D8B6C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2CE97F8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(767</w:t>
            </w:r>
          </w:p>
        </w:tc>
        <w:tc>
          <w:tcPr>
            <w:tcW w:w="191" w:type="dxa"/>
            <w:shd w:val="clear" w:color="auto" w:fill="FFFFFF"/>
            <w:noWrap/>
            <w:tcMar>
              <w:top w:w="15" w:type="dxa"/>
              <w:left w:w="0" w:type="dxa"/>
              <w:bottom w:w="0" w:type="dxa"/>
              <w:right w:w="15" w:type="dxa"/>
            </w:tcMar>
            <w:vAlign w:val="bottom"/>
            <w:hideMark/>
          </w:tcPr>
          <w:p w14:paraId="14CE72E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4F1BC4DD"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775C392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2809C2C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(714</w:t>
            </w:r>
          </w:p>
        </w:tc>
        <w:tc>
          <w:tcPr>
            <w:tcW w:w="191" w:type="dxa"/>
            <w:shd w:val="clear" w:color="auto" w:fill="FFFFFF"/>
            <w:noWrap/>
            <w:tcMar>
              <w:top w:w="15" w:type="dxa"/>
              <w:left w:w="0" w:type="dxa"/>
              <w:bottom w:w="0" w:type="dxa"/>
              <w:right w:w="15" w:type="dxa"/>
            </w:tcMar>
            <w:vAlign w:val="bottom"/>
            <w:hideMark/>
          </w:tcPr>
          <w:p w14:paraId="1982CAF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49B19B8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DA7970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6159C85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(1,562</w:t>
            </w:r>
          </w:p>
        </w:tc>
        <w:tc>
          <w:tcPr>
            <w:tcW w:w="191" w:type="dxa"/>
            <w:shd w:val="clear" w:color="auto" w:fill="FFFFFF"/>
            <w:noWrap/>
            <w:tcMar>
              <w:top w:w="15" w:type="dxa"/>
              <w:left w:w="0" w:type="dxa"/>
              <w:bottom w:w="0" w:type="dxa"/>
              <w:right w:w="15" w:type="dxa"/>
            </w:tcMar>
            <w:vAlign w:val="bottom"/>
            <w:hideMark/>
          </w:tcPr>
          <w:p w14:paraId="4C67F23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4AC534A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A81B56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2D17DB0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(1,456</w:t>
            </w:r>
          </w:p>
        </w:tc>
        <w:tc>
          <w:tcPr>
            <w:tcW w:w="193" w:type="dxa"/>
            <w:shd w:val="clear" w:color="auto" w:fill="FFFFFF"/>
            <w:noWrap/>
            <w:tcMar>
              <w:top w:w="15" w:type="dxa"/>
              <w:left w:w="0" w:type="dxa"/>
              <w:bottom w:w="0" w:type="dxa"/>
              <w:right w:w="15" w:type="dxa"/>
            </w:tcMar>
            <w:vAlign w:val="bottom"/>
            <w:hideMark/>
          </w:tcPr>
          <w:p w14:paraId="073A430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37EEDAF3" w14:textId="77777777" w:rsidTr="00141675">
        <w:tc>
          <w:tcPr>
            <w:tcW w:w="12460" w:type="dxa"/>
            <w:shd w:val="clear" w:color="auto" w:fill="CFF0FC"/>
            <w:tcMar>
              <w:top w:w="15" w:type="dxa"/>
              <w:left w:w="0" w:type="dxa"/>
              <w:bottom w:w="0" w:type="dxa"/>
              <w:right w:w="15" w:type="dxa"/>
            </w:tcMar>
            <w:hideMark/>
          </w:tcPr>
          <w:p w14:paraId="30AC1A4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Net income</w:t>
            </w:r>
          </w:p>
        </w:tc>
        <w:tc>
          <w:tcPr>
            <w:tcW w:w="282" w:type="dxa"/>
            <w:shd w:val="clear" w:color="auto" w:fill="CFF0FC"/>
            <w:tcMar>
              <w:top w:w="15" w:type="dxa"/>
              <w:left w:w="0" w:type="dxa"/>
              <w:bottom w:w="0" w:type="dxa"/>
              <w:right w:w="15" w:type="dxa"/>
            </w:tcMar>
            <w:vAlign w:val="bottom"/>
            <w:hideMark/>
          </w:tcPr>
          <w:p w14:paraId="55798E41"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335339B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1ADAF79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2,311</w:t>
            </w:r>
          </w:p>
        </w:tc>
        <w:tc>
          <w:tcPr>
            <w:tcW w:w="191" w:type="dxa"/>
            <w:shd w:val="clear" w:color="auto" w:fill="CFF0FC"/>
            <w:noWrap/>
            <w:tcMar>
              <w:top w:w="15" w:type="dxa"/>
              <w:left w:w="0" w:type="dxa"/>
              <w:bottom w:w="0" w:type="dxa"/>
              <w:right w:w="15" w:type="dxa"/>
            </w:tcMar>
            <w:vAlign w:val="bottom"/>
            <w:hideMark/>
          </w:tcPr>
          <w:p w14:paraId="5D59B70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5CF201E"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06100EE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3119160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2,333</w:t>
            </w:r>
          </w:p>
        </w:tc>
        <w:tc>
          <w:tcPr>
            <w:tcW w:w="191" w:type="dxa"/>
            <w:shd w:val="clear" w:color="auto" w:fill="CFF0FC"/>
            <w:noWrap/>
            <w:tcMar>
              <w:top w:w="15" w:type="dxa"/>
              <w:left w:w="0" w:type="dxa"/>
              <w:bottom w:w="0" w:type="dxa"/>
              <w:right w:w="15" w:type="dxa"/>
            </w:tcMar>
            <w:vAlign w:val="bottom"/>
            <w:hideMark/>
          </w:tcPr>
          <w:p w14:paraId="2A6FD1E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1ED47B5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88B713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7883644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4,448</w:t>
            </w:r>
          </w:p>
        </w:tc>
        <w:tc>
          <w:tcPr>
            <w:tcW w:w="191" w:type="dxa"/>
            <w:shd w:val="clear" w:color="auto" w:fill="CFF0FC"/>
            <w:noWrap/>
            <w:tcMar>
              <w:top w:w="15" w:type="dxa"/>
              <w:left w:w="0" w:type="dxa"/>
              <w:bottom w:w="0" w:type="dxa"/>
              <w:right w:w="15" w:type="dxa"/>
            </w:tcMar>
            <w:vAlign w:val="bottom"/>
            <w:hideMark/>
          </w:tcPr>
          <w:p w14:paraId="63AB106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34A1D93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0173F5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CFF0FC"/>
            <w:noWrap/>
            <w:tcMar>
              <w:top w:w="15" w:type="dxa"/>
              <w:left w:w="0" w:type="dxa"/>
              <w:bottom w:w="0" w:type="dxa"/>
              <w:right w:w="15" w:type="dxa"/>
            </w:tcMar>
            <w:vAlign w:val="bottom"/>
            <w:hideMark/>
          </w:tcPr>
          <w:p w14:paraId="56E4D79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4,598</w:t>
            </w:r>
          </w:p>
        </w:tc>
        <w:tc>
          <w:tcPr>
            <w:tcW w:w="193" w:type="dxa"/>
            <w:shd w:val="clear" w:color="auto" w:fill="CFF0FC"/>
            <w:noWrap/>
            <w:tcMar>
              <w:top w:w="15" w:type="dxa"/>
              <w:left w:w="0" w:type="dxa"/>
              <w:bottom w:w="0" w:type="dxa"/>
              <w:right w:w="15" w:type="dxa"/>
            </w:tcMar>
            <w:vAlign w:val="bottom"/>
            <w:hideMark/>
          </w:tcPr>
          <w:p w14:paraId="242EF16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7C1CC5F" w14:textId="77777777" w:rsidTr="00141675">
        <w:tc>
          <w:tcPr>
            <w:tcW w:w="12460" w:type="dxa"/>
            <w:shd w:val="clear" w:color="auto" w:fill="FFFFFF"/>
            <w:tcMar>
              <w:top w:w="15" w:type="dxa"/>
              <w:left w:w="0" w:type="dxa"/>
              <w:bottom w:w="0" w:type="dxa"/>
              <w:right w:w="15" w:type="dxa"/>
            </w:tcMar>
            <w:hideMark/>
          </w:tcPr>
          <w:p w14:paraId="6152656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Other, net</w:t>
            </w:r>
          </w:p>
        </w:tc>
        <w:tc>
          <w:tcPr>
            <w:tcW w:w="282" w:type="dxa"/>
            <w:shd w:val="clear" w:color="auto" w:fill="FFFFFF"/>
            <w:tcMar>
              <w:top w:w="15" w:type="dxa"/>
              <w:left w:w="0" w:type="dxa"/>
              <w:bottom w:w="0" w:type="dxa"/>
              <w:right w:w="15" w:type="dxa"/>
            </w:tcMar>
            <w:vAlign w:val="bottom"/>
            <w:hideMark/>
          </w:tcPr>
          <w:p w14:paraId="31092B69"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7D332C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0C511CF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191" w:type="dxa"/>
            <w:shd w:val="clear" w:color="auto" w:fill="FFFFFF"/>
            <w:noWrap/>
            <w:tcMar>
              <w:top w:w="15" w:type="dxa"/>
              <w:left w:w="0" w:type="dxa"/>
              <w:bottom w:w="0" w:type="dxa"/>
              <w:right w:w="15" w:type="dxa"/>
            </w:tcMar>
            <w:vAlign w:val="bottom"/>
            <w:hideMark/>
          </w:tcPr>
          <w:p w14:paraId="1ED133E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5AC10EA4"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B5B8EB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427F7E0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3012306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4D6B34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BA9AEC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37A2A9F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191" w:type="dxa"/>
            <w:shd w:val="clear" w:color="auto" w:fill="FFFFFF"/>
            <w:noWrap/>
            <w:tcMar>
              <w:top w:w="15" w:type="dxa"/>
              <w:left w:w="0" w:type="dxa"/>
              <w:bottom w:w="0" w:type="dxa"/>
              <w:right w:w="15" w:type="dxa"/>
            </w:tcMar>
            <w:vAlign w:val="bottom"/>
            <w:hideMark/>
          </w:tcPr>
          <w:p w14:paraId="765E251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14C1D97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BBFA81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FFFFFF"/>
            <w:noWrap/>
            <w:tcMar>
              <w:top w:w="15" w:type="dxa"/>
              <w:left w:w="0" w:type="dxa"/>
              <w:bottom w:w="0" w:type="dxa"/>
              <w:right w:w="15" w:type="dxa"/>
            </w:tcMar>
            <w:vAlign w:val="bottom"/>
            <w:hideMark/>
          </w:tcPr>
          <w:p w14:paraId="329FF3E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193" w:type="dxa"/>
            <w:shd w:val="clear" w:color="auto" w:fill="FFFFFF"/>
            <w:noWrap/>
            <w:tcMar>
              <w:top w:w="15" w:type="dxa"/>
              <w:left w:w="0" w:type="dxa"/>
              <w:bottom w:w="0" w:type="dxa"/>
              <w:right w:w="15" w:type="dxa"/>
            </w:tcMar>
            <w:vAlign w:val="bottom"/>
            <w:hideMark/>
          </w:tcPr>
          <w:p w14:paraId="3D5D1A2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7DF1678C" w14:textId="77777777" w:rsidTr="00141675">
        <w:tc>
          <w:tcPr>
            <w:tcW w:w="12460" w:type="dxa"/>
            <w:shd w:val="clear" w:color="auto" w:fill="CFF0FC"/>
            <w:tcMar>
              <w:top w:w="15" w:type="dxa"/>
              <w:left w:w="0" w:type="dxa"/>
              <w:bottom w:w="0" w:type="dxa"/>
              <w:right w:w="15" w:type="dxa"/>
            </w:tcMar>
            <w:hideMark/>
          </w:tcPr>
          <w:p w14:paraId="20CA2FC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Balance, end of period</w:t>
            </w:r>
          </w:p>
        </w:tc>
        <w:tc>
          <w:tcPr>
            <w:tcW w:w="282" w:type="dxa"/>
            <w:shd w:val="clear" w:color="auto" w:fill="CFF0FC"/>
            <w:tcMar>
              <w:top w:w="15" w:type="dxa"/>
              <w:left w:w="0" w:type="dxa"/>
              <w:bottom w:w="0" w:type="dxa"/>
              <w:right w:w="15" w:type="dxa"/>
            </w:tcMar>
            <w:vAlign w:val="bottom"/>
            <w:hideMark/>
          </w:tcPr>
          <w:p w14:paraId="0798BCC5"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98E774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981E07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(9,174</w:t>
            </w:r>
          </w:p>
        </w:tc>
        <w:tc>
          <w:tcPr>
            <w:tcW w:w="191" w:type="dxa"/>
            <w:shd w:val="clear" w:color="auto" w:fill="CFF0FC"/>
            <w:noWrap/>
            <w:tcMar>
              <w:top w:w="15" w:type="dxa"/>
              <w:left w:w="0" w:type="dxa"/>
              <w:bottom w:w="0" w:type="dxa"/>
              <w:right w:w="15" w:type="dxa"/>
            </w:tcMar>
            <w:vAlign w:val="bottom"/>
            <w:hideMark/>
          </w:tcPr>
          <w:p w14:paraId="468D05A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2B1DC782"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07B8DC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EFB1D6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5,107</w:t>
            </w:r>
          </w:p>
        </w:tc>
        <w:tc>
          <w:tcPr>
            <w:tcW w:w="191" w:type="dxa"/>
            <w:shd w:val="clear" w:color="auto" w:fill="CFF0FC"/>
            <w:noWrap/>
            <w:tcMar>
              <w:top w:w="15" w:type="dxa"/>
              <w:left w:w="0" w:type="dxa"/>
              <w:bottom w:w="0" w:type="dxa"/>
              <w:right w:w="15" w:type="dxa"/>
            </w:tcMar>
            <w:vAlign w:val="bottom"/>
            <w:hideMark/>
          </w:tcPr>
          <w:p w14:paraId="52A3D9E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72EB327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3FB8D8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471DBA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(9,174</w:t>
            </w:r>
          </w:p>
        </w:tc>
        <w:tc>
          <w:tcPr>
            <w:tcW w:w="191" w:type="dxa"/>
            <w:shd w:val="clear" w:color="auto" w:fill="CFF0FC"/>
            <w:noWrap/>
            <w:tcMar>
              <w:top w:w="15" w:type="dxa"/>
              <w:left w:w="0" w:type="dxa"/>
              <w:bottom w:w="0" w:type="dxa"/>
              <w:right w:w="15" w:type="dxa"/>
            </w:tcMar>
            <w:vAlign w:val="bottom"/>
            <w:hideMark/>
          </w:tcPr>
          <w:p w14:paraId="3F04341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1F4F267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A8310A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122885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5,107</w:t>
            </w:r>
          </w:p>
        </w:tc>
        <w:tc>
          <w:tcPr>
            <w:tcW w:w="193" w:type="dxa"/>
            <w:shd w:val="clear" w:color="auto" w:fill="CFF0FC"/>
            <w:noWrap/>
            <w:tcMar>
              <w:top w:w="15" w:type="dxa"/>
              <w:left w:w="0" w:type="dxa"/>
              <w:bottom w:w="0" w:type="dxa"/>
              <w:right w:w="15" w:type="dxa"/>
            </w:tcMar>
            <w:vAlign w:val="bottom"/>
            <w:hideMark/>
          </w:tcPr>
          <w:p w14:paraId="34D5823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46AA005" w14:textId="77777777" w:rsidTr="00141675">
        <w:tc>
          <w:tcPr>
            <w:tcW w:w="12460" w:type="dxa"/>
            <w:shd w:val="clear" w:color="auto" w:fill="FFFFFF"/>
            <w:tcMar>
              <w:top w:w="15" w:type="dxa"/>
              <w:left w:w="0" w:type="dxa"/>
              <w:bottom w:w="0" w:type="dxa"/>
              <w:right w:w="15" w:type="dxa"/>
            </w:tcMar>
            <w:hideMark/>
          </w:tcPr>
          <w:p w14:paraId="311E5175"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Other equity, net</w:t>
            </w:r>
          </w:p>
        </w:tc>
        <w:tc>
          <w:tcPr>
            <w:tcW w:w="282" w:type="dxa"/>
            <w:shd w:val="clear" w:color="auto" w:fill="FFFFFF"/>
            <w:tcMar>
              <w:top w:w="15" w:type="dxa"/>
              <w:left w:w="0" w:type="dxa"/>
              <w:bottom w:w="0" w:type="dxa"/>
              <w:right w:w="15" w:type="dxa"/>
            </w:tcMar>
            <w:vAlign w:val="bottom"/>
            <w:hideMark/>
          </w:tcPr>
          <w:p w14:paraId="7327C90C"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858BF8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FFFFFF"/>
            <w:noWrap/>
            <w:tcMar>
              <w:top w:w="15" w:type="dxa"/>
              <w:left w:w="0" w:type="dxa"/>
              <w:bottom w:w="0" w:type="dxa"/>
              <w:right w:w="15" w:type="dxa"/>
            </w:tcMar>
            <w:vAlign w:val="bottom"/>
            <w:hideMark/>
          </w:tcPr>
          <w:p w14:paraId="5FB7924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074770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2F072654"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05635B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FFFFFF"/>
            <w:noWrap/>
            <w:tcMar>
              <w:top w:w="15" w:type="dxa"/>
              <w:left w:w="0" w:type="dxa"/>
              <w:bottom w:w="0" w:type="dxa"/>
              <w:right w:w="15" w:type="dxa"/>
            </w:tcMar>
            <w:vAlign w:val="bottom"/>
            <w:hideMark/>
          </w:tcPr>
          <w:p w14:paraId="4658699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8D81FE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264C841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073148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FFFFFF"/>
            <w:noWrap/>
            <w:tcMar>
              <w:top w:w="15" w:type="dxa"/>
              <w:left w:w="0" w:type="dxa"/>
              <w:bottom w:w="0" w:type="dxa"/>
              <w:right w:w="15" w:type="dxa"/>
            </w:tcMar>
            <w:vAlign w:val="bottom"/>
            <w:hideMark/>
          </w:tcPr>
          <w:p w14:paraId="39E8750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5DDBD5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6B6B1B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9CC88E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top w:val="single" w:sz="6" w:space="0" w:color="000000"/>
            </w:tcBorders>
            <w:shd w:val="clear" w:color="auto" w:fill="FFFFFF"/>
            <w:noWrap/>
            <w:tcMar>
              <w:top w:w="15" w:type="dxa"/>
              <w:left w:w="0" w:type="dxa"/>
              <w:bottom w:w="0" w:type="dxa"/>
              <w:right w:w="15" w:type="dxa"/>
            </w:tcMar>
            <w:vAlign w:val="bottom"/>
            <w:hideMark/>
          </w:tcPr>
          <w:p w14:paraId="66ACF46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3" w:type="dxa"/>
            <w:shd w:val="clear" w:color="auto" w:fill="FFFFFF"/>
            <w:noWrap/>
            <w:tcMar>
              <w:top w:w="15" w:type="dxa"/>
              <w:left w:w="0" w:type="dxa"/>
              <w:bottom w:w="0" w:type="dxa"/>
              <w:right w:w="15" w:type="dxa"/>
            </w:tcMar>
            <w:vAlign w:val="bottom"/>
            <w:hideMark/>
          </w:tcPr>
          <w:p w14:paraId="142A437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7857A5A9" w14:textId="77777777" w:rsidTr="00141675">
        <w:tc>
          <w:tcPr>
            <w:tcW w:w="12460" w:type="dxa"/>
            <w:shd w:val="clear" w:color="auto" w:fill="CFF0FC"/>
            <w:tcMar>
              <w:top w:w="15" w:type="dxa"/>
              <w:left w:w="0" w:type="dxa"/>
              <w:bottom w:w="0" w:type="dxa"/>
              <w:right w:w="15" w:type="dxa"/>
            </w:tcMar>
            <w:hideMark/>
          </w:tcPr>
          <w:p w14:paraId="7989A25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lastRenderedPageBreak/>
              <w:t>Balance, beginning of period</w:t>
            </w:r>
          </w:p>
        </w:tc>
        <w:tc>
          <w:tcPr>
            <w:tcW w:w="282" w:type="dxa"/>
            <w:shd w:val="clear" w:color="auto" w:fill="CFF0FC"/>
            <w:tcMar>
              <w:top w:w="15" w:type="dxa"/>
              <w:left w:w="0" w:type="dxa"/>
              <w:bottom w:w="0" w:type="dxa"/>
              <w:right w:w="15" w:type="dxa"/>
            </w:tcMar>
            <w:vAlign w:val="bottom"/>
            <w:hideMark/>
          </w:tcPr>
          <w:p w14:paraId="30263BED"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45D5B5D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CFF0FC"/>
            <w:noWrap/>
            <w:tcMar>
              <w:top w:w="15" w:type="dxa"/>
              <w:left w:w="0" w:type="dxa"/>
              <w:bottom w:w="0" w:type="dxa"/>
              <w:right w:w="15" w:type="dxa"/>
            </w:tcMar>
            <w:vAlign w:val="bottom"/>
            <w:hideMark/>
          </w:tcPr>
          <w:p w14:paraId="32AE8CB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(985</w:t>
            </w:r>
          </w:p>
        </w:tc>
        <w:tc>
          <w:tcPr>
            <w:tcW w:w="191" w:type="dxa"/>
            <w:shd w:val="clear" w:color="auto" w:fill="CFF0FC"/>
            <w:noWrap/>
            <w:tcMar>
              <w:top w:w="15" w:type="dxa"/>
              <w:left w:w="0" w:type="dxa"/>
              <w:bottom w:w="0" w:type="dxa"/>
              <w:right w:w="15" w:type="dxa"/>
            </w:tcMar>
            <w:vAlign w:val="bottom"/>
            <w:hideMark/>
          </w:tcPr>
          <w:p w14:paraId="6D583EF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6D753DD5"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CFF0FC"/>
            <w:noWrap/>
            <w:tcMar>
              <w:top w:w="15" w:type="dxa"/>
              <w:left w:w="0" w:type="dxa"/>
              <w:bottom w:w="0" w:type="dxa"/>
              <w:right w:w="15" w:type="dxa"/>
            </w:tcMar>
            <w:vAlign w:val="bottom"/>
            <w:hideMark/>
          </w:tcPr>
          <w:p w14:paraId="45D210F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CFF0FC"/>
            <w:noWrap/>
            <w:tcMar>
              <w:top w:w="15" w:type="dxa"/>
              <w:left w:w="0" w:type="dxa"/>
              <w:bottom w:w="0" w:type="dxa"/>
              <w:right w:w="15" w:type="dxa"/>
            </w:tcMar>
            <w:vAlign w:val="bottom"/>
            <w:hideMark/>
          </w:tcPr>
          <w:p w14:paraId="26E2701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(1,269</w:t>
            </w:r>
          </w:p>
        </w:tc>
        <w:tc>
          <w:tcPr>
            <w:tcW w:w="191" w:type="dxa"/>
            <w:shd w:val="clear" w:color="auto" w:fill="CFF0FC"/>
            <w:noWrap/>
            <w:tcMar>
              <w:top w:w="15" w:type="dxa"/>
              <w:left w:w="0" w:type="dxa"/>
              <w:bottom w:w="0" w:type="dxa"/>
              <w:right w:w="15" w:type="dxa"/>
            </w:tcMar>
            <w:vAlign w:val="bottom"/>
            <w:hideMark/>
          </w:tcPr>
          <w:p w14:paraId="57F2BBF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16226AA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162FDD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CFF0FC"/>
            <w:noWrap/>
            <w:tcMar>
              <w:top w:w="15" w:type="dxa"/>
              <w:left w:w="0" w:type="dxa"/>
              <w:bottom w:w="0" w:type="dxa"/>
              <w:right w:w="15" w:type="dxa"/>
            </w:tcMar>
            <w:vAlign w:val="bottom"/>
            <w:hideMark/>
          </w:tcPr>
          <w:p w14:paraId="0DB0BAC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(1,050</w:t>
            </w:r>
          </w:p>
        </w:tc>
        <w:tc>
          <w:tcPr>
            <w:tcW w:w="191" w:type="dxa"/>
            <w:shd w:val="clear" w:color="auto" w:fill="CFF0FC"/>
            <w:noWrap/>
            <w:tcMar>
              <w:top w:w="15" w:type="dxa"/>
              <w:left w:w="0" w:type="dxa"/>
              <w:bottom w:w="0" w:type="dxa"/>
              <w:right w:w="15" w:type="dxa"/>
            </w:tcMar>
            <w:vAlign w:val="bottom"/>
            <w:hideMark/>
          </w:tcPr>
          <w:p w14:paraId="4FFB564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782A2C7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4F904C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shd w:val="clear" w:color="auto" w:fill="CFF0FC"/>
            <w:noWrap/>
            <w:tcMar>
              <w:top w:w="15" w:type="dxa"/>
              <w:left w:w="0" w:type="dxa"/>
              <w:bottom w:w="0" w:type="dxa"/>
              <w:right w:w="15" w:type="dxa"/>
            </w:tcMar>
            <w:vAlign w:val="bottom"/>
            <w:hideMark/>
          </w:tcPr>
          <w:p w14:paraId="6038686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(1,188</w:t>
            </w:r>
          </w:p>
        </w:tc>
        <w:tc>
          <w:tcPr>
            <w:tcW w:w="193" w:type="dxa"/>
            <w:shd w:val="clear" w:color="auto" w:fill="CFF0FC"/>
            <w:noWrap/>
            <w:tcMar>
              <w:top w:w="15" w:type="dxa"/>
              <w:left w:w="0" w:type="dxa"/>
              <w:bottom w:w="0" w:type="dxa"/>
              <w:right w:w="15" w:type="dxa"/>
            </w:tcMar>
            <w:vAlign w:val="bottom"/>
            <w:hideMark/>
          </w:tcPr>
          <w:p w14:paraId="6F0A472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32A34504" w14:textId="77777777" w:rsidTr="00141675">
        <w:tc>
          <w:tcPr>
            <w:tcW w:w="12460" w:type="dxa"/>
            <w:shd w:val="clear" w:color="auto" w:fill="FFFFFF"/>
            <w:tcMar>
              <w:top w:w="15" w:type="dxa"/>
              <w:left w:w="0" w:type="dxa"/>
              <w:bottom w:w="0" w:type="dxa"/>
              <w:right w:w="15" w:type="dxa"/>
            </w:tcMar>
            <w:hideMark/>
          </w:tcPr>
          <w:p w14:paraId="557B3B2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Other comprehensive loss, net</w:t>
            </w:r>
          </w:p>
        </w:tc>
        <w:tc>
          <w:tcPr>
            <w:tcW w:w="282" w:type="dxa"/>
            <w:shd w:val="clear" w:color="auto" w:fill="FFFFFF"/>
            <w:tcMar>
              <w:top w:w="15" w:type="dxa"/>
              <w:left w:w="0" w:type="dxa"/>
              <w:bottom w:w="0" w:type="dxa"/>
              <w:right w:w="15" w:type="dxa"/>
            </w:tcMar>
            <w:vAlign w:val="bottom"/>
            <w:hideMark/>
          </w:tcPr>
          <w:p w14:paraId="7399439F"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59C41FA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53FF0AE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(66</w:t>
            </w:r>
          </w:p>
        </w:tc>
        <w:tc>
          <w:tcPr>
            <w:tcW w:w="191" w:type="dxa"/>
            <w:shd w:val="clear" w:color="auto" w:fill="FFFFFF"/>
            <w:noWrap/>
            <w:tcMar>
              <w:top w:w="15" w:type="dxa"/>
              <w:left w:w="0" w:type="dxa"/>
              <w:bottom w:w="0" w:type="dxa"/>
              <w:right w:w="15" w:type="dxa"/>
            </w:tcMar>
            <w:vAlign w:val="bottom"/>
            <w:hideMark/>
          </w:tcPr>
          <w:p w14:paraId="7A532E5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6424BBCE"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shd w:val="clear" w:color="auto" w:fill="FFFFFF"/>
            <w:noWrap/>
            <w:tcMar>
              <w:top w:w="15" w:type="dxa"/>
              <w:left w:w="0" w:type="dxa"/>
              <w:bottom w:w="0" w:type="dxa"/>
              <w:right w:w="15" w:type="dxa"/>
            </w:tcMar>
            <w:vAlign w:val="bottom"/>
            <w:hideMark/>
          </w:tcPr>
          <w:p w14:paraId="7045BAB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3E1888A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(199</w:t>
            </w:r>
          </w:p>
        </w:tc>
        <w:tc>
          <w:tcPr>
            <w:tcW w:w="191" w:type="dxa"/>
            <w:shd w:val="clear" w:color="auto" w:fill="FFFFFF"/>
            <w:noWrap/>
            <w:tcMar>
              <w:top w:w="15" w:type="dxa"/>
              <w:left w:w="0" w:type="dxa"/>
              <w:bottom w:w="0" w:type="dxa"/>
              <w:right w:w="15" w:type="dxa"/>
            </w:tcMar>
            <w:vAlign w:val="bottom"/>
            <w:hideMark/>
          </w:tcPr>
          <w:p w14:paraId="4E3FFCE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07D73D7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75E7DA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2F079E6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w:t>
            </w:r>
          </w:p>
        </w:tc>
        <w:tc>
          <w:tcPr>
            <w:tcW w:w="191" w:type="dxa"/>
            <w:shd w:val="clear" w:color="auto" w:fill="FFFFFF"/>
            <w:noWrap/>
            <w:tcMar>
              <w:top w:w="15" w:type="dxa"/>
              <w:left w:w="0" w:type="dxa"/>
              <w:bottom w:w="0" w:type="dxa"/>
              <w:right w:w="15" w:type="dxa"/>
            </w:tcMar>
            <w:vAlign w:val="bottom"/>
            <w:hideMark/>
          </w:tcPr>
          <w:p w14:paraId="52549F5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1372E41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9A430E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shd w:val="clear" w:color="auto" w:fill="FFFFFF"/>
            <w:noWrap/>
            <w:tcMar>
              <w:top w:w="15" w:type="dxa"/>
              <w:left w:w="0" w:type="dxa"/>
              <w:bottom w:w="0" w:type="dxa"/>
              <w:right w:w="15" w:type="dxa"/>
            </w:tcMar>
            <w:vAlign w:val="bottom"/>
            <w:hideMark/>
          </w:tcPr>
          <w:p w14:paraId="6AF3CCE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(276</w:t>
            </w:r>
          </w:p>
        </w:tc>
        <w:tc>
          <w:tcPr>
            <w:tcW w:w="193" w:type="dxa"/>
            <w:shd w:val="clear" w:color="auto" w:fill="FFFFFF"/>
            <w:noWrap/>
            <w:tcMar>
              <w:top w:w="15" w:type="dxa"/>
              <w:left w:w="0" w:type="dxa"/>
              <w:bottom w:w="0" w:type="dxa"/>
              <w:right w:w="15" w:type="dxa"/>
            </w:tcMar>
            <w:vAlign w:val="bottom"/>
            <w:hideMark/>
          </w:tcPr>
          <w:p w14:paraId="2608975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25FEDC31" w14:textId="77777777" w:rsidTr="00141675">
        <w:tc>
          <w:tcPr>
            <w:tcW w:w="12460" w:type="dxa"/>
            <w:shd w:val="clear" w:color="auto" w:fill="CFF0FC"/>
            <w:tcMar>
              <w:top w:w="15" w:type="dxa"/>
              <w:left w:w="0" w:type="dxa"/>
              <w:bottom w:w="0" w:type="dxa"/>
              <w:right w:w="15" w:type="dxa"/>
            </w:tcMar>
            <w:hideMark/>
          </w:tcPr>
          <w:p w14:paraId="3C9B84D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Other, net</w:t>
            </w:r>
          </w:p>
        </w:tc>
        <w:tc>
          <w:tcPr>
            <w:tcW w:w="282" w:type="dxa"/>
            <w:shd w:val="clear" w:color="auto" w:fill="CFF0FC"/>
            <w:tcMar>
              <w:top w:w="15" w:type="dxa"/>
              <w:left w:w="0" w:type="dxa"/>
              <w:bottom w:w="0" w:type="dxa"/>
              <w:right w:w="15" w:type="dxa"/>
            </w:tcMar>
            <w:vAlign w:val="bottom"/>
            <w:hideMark/>
          </w:tcPr>
          <w:p w14:paraId="35432203"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B7CAFF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CFF0FC"/>
            <w:noWrap/>
            <w:tcMar>
              <w:top w:w="15" w:type="dxa"/>
              <w:left w:w="0" w:type="dxa"/>
              <w:bottom w:w="0" w:type="dxa"/>
              <w:right w:w="15" w:type="dxa"/>
            </w:tcMar>
            <w:vAlign w:val="bottom"/>
            <w:hideMark/>
          </w:tcPr>
          <w:p w14:paraId="29789A7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36</w:t>
            </w:r>
          </w:p>
        </w:tc>
        <w:tc>
          <w:tcPr>
            <w:tcW w:w="191" w:type="dxa"/>
            <w:shd w:val="clear" w:color="auto" w:fill="CFF0FC"/>
            <w:noWrap/>
            <w:tcMar>
              <w:top w:w="15" w:type="dxa"/>
              <w:left w:w="0" w:type="dxa"/>
              <w:bottom w:w="0" w:type="dxa"/>
              <w:right w:w="15" w:type="dxa"/>
            </w:tcMar>
            <w:vAlign w:val="bottom"/>
            <w:hideMark/>
          </w:tcPr>
          <w:p w14:paraId="12CB609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1F4536A8"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D4E8E8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CFF0FC"/>
            <w:noWrap/>
            <w:tcMar>
              <w:top w:w="15" w:type="dxa"/>
              <w:left w:w="0" w:type="dxa"/>
              <w:bottom w:w="0" w:type="dxa"/>
              <w:right w:w="15" w:type="dxa"/>
            </w:tcMar>
            <w:vAlign w:val="bottom"/>
            <w:hideMark/>
          </w:tcPr>
          <w:p w14:paraId="09BF373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w:t>
            </w:r>
          </w:p>
        </w:tc>
        <w:tc>
          <w:tcPr>
            <w:tcW w:w="191" w:type="dxa"/>
            <w:shd w:val="clear" w:color="auto" w:fill="CFF0FC"/>
            <w:noWrap/>
            <w:tcMar>
              <w:top w:w="15" w:type="dxa"/>
              <w:left w:w="0" w:type="dxa"/>
              <w:bottom w:w="0" w:type="dxa"/>
              <w:right w:w="15" w:type="dxa"/>
            </w:tcMar>
            <w:vAlign w:val="bottom"/>
            <w:hideMark/>
          </w:tcPr>
          <w:p w14:paraId="07B65F8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CFF0FC"/>
            <w:tcMar>
              <w:top w:w="15" w:type="dxa"/>
              <w:left w:w="0" w:type="dxa"/>
              <w:bottom w:w="0" w:type="dxa"/>
              <w:right w:w="15" w:type="dxa"/>
            </w:tcMar>
            <w:vAlign w:val="bottom"/>
            <w:hideMark/>
          </w:tcPr>
          <w:p w14:paraId="7A7C4F8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E03EDC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CFF0FC"/>
            <w:noWrap/>
            <w:tcMar>
              <w:top w:w="15" w:type="dxa"/>
              <w:left w:w="0" w:type="dxa"/>
              <w:bottom w:w="0" w:type="dxa"/>
              <w:right w:w="15" w:type="dxa"/>
            </w:tcMar>
            <w:vAlign w:val="bottom"/>
            <w:hideMark/>
          </w:tcPr>
          <w:p w14:paraId="47C6796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44</w:t>
            </w:r>
          </w:p>
        </w:tc>
        <w:tc>
          <w:tcPr>
            <w:tcW w:w="191" w:type="dxa"/>
            <w:shd w:val="clear" w:color="auto" w:fill="CFF0FC"/>
            <w:noWrap/>
            <w:tcMar>
              <w:top w:w="15" w:type="dxa"/>
              <w:left w:w="0" w:type="dxa"/>
              <w:bottom w:w="0" w:type="dxa"/>
              <w:right w:w="15" w:type="dxa"/>
            </w:tcMar>
            <w:vAlign w:val="bottom"/>
            <w:hideMark/>
          </w:tcPr>
          <w:p w14:paraId="242C83D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5ACBA38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14C6D1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10" w:type="dxa"/>
            <w:tcBorders>
              <w:bottom w:val="single" w:sz="6" w:space="0" w:color="000000"/>
            </w:tcBorders>
            <w:shd w:val="clear" w:color="auto" w:fill="CFF0FC"/>
            <w:noWrap/>
            <w:tcMar>
              <w:top w:w="15" w:type="dxa"/>
              <w:left w:w="0" w:type="dxa"/>
              <w:bottom w:w="0" w:type="dxa"/>
              <w:right w:w="15" w:type="dxa"/>
            </w:tcMar>
            <w:vAlign w:val="bottom"/>
            <w:hideMark/>
          </w:tcPr>
          <w:p w14:paraId="7C030F4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(18</w:t>
            </w:r>
          </w:p>
        </w:tc>
        <w:tc>
          <w:tcPr>
            <w:tcW w:w="193" w:type="dxa"/>
            <w:shd w:val="clear" w:color="auto" w:fill="CFF0FC"/>
            <w:noWrap/>
            <w:tcMar>
              <w:top w:w="15" w:type="dxa"/>
              <w:left w:w="0" w:type="dxa"/>
              <w:bottom w:w="0" w:type="dxa"/>
              <w:right w:w="15" w:type="dxa"/>
            </w:tcMar>
            <w:vAlign w:val="bottom"/>
            <w:hideMark/>
          </w:tcPr>
          <w:p w14:paraId="1C6D3E6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0C0A0FCD" w14:textId="77777777" w:rsidTr="00141675">
        <w:tc>
          <w:tcPr>
            <w:tcW w:w="12460" w:type="dxa"/>
            <w:shd w:val="clear" w:color="auto" w:fill="FFFFFF"/>
            <w:tcMar>
              <w:top w:w="15" w:type="dxa"/>
              <w:left w:w="0" w:type="dxa"/>
              <w:bottom w:w="0" w:type="dxa"/>
              <w:right w:w="15" w:type="dxa"/>
            </w:tcMar>
            <w:hideMark/>
          </w:tcPr>
          <w:p w14:paraId="3D520C2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Balance, end of period</w:t>
            </w:r>
          </w:p>
        </w:tc>
        <w:tc>
          <w:tcPr>
            <w:tcW w:w="282" w:type="dxa"/>
            <w:shd w:val="clear" w:color="auto" w:fill="FFFFFF"/>
            <w:tcMar>
              <w:top w:w="15" w:type="dxa"/>
              <w:left w:w="0" w:type="dxa"/>
              <w:bottom w:w="0" w:type="dxa"/>
              <w:right w:w="15" w:type="dxa"/>
            </w:tcMar>
            <w:vAlign w:val="bottom"/>
            <w:hideMark/>
          </w:tcPr>
          <w:p w14:paraId="0FAA2C63"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E75861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A6F08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(1,015</w:t>
            </w:r>
          </w:p>
        </w:tc>
        <w:tc>
          <w:tcPr>
            <w:tcW w:w="191" w:type="dxa"/>
            <w:shd w:val="clear" w:color="auto" w:fill="FFFFFF"/>
            <w:noWrap/>
            <w:tcMar>
              <w:top w:w="15" w:type="dxa"/>
              <w:left w:w="0" w:type="dxa"/>
              <w:bottom w:w="0" w:type="dxa"/>
              <w:right w:w="15" w:type="dxa"/>
            </w:tcMar>
            <w:vAlign w:val="bottom"/>
            <w:hideMark/>
          </w:tcPr>
          <w:p w14:paraId="1867789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548AF0A2"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13E494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D8DD4C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(1,482</w:t>
            </w:r>
          </w:p>
        </w:tc>
        <w:tc>
          <w:tcPr>
            <w:tcW w:w="191" w:type="dxa"/>
            <w:shd w:val="clear" w:color="auto" w:fill="FFFFFF"/>
            <w:noWrap/>
            <w:tcMar>
              <w:top w:w="15" w:type="dxa"/>
              <w:left w:w="0" w:type="dxa"/>
              <w:bottom w:w="0" w:type="dxa"/>
              <w:right w:w="15" w:type="dxa"/>
            </w:tcMar>
            <w:vAlign w:val="bottom"/>
            <w:hideMark/>
          </w:tcPr>
          <w:p w14:paraId="4528A1B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42D1F2E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B61667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2A37F3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(1,015</w:t>
            </w:r>
          </w:p>
        </w:tc>
        <w:tc>
          <w:tcPr>
            <w:tcW w:w="191" w:type="dxa"/>
            <w:shd w:val="clear" w:color="auto" w:fill="FFFFFF"/>
            <w:noWrap/>
            <w:tcMar>
              <w:top w:w="15" w:type="dxa"/>
              <w:left w:w="0" w:type="dxa"/>
              <w:bottom w:w="0" w:type="dxa"/>
              <w:right w:w="15" w:type="dxa"/>
            </w:tcMar>
            <w:vAlign w:val="bottom"/>
            <w:hideMark/>
          </w:tcPr>
          <w:p w14:paraId="455491D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2" w:type="dxa"/>
            <w:shd w:val="clear" w:color="auto" w:fill="FFFFFF"/>
            <w:tcMar>
              <w:top w:w="15" w:type="dxa"/>
              <w:left w:w="0" w:type="dxa"/>
              <w:bottom w:w="0" w:type="dxa"/>
              <w:right w:w="15" w:type="dxa"/>
            </w:tcMar>
            <w:vAlign w:val="bottom"/>
            <w:hideMark/>
          </w:tcPr>
          <w:p w14:paraId="586AA5D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E6800D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6F42D1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(1,482</w:t>
            </w:r>
          </w:p>
        </w:tc>
        <w:tc>
          <w:tcPr>
            <w:tcW w:w="193" w:type="dxa"/>
            <w:shd w:val="clear" w:color="auto" w:fill="FFFFFF"/>
            <w:noWrap/>
            <w:tcMar>
              <w:top w:w="15" w:type="dxa"/>
              <w:left w:w="0" w:type="dxa"/>
              <w:bottom w:w="0" w:type="dxa"/>
              <w:right w:w="15" w:type="dxa"/>
            </w:tcMar>
            <w:vAlign w:val="bottom"/>
            <w:hideMark/>
          </w:tcPr>
          <w:p w14:paraId="20738D8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18937301" w14:textId="77777777" w:rsidTr="00141675">
        <w:tc>
          <w:tcPr>
            <w:tcW w:w="12460" w:type="dxa"/>
            <w:shd w:val="clear" w:color="auto" w:fill="CFF0FC"/>
            <w:tcMar>
              <w:top w:w="15" w:type="dxa"/>
              <w:left w:w="0" w:type="dxa"/>
              <w:bottom w:w="0" w:type="dxa"/>
              <w:right w:w="15" w:type="dxa"/>
            </w:tcMar>
            <w:hideMark/>
          </w:tcPr>
          <w:p w14:paraId="790CDA13"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Total stockholders' equity</w:t>
            </w:r>
          </w:p>
        </w:tc>
        <w:tc>
          <w:tcPr>
            <w:tcW w:w="282" w:type="dxa"/>
            <w:shd w:val="clear" w:color="auto" w:fill="CFF0FC"/>
            <w:tcMar>
              <w:top w:w="15" w:type="dxa"/>
              <w:left w:w="0" w:type="dxa"/>
              <w:bottom w:w="0" w:type="dxa"/>
              <w:right w:w="15" w:type="dxa"/>
            </w:tcMar>
            <w:vAlign w:val="bottom"/>
            <w:hideMark/>
          </w:tcPr>
          <w:p w14:paraId="7D170A5A"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F51DD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86F11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16,185</w:t>
            </w:r>
          </w:p>
        </w:tc>
        <w:tc>
          <w:tcPr>
            <w:tcW w:w="191" w:type="dxa"/>
            <w:shd w:val="clear" w:color="auto" w:fill="CFF0FC"/>
            <w:noWrap/>
            <w:tcMar>
              <w:top w:w="15" w:type="dxa"/>
              <w:left w:w="0" w:type="dxa"/>
              <w:bottom w:w="0" w:type="dxa"/>
              <w:right w:w="15" w:type="dxa"/>
            </w:tcMar>
            <w:vAlign w:val="bottom"/>
            <w:hideMark/>
          </w:tcPr>
          <w:p w14:paraId="00DCB2F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2DC96D04"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368056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A4025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31,055</w:t>
            </w:r>
          </w:p>
        </w:tc>
        <w:tc>
          <w:tcPr>
            <w:tcW w:w="191" w:type="dxa"/>
            <w:shd w:val="clear" w:color="auto" w:fill="CFF0FC"/>
            <w:noWrap/>
            <w:tcMar>
              <w:top w:w="15" w:type="dxa"/>
              <w:left w:w="0" w:type="dxa"/>
              <w:bottom w:w="0" w:type="dxa"/>
              <w:right w:w="15" w:type="dxa"/>
            </w:tcMar>
            <w:vAlign w:val="bottom"/>
            <w:hideMark/>
          </w:tcPr>
          <w:p w14:paraId="76F9C0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666CBCA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48EA63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F8A76E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16,185</w:t>
            </w:r>
          </w:p>
        </w:tc>
        <w:tc>
          <w:tcPr>
            <w:tcW w:w="191" w:type="dxa"/>
            <w:shd w:val="clear" w:color="auto" w:fill="CFF0FC"/>
            <w:noWrap/>
            <w:tcMar>
              <w:top w:w="15" w:type="dxa"/>
              <w:left w:w="0" w:type="dxa"/>
              <w:bottom w:w="0" w:type="dxa"/>
              <w:right w:w="15" w:type="dxa"/>
            </w:tcMar>
            <w:vAlign w:val="bottom"/>
            <w:hideMark/>
          </w:tcPr>
          <w:p w14:paraId="1DFF378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CFF0FC"/>
            <w:tcMar>
              <w:top w:w="15" w:type="dxa"/>
              <w:left w:w="0" w:type="dxa"/>
              <w:bottom w:w="0" w:type="dxa"/>
              <w:right w:w="15" w:type="dxa"/>
            </w:tcMar>
            <w:vAlign w:val="bottom"/>
            <w:hideMark/>
          </w:tcPr>
          <w:p w14:paraId="6302332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7205D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57B1D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31,055</w:t>
            </w:r>
          </w:p>
        </w:tc>
        <w:tc>
          <w:tcPr>
            <w:tcW w:w="193" w:type="dxa"/>
            <w:shd w:val="clear" w:color="auto" w:fill="CFF0FC"/>
            <w:noWrap/>
            <w:tcMar>
              <w:top w:w="15" w:type="dxa"/>
              <w:left w:w="0" w:type="dxa"/>
              <w:bottom w:w="0" w:type="dxa"/>
              <w:right w:w="15" w:type="dxa"/>
            </w:tcMar>
            <w:vAlign w:val="bottom"/>
            <w:hideMark/>
          </w:tcPr>
          <w:p w14:paraId="224DAA8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F53E1D9" w14:textId="77777777" w:rsidTr="00141675">
        <w:tc>
          <w:tcPr>
            <w:tcW w:w="12460" w:type="dxa"/>
            <w:shd w:val="clear" w:color="auto" w:fill="FFFFFF"/>
            <w:tcMar>
              <w:top w:w="15" w:type="dxa"/>
              <w:left w:w="0" w:type="dxa"/>
              <w:bottom w:w="0" w:type="dxa"/>
              <w:right w:w="15" w:type="dxa"/>
            </w:tcMar>
            <w:hideMark/>
          </w:tcPr>
          <w:p w14:paraId="6BAFBA2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Cash dividends declared per common share</w:t>
            </w:r>
          </w:p>
        </w:tc>
        <w:tc>
          <w:tcPr>
            <w:tcW w:w="282" w:type="dxa"/>
            <w:shd w:val="clear" w:color="auto" w:fill="FFFFFF"/>
            <w:tcMar>
              <w:top w:w="15" w:type="dxa"/>
              <w:left w:w="0" w:type="dxa"/>
              <w:bottom w:w="0" w:type="dxa"/>
              <w:right w:w="15" w:type="dxa"/>
            </w:tcMar>
            <w:vAlign w:val="bottom"/>
            <w:hideMark/>
          </w:tcPr>
          <w:p w14:paraId="4F85BE11" w14:textId="77777777" w:rsidR="00141675" w:rsidRPr="00141675" w:rsidRDefault="00141675" w:rsidP="00141675">
            <w:pPr>
              <w:widowControl/>
              <w:jc w:val="lef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8D95FB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63A3C5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0.24</w:t>
            </w:r>
          </w:p>
        </w:tc>
        <w:tc>
          <w:tcPr>
            <w:tcW w:w="191" w:type="dxa"/>
            <w:shd w:val="clear" w:color="auto" w:fill="FFFFFF"/>
            <w:noWrap/>
            <w:tcMar>
              <w:top w:w="15" w:type="dxa"/>
              <w:left w:w="0" w:type="dxa"/>
              <w:bottom w:w="0" w:type="dxa"/>
              <w:right w:w="15" w:type="dxa"/>
            </w:tcMar>
            <w:vAlign w:val="bottom"/>
            <w:hideMark/>
          </w:tcPr>
          <w:p w14:paraId="232979F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0938166E" w14:textId="77777777" w:rsidR="00141675" w:rsidRPr="00141675" w:rsidRDefault="00141675" w:rsidP="00141675">
            <w:pPr>
              <w:widowControl/>
              <w:jc w:val="right"/>
              <w:rPr>
                <w:rFonts w:ascii="Calibri" w:eastAsia="宋体" w:hAnsi="Calibri" w:cs="Calibri"/>
                <w:color w:val="000000"/>
                <w:kern w:val="0"/>
                <w:szCs w:val="21"/>
              </w:rPr>
            </w:pPr>
            <w:r w:rsidRPr="00141675">
              <w:rPr>
                <w:rFonts w:ascii="Calibri" w:eastAsia="宋体" w:hAnsi="Calibri" w:cs="Calibri"/>
                <w:color w:val="000000"/>
                <w:kern w:val="0"/>
                <w:szCs w:val="21"/>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47C1217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72D080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0.19</w:t>
            </w:r>
          </w:p>
        </w:tc>
        <w:tc>
          <w:tcPr>
            <w:tcW w:w="191" w:type="dxa"/>
            <w:shd w:val="clear" w:color="auto" w:fill="FFFFFF"/>
            <w:noWrap/>
            <w:tcMar>
              <w:top w:w="15" w:type="dxa"/>
              <w:left w:w="0" w:type="dxa"/>
              <w:bottom w:w="0" w:type="dxa"/>
              <w:right w:w="15" w:type="dxa"/>
            </w:tcMar>
            <w:vAlign w:val="bottom"/>
            <w:hideMark/>
          </w:tcPr>
          <w:p w14:paraId="759ABB4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4C107E5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FCBDC1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AC774A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0.48</w:t>
            </w:r>
          </w:p>
        </w:tc>
        <w:tc>
          <w:tcPr>
            <w:tcW w:w="191" w:type="dxa"/>
            <w:shd w:val="clear" w:color="auto" w:fill="FFFFFF"/>
            <w:noWrap/>
            <w:tcMar>
              <w:top w:w="15" w:type="dxa"/>
              <w:left w:w="0" w:type="dxa"/>
              <w:bottom w:w="0" w:type="dxa"/>
              <w:right w:w="15" w:type="dxa"/>
            </w:tcMar>
            <w:vAlign w:val="bottom"/>
            <w:hideMark/>
          </w:tcPr>
          <w:p w14:paraId="10D35F7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2" w:type="dxa"/>
            <w:shd w:val="clear" w:color="auto" w:fill="FFFFFF"/>
            <w:tcMar>
              <w:top w:w="15" w:type="dxa"/>
              <w:left w:w="0" w:type="dxa"/>
              <w:bottom w:w="0" w:type="dxa"/>
              <w:right w:w="15" w:type="dxa"/>
            </w:tcMar>
            <w:vAlign w:val="bottom"/>
            <w:hideMark/>
          </w:tcPr>
          <w:p w14:paraId="180263E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EBF383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10"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8DC384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0.38</w:t>
            </w:r>
          </w:p>
        </w:tc>
        <w:tc>
          <w:tcPr>
            <w:tcW w:w="193" w:type="dxa"/>
            <w:shd w:val="clear" w:color="auto" w:fill="FFFFFF"/>
            <w:noWrap/>
            <w:tcMar>
              <w:top w:w="15" w:type="dxa"/>
              <w:left w:w="0" w:type="dxa"/>
              <w:bottom w:w="0" w:type="dxa"/>
              <w:right w:w="15" w:type="dxa"/>
            </w:tcMar>
            <w:vAlign w:val="bottom"/>
            <w:hideMark/>
          </w:tcPr>
          <w:p w14:paraId="33689CCB"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600C3452"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4F401C9B" w14:textId="77777777" w:rsidR="00141675" w:rsidRPr="00141675" w:rsidRDefault="00141675" w:rsidP="00141675">
      <w:pPr>
        <w:widowControl/>
        <w:jc w:val="left"/>
        <w:rPr>
          <w:rFonts w:ascii="Times New Roman" w:eastAsia="宋体" w:hAnsi="Times New Roman" w:cs="Times New Roman" w:hint="eastAsia"/>
          <w:color w:val="000000"/>
          <w:kern w:val="0"/>
          <w:sz w:val="27"/>
          <w:szCs w:val="27"/>
        </w:rPr>
      </w:pPr>
      <w:r w:rsidRPr="00141675">
        <w:rPr>
          <w:rFonts w:ascii="Times New Roman" w:eastAsia="宋体" w:hAnsi="Times New Roman" w:cs="Times New Roman"/>
          <w:color w:val="000000"/>
          <w:kern w:val="0"/>
          <w:sz w:val="27"/>
          <w:szCs w:val="27"/>
        </w:rPr>
        <w:t> </w:t>
      </w:r>
    </w:p>
    <w:p w14:paraId="699658F2" w14:textId="77777777" w:rsidR="00141675" w:rsidRPr="00141675" w:rsidRDefault="00141675" w:rsidP="00141675">
      <w:pPr>
        <w:widowControl/>
        <w:jc w:val="left"/>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p w14:paraId="47DF38AB" w14:textId="77777777" w:rsidR="00141675" w:rsidRPr="00141675" w:rsidRDefault="00141675" w:rsidP="00141675">
      <w:pPr>
        <w:widowControl/>
        <w:jc w:val="left"/>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p w14:paraId="598DE2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See notes to condensed consolidated financial statements.</w:t>
      </w:r>
    </w:p>
    <w:p w14:paraId="3337DF76"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1846EDD"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p w14:paraId="509DC237"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1519CADB">
          <v:rect id="_x0000_i1032" style="width:0;height:1.5pt" o:hralign="center" o:hrstd="t" o:hrnoshade="t" o:hr="t" fillcolor="black" stroked="f"/>
        </w:pict>
      </w:r>
    </w:p>
    <w:p w14:paraId="4F309F15" w14:textId="77777777" w:rsidR="00141675" w:rsidRPr="00141675" w:rsidRDefault="00141675" w:rsidP="00141675">
      <w:pPr>
        <w:widowControl/>
        <w:jc w:val="left"/>
        <w:rPr>
          <w:rFonts w:ascii="Calibri" w:eastAsia="宋体" w:hAnsi="Calibri" w:cs="Calibri"/>
          <w:b/>
          <w:bCs/>
          <w:color w:val="000000"/>
          <w:kern w:val="0"/>
          <w:sz w:val="20"/>
          <w:szCs w:val="20"/>
        </w:rPr>
      </w:pPr>
      <w:hyperlink r:id="rId29" w:anchor="TABLE_CONTENTS" w:history="1">
        <w:r w:rsidRPr="00141675">
          <w:rPr>
            <w:rFonts w:ascii="Calibri" w:eastAsia="宋体" w:hAnsi="Calibri" w:cs="Calibri"/>
            <w:b/>
            <w:bCs/>
            <w:color w:val="0000FF"/>
            <w:kern w:val="0"/>
            <w:sz w:val="20"/>
            <w:szCs w:val="20"/>
            <w:u w:val="single"/>
          </w:rPr>
          <w:t>Table of Contents</w:t>
        </w:r>
      </w:hyperlink>
    </w:p>
    <w:p w14:paraId="1753CB89"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04B4179F"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0BFAE1DE"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CONDENSED CONSOLIDATED STATEMENTS OF CASH FLOWS</w:t>
      </w:r>
    </w:p>
    <w:p w14:paraId="32B7B07B"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For the Six Months Ended November 30, 2019 and 2018</w:t>
      </w:r>
    </w:p>
    <w:p w14:paraId="4BFA2651"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569CBDC7"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5563"/>
        <w:gridCol w:w="345"/>
        <w:gridCol w:w="200"/>
        <w:gridCol w:w="1759"/>
        <w:gridCol w:w="199"/>
        <w:gridCol w:w="344"/>
        <w:gridCol w:w="199"/>
        <w:gridCol w:w="1805"/>
        <w:gridCol w:w="200"/>
      </w:tblGrid>
      <w:tr w:rsidR="00141675" w:rsidRPr="00141675" w14:paraId="4609E5F4" w14:textId="77777777" w:rsidTr="00141675">
        <w:tc>
          <w:tcPr>
            <w:tcW w:w="15542" w:type="dxa"/>
            <w:shd w:val="clear" w:color="auto" w:fill="FFFFFF"/>
            <w:tcMar>
              <w:top w:w="15" w:type="dxa"/>
              <w:left w:w="0" w:type="dxa"/>
              <w:bottom w:w="0" w:type="dxa"/>
              <w:right w:w="15" w:type="dxa"/>
            </w:tcMar>
            <w:vAlign w:val="bottom"/>
            <w:hideMark/>
          </w:tcPr>
          <w:p w14:paraId="562958A7" w14:textId="77777777" w:rsidR="00141675" w:rsidRPr="00141675" w:rsidRDefault="00141675" w:rsidP="00141675">
            <w:pPr>
              <w:widowControl/>
              <w:jc w:val="center"/>
              <w:rPr>
                <w:rFonts w:ascii="Times New Roman" w:eastAsia="宋体" w:hAnsi="Times New Roman" w:cs="Times New Roman" w:hint="eastAsia"/>
                <w:kern w:val="0"/>
                <w:sz w:val="15"/>
                <w:szCs w:val="15"/>
              </w:rPr>
            </w:pPr>
            <w:r w:rsidRPr="00141675">
              <w:rPr>
                <w:rFonts w:ascii="Times New Roman" w:eastAsia="宋体" w:hAnsi="Times New Roman" w:cs="Times New Roman"/>
                <w:kern w:val="0"/>
                <w:sz w:val="15"/>
                <w:szCs w:val="15"/>
              </w:rPr>
              <w:t> </w:t>
            </w:r>
          </w:p>
        </w:tc>
        <w:tc>
          <w:tcPr>
            <w:tcW w:w="344" w:type="dxa"/>
            <w:shd w:val="clear" w:color="auto" w:fill="FFFFFF"/>
            <w:tcMar>
              <w:top w:w="15" w:type="dxa"/>
              <w:left w:w="0" w:type="dxa"/>
              <w:bottom w:w="0" w:type="dxa"/>
              <w:right w:w="15" w:type="dxa"/>
            </w:tcMar>
            <w:vAlign w:val="bottom"/>
            <w:hideMark/>
          </w:tcPr>
          <w:p w14:paraId="0B3AE4F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4477" w:type="dxa"/>
            <w:gridSpan w:val="6"/>
            <w:tcBorders>
              <w:bottom w:val="single" w:sz="6" w:space="0" w:color="000000"/>
            </w:tcBorders>
            <w:shd w:val="clear" w:color="auto" w:fill="FFFFFF"/>
            <w:tcMar>
              <w:top w:w="15" w:type="dxa"/>
              <w:left w:w="0" w:type="dxa"/>
              <w:bottom w:w="0" w:type="dxa"/>
              <w:right w:w="15" w:type="dxa"/>
            </w:tcMar>
            <w:vAlign w:val="bottom"/>
            <w:hideMark/>
          </w:tcPr>
          <w:p w14:paraId="6D6DEF6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2D872EC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2" w:type="dxa"/>
            <w:shd w:val="clear" w:color="auto" w:fill="FFFFFF"/>
            <w:noWrap/>
            <w:tcMar>
              <w:top w:w="15" w:type="dxa"/>
              <w:left w:w="0" w:type="dxa"/>
              <w:bottom w:w="0" w:type="dxa"/>
              <w:right w:w="15" w:type="dxa"/>
            </w:tcMar>
            <w:vAlign w:val="bottom"/>
            <w:hideMark/>
          </w:tcPr>
          <w:p w14:paraId="361B07E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0410F234" w14:textId="77777777" w:rsidTr="00141675">
        <w:tc>
          <w:tcPr>
            <w:tcW w:w="15542" w:type="dxa"/>
            <w:tcBorders>
              <w:bottom w:val="single" w:sz="6" w:space="0" w:color="000000"/>
            </w:tcBorders>
            <w:shd w:val="clear" w:color="auto" w:fill="FFFFFF"/>
            <w:tcMar>
              <w:top w:w="15" w:type="dxa"/>
              <w:left w:w="0" w:type="dxa"/>
              <w:bottom w:w="0" w:type="dxa"/>
              <w:right w:w="15" w:type="dxa"/>
            </w:tcMar>
            <w:vAlign w:val="bottom"/>
            <w:hideMark/>
          </w:tcPr>
          <w:p w14:paraId="04C7A9B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344" w:type="dxa"/>
            <w:shd w:val="clear" w:color="auto" w:fill="FFFFFF"/>
            <w:tcMar>
              <w:top w:w="15" w:type="dxa"/>
              <w:left w:w="0" w:type="dxa"/>
              <w:bottom w:w="0" w:type="dxa"/>
              <w:right w:w="15" w:type="dxa"/>
            </w:tcMar>
            <w:vAlign w:val="bottom"/>
            <w:hideMark/>
          </w:tcPr>
          <w:p w14:paraId="7AC6B6C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4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45F06A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C8FE39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44" w:type="dxa"/>
            <w:tcBorders>
              <w:top w:val="single" w:sz="6" w:space="0" w:color="000000"/>
            </w:tcBorders>
            <w:shd w:val="clear" w:color="auto" w:fill="FFFFFF"/>
            <w:tcMar>
              <w:top w:w="15" w:type="dxa"/>
              <w:left w:w="0" w:type="dxa"/>
              <w:bottom w:w="0" w:type="dxa"/>
              <w:right w:w="15" w:type="dxa"/>
            </w:tcMar>
            <w:vAlign w:val="bottom"/>
            <w:hideMark/>
          </w:tcPr>
          <w:p w14:paraId="771B731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4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1B4BF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93F14E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741D4E1" w14:textId="77777777" w:rsidTr="00141675">
        <w:tc>
          <w:tcPr>
            <w:tcW w:w="15542" w:type="dxa"/>
            <w:tcBorders>
              <w:top w:val="single" w:sz="6" w:space="0" w:color="000000"/>
            </w:tcBorders>
            <w:shd w:val="clear" w:color="auto" w:fill="CFF0FC"/>
            <w:tcMar>
              <w:top w:w="15" w:type="dxa"/>
              <w:left w:w="0" w:type="dxa"/>
              <w:bottom w:w="0" w:type="dxa"/>
              <w:right w:w="15" w:type="dxa"/>
            </w:tcMar>
            <w:hideMark/>
          </w:tcPr>
          <w:p w14:paraId="19286F1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Cash flows from operating activities:</w:t>
            </w:r>
          </w:p>
        </w:tc>
        <w:tc>
          <w:tcPr>
            <w:tcW w:w="344" w:type="dxa"/>
            <w:shd w:val="clear" w:color="auto" w:fill="CFF0FC"/>
            <w:tcMar>
              <w:top w:w="15" w:type="dxa"/>
              <w:left w:w="0" w:type="dxa"/>
              <w:bottom w:w="0" w:type="dxa"/>
              <w:right w:w="15" w:type="dxa"/>
            </w:tcMar>
            <w:vAlign w:val="bottom"/>
            <w:hideMark/>
          </w:tcPr>
          <w:p w14:paraId="3F3B642E"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47F1ED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tcBorders>
            <w:shd w:val="clear" w:color="auto" w:fill="CFF0FC"/>
            <w:noWrap/>
            <w:tcMar>
              <w:top w:w="15" w:type="dxa"/>
              <w:left w:w="0" w:type="dxa"/>
              <w:bottom w:w="0" w:type="dxa"/>
              <w:right w:w="15" w:type="dxa"/>
            </w:tcMar>
            <w:vAlign w:val="bottom"/>
            <w:hideMark/>
          </w:tcPr>
          <w:p w14:paraId="7BCEE7A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4B9B0CA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164121AF"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BB6073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tcBorders>
            <w:shd w:val="clear" w:color="auto" w:fill="CFF0FC"/>
            <w:noWrap/>
            <w:tcMar>
              <w:top w:w="15" w:type="dxa"/>
              <w:left w:w="0" w:type="dxa"/>
              <w:bottom w:w="0" w:type="dxa"/>
              <w:right w:w="15" w:type="dxa"/>
            </w:tcMar>
            <w:vAlign w:val="bottom"/>
            <w:hideMark/>
          </w:tcPr>
          <w:p w14:paraId="713EF41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1726D18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747FEABB" w14:textId="77777777" w:rsidTr="00141675">
        <w:tc>
          <w:tcPr>
            <w:tcW w:w="15542" w:type="dxa"/>
            <w:shd w:val="clear" w:color="auto" w:fill="FFFFFF"/>
            <w:tcMar>
              <w:top w:w="15" w:type="dxa"/>
              <w:left w:w="0" w:type="dxa"/>
              <w:bottom w:w="0" w:type="dxa"/>
              <w:right w:w="15" w:type="dxa"/>
            </w:tcMar>
            <w:hideMark/>
          </w:tcPr>
          <w:p w14:paraId="4390A098"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Net income</w:t>
            </w:r>
          </w:p>
        </w:tc>
        <w:tc>
          <w:tcPr>
            <w:tcW w:w="344" w:type="dxa"/>
            <w:shd w:val="clear" w:color="auto" w:fill="FFFFFF"/>
            <w:tcMar>
              <w:top w:w="15" w:type="dxa"/>
              <w:left w:w="0" w:type="dxa"/>
              <w:bottom w:w="0" w:type="dxa"/>
              <w:right w:w="15" w:type="dxa"/>
            </w:tcMar>
            <w:vAlign w:val="bottom"/>
            <w:hideMark/>
          </w:tcPr>
          <w:p w14:paraId="1E6DAD6E"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70A3100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shd w:val="clear" w:color="auto" w:fill="FFFFFF"/>
            <w:noWrap/>
            <w:tcMar>
              <w:top w:w="15" w:type="dxa"/>
              <w:left w:w="0" w:type="dxa"/>
              <w:bottom w:w="0" w:type="dxa"/>
              <w:right w:w="15" w:type="dxa"/>
            </w:tcMar>
            <w:vAlign w:val="bottom"/>
            <w:hideMark/>
          </w:tcPr>
          <w:p w14:paraId="3AA9D54C"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4,448</w:t>
            </w:r>
          </w:p>
        </w:tc>
        <w:tc>
          <w:tcPr>
            <w:tcW w:w="191" w:type="dxa"/>
            <w:shd w:val="clear" w:color="auto" w:fill="FFFFFF"/>
            <w:noWrap/>
            <w:tcMar>
              <w:top w:w="15" w:type="dxa"/>
              <w:left w:w="0" w:type="dxa"/>
              <w:bottom w:w="0" w:type="dxa"/>
              <w:right w:w="15" w:type="dxa"/>
            </w:tcMar>
            <w:vAlign w:val="bottom"/>
            <w:hideMark/>
          </w:tcPr>
          <w:p w14:paraId="2068A3D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69626A23"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7F8EA44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shd w:val="clear" w:color="auto" w:fill="FFFFFF"/>
            <w:noWrap/>
            <w:tcMar>
              <w:top w:w="15" w:type="dxa"/>
              <w:left w:w="0" w:type="dxa"/>
              <w:bottom w:w="0" w:type="dxa"/>
              <w:right w:w="15" w:type="dxa"/>
            </w:tcMar>
            <w:vAlign w:val="bottom"/>
            <w:hideMark/>
          </w:tcPr>
          <w:p w14:paraId="1E41BA73"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4,598</w:t>
            </w:r>
          </w:p>
        </w:tc>
        <w:tc>
          <w:tcPr>
            <w:tcW w:w="192" w:type="dxa"/>
            <w:shd w:val="clear" w:color="auto" w:fill="FFFFFF"/>
            <w:noWrap/>
            <w:tcMar>
              <w:top w:w="15" w:type="dxa"/>
              <w:left w:w="0" w:type="dxa"/>
              <w:bottom w:w="0" w:type="dxa"/>
              <w:right w:w="15" w:type="dxa"/>
            </w:tcMar>
            <w:vAlign w:val="bottom"/>
            <w:hideMark/>
          </w:tcPr>
          <w:p w14:paraId="5A9A822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67AB3D41" w14:textId="77777777" w:rsidTr="00141675">
        <w:tc>
          <w:tcPr>
            <w:tcW w:w="15542" w:type="dxa"/>
            <w:shd w:val="clear" w:color="auto" w:fill="CFF0FC"/>
            <w:tcMar>
              <w:top w:w="15" w:type="dxa"/>
              <w:left w:w="0" w:type="dxa"/>
              <w:bottom w:w="0" w:type="dxa"/>
              <w:right w:w="15" w:type="dxa"/>
            </w:tcMar>
            <w:hideMark/>
          </w:tcPr>
          <w:p w14:paraId="6A5CFC98"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Adjustments to reconcile net income to net cash provided by operating activities:</w:t>
            </w:r>
          </w:p>
        </w:tc>
        <w:tc>
          <w:tcPr>
            <w:tcW w:w="344" w:type="dxa"/>
            <w:shd w:val="clear" w:color="auto" w:fill="CFF0FC"/>
            <w:tcMar>
              <w:top w:w="15" w:type="dxa"/>
              <w:left w:w="0" w:type="dxa"/>
              <w:bottom w:w="0" w:type="dxa"/>
              <w:right w:w="15" w:type="dxa"/>
            </w:tcMar>
            <w:vAlign w:val="bottom"/>
            <w:hideMark/>
          </w:tcPr>
          <w:p w14:paraId="0C534C62"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72A5F40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6390E6F2"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48F8C9B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0B5FA90F"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6FE558A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4C87AF7A"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0C63B1D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4B708351" w14:textId="77777777" w:rsidTr="00141675">
        <w:tc>
          <w:tcPr>
            <w:tcW w:w="15542" w:type="dxa"/>
            <w:shd w:val="clear" w:color="auto" w:fill="FFFFFF"/>
            <w:tcMar>
              <w:top w:w="15" w:type="dxa"/>
              <w:left w:w="0" w:type="dxa"/>
              <w:bottom w:w="0" w:type="dxa"/>
              <w:right w:w="15" w:type="dxa"/>
            </w:tcMar>
            <w:hideMark/>
          </w:tcPr>
          <w:p w14:paraId="2F59DBE1" w14:textId="77777777" w:rsidR="00141675" w:rsidRPr="00141675" w:rsidRDefault="00141675" w:rsidP="00141675">
            <w:pPr>
              <w:widowControl/>
              <w:ind w:left="684"/>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Depreciation</w:t>
            </w:r>
          </w:p>
        </w:tc>
        <w:tc>
          <w:tcPr>
            <w:tcW w:w="344" w:type="dxa"/>
            <w:shd w:val="clear" w:color="auto" w:fill="FFFFFF"/>
            <w:tcMar>
              <w:top w:w="15" w:type="dxa"/>
              <w:left w:w="0" w:type="dxa"/>
              <w:bottom w:w="0" w:type="dxa"/>
              <w:right w:w="15" w:type="dxa"/>
            </w:tcMar>
            <w:vAlign w:val="bottom"/>
            <w:hideMark/>
          </w:tcPr>
          <w:p w14:paraId="2555047B"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4999AFE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27FF4814"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677</w:t>
            </w:r>
          </w:p>
        </w:tc>
        <w:tc>
          <w:tcPr>
            <w:tcW w:w="191" w:type="dxa"/>
            <w:shd w:val="clear" w:color="auto" w:fill="FFFFFF"/>
            <w:noWrap/>
            <w:tcMar>
              <w:top w:w="15" w:type="dxa"/>
              <w:left w:w="0" w:type="dxa"/>
              <w:bottom w:w="0" w:type="dxa"/>
              <w:right w:w="15" w:type="dxa"/>
            </w:tcMar>
            <w:vAlign w:val="bottom"/>
            <w:hideMark/>
          </w:tcPr>
          <w:p w14:paraId="077D027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61D3F827"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1BE3CC1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0D19FCC8"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566</w:t>
            </w:r>
          </w:p>
        </w:tc>
        <w:tc>
          <w:tcPr>
            <w:tcW w:w="192" w:type="dxa"/>
            <w:shd w:val="clear" w:color="auto" w:fill="FFFFFF"/>
            <w:noWrap/>
            <w:tcMar>
              <w:top w:w="15" w:type="dxa"/>
              <w:left w:w="0" w:type="dxa"/>
              <w:bottom w:w="0" w:type="dxa"/>
              <w:right w:w="15" w:type="dxa"/>
            </w:tcMar>
            <w:vAlign w:val="bottom"/>
            <w:hideMark/>
          </w:tcPr>
          <w:p w14:paraId="3903376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40378076" w14:textId="77777777" w:rsidTr="00141675">
        <w:tc>
          <w:tcPr>
            <w:tcW w:w="15542" w:type="dxa"/>
            <w:shd w:val="clear" w:color="auto" w:fill="CFF0FC"/>
            <w:tcMar>
              <w:top w:w="15" w:type="dxa"/>
              <w:left w:w="0" w:type="dxa"/>
              <w:bottom w:w="0" w:type="dxa"/>
              <w:right w:w="15" w:type="dxa"/>
            </w:tcMar>
            <w:hideMark/>
          </w:tcPr>
          <w:p w14:paraId="366A96AA" w14:textId="77777777" w:rsidR="00141675" w:rsidRPr="00141675" w:rsidRDefault="00141675" w:rsidP="00141675">
            <w:pPr>
              <w:widowControl/>
              <w:ind w:left="684"/>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Amortization of intangible assets</w:t>
            </w:r>
          </w:p>
        </w:tc>
        <w:tc>
          <w:tcPr>
            <w:tcW w:w="344" w:type="dxa"/>
            <w:shd w:val="clear" w:color="auto" w:fill="CFF0FC"/>
            <w:tcMar>
              <w:top w:w="15" w:type="dxa"/>
              <w:left w:w="0" w:type="dxa"/>
              <w:bottom w:w="0" w:type="dxa"/>
              <w:right w:w="15" w:type="dxa"/>
            </w:tcMar>
            <w:vAlign w:val="bottom"/>
            <w:hideMark/>
          </w:tcPr>
          <w:p w14:paraId="3222C23D"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7A8266C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77AD476A"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821</w:t>
            </w:r>
          </w:p>
        </w:tc>
        <w:tc>
          <w:tcPr>
            <w:tcW w:w="191" w:type="dxa"/>
            <w:shd w:val="clear" w:color="auto" w:fill="CFF0FC"/>
            <w:noWrap/>
            <w:tcMar>
              <w:top w:w="15" w:type="dxa"/>
              <w:left w:w="0" w:type="dxa"/>
              <w:bottom w:w="0" w:type="dxa"/>
              <w:right w:w="15" w:type="dxa"/>
            </w:tcMar>
            <w:vAlign w:val="bottom"/>
            <w:hideMark/>
          </w:tcPr>
          <w:p w14:paraId="4D99A20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19E9850B"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2EA1A7B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0AAB5A6B"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858</w:t>
            </w:r>
          </w:p>
        </w:tc>
        <w:tc>
          <w:tcPr>
            <w:tcW w:w="192" w:type="dxa"/>
            <w:shd w:val="clear" w:color="auto" w:fill="CFF0FC"/>
            <w:noWrap/>
            <w:tcMar>
              <w:top w:w="15" w:type="dxa"/>
              <w:left w:w="0" w:type="dxa"/>
              <w:bottom w:w="0" w:type="dxa"/>
              <w:right w:w="15" w:type="dxa"/>
            </w:tcMar>
            <w:vAlign w:val="bottom"/>
            <w:hideMark/>
          </w:tcPr>
          <w:p w14:paraId="6AB86CE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60E0E821" w14:textId="77777777" w:rsidTr="00141675">
        <w:tc>
          <w:tcPr>
            <w:tcW w:w="15542" w:type="dxa"/>
            <w:shd w:val="clear" w:color="auto" w:fill="FFFFFF"/>
            <w:tcMar>
              <w:top w:w="15" w:type="dxa"/>
              <w:left w:w="0" w:type="dxa"/>
              <w:bottom w:w="0" w:type="dxa"/>
              <w:right w:w="15" w:type="dxa"/>
            </w:tcMar>
            <w:hideMark/>
          </w:tcPr>
          <w:p w14:paraId="2C4809D5" w14:textId="77777777" w:rsidR="00141675" w:rsidRPr="00141675" w:rsidRDefault="00141675" w:rsidP="00141675">
            <w:pPr>
              <w:widowControl/>
              <w:ind w:left="684"/>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Deferred income taxes</w:t>
            </w:r>
          </w:p>
        </w:tc>
        <w:tc>
          <w:tcPr>
            <w:tcW w:w="344" w:type="dxa"/>
            <w:shd w:val="clear" w:color="auto" w:fill="FFFFFF"/>
            <w:tcMar>
              <w:top w:w="15" w:type="dxa"/>
              <w:left w:w="0" w:type="dxa"/>
              <w:bottom w:w="0" w:type="dxa"/>
              <w:right w:w="15" w:type="dxa"/>
            </w:tcMar>
            <w:vAlign w:val="bottom"/>
            <w:hideMark/>
          </w:tcPr>
          <w:p w14:paraId="62ADF77C"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46FC385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550A822D"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(263</w:t>
            </w:r>
          </w:p>
        </w:tc>
        <w:tc>
          <w:tcPr>
            <w:tcW w:w="191" w:type="dxa"/>
            <w:shd w:val="clear" w:color="auto" w:fill="FFFFFF"/>
            <w:noWrap/>
            <w:tcMar>
              <w:top w:w="15" w:type="dxa"/>
              <w:left w:w="0" w:type="dxa"/>
              <w:bottom w:w="0" w:type="dxa"/>
              <w:right w:w="15" w:type="dxa"/>
            </w:tcMar>
            <w:vAlign w:val="bottom"/>
            <w:hideMark/>
          </w:tcPr>
          <w:p w14:paraId="0F30DC0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FFFFFF"/>
            <w:tcMar>
              <w:top w:w="15" w:type="dxa"/>
              <w:left w:w="0" w:type="dxa"/>
              <w:bottom w:w="0" w:type="dxa"/>
              <w:right w:w="15" w:type="dxa"/>
            </w:tcMar>
            <w:vAlign w:val="bottom"/>
            <w:hideMark/>
          </w:tcPr>
          <w:p w14:paraId="6074DC2A"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7E2F343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73F3E119"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(228</w:t>
            </w:r>
          </w:p>
        </w:tc>
        <w:tc>
          <w:tcPr>
            <w:tcW w:w="192" w:type="dxa"/>
            <w:shd w:val="clear" w:color="auto" w:fill="FFFFFF"/>
            <w:noWrap/>
            <w:tcMar>
              <w:top w:w="15" w:type="dxa"/>
              <w:left w:w="0" w:type="dxa"/>
              <w:bottom w:w="0" w:type="dxa"/>
              <w:right w:w="15" w:type="dxa"/>
            </w:tcMar>
            <w:vAlign w:val="bottom"/>
            <w:hideMark/>
          </w:tcPr>
          <w:p w14:paraId="6E0F6D4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54E44E64" w14:textId="77777777" w:rsidTr="00141675">
        <w:tc>
          <w:tcPr>
            <w:tcW w:w="15542" w:type="dxa"/>
            <w:shd w:val="clear" w:color="auto" w:fill="CFF0FC"/>
            <w:tcMar>
              <w:top w:w="15" w:type="dxa"/>
              <w:left w:w="0" w:type="dxa"/>
              <w:bottom w:w="0" w:type="dxa"/>
              <w:right w:w="15" w:type="dxa"/>
            </w:tcMar>
            <w:hideMark/>
          </w:tcPr>
          <w:p w14:paraId="2F362D01" w14:textId="77777777" w:rsidR="00141675" w:rsidRPr="00141675" w:rsidRDefault="00141675" w:rsidP="00141675">
            <w:pPr>
              <w:widowControl/>
              <w:ind w:left="684"/>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Stock-based compensation</w:t>
            </w:r>
          </w:p>
        </w:tc>
        <w:tc>
          <w:tcPr>
            <w:tcW w:w="344" w:type="dxa"/>
            <w:shd w:val="clear" w:color="auto" w:fill="CFF0FC"/>
            <w:tcMar>
              <w:top w:w="15" w:type="dxa"/>
              <w:left w:w="0" w:type="dxa"/>
              <w:bottom w:w="0" w:type="dxa"/>
              <w:right w:w="15" w:type="dxa"/>
            </w:tcMar>
            <w:vAlign w:val="bottom"/>
            <w:hideMark/>
          </w:tcPr>
          <w:p w14:paraId="4C69523C"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7F849D9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1D9E82D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843</w:t>
            </w:r>
          </w:p>
        </w:tc>
        <w:tc>
          <w:tcPr>
            <w:tcW w:w="191" w:type="dxa"/>
            <w:shd w:val="clear" w:color="auto" w:fill="CFF0FC"/>
            <w:noWrap/>
            <w:tcMar>
              <w:top w:w="15" w:type="dxa"/>
              <w:left w:w="0" w:type="dxa"/>
              <w:bottom w:w="0" w:type="dxa"/>
              <w:right w:w="15" w:type="dxa"/>
            </w:tcMar>
            <w:vAlign w:val="bottom"/>
            <w:hideMark/>
          </w:tcPr>
          <w:p w14:paraId="650F76C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1D4BD0D6"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00976BD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4C112FF5"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832</w:t>
            </w:r>
          </w:p>
        </w:tc>
        <w:tc>
          <w:tcPr>
            <w:tcW w:w="192" w:type="dxa"/>
            <w:shd w:val="clear" w:color="auto" w:fill="CFF0FC"/>
            <w:noWrap/>
            <w:tcMar>
              <w:top w:w="15" w:type="dxa"/>
              <w:left w:w="0" w:type="dxa"/>
              <w:bottom w:w="0" w:type="dxa"/>
              <w:right w:w="15" w:type="dxa"/>
            </w:tcMar>
            <w:vAlign w:val="bottom"/>
            <w:hideMark/>
          </w:tcPr>
          <w:p w14:paraId="4A69B8D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3F002908" w14:textId="77777777" w:rsidTr="00141675">
        <w:tc>
          <w:tcPr>
            <w:tcW w:w="15542" w:type="dxa"/>
            <w:shd w:val="clear" w:color="auto" w:fill="FFFFFF"/>
            <w:tcMar>
              <w:top w:w="15" w:type="dxa"/>
              <w:left w:w="0" w:type="dxa"/>
              <w:bottom w:w="0" w:type="dxa"/>
              <w:right w:w="15" w:type="dxa"/>
            </w:tcMar>
            <w:hideMark/>
          </w:tcPr>
          <w:p w14:paraId="55A04711" w14:textId="77777777" w:rsidR="00141675" w:rsidRPr="00141675" w:rsidRDefault="00141675" w:rsidP="00141675">
            <w:pPr>
              <w:widowControl/>
              <w:ind w:left="684"/>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Other, net</w:t>
            </w:r>
          </w:p>
        </w:tc>
        <w:tc>
          <w:tcPr>
            <w:tcW w:w="344" w:type="dxa"/>
            <w:shd w:val="clear" w:color="auto" w:fill="FFFFFF"/>
            <w:tcMar>
              <w:top w:w="15" w:type="dxa"/>
              <w:left w:w="0" w:type="dxa"/>
              <w:bottom w:w="0" w:type="dxa"/>
              <w:right w:w="15" w:type="dxa"/>
            </w:tcMar>
            <w:vAlign w:val="bottom"/>
            <w:hideMark/>
          </w:tcPr>
          <w:p w14:paraId="00D330DE"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4106786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3045293C"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117</w:t>
            </w:r>
          </w:p>
        </w:tc>
        <w:tc>
          <w:tcPr>
            <w:tcW w:w="191" w:type="dxa"/>
            <w:shd w:val="clear" w:color="auto" w:fill="FFFFFF"/>
            <w:noWrap/>
            <w:tcMar>
              <w:top w:w="15" w:type="dxa"/>
              <w:left w:w="0" w:type="dxa"/>
              <w:bottom w:w="0" w:type="dxa"/>
              <w:right w:w="15" w:type="dxa"/>
            </w:tcMar>
            <w:vAlign w:val="bottom"/>
            <w:hideMark/>
          </w:tcPr>
          <w:p w14:paraId="684BBBB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3C6E0C70"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64E0092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01CC805B"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118</w:t>
            </w:r>
          </w:p>
        </w:tc>
        <w:tc>
          <w:tcPr>
            <w:tcW w:w="192" w:type="dxa"/>
            <w:shd w:val="clear" w:color="auto" w:fill="FFFFFF"/>
            <w:noWrap/>
            <w:tcMar>
              <w:top w:w="15" w:type="dxa"/>
              <w:left w:w="0" w:type="dxa"/>
              <w:bottom w:w="0" w:type="dxa"/>
              <w:right w:w="15" w:type="dxa"/>
            </w:tcMar>
            <w:vAlign w:val="bottom"/>
            <w:hideMark/>
          </w:tcPr>
          <w:p w14:paraId="1D64CC5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59B472F4" w14:textId="77777777" w:rsidTr="00141675">
        <w:tc>
          <w:tcPr>
            <w:tcW w:w="15542" w:type="dxa"/>
            <w:shd w:val="clear" w:color="auto" w:fill="CFF0FC"/>
            <w:tcMar>
              <w:top w:w="15" w:type="dxa"/>
              <w:left w:w="0" w:type="dxa"/>
              <w:bottom w:w="0" w:type="dxa"/>
              <w:right w:w="15" w:type="dxa"/>
            </w:tcMar>
            <w:hideMark/>
          </w:tcPr>
          <w:p w14:paraId="0432F951" w14:textId="77777777" w:rsidR="00141675" w:rsidRPr="00141675" w:rsidRDefault="00141675" w:rsidP="00141675">
            <w:pPr>
              <w:widowControl/>
              <w:ind w:left="684"/>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Changes in operating assets and liabilities, net of effects from acquisitions:</w:t>
            </w:r>
          </w:p>
        </w:tc>
        <w:tc>
          <w:tcPr>
            <w:tcW w:w="344" w:type="dxa"/>
            <w:shd w:val="clear" w:color="auto" w:fill="CFF0FC"/>
            <w:tcMar>
              <w:top w:w="15" w:type="dxa"/>
              <w:left w:w="0" w:type="dxa"/>
              <w:bottom w:w="0" w:type="dxa"/>
              <w:right w:w="15" w:type="dxa"/>
            </w:tcMar>
            <w:vAlign w:val="bottom"/>
            <w:hideMark/>
          </w:tcPr>
          <w:p w14:paraId="329350FF"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589725C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3991D0D0"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2A047CE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09386C62"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54A2A37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7E672C4E"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571B9F2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27DDDC52" w14:textId="77777777" w:rsidTr="00141675">
        <w:tc>
          <w:tcPr>
            <w:tcW w:w="15542" w:type="dxa"/>
            <w:shd w:val="clear" w:color="auto" w:fill="FFFFFF"/>
            <w:tcMar>
              <w:top w:w="15" w:type="dxa"/>
              <w:left w:w="0" w:type="dxa"/>
              <w:bottom w:w="0" w:type="dxa"/>
              <w:right w:w="15" w:type="dxa"/>
            </w:tcMar>
            <w:hideMark/>
          </w:tcPr>
          <w:p w14:paraId="7AAADCCB" w14:textId="77777777" w:rsidR="00141675" w:rsidRPr="00141675" w:rsidRDefault="00141675" w:rsidP="00141675">
            <w:pPr>
              <w:widowControl/>
              <w:ind w:left="958"/>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Decrease in trade receivables, net</w:t>
            </w:r>
          </w:p>
        </w:tc>
        <w:tc>
          <w:tcPr>
            <w:tcW w:w="344" w:type="dxa"/>
            <w:shd w:val="clear" w:color="auto" w:fill="FFFFFF"/>
            <w:tcMar>
              <w:top w:w="15" w:type="dxa"/>
              <w:left w:w="0" w:type="dxa"/>
              <w:bottom w:w="0" w:type="dxa"/>
              <w:right w:w="15" w:type="dxa"/>
            </w:tcMar>
            <w:vAlign w:val="bottom"/>
            <w:hideMark/>
          </w:tcPr>
          <w:p w14:paraId="07E55601"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04211A6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04FE2062"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1,079</w:t>
            </w:r>
          </w:p>
        </w:tc>
        <w:tc>
          <w:tcPr>
            <w:tcW w:w="191" w:type="dxa"/>
            <w:shd w:val="clear" w:color="auto" w:fill="FFFFFF"/>
            <w:noWrap/>
            <w:tcMar>
              <w:top w:w="15" w:type="dxa"/>
              <w:left w:w="0" w:type="dxa"/>
              <w:bottom w:w="0" w:type="dxa"/>
              <w:right w:w="15" w:type="dxa"/>
            </w:tcMar>
            <w:vAlign w:val="bottom"/>
            <w:hideMark/>
          </w:tcPr>
          <w:p w14:paraId="242D0FF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6FCA51B1"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3FACE0C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6637CDF1"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1,116</w:t>
            </w:r>
          </w:p>
        </w:tc>
        <w:tc>
          <w:tcPr>
            <w:tcW w:w="192" w:type="dxa"/>
            <w:shd w:val="clear" w:color="auto" w:fill="FFFFFF"/>
            <w:noWrap/>
            <w:tcMar>
              <w:top w:w="15" w:type="dxa"/>
              <w:left w:w="0" w:type="dxa"/>
              <w:bottom w:w="0" w:type="dxa"/>
              <w:right w:w="15" w:type="dxa"/>
            </w:tcMar>
            <w:vAlign w:val="bottom"/>
            <w:hideMark/>
          </w:tcPr>
          <w:p w14:paraId="05E4715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3B989EEE" w14:textId="77777777" w:rsidTr="00141675">
        <w:tc>
          <w:tcPr>
            <w:tcW w:w="15542" w:type="dxa"/>
            <w:shd w:val="clear" w:color="auto" w:fill="CFF0FC"/>
            <w:tcMar>
              <w:top w:w="15" w:type="dxa"/>
              <w:left w:w="0" w:type="dxa"/>
              <w:bottom w:w="0" w:type="dxa"/>
              <w:right w:w="15" w:type="dxa"/>
            </w:tcMar>
            <w:hideMark/>
          </w:tcPr>
          <w:p w14:paraId="0559FFF9" w14:textId="77777777" w:rsidR="00141675" w:rsidRPr="00141675" w:rsidRDefault="00141675" w:rsidP="00141675">
            <w:pPr>
              <w:widowControl/>
              <w:ind w:left="958"/>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Decrease in prepaid expenses and other assets</w:t>
            </w:r>
          </w:p>
        </w:tc>
        <w:tc>
          <w:tcPr>
            <w:tcW w:w="344" w:type="dxa"/>
            <w:shd w:val="clear" w:color="auto" w:fill="CFF0FC"/>
            <w:tcMar>
              <w:top w:w="15" w:type="dxa"/>
              <w:left w:w="0" w:type="dxa"/>
              <w:bottom w:w="0" w:type="dxa"/>
              <w:right w:w="15" w:type="dxa"/>
            </w:tcMar>
            <w:vAlign w:val="bottom"/>
            <w:hideMark/>
          </w:tcPr>
          <w:p w14:paraId="68BDA030"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4DB73C2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098AD75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638</w:t>
            </w:r>
          </w:p>
        </w:tc>
        <w:tc>
          <w:tcPr>
            <w:tcW w:w="191" w:type="dxa"/>
            <w:shd w:val="clear" w:color="auto" w:fill="CFF0FC"/>
            <w:noWrap/>
            <w:tcMar>
              <w:top w:w="15" w:type="dxa"/>
              <w:left w:w="0" w:type="dxa"/>
              <w:bottom w:w="0" w:type="dxa"/>
              <w:right w:w="15" w:type="dxa"/>
            </w:tcMar>
            <w:vAlign w:val="bottom"/>
            <w:hideMark/>
          </w:tcPr>
          <w:p w14:paraId="2E75040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5A28099C"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4D057EB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66D9F7A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327</w:t>
            </w:r>
          </w:p>
        </w:tc>
        <w:tc>
          <w:tcPr>
            <w:tcW w:w="192" w:type="dxa"/>
            <w:shd w:val="clear" w:color="auto" w:fill="CFF0FC"/>
            <w:noWrap/>
            <w:tcMar>
              <w:top w:w="15" w:type="dxa"/>
              <w:left w:w="0" w:type="dxa"/>
              <w:bottom w:w="0" w:type="dxa"/>
              <w:right w:w="15" w:type="dxa"/>
            </w:tcMar>
            <w:vAlign w:val="bottom"/>
            <w:hideMark/>
          </w:tcPr>
          <w:p w14:paraId="52FFD4E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41C18F8E" w14:textId="77777777" w:rsidTr="00141675">
        <w:tc>
          <w:tcPr>
            <w:tcW w:w="15542" w:type="dxa"/>
            <w:shd w:val="clear" w:color="auto" w:fill="FFFFFF"/>
            <w:tcMar>
              <w:top w:w="15" w:type="dxa"/>
              <w:left w:w="0" w:type="dxa"/>
              <w:bottom w:w="0" w:type="dxa"/>
              <w:right w:w="15" w:type="dxa"/>
            </w:tcMar>
            <w:hideMark/>
          </w:tcPr>
          <w:p w14:paraId="6915DC96" w14:textId="77777777" w:rsidR="00141675" w:rsidRPr="00141675" w:rsidRDefault="00141675" w:rsidP="00141675">
            <w:pPr>
              <w:widowControl/>
              <w:ind w:left="958"/>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Decrease in accounts payable and other liabilities</w:t>
            </w:r>
          </w:p>
        </w:tc>
        <w:tc>
          <w:tcPr>
            <w:tcW w:w="344" w:type="dxa"/>
            <w:shd w:val="clear" w:color="auto" w:fill="FFFFFF"/>
            <w:tcMar>
              <w:top w:w="15" w:type="dxa"/>
              <w:left w:w="0" w:type="dxa"/>
              <w:bottom w:w="0" w:type="dxa"/>
              <w:right w:w="15" w:type="dxa"/>
            </w:tcMar>
            <w:vAlign w:val="bottom"/>
            <w:hideMark/>
          </w:tcPr>
          <w:p w14:paraId="06BC5551"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0221AA5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6090A1F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(916</w:t>
            </w:r>
          </w:p>
        </w:tc>
        <w:tc>
          <w:tcPr>
            <w:tcW w:w="191" w:type="dxa"/>
            <w:shd w:val="clear" w:color="auto" w:fill="FFFFFF"/>
            <w:noWrap/>
            <w:tcMar>
              <w:top w:w="15" w:type="dxa"/>
              <w:left w:w="0" w:type="dxa"/>
              <w:bottom w:w="0" w:type="dxa"/>
              <w:right w:w="15" w:type="dxa"/>
            </w:tcMar>
            <w:vAlign w:val="bottom"/>
            <w:hideMark/>
          </w:tcPr>
          <w:p w14:paraId="27A39E0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FFFFFF"/>
            <w:tcMar>
              <w:top w:w="15" w:type="dxa"/>
              <w:left w:w="0" w:type="dxa"/>
              <w:bottom w:w="0" w:type="dxa"/>
              <w:right w:w="15" w:type="dxa"/>
            </w:tcMar>
            <w:vAlign w:val="bottom"/>
            <w:hideMark/>
          </w:tcPr>
          <w:p w14:paraId="4AF2AD6A"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5AF395C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4DC6883A"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(364</w:t>
            </w:r>
          </w:p>
        </w:tc>
        <w:tc>
          <w:tcPr>
            <w:tcW w:w="192" w:type="dxa"/>
            <w:shd w:val="clear" w:color="auto" w:fill="FFFFFF"/>
            <w:noWrap/>
            <w:tcMar>
              <w:top w:w="15" w:type="dxa"/>
              <w:left w:w="0" w:type="dxa"/>
              <w:bottom w:w="0" w:type="dxa"/>
              <w:right w:w="15" w:type="dxa"/>
            </w:tcMar>
            <w:vAlign w:val="bottom"/>
            <w:hideMark/>
          </w:tcPr>
          <w:p w14:paraId="5465001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754091F0" w14:textId="77777777" w:rsidTr="00141675">
        <w:tc>
          <w:tcPr>
            <w:tcW w:w="15542" w:type="dxa"/>
            <w:shd w:val="clear" w:color="auto" w:fill="CFF0FC"/>
            <w:tcMar>
              <w:top w:w="15" w:type="dxa"/>
              <w:left w:w="0" w:type="dxa"/>
              <w:bottom w:w="0" w:type="dxa"/>
              <w:right w:w="15" w:type="dxa"/>
            </w:tcMar>
            <w:hideMark/>
          </w:tcPr>
          <w:p w14:paraId="39AD1793" w14:textId="77777777" w:rsidR="00141675" w:rsidRPr="00141675" w:rsidRDefault="00141675" w:rsidP="00141675">
            <w:pPr>
              <w:widowControl/>
              <w:ind w:left="958"/>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Decrease in income taxes payable</w:t>
            </w:r>
          </w:p>
        </w:tc>
        <w:tc>
          <w:tcPr>
            <w:tcW w:w="344" w:type="dxa"/>
            <w:shd w:val="clear" w:color="auto" w:fill="CFF0FC"/>
            <w:tcMar>
              <w:top w:w="15" w:type="dxa"/>
              <w:left w:w="0" w:type="dxa"/>
              <w:bottom w:w="0" w:type="dxa"/>
              <w:right w:w="15" w:type="dxa"/>
            </w:tcMar>
            <w:vAlign w:val="bottom"/>
            <w:hideMark/>
          </w:tcPr>
          <w:p w14:paraId="406E25D7"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5CAE6ED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2ADFF23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(613</w:t>
            </w:r>
          </w:p>
        </w:tc>
        <w:tc>
          <w:tcPr>
            <w:tcW w:w="191" w:type="dxa"/>
            <w:shd w:val="clear" w:color="auto" w:fill="CFF0FC"/>
            <w:noWrap/>
            <w:tcMar>
              <w:top w:w="15" w:type="dxa"/>
              <w:left w:w="0" w:type="dxa"/>
              <w:bottom w:w="0" w:type="dxa"/>
              <w:right w:w="15" w:type="dxa"/>
            </w:tcMar>
            <w:vAlign w:val="bottom"/>
            <w:hideMark/>
          </w:tcPr>
          <w:p w14:paraId="6C5D2C2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CFF0FC"/>
            <w:tcMar>
              <w:top w:w="15" w:type="dxa"/>
              <w:left w:w="0" w:type="dxa"/>
              <w:bottom w:w="0" w:type="dxa"/>
              <w:right w:w="15" w:type="dxa"/>
            </w:tcMar>
            <w:vAlign w:val="bottom"/>
            <w:hideMark/>
          </w:tcPr>
          <w:p w14:paraId="4D74E3FC"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185B1D6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7A82DC1D"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(679</w:t>
            </w:r>
          </w:p>
        </w:tc>
        <w:tc>
          <w:tcPr>
            <w:tcW w:w="192" w:type="dxa"/>
            <w:shd w:val="clear" w:color="auto" w:fill="CFF0FC"/>
            <w:noWrap/>
            <w:tcMar>
              <w:top w:w="15" w:type="dxa"/>
              <w:left w:w="0" w:type="dxa"/>
              <w:bottom w:w="0" w:type="dxa"/>
              <w:right w:w="15" w:type="dxa"/>
            </w:tcMar>
            <w:vAlign w:val="bottom"/>
            <w:hideMark/>
          </w:tcPr>
          <w:p w14:paraId="0943487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03E5B48A" w14:textId="77777777" w:rsidTr="00141675">
        <w:tc>
          <w:tcPr>
            <w:tcW w:w="15542" w:type="dxa"/>
            <w:shd w:val="clear" w:color="auto" w:fill="FFFFFF"/>
            <w:tcMar>
              <w:top w:w="15" w:type="dxa"/>
              <w:left w:w="0" w:type="dxa"/>
              <w:bottom w:w="0" w:type="dxa"/>
              <w:right w:w="15" w:type="dxa"/>
            </w:tcMar>
            <w:hideMark/>
          </w:tcPr>
          <w:p w14:paraId="492B9CAC" w14:textId="77777777" w:rsidR="00141675" w:rsidRPr="00141675" w:rsidRDefault="00141675" w:rsidP="00141675">
            <w:pPr>
              <w:widowControl/>
              <w:ind w:left="958"/>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(Decrease) increase in deferred revenues</w:t>
            </w:r>
          </w:p>
        </w:tc>
        <w:tc>
          <w:tcPr>
            <w:tcW w:w="344" w:type="dxa"/>
            <w:shd w:val="clear" w:color="auto" w:fill="FFFFFF"/>
            <w:tcMar>
              <w:top w:w="15" w:type="dxa"/>
              <w:left w:w="0" w:type="dxa"/>
              <w:bottom w:w="0" w:type="dxa"/>
              <w:right w:w="15" w:type="dxa"/>
            </w:tcMar>
            <w:vAlign w:val="bottom"/>
            <w:hideMark/>
          </w:tcPr>
          <w:p w14:paraId="29264F52"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DBDD8A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bottom w:val="single" w:sz="6" w:space="0" w:color="000000"/>
            </w:tcBorders>
            <w:shd w:val="clear" w:color="auto" w:fill="FFFFFF"/>
            <w:noWrap/>
            <w:tcMar>
              <w:top w:w="15" w:type="dxa"/>
              <w:left w:w="0" w:type="dxa"/>
              <w:bottom w:w="0" w:type="dxa"/>
              <w:right w:w="15" w:type="dxa"/>
            </w:tcMar>
            <w:vAlign w:val="bottom"/>
            <w:hideMark/>
          </w:tcPr>
          <w:p w14:paraId="372D4CAB"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(318</w:t>
            </w:r>
          </w:p>
        </w:tc>
        <w:tc>
          <w:tcPr>
            <w:tcW w:w="191" w:type="dxa"/>
            <w:shd w:val="clear" w:color="auto" w:fill="FFFFFF"/>
            <w:noWrap/>
            <w:tcMar>
              <w:top w:w="15" w:type="dxa"/>
              <w:left w:w="0" w:type="dxa"/>
              <w:bottom w:w="0" w:type="dxa"/>
              <w:right w:w="15" w:type="dxa"/>
            </w:tcMar>
            <w:vAlign w:val="bottom"/>
            <w:hideMark/>
          </w:tcPr>
          <w:p w14:paraId="5FE3195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FFFFFF"/>
            <w:tcMar>
              <w:top w:w="15" w:type="dxa"/>
              <w:left w:w="0" w:type="dxa"/>
              <w:bottom w:w="0" w:type="dxa"/>
              <w:right w:w="15" w:type="dxa"/>
            </w:tcMar>
            <w:vAlign w:val="bottom"/>
            <w:hideMark/>
          </w:tcPr>
          <w:p w14:paraId="264FAA39"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942061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bottom w:val="single" w:sz="6" w:space="0" w:color="000000"/>
            </w:tcBorders>
            <w:shd w:val="clear" w:color="auto" w:fill="FFFFFF"/>
            <w:noWrap/>
            <w:tcMar>
              <w:top w:w="15" w:type="dxa"/>
              <w:left w:w="0" w:type="dxa"/>
              <w:bottom w:w="0" w:type="dxa"/>
              <w:right w:w="15" w:type="dxa"/>
            </w:tcMar>
            <w:vAlign w:val="bottom"/>
            <w:hideMark/>
          </w:tcPr>
          <w:p w14:paraId="54F0F287"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124</w:t>
            </w:r>
          </w:p>
        </w:tc>
        <w:tc>
          <w:tcPr>
            <w:tcW w:w="192" w:type="dxa"/>
            <w:shd w:val="clear" w:color="auto" w:fill="FFFFFF"/>
            <w:noWrap/>
            <w:tcMar>
              <w:top w:w="15" w:type="dxa"/>
              <w:left w:w="0" w:type="dxa"/>
              <w:bottom w:w="0" w:type="dxa"/>
              <w:right w:w="15" w:type="dxa"/>
            </w:tcMar>
            <w:vAlign w:val="bottom"/>
            <w:hideMark/>
          </w:tcPr>
          <w:p w14:paraId="3A95122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3596126D" w14:textId="77777777" w:rsidTr="00141675">
        <w:tc>
          <w:tcPr>
            <w:tcW w:w="15542" w:type="dxa"/>
            <w:shd w:val="clear" w:color="auto" w:fill="CFF0FC"/>
            <w:tcMar>
              <w:top w:w="15" w:type="dxa"/>
              <w:left w:w="0" w:type="dxa"/>
              <w:bottom w:w="0" w:type="dxa"/>
              <w:right w:w="15" w:type="dxa"/>
            </w:tcMar>
            <w:hideMark/>
          </w:tcPr>
          <w:p w14:paraId="1E4BD439" w14:textId="77777777" w:rsidR="00141675" w:rsidRPr="00141675" w:rsidRDefault="00141675" w:rsidP="00141675">
            <w:pPr>
              <w:widowControl/>
              <w:ind w:left="1231"/>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Net cash provided by operating activities</w:t>
            </w:r>
          </w:p>
        </w:tc>
        <w:tc>
          <w:tcPr>
            <w:tcW w:w="344" w:type="dxa"/>
            <w:shd w:val="clear" w:color="auto" w:fill="CFF0FC"/>
            <w:tcMar>
              <w:top w:w="15" w:type="dxa"/>
              <w:left w:w="0" w:type="dxa"/>
              <w:bottom w:w="0" w:type="dxa"/>
              <w:right w:w="15" w:type="dxa"/>
            </w:tcMar>
            <w:vAlign w:val="bottom"/>
            <w:hideMark/>
          </w:tcPr>
          <w:p w14:paraId="5E194A20"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B3D890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BF0F30"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6,513</w:t>
            </w:r>
          </w:p>
        </w:tc>
        <w:tc>
          <w:tcPr>
            <w:tcW w:w="191" w:type="dxa"/>
            <w:shd w:val="clear" w:color="auto" w:fill="CFF0FC"/>
            <w:noWrap/>
            <w:tcMar>
              <w:top w:w="15" w:type="dxa"/>
              <w:left w:w="0" w:type="dxa"/>
              <w:bottom w:w="0" w:type="dxa"/>
              <w:right w:w="15" w:type="dxa"/>
            </w:tcMar>
            <w:vAlign w:val="bottom"/>
            <w:hideMark/>
          </w:tcPr>
          <w:p w14:paraId="06B6740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208D6D2F"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CA2729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F133F36"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7,268</w:t>
            </w:r>
          </w:p>
        </w:tc>
        <w:tc>
          <w:tcPr>
            <w:tcW w:w="192" w:type="dxa"/>
            <w:shd w:val="clear" w:color="auto" w:fill="CFF0FC"/>
            <w:noWrap/>
            <w:tcMar>
              <w:top w:w="15" w:type="dxa"/>
              <w:left w:w="0" w:type="dxa"/>
              <w:bottom w:w="0" w:type="dxa"/>
              <w:right w:w="15" w:type="dxa"/>
            </w:tcMar>
            <w:vAlign w:val="bottom"/>
            <w:hideMark/>
          </w:tcPr>
          <w:p w14:paraId="106CB63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6F639315" w14:textId="77777777" w:rsidTr="00141675">
        <w:tc>
          <w:tcPr>
            <w:tcW w:w="15542" w:type="dxa"/>
            <w:shd w:val="clear" w:color="auto" w:fill="FFFFFF"/>
            <w:tcMar>
              <w:top w:w="15" w:type="dxa"/>
              <w:left w:w="0" w:type="dxa"/>
              <w:bottom w:w="0" w:type="dxa"/>
              <w:right w:w="15" w:type="dxa"/>
            </w:tcMar>
            <w:hideMark/>
          </w:tcPr>
          <w:p w14:paraId="594DA1E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Cash flows from investing activities:</w:t>
            </w:r>
          </w:p>
        </w:tc>
        <w:tc>
          <w:tcPr>
            <w:tcW w:w="344" w:type="dxa"/>
            <w:shd w:val="clear" w:color="auto" w:fill="FFFFFF"/>
            <w:tcMar>
              <w:top w:w="15" w:type="dxa"/>
              <w:left w:w="0" w:type="dxa"/>
              <w:bottom w:w="0" w:type="dxa"/>
              <w:right w:w="15" w:type="dxa"/>
            </w:tcMar>
            <w:vAlign w:val="bottom"/>
            <w:hideMark/>
          </w:tcPr>
          <w:p w14:paraId="124937F9"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1DF4F42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tcBorders>
            <w:shd w:val="clear" w:color="auto" w:fill="FFFFFF"/>
            <w:noWrap/>
            <w:tcMar>
              <w:top w:w="15" w:type="dxa"/>
              <w:left w:w="0" w:type="dxa"/>
              <w:bottom w:w="0" w:type="dxa"/>
              <w:right w:w="15" w:type="dxa"/>
            </w:tcMar>
            <w:vAlign w:val="bottom"/>
            <w:hideMark/>
          </w:tcPr>
          <w:p w14:paraId="5946FB1E"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FFFFFF"/>
            <w:noWrap/>
            <w:tcMar>
              <w:top w:w="15" w:type="dxa"/>
              <w:left w:w="0" w:type="dxa"/>
              <w:bottom w:w="0" w:type="dxa"/>
              <w:right w:w="15" w:type="dxa"/>
            </w:tcMar>
            <w:vAlign w:val="bottom"/>
            <w:hideMark/>
          </w:tcPr>
          <w:p w14:paraId="131C994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4B30D112"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AD173A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tcBorders>
            <w:shd w:val="clear" w:color="auto" w:fill="FFFFFF"/>
            <w:noWrap/>
            <w:tcMar>
              <w:top w:w="15" w:type="dxa"/>
              <w:left w:w="0" w:type="dxa"/>
              <w:bottom w:w="0" w:type="dxa"/>
              <w:right w:w="15" w:type="dxa"/>
            </w:tcMar>
            <w:vAlign w:val="bottom"/>
            <w:hideMark/>
          </w:tcPr>
          <w:p w14:paraId="404FD9BD"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2" w:type="dxa"/>
            <w:shd w:val="clear" w:color="auto" w:fill="FFFFFF"/>
            <w:noWrap/>
            <w:tcMar>
              <w:top w:w="15" w:type="dxa"/>
              <w:left w:w="0" w:type="dxa"/>
              <w:bottom w:w="0" w:type="dxa"/>
              <w:right w:w="15" w:type="dxa"/>
            </w:tcMar>
            <w:vAlign w:val="bottom"/>
            <w:hideMark/>
          </w:tcPr>
          <w:p w14:paraId="5261075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6F8D37B4" w14:textId="77777777" w:rsidTr="00141675">
        <w:tc>
          <w:tcPr>
            <w:tcW w:w="15542" w:type="dxa"/>
            <w:shd w:val="clear" w:color="auto" w:fill="CFF0FC"/>
            <w:tcMar>
              <w:top w:w="15" w:type="dxa"/>
              <w:left w:w="0" w:type="dxa"/>
              <w:bottom w:w="0" w:type="dxa"/>
              <w:right w:w="15" w:type="dxa"/>
            </w:tcMar>
            <w:hideMark/>
          </w:tcPr>
          <w:p w14:paraId="5A0E7DD8"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Purchases of marketable securities and other investments</w:t>
            </w:r>
          </w:p>
        </w:tc>
        <w:tc>
          <w:tcPr>
            <w:tcW w:w="344" w:type="dxa"/>
            <w:shd w:val="clear" w:color="auto" w:fill="CFF0FC"/>
            <w:tcMar>
              <w:top w:w="15" w:type="dxa"/>
              <w:left w:w="0" w:type="dxa"/>
              <w:bottom w:w="0" w:type="dxa"/>
              <w:right w:w="15" w:type="dxa"/>
            </w:tcMar>
            <w:vAlign w:val="bottom"/>
            <w:hideMark/>
          </w:tcPr>
          <w:p w14:paraId="78FEB2FD"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5E2586D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60B3253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(314</w:t>
            </w:r>
          </w:p>
        </w:tc>
        <w:tc>
          <w:tcPr>
            <w:tcW w:w="191" w:type="dxa"/>
            <w:shd w:val="clear" w:color="auto" w:fill="CFF0FC"/>
            <w:noWrap/>
            <w:tcMar>
              <w:top w:w="15" w:type="dxa"/>
              <w:left w:w="0" w:type="dxa"/>
              <w:bottom w:w="0" w:type="dxa"/>
              <w:right w:w="15" w:type="dxa"/>
            </w:tcMar>
            <w:vAlign w:val="bottom"/>
            <w:hideMark/>
          </w:tcPr>
          <w:p w14:paraId="53A8C9B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CFF0FC"/>
            <w:tcMar>
              <w:top w:w="15" w:type="dxa"/>
              <w:left w:w="0" w:type="dxa"/>
              <w:bottom w:w="0" w:type="dxa"/>
              <w:right w:w="15" w:type="dxa"/>
            </w:tcMar>
            <w:vAlign w:val="bottom"/>
            <w:hideMark/>
          </w:tcPr>
          <w:p w14:paraId="0D502810"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571D9D7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262ECC27"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(1,278</w:t>
            </w:r>
          </w:p>
        </w:tc>
        <w:tc>
          <w:tcPr>
            <w:tcW w:w="192" w:type="dxa"/>
            <w:shd w:val="clear" w:color="auto" w:fill="CFF0FC"/>
            <w:noWrap/>
            <w:tcMar>
              <w:top w:w="15" w:type="dxa"/>
              <w:left w:w="0" w:type="dxa"/>
              <w:bottom w:w="0" w:type="dxa"/>
              <w:right w:w="15" w:type="dxa"/>
            </w:tcMar>
            <w:vAlign w:val="bottom"/>
            <w:hideMark/>
          </w:tcPr>
          <w:p w14:paraId="6C5AB98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45583D9C" w14:textId="77777777" w:rsidTr="00141675">
        <w:tc>
          <w:tcPr>
            <w:tcW w:w="15542" w:type="dxa"/>
            <w:shd w:val="clear" w:color="auto" w:fill="FFFFFF"/>
            <w:tcMar>
              <w:top w:w="15" w:type="dxa"/>
              <w:left w:w="0" w:type="dxa"/>
              <w:bottom w:w="0" w:type="dxa"/>
              <w:right w:w="15" w:type="dxa"/>
            </w:tcMar>
            <w:hideMark/>
          </w:tcPr>
          <w:p w14:paraId="179EDA5F"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Proceeds from maturities of marketable securities and other investments</w:t>
            </w:r>
          </w:p>
        </w:tc>
        <w:tc>
          <w:tcPr>
            <w:tcW w:w="344" w:type="dxa"/>
            <w:shd w:val="clear" w:color="auto" w:fill="FFFFFF"/>
            <w:tcMar>
              <w:top w:w="15" w:type="dxa"/>
              <w:left w:w="0" w:type="dxa"/>
              <w:bottom w:w="0" w:type="dxa"/>
              <w:right w:w="15" w:type="dxa"/>
            </w:tcMar>
            <w:vAlign w:val="bottom"/>
            <w:hideMark/>
          </w:tcPr>
          <w:p w14:paraId="442C2A3B"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6D5CEA5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2097857E"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2,204</w:t>
            </w:r>
          </w:p>
        </w:tc>
        <w:tc>
          <w:tcPr>
            <w:tcW w:w="191" w:type="dxa"/>
            <w:shd w:val="clear" w:color="auto" w:fill="FFFFFF"/>
            <w:noWrap/>
            <w:tcMar>
              <w:top w:w="15" w:type="dxa"/>
              <w:left w:w="0" w:type="dxa"/>
              <w:bottom w:w="0" w:type="dxa"/>
              <w:right w:w="15" w:type="dxa"/>
            </w:tcMar>
            <w:vAlign w:val="bottom"/>
            <w:hideMark/>
          </w:tcPr>
          <w:p w14:paraId="6FE903E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594843B5"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445A61F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5A6D8AE3"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6,737</w:t>
            </w:r>
          </w:p>
        </w:tc>
        <w:tc>
          <w:tcPr>
            <w:tcW w:w="192" w:type="dxa"/>
            <w:shd w:val="clear" w:color="auto" w:fill="FFFFFF"/>
            <w:noWrap/>
            <w:tcMar>
              <w:top w:w="15" w:type="dxa"/>
              <w:left w:w="0" w:type="dxa"/>
              <w:bottom w:w="0" w:type="dxa"/>
              <w:right w:w="15" w:type="dxa"/>
            </w:tcMar>
            <w:vAlign w:val="bottom"/>
            <w:hideMark/>
          </w:tcPr>
          <w:p w14:paraId="377602D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0047D592" w14:textId="77777777" w:rsidTr="00141675">
        <w:tc>
          <w:tcPr>
            <w:tcW w:w="15542" w:type="dxa"/>
            <w:shd w:val="clear" w:color="auto" w:fill="CFF0FC"/>
            <w:tcMar>
              <w:top w:w="15" w:type="dxa"/>
              <w:left w:w="0" w:type="dxa"/>
              <w:bottom w:w="0" w:type="dxa"/>
              <w:right w:w="15" w:type="dxa"/>
            </w:tcMar>
            <w:hideMark/>
          </w:tcPr>
          <w:p w14:paraId="65407066"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lastRenderedPageBreak/>
              <w:t>Proceeds from sales of marketable securities</w:t>
            </w:r>
          </w:p>
        </w:tc>
        <w:tc>
          <w:tcPr>
            <w:tcW w:w="344" w:type="dxa"/>
            <w:shd w:val="clear" w:color="auto" w:fill="CFF0FC"/>
            <w:tcMar>
              <w:top w:w="15" w:type="dxa"/>
              <w:left w:w="0" w:type="dxa"/>
              <w:bottom w:w="0" w:type="dxa"/>
              <w:right w:w="15" w:type="dxa"/>
            </w:tcMar>
            <w:vAlign w:val="bottom"/>
            <w:hideMark/>
          </w:tcPr>
          <w:p w14:paraId="7424D404"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43E68AE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7E6C681B"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12,575</w:t>
            </w:r>
          </w:p>
        </w:tc>
        <w:tc>
          <w:tcPr>
            <w:tcW w:w="191" w:type="dxa"/>
            <w:shd w:val="clear" w:color="auto" w:fill="CFF0FC"/>
            <w:noWrap/>
            <w:tcMar>
              <w:top w:w="15" w:type="dxa"/>
              <w:left w:w="0" w:type="dxa"/>
              <w:bottom w:w="0" w:type="dxa"/>
              <w:right w:w="15" w:type="dxa"/>
            </w:tcMar>
            <w:vAlign w:val="bottom"/>
            <w:hideMark/>
          </w:tcPr>
          <w:p w14:paraId="1FE2D4F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5C11A714"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2C439AC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3896CA4C"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1,110</w:t>
            </w:r>
          </w:p>
        </w:tc>
        <w:tc>
          <w:tcPr>
            <w:tcW w:w="192" w:type="dxa"/>
            <w:shd w:val="clear" w:color="auto" w:fill="CFF0FC"/>
            <w:noWrap/>
            <w:tcMar>
              <w:top w:w="15" w:type="dxa"/>
              <w:left w:w="0" w:type="dxa"/>
              <w:bottom w:w="0" w:type="dxa"/>
              <w:right w:w="15" w:type="dxa"/>
            </w:tcMar>
            <w:vAlign w:val="bottom"/>
            <w:hideMark/>
          </w:tcPr>
          <w:p w14:paraId="0BDB89F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2BB54F5B" w14:textId="77777777" w:rsidTr="00141675">
        <w:tc>
          <w:tcPr>
            <w:tcW w:w="15542" w:type="dxa"/>
            <w:shd w:val="clear" w:color="auto" w:fill="FFFFFF"/>
            <w:tcMar>
              <w:top w:w="15" w:type="dxa"/>
              <w:left w:w="0" w:type="dxa"/>
              <w:bottom w:w="0" w:type="dxa"/>
              <w:right w:w="15" w:type="dxa"/>
            </w:tcMar>
            <w:hideMark/>
          </w:tcPr>
          <w:p w14:paraId="5ED8EE8B"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Acquisitions, net of cash acquired</w:t>
            </w:r>
          </w:p>
        </w:tc>
        <w:tc>
          <w:tcPr>
            <w:tcW w:w="344" w:type="dxa"/>
            <w:shd w:val="clear" w:color="auto" w:fill="FFFFFF"/>
            <w:tcMar>
              <w:top w:w="15" w:type="dxa"/>
              <w:left w:w="0" w:type="dxa"/>
              <w:bottom w:w="0" w:type="dxa"/>
              <w:right w:w="15" w:type="dxa"/>
            </w:tcMar>
            <w:vAlign w:val="bottom"/>
            <w:hideMark/>
          </w:tcPr>
          <w:p w14:paraId="434446A7"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2D575C1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0B73EB7E"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(111</w:t>
            </w:r>
          </w:p>
        </w:tc>
        <w:tc>
          <w:tcPr>
            <w:tcW w:w="191" w:type="dxa"/>
            <w:shd w:val="clear" w:color="auto" w:fill="FFFFFF"/>
            <w:noWrap/>
            <w:tcMar>
              <w:top w:w="15" w:type="dxa"/>
              <w:left w:w="0" w:type="dxa"/>
              <w:bottom w:w="0" w:type="dxa"/>
              <w:right w:w="15" w:type="dxa"/>
            </w:tcMar>
            <w:vAlign w:val="bottom"/>
            <w:hideMark/>
          </w:tcPr>
          <w:p w14:paraId="791E092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FFFFFF"/>
            <w:tcMar>
              <w:top w:w="15" w:type="dxa"/>
              <w:left w:w="0" w:type="dxa"/>
              <w:bottom w:w="0" w:type="dxa"/>
              <w:right w:w="15" w:type="dxa"/>
            </w:tcMar>
            <w:vAlign w:val="bottom"/>
            <w:hideMark/>
          </w:tcPr>
          <w:p w14:paraId="105208D8"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3629FAB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0383494C"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(313</w:t>
            </w:r>
          </w:p>
        </w:tc>
        <w:tc>
          <w:tcPr>
            <w:tcW w:w="192" w:type="dxa"/>
            <w:shd w:val="clear" w:color="auto" w:fill="FFFFFF"/>
            <w:noWrap/>
            <w:tcMar>
              <w:top w:w="15" w:type="dxa"/>
              <w:left w:w="0" w:type="dxa"/>
              <w:bottom w:w="0" w:type="dxa"/>
              <w:right w:w="15" w:type="dxa"/>
            </w:tcMar>
            <w:vAlign w:val="bottom"/>
            <w:hideMark/>
          </w:tcPr>
          <w:p w14:paraId="5E9F98C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5BAC6AB9" w14:textId="77777777" w:rsidTr="00141675">
        <w:tc>
          <w:tcPr>
            <w:tcW w:w="15542" w:type="dxa"/>
            <w:shd w:val="clear" w:color="auto" w:fill="CFF0FC"/>
            <w:tcMar>
              <w:top w:w="15" w:type="dxa"/>
              <w:left w:w="0" w:type="dxa"/>
              <w:bottom w:w="0" w:type="dxa"/>
              <w:right w:w="15" w:type="dxa"/>
            </w:tcMar>
            <w:hideMark/>
          </w:tcPr>
          <w:p w14:paraId="65B224F5"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Capital expenditures</w:t>
            </w:r>
          </w:p>
        </w:tc>
        <w:tc>
          <w:tcPr>
            <w:tcW w:w="344" w:type="dxa"/>
            <w:shd w:val="clear" w:color="auto" w:fill="CFF0FC"/>
            <w:tcMar>
              <w:top w:w="15" w:type="dxa"/>
              <w:left w:w="0" w:type="dxa"/>
              <w:bottom w:w="0" w:type="dxa"/>
              <w:right w:w="15" w:type="dxa"/>
            </w:tcMar>
            <w:vAlign w:val="bottom"/>
            <w:hideMark/>
          </w:tcPr>
          <w:p w14:paraId="7E40AF1B"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28A926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bottom w:val="single" w:sz="6" w:space="0" w:color="000000"/>
            </w:tcBorders>
            <w:shd w:val="clear" w:color="auto" w:fill="CFF0FC"/>
            <w:noWrap/>
            <w:tcMar>
              <w:top w:w="15" w:type="dxa"/>
              <w:left w:w="0" w:type="dxa"/>
              <w:bottom w:w="0" w:type="dxa"/>
              <w:right w:w="15" w:type="dxa"/>
            </w:tcMar>
            <w:vAlign w:val="bottom"/>
            <w:hideMark/>
          </w:tcPr>
          <w:p w14:paraId="69201D90"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(735</w:t>
            </w:r>
          </w:p>
        </w:tc>
        <w:tc>
          <w:tcPr>
            <w:tcW w:w="191" w:type="dxa"/>
            <w:shd w:val="clear" w:color="auto" w:fill="CFF0FC"/>
            <w:noWrap/>
            <w:tcMar>
              <w:top w:w="15" w:type="dxa"/>
              <w:left w:w="0" w:type="dxa"/>
              <w:bottom w:w="0" w:type="dxa"/>
              <w:right w:w="15" w:type="dxa"/>
            </w:tcMar>
            <w:vAlign w:val="bottom"/>
            <w:hideMark/>
          </w:tcPr>
          <w:p w14:paraId="101AFF7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CFF0FC"/>
            <w:tcMar>
              <w:top w:w="15" w:type="dxa"/>
              <w:left w:w="0" w:type="dxa"/>
              <w:bottom w:w="0" w:type="dxa"/>
              <w:right w:w="15" w:type="dxa"/>
            </w:tcMar>
            <w:vAlign w:val="bottom"/>
            <w:hideMark/>
          </w:tcPr>
          <w:p w14:paraId="76C7767B"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D194F5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bottom w:val="single" w:sz="6" w:space="0" w:color="000000"/>
            </w:tcBorders>
            <w:shd w:val="clear" w:color="auto" w:fill="CFF0FC"/>
            <w:noWrap/>
            <w:tcMar>
              <w:top w:w="15" w:type="dxa"/>
              <w:left w:w="0" w:type="dxa"/>
              <w:bottom w:w="0" w:type="dxa"/>
              <w:right w:w="15" w:type="dxa"/>
            </w:tcMar>
            <w:vAlign w:val="bottom"/>
            <w:hideMark/>
          </w:tcPr>
          <w:p w14:paraId="2F064DD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(804</w:t>
            </w:r>
          </w:p>
        </w:tc>
        <w:tc>
          <w:tcPr>
            <w:tcW w:w="192" w:type="dxa"/>
            <w:shd w:val="clear" w:color="auto" w:fill="CFF0FC"/>
            <w:noWrap/>
            <w:tcMar>
              <w:top w:w="15" w:type="dxa"/>
              <w:left w:w="0" w:type="dxa"/>
              <w:bottom w:w="0" w:type="dxa"/>
              <w:right w:w="15" w:type="dxa"/>
            </w:tcMar>
            <w:vAlign w:val="bottom"/>
            <w:hideMark/>
          </w:tcPr>
          <w:p w14:paraId="1FE6288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58CB7912" w14:textId="77777777" w:rsidTr="00141675">
        <w:tc>
          <w:tcPr>
            <w:tcW w:w="15542" w:type="dxa"/>
            <w:shd w:val="clear" w:color="auto" w:fill="FFFFFF"/>
            <w:tcMar>
              <w:top w:w="15" w:type="dxa"/>
              <w:left w:w="0" w:type="dxa"/>
              <w:bottom w:w="0" w:type="dxa"/>
              <w:right w:w="15" w:type="dxa"/>
            </w:tcMar>
            <w:hideMark/>
          </w:tcPr>
          <w:p w14:paraId="00872C34" w14:textId="77777777" w:rsidR="00141675" w:rsidRPr="00141675" w:rsidRDefault="00141675" w:rsidP="00141675">
            <w:pPr>
              <w:widowControl/>
              <w:ind w:left="1231"/>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Net cash provided by investing activities</w:t>
            </w:r>
          </w:p>
        </w:tc>
        <w:tc>
          <w:tcPr>
            <w:tcW w:w="344" w:type="dxa"/>
            <w:shd w:val="clear" w:color="auto" w:fill="FFFFFF"/>
            <w:tcMar>
              <w:top w:w="15" w:type="dxa"/>
              <w:left w:w="0" w:type="dxa"/>
              <w:bottom w:w="0" w:type="dxa"/>
              <w:right w:w="15" w:type="dxa"/>
            </w:tcMar>
            <w:vAlign w:val="bottom"/>
            <w:hideMark/>
          </w:tcPr>
          <w:p w14:paraId="5CB77711"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55FBF8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542DEF4"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13,619</w:t>
            </w:r>
          </w:p>
        </w:tc>
        <w:tc>
          <w:tcPr>
            <w:tcW w:w="191" w:type="dxa"/>
            <w:shd w:val="clear" w:color="auto" w:fill="FFFFFF"/>
            <w:noWrap/>
            <w:tcMar>
              <w:top w:w="15" w:type="dxa"/>
              <w:left w:w="0" w:type="dxa"/>
              <w:bottom w:w="0" w:type="dxa"/>
              <w:right w:w="15" w:type="dxa"/>
            </w:tcMar>
            <w:vAlign w:val="bottom"/>
            <w:hideMark/>
          </w:tcPr>
          <w:p w14:paraId="317012B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338B4C7A"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201B52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6900C17"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5,452</w:t>
            </w:r>
          </w:p>
        </w:tc>
        <w:tc>
          <w:tcPr>
            <w:tcW w:w="192" w:type="dxa"/>
            <w:shd w:val="clear" w:color="auto" w:fill="FFFFFF"/>
            <w:noWrap/>
            <w:tcMar>
              <w:top w:w="15" w:type="dxa"/>
              <w:left w:w="0" w:type="dxa"/>
              <w:bottom w:w="0" w:type="dxa"/>
              <w:right w:w="15" w:type="dxa"/>
            </w:tcMar>
            <w:vAlign w:val="bottom"/>
            <w:hideMark/>
          </w:tcPr>
          <w:p w14:paraId="2F2C7D3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78F6BF00" w14:textId="77777777" w:rsidTr="00141675">
        <w:tc>
          <w:tcPr>
            <w:tcW w:w="15542" w:type="dxa"/>
            <w:shd w:val="clear" w:color="auto" w:fill="CFF0FC"/>
            <w:tcMar>
              <w:top w:w="15" w:type="dxa"/>
              <w:left w:w="0" w:type="dxa"/>
              <w:bottom w:w="0" w:type="dxa"/>
              <w:right w:w="15" w:type="dxa"/>
            </w:tcMar>
            <w:hideMark/>
          </w:tcPr>
          <w:p w14:paraId="10F0913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Cash flows from financing activities:</w:t>
            </w:r>
          </w:p>
        </w:tc>
        <w:tc>
          <w:tcPr>
            <w:tcW w:w="344" w:type="dxa"/>
            <w:shd w:val="clear" w:color="auto" w:fill="CFF0FC"/>
            <w:tcMar>
              <w:top w:w="15" w:type="dxa"/>
              <w:left w:w="0" w:type="dxa"/>
              <w:bottom w:w="0" w:type="dxa"/>
              <w:right w:w="15" w:type="dxa"/>
            </w:tcMar>
            <w:vAlign w:val="bottom"/>
            <w:hideMark/>
          </w:tcPr>
          <w:p w14:paraId="77FEBC9F"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29705F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tcBorders>
            <w:shd w:val="clear" w:color="auto" w:fill="CFF0FC"/>
            <w:noWrap/>
            <w:tcMar>
              <w:top w:w="15" w:type="dxa"/>
              <w:left w:w="0" w:type="dxa"/>
              <w:bottom w:w="0" w:type="dxa"/>
              <w:right w:w="15" w:type="dxa"/>
            </w:tcMar>
            <w:vAlign w:val="bottom"/>
            <w:hideMark/>
          </w:tcPr>
          <w:p w14:paraId="76CCA546"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23ED78C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683E3424"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563337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tcBorders>
            <w:shd w:val="clear" w:color="auto" w:fill="CFF0FC"/>
            <w:noWrap/>
            <w:tcMar>
              <w:top w:w="15" w:type="dxa"/>
              <w:left w:w="0" w:type="dxa"/>
              <w:bottom w:w="0" w:type="dxa"/>
              <w:right w:w="15" w:type="dxa"/>
            </w:tcMar>
            <w:vAlign w:val="bottom"/>
            <w:hideMark/>
          </w:tcPr>
          <w:p w14:paraId="39BAA676"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4890E03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1EDF71FD" w14:textId="77777777" w:rsidTr="00141675">
        <w:tc>
          <w:tcPr>
            <w:tcW w:w="15542" w:type="dxa"/>
            <w:shd w:val="clear" w:color="auto" w:fill="FFFFFF"/>
            <w:tcMar>
              <w:top w:w="15" w:type="dxa"/>
              <w:left w:w="0" w:type="dxa"/>
              <w:bottom w:w="0" w:type="dxa"/>
              <w:right w:w="15" w:type="dxa"/>
            </w:tcMar>
            <w:hideMark/>
          </w:tcPr>
          <w:p w14:paraId="2D0A4A1A"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Payments for repurchases of common stock</w:t>
            </w:r>
          </w:p>
        </w:tc>
        <w:tc>
          <w:tcPr>
            <w:tcW w:w="344" w:type="dxa"/>
            <w:shd w:val="clear" w:color="auto" w:fill="FFFFFF"/>
            <w:tcMar>
              <w:top w:w="15" w:type="dxa"/>
              <w:left w:w="0" w:type="dxa"/>
              <w:bottom w:w="0" w:type="dxa"/>
              <w:right w:w="15" w:type="dxa"/>
            </w:tcMar>
            <w:vAlign w:val="bottom"/>
            <w:hideMark/>
          </w:tcPr>
          <w:p w14:paraId="7EC99EE2"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17E1435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37E0D7D7"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(9,996</w:t>
            </w:r>
          </w:p>
        </w:tc>
        <w:tc>
          <w:tcPr>
            <w:tcW w:w="191" w:type="dxa"/>
            <w:shd w:val="clear" w:color="auto" w:fill="FFFFFF"/>
            <w:noWrap/>
            <w:tcMar>
              <w:top w:w="15" w:type="dxa"/>
              <w:left w:w="0" w:type="dxa"/>
              <w:bottom w:w="0" w:type="dxa"/>
              <w:right w:w="15" w:type="dxa"/>
            </w:tcMar>
            <w:vAlign w:val="bottom"/>
            <w:hideMark/>
          </w:tcPr>
          <w:p w14:paraId="47C5234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FFFFFF"/>
            <w:tcMar>
              <w:top w:w="15" w:type="dxa"/>
              <w:left w:w="0" w:type="dxa"/>
              <w:bottom w:w="0" w:type="dxa"/>
              <w:right w:w="15" w:type="dxa"/>
            </w:tcMar>
            <w:vAlign w:val="bottom"/>
            <w:hideMark/>
          </w:tcPr>
          <w:p w14:paraId="70E74244"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72E624F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0225C22D"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(19,924</w:t>
            </w:r>
          </w:p>
        </w:tc>
        <w:tc>
          <w:tcPr>
            <w:tcW w:w="192" w:type="dxa"/>
            <w:shd w:val="clear" w:color="auto" w:fill="FFFFFF"/>
            <w:noWrap/>
            <w:tcMar>
              <w:top w:w="15" w:type="dxa"/>
              <w:left w:w="0" w:type="dxa"/>
              <w:bottom w:w="0" w:type="dxa"/>
              <w:right w:w="15" w:type="dxa"/>
            </w:tcMar>
            <w:vAlign w:val="bottom"/>
            <w:hideMark/>
          </w:tcPr>
          <w:p w14:paraId="7D96D7B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5ADE3244" w14:textId="77777777" w:rsidTr="00141675">
        <w:tc>
          <w:tcPr>
            <w:tcW w:w="15542" w:type="dxa"/>
            <w:shd w:val="clear" w:color="auto" w:fill="CFF0FC"/>
            <w:tcMar>
              <w:top w:w="15" w:type="dxa"/>
              <w:left w:w="0" w:type="dxa"/>
              <w:bottom w:w="0" w:type="dxa"/>
              <w:right w:w="15" w:type="dxa"/>
            </w:tcMar>
            <w:hideMark/>
          </w:tcPr>
          <w:p w14:paraId="7D24B8EB"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Proceeds from issuances of common stock</w:t>
            </w:r>
          </w:p>
        </w:tc>
        <w:tc>
          <w:tcPr>
            <w:tcW w:w="344" w:type="dxa"/>
            <w:shd w:val="clear" w:color="auto" w:fill="CFF0FC"/>
            <w:tcMar>
              <w:top w:w="15" w:type="dxa"/>
              <w:left w:w="0" w:type="dxa"/>
              <w:bottom w:w="0" w:type="dxa"/>
              <w:right w:w="15" w:type="dxa"/>
            </w:tcMar>
            <w:vAlign w:val="bottom"/>
            <w:hideMark/>
          </w:tcPr>
          <w:p w14:paraId="04D7108D"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49A2AA6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006FAEE0"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617</w:t>
            </w:r>
          </w:p>
        </w:tc>
        <w:tc>
          <w:tcPr>
            <w:tcW w:w="191" w:type="dxa"/>
            <w:shd w:val="clear" w:color="auto" w:fill="CFF0FC"/>
            <w:noWrap/>
            <w:tcMar>
              <w:top w:w="15" w:type="dxa"/>
              <w:left w:w="0" w:type="dxa"/>
              <w:bottom w:w="0" w:type="dxa"/>
              <w:right w:w="15" w:type="dxa"/>
            </w:tcMar>
            <w:vAlign w:val="bottom"/>
            <w:hideMark/>
          </w:tcPr>
          <w:p w14:paraId="5794741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75371A81"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5E00C55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5E9F8BD2"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1,018</w:t>
            </w:r>
          </w:p>
        </w:tc>
        <w:tc>
          <w:tcPr>
            <w:tcW w:w="192" w:type="dxa"/>
            <w:shd w:val="clear" w:color="auto" w:fill="CFF0FC"/>
            <w:noWrap/>
            <w:tcMar>
              <w:top w:w="15" w:type="dxa"/>
              <w:left w:w="0" w:type="dxa"/>
              <w:bottom w:w="0" w:type="dxa"/>
              <w:right w:w="15" w:type="dxa"/>
            </w:tcMar>
            <w:vAlign w:val="bottom"/>
            <w:hideMark/>
          </w:tcPr>
          <w:p w14:paraId="29C3E2B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7F218967" w14:textId="77777777" w:rsidTr="00141675">
        <w:tc>
          <w:tcPr>
            <w:tcW w:w="15542" w:type="dxa"/>
            <w:shd w:val="clear" w:color="auto" w:fill="FFFFFF"/>
            <w:tcMar>
              <w:top w:w="15" w:type="dxa"/>
              <w:left w:w="0" w:type="dxa"/>
              <w:bottom w:w="0" w:type="dxa"/>
              <w:right w:w="15" w:type="dxa"/>
            </w:tcMar>
            <w:hideMark/>
          </w:tcPr>
          <w:p w14:paraId="193B5118"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Shares repurchased for tax withholdings upon vesting of restricted stock-based awards</w:t>
            </w:r>
          </w:p>
        </w:tc>
        <w:tc>
          <w:tcPr>
            <w:tcW w:w="344" w:type="dxa"/>
            <w:shd w:val="clear" w:color="auto" w:fill="FFFFFF"/>
            <w:tcMar>
              <w:top w:w="15" w:type="dxa"/>
              <w:left w:w="0" w:type="dxa"/>
              <w:bottom w:w="0" w:type="dxa"/>
              <w:right w:w="15" w:type="dxa"/>
            </w:tcMar>
            <w:vAlign w:val="bottom"/>
            <w:hideMark/>
          </w:tcPr>
          <w:p w14:paraId="13A2B8E6"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649C055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50863791"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(559</w:t>
            </w:r>
          </w:p>
        </w:tc>
        <w:tc>
          <w:tcPr>
            <w:tcW w:w="191" w:type="dxa"/>
            <w:shd w:val="clear" w:color="auto" w:fill="FFFFFF"/>
            <w:noWrap/>
            <w:tcMar>
              <w:top w:w="15" w:type="dxa"/>
              <w:left w:w="0" w:type="dxa"/>
              <w:bottom w:w="0" w:type="dxa"/>
              <w:right w:w="15" w:type="dxa"/>
            </w:tcMar>
            <w:vAlign w:val="bottom"/>
            <w:hideMark/>
          </w:tcPr>
          <w:p w14:paraId="480EA8C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FFFFFF"/>
            <w:tcMar>
              <w:top w:w="15" w:type="dxa"/>
              <w:left w:w="0" w:type="dxa"/>
              <w:bottom w:w="0" w:type="dxa"/>
              <w:right w:w="15" w:type="dxa"/>
            </w:tcMar>
            <w:vAlign w:val="bottom"/>
            <w:hideMark/>
          </w:tcPr>
          <w:p w14:paraId="756D410A"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7B6514A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6FD6BDA8"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(417</w:t>
            </w:r>
          </w:p>
        </w:tc>
        <w:tc>
          <w:tcPr>
            <w:tcW w:w="192" w:type="dxa"/>
            <w:shd w:val="clear" w:color="auto" w:fill="FFFFFF"/>
            <w:noWrap/>
            <w:tcMar>
              <w:top w:w="15" w:type="dxa"/>
              <w:left w:w="0" w:type="dxa"/>
              <w:bottom w:w="0" w:type="dxa"/>
              <w:right w:w="15" w:type="dxa"/>
            </w:tcMar>
            <w:vAlign w:val="bottom"/>
            <w:hideMark/>
          </w:tcPr>
          <w:p w14:paraId="1C36D8A2"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7F6B4D15" w14:textId="77777777" w:rsidTr="00141675">
        <w:tc>
          <w:tcPr>
            <w:tcW w:w="15542" w:type="dxa"/>
            <w:shd w:val="clear" w:color="auto" w:fill="CFF0FC"/>
            <w:tcMar>
              <w:top w:w="15" w:type="dxa"/>
              <w:left w:w="0" w:type="dxa"/>
              <w:bottom w:w="0" w:type="dxa"/>
              <w:right w:w="15" w:type="dxa"/>
            </w:tcMar>
            <w:hideMark/>
          </w:tcPr>
          <w:p w14:paraId="44A12A5B"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Payments of dividends to stockholders</w:t>
            </w:r>
          </w:p>
        </w:tc>
        <w:tc>
          <w:tcPr>
            <w:tcW w:w="344" w:type="dxa"/>
            <w:shd w:val="clear" w:color="auto" w:fill="CFF0FC"/>
            <w:tcMar>
              <w:top w:w="15" w:type="dxa"/>
              <w:left w:w="0" w:type="dxa"/>
              <w:bottom w:w="0" w:type="dxa"/>
              <w:right w:w="15" w:type="dxa"/>
            </w:tcMar>
            <w:vAlign w:val="bottom"/>
            <w:hideMark/>
          </w:tcPr>
          <w:p w14:paraId="75E2BB4C"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1638557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0A3262DD"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(1,562</w:t>
            </w:r>
          </w:p>
        </w:tc>
        <w:tc>
          <w:tcPr>
            <w:tcW w:w="191" w:type="dxa"/>
            <w:shd w:val="clear" w:color="auto" w:fill="CFF0FC"/>
            <w:noWrap/>
            <w:tcMar>
              <w:top w:w="15" w:type="dxa"/>
              <w:left w:w="0" w:type="dxa"/>
              <w:bottom w:w="0" w:type="dxa"/>
              <w:right w:w="15" w:type="dxa"/>
            </w:tcMar>
            <w:vAlign w:val="bottom"/>
            <w:hideMark/>
          </w:tcPr>
          <w:p w14:paraId="4A075C1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CFF0FC"/>
            <w:tcMar>
              <w:top w:w="15" w:type="dxa"/>
              <w:left w:w="0" w:type="dxa"/>
              <w:bottom w:w="0" w:type="dxa"/>
              <w:right w:w="15" w:type="dxa"/>
            </w:tcMar>
            <w:vAlign w:val="bottom"/>
            <w:hideMark/>
          </w:tcPr>
          <w:p w14:paraId="1765248B"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1E37ACD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58EE3408"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(1,456</w:t>
            </w:r>
          </w:p>
        </w:tc>
        <w:tc>
          <w:tcPr>
            <w:tcW w:w="192" w:type="dxa"/>
            <w:shd w:val="clear" w:color="auto" w:fill="CFF0FC"/>
            <w:noWrap/>
            <w:tcMar>
              <w:top w:w="15" w:type="dxa"/>
              <w:left w:w="0" w:type="dxa"/>
              <w:bottom w:w="0" w:type="dxa"/>
              <w:right w:w="15" w:type="dxa"/>
            </w:tcMar>
            <w:vAlign w:val="bottom"/>
            <w:hideMark/>
          </w:tcPr>
          <w:p w14:paraId="454EE9C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7B6C545A" w14:textId="77777777" w:rsidTr="00141675">
        <w:tc>
          <w:tcPr>
            <w:tcW w:w="15542" w:type="dxa"/>
            <w:shd w:val="clear" w:color="auto" w:fill="FFFFFF"/>
            <w:tcMar>
              <w:top w:w="15" w:type="dxa"/>
              <w:left w:w="0" w:type="dxa"/>
              <w:bottom w:w="0" w:type="dxa"/>
              <w:right w:w="15" w:type="dxa"/>
            </w:tcMar>
            <w:hideMark/>
          </w:tcPr>
          <w:p w14:paraId="52791E02"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Repayments of borrowings</w:t>
            </w:r>
          </w:p>
        </w:tc>
        <w:tc>
          <w:tcPr>
            <w:tcW w:w="344" w:type="dxa"/>
            <w:shd w:val="clear" w:color="auto" w:fill="FFFFFF"/>
            <w:tcMar>
              <w:top w:w="15" w:type="dxa"/>
              <w:left w:w="0" w:type="dxa"/>
              <w:bottom w:w="0" w:type="dxa"/>
              <w:right w:w="15" w:type="dxa"/>
            </w:tcMar>
            <w:vAlign w:val="bottom"/>
            <w:hideMark/>
          </w:tcPr>
          <w:p w14:paraId="0B81047A"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6F95765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53E8CB87"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(4,500</w:t>
            </w:r>
          </w:p>
        </w:tc>
        <w:tc>
          <w:tcPr>
            <w:tcW w:w="191" w:type="dxa"/>
            <w:shd w:val="clear" w:color="auto" w:fill="FFFFFF"/>
            <w:noWrap/>
            <w:tcMar>
              <w:top w:w="15" w:type="dxa"/>
              <w:left w:w="0" w:type="dxa"/>
              <w:bottom w:w="0" w:type="dxa"/>
              <w:right w:w="15" w:type="dxa"/>
            </w:tcMar>
            <w:vAlign w:val="bottom"/>
            <w:hideMark/>
          </w:tcPr>
          <w:p w14:paraId="24D4EC9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FFFFFF"/>
            <w:tcMar>
              <w:top w:w="15" w:type="dxa"/>
              <w:left w:w="0" w:type="dxa"/>
              <w:bottom w:w="0" w:type="dxa"/>
              <w:right w:w="15" w:type="dxa"/>
            </w:tcMar>
            <w:vAlign w:val="bottom"/>
            <w:hideMark/>
          </w:tcPr>
          <w:p w14:paraId="1785EC19"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07BF433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FFFFFF"/>
            <w:noWrap/>
            <w:tcMar>
              <w:top w:w="15" w:type="dxa"/>
              <w:left w:w="0" w:type="dxa"/>
              <w:bottom w:w="0" w:type="dxa"/>
              <w:right w:w="15" w:type="dxa"/>
            </w:tcMar>
            <w:vAlign w:val="bottom"/>
            <w:hideMark/>
          </w:tcPr>
          <w:p w14:paraId="4F8351ED"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(2,500</w:t>
            </w:r>
          </w:p>
        </w:tc>
        <w:tc>
          <w:tcPr>
            <w:tcW w:w="192" w:type="dxa"/>
            <w:shd w:val="clear" w:color="auto" w:fill="FFFFFF"/>
            <w:noWrap/>
            <w:tcMar>
              <w:top w:w="15" w:type="dxa"/>
              <w:left w:w="0" w:type="dxa"/>
              <w:bottom w:w="0" w:type="dxa"/>
              <w:right w:w="15" w:type="dxa"/>
            </w:tcMar>
            <w:vAlign w:val="bottom"/>
            <w:hideMark/>
          </w:tcPr>
          <w:p w14:paraId="7BEAD7F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10CD0339" w14:textId="77777777" w:rsidTr="00141675">
        <w:tc>
          <w:tcPr>
            <w:tcW w:w="15542" w:type="dxa"/>
            <w:shd w:val="clear" w:color="auto" w:fill="CFF0FC"/>
            <w:tcMar>
              <w:top w:w="15" w:type="dxa"/>
              <w:left w:w="0" w:type="dxa"/>
              <w:bottom w:w="0" w:type="dxa"/>
              <w:right w:w="15" w:type="dxa"/>
            </w:tcMar>
            <w:hideMark/>
          </w:tcPr>
          <w:p w14:paraId="05ED0C4A"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Other, net</w:t>
            </w:r>
          </w:p>
        </w:tc>
        <w:tc>
          <w:tcPr>
            <w:tcW w:w="344" w:type="dxa"/>
            <w:shd w:val="clear" w:color="auto" w:fill="CFF0FC"/>
            <w:tcMar>
              <w:top w:w="15" w:type="dxa"/>
              <w:left w:w="0" w:type="dxa"/>
              <w:bottom w:w="0" w:type="dxa"/>
              <w:right w:w="15" w:type="dxa"/>
            </w:tcMar>
            <w:vAlign w:val="bottom"/>
            <w:hideMark/>
          </w:tcPr>
          <w:p w14:paraId="71FD35A4"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9FFCEB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bottom w:val="single" w:sz="6" w:space="0" w:color="000000"/>
            </w:tcBorders>
            <w:shd w:val="clear" w:color="auto" w:fill="CFF0FC"/>
            <w:noWrap/>
            <w:tcMar>
              <w:top w:w="15" w:type="dxa"/>
              <w:left w:w="0" w:type="dxa"/>
              <w:bottom w:w="0" w:type="dxa"/>
              <w:right w:w="15" w:type="dxa"/>
            </w:tcMar>
            <w:vAlign w:val="bottom"/>
            <w:hideMark/>
          </w:tcPr>
          <w:p w14:paraId="05A9F8F5"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(96</w:t>
            </w:r>
          </w:p>
        </w:tc>
        <w:tc>
          <w:tcPr>
            <w:tcW w:w="191" w:type="dxa"/>
            <w:shd w:val="clear" w:color="auto" w:fill="CFF0FC"/>
            <w:noWrap/>
            <w:tcMar>
              <w:top w:w="15" w:type="dxa"/>
              <w:left w:w="0" w:type="dxa"/>
              <w:bottom w:w="0" w:type="dxa"/>
              <w:right w:w="15" w:type="dxa"/>
            </w:tcMar>
            <w:vAlign w:val="bottom"/>
            <w:hideMark/>
          </w:tcPr>
          <w:p w14:paraId="64C0848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CFF0FC"/>
            <w:tcMar>
              <w:top w:w="15" w:type="dxa"/>
              <w:left w:w="0" w:type="dxa"/>
              <w:bottom w:w="0" w:type="dxa"/>
              <w:right w:w="15" w:type="dxa"/>
            </w:tcMar>
            <w:vAlign w:val="bottom"/>
            <w:hideMark/>
          </w:tcPr>
          <w:p w14:paraId="48A816DD"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381F97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bottom w:val="single" w:sz="6" w:space="0" w:color="000000"/>
            </w:tcBorders>
            <w:shd w:val="clear" w:color="auto" w:fill="CFF0FC"/>
            <w:noWrap/>
            <w:tcMar>
              <w:top w:w="15" w:type="dxa"/>
              <w:left w:w="0" w:type="dxa"/>
              <w:bottom w:w="0" w:type="dxa"/>
              <w:right w:w="15" w:type="dxa"/>
            </w:tcMar>
            <w:vAlign w:val="bottom"/>
            <w:hideMark/>
          </w:tcPr>
          <w:p w14:paraId="5C4D557A"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(77</w:t>
            </w:r>
          </w:p>
        </w:tc>
        <w:tc>
          <w:tcPr>
            <w:tcW w:w="192" w:type="dxa"/>
            <w:shd w:val="clear" w:color="auto" w:fill="CFF0FC"/>
            <w:noWrap/>
            <w:tcMar>
              <w:top w:w="15" w:type="dxa"/>
              <w:left w:w="0" w:type="dxa"/>
              <w:bottom w:w="0" w:type="dxa"/>
              <w:right w:w="15" w:type="dxa"/>
            </w:tcMar>
            <w:vAlign w:val="bottom"/>
            <w:hideMark/>
          </w:tcPr>
          <w:p w14:paraId="1DD5092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5C0D2CA8" w14:textId="77777777" w:rsidTr="00141675">
        <w:tc>
          <w:tcPr>
            <w:tcW w:w="15542" w:type="dxa"/>
            <w:shd w:val="clear" w:color="auto" w:fill="FFFFFF"/>
            <w:tcMar>
              <w:top w:w="15" w:type="dxa"/>
              <w:left w:w="0" w:type="dxa"/>
              <w:bottom w:w="0" w:type="dxa"/>
              <w:right w:w="15" w:type="dxa"/>
            </w:tcMar>
            <w:hideMark/>
          </w:tcPr>
          <w:p w14:paraId="24016452" w14:textId="77777777" w:rsidR="00141675" w:rsidRPr="00141675" w:rsidRDefault="00141675" w:rsidP="00141675">
            <w:pPr>
              <w:widowControl/>
              <w:ind w:left="1231"/>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Net cash used for financing activities</w:t>
            </w:r>
          </w:p>
        </w:tc>
        <w:tc>
          <w:tcPr>
            <w:tcW w:w="344" w:type="dxa"/>
            <w:shd w:val="clear" w:color="auto" w:fill="FFFFFF"/>
            <w:tcMar>
              <w:top w:w="15" w:type="dxa"/>
              <w:left w:w="0" w:type="dxa"/>
              <w:bottom w:w="0" w:type="dxa"/>
              <w:right w:w="15" w:type="dxa"/>
            </w:tcMar>
            <w:vAlign w:val="bottom"/>
            <w:hideMark/>
          </w:tcPr>
          <w:p w14:paraId="6472639F"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364AFB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8B4E67B"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(16,096</w:t>
            </w:r>
          </w:p>
        </w:tc>
        <w:tc>
          <w:tcPr>
            <w:tcW w:w="191" w:type="dxa"/>
            <w:shd w:val="clear" w:color="auto" w:fill="FFFFFF"/>
            <w:noWrap/>
            <w:tcMar>
              <w:top w:w="15" w:type="dxa"/>
              <w:left w:w="0" w:type="dxa"/>
              <w:bottom w:w="0" w:type="dxa"/>
              <w:right w:w="15" w:type="dxa"/>
            </w:tcMar>
            <w:vAlign w:val="bottom"/>
            <w:hideMark/>
          </w:tcPr>
          <w:p w14:paraId="6EFAB39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FFFFFF"/>
            <w:tcMar>
              <w:top w:w="15" w:type="dxa"/>
              <w:left w:w="0" w:type="dxa"/>
              <w:bottom w:w="0" w:type="dxa"/>
              <w:right w:w="15" w:type="dxa"/>
            </w:tcMar>
            <w:vAlign w:val="bottom"/>
            <w:hideMark/>
          </w:tcPr>
          <w:p w14:paraId="22C9209F"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8F5290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10341DBB"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(23,356</w:t>
            </w:r>
          </w:p>
        </w:tc>
        <w:tc>
          <w:tcPr>
            <w:tcW w:w="192" w:type="dxa"/>
            <w:shd w:val="clear" w:color="auto" w:fill="FFFFFF"/>
            <w:noWrap/>
            <w:tcMar>
              <w:top w:w="15" w:type="dxa"/>
              <w:left w:w="0" w:type="dxa"/>
              <w:bottom w:w="0" w:type="dxa"/>
              <w:right w:w="15" w:type="dxa"/>
            </w:tcMar>
            <w:vAlign w:val="bottom"/>
            <w:hideMark/>
          </w:tcPr>
          <w:p w14:paraId="3A65522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6379E2D4" w14:textId="77777777" w:rsidTr="00141675">
        <w:tc>
          <w:tcPr>
            <w:tcW w:w="15542" w:type="dxa"/>
            <w:shd w:val="clear" w:color="auto" w:fill="CFF0FC"/>
            <w:tcMar>
              <w:top w:w="15" w:type="dxa"/>
              <w:left w:w="0" w:type="dxa"/>
              <w:bottom w:w="0" w:type="dxa"/>
              <w:right w:w="15" w:type="dxa"/>
            </w:tcMar>
            <w:hideMark/>
          </w:tcPr>
          <w:p w14:paraId="0077135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Effect of exchange rate changes on cash and cash equivalents</w:t>
            </w:r>
          </w:p>
        </w:tc>
        <w:tc>
          <w:tcPr>
            <w:tcW w:w="344" w:type="dxa"/>
            <w:shd w:val="clear" w:color="auto" w:fill="CFF0FC"/>
            <w:tcMar>
              <w:top w:w="15" w:type="dxa"/>
              <w:left w:w="0" w:type="dxa"/>
              <w:bottom w:w="0" w:type="dxa"/>
              <w:right w:w="15" w:type="dxa"/>
            </w:tcMar>
            <w:vAlign w:val="bottom"/>
            <w:hideMark/>
          </w:tcPr>
          <w:p w14:paraId="732E5A3B"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44870E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A207A2D"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(10</w:t>
            </w:r>
          </w:p>
        </w:tc>
        <w:tc>
          <w:tcPr>
            <w:tcW w:w="191" w:type="dxa"/>
            <w:shd w:val="clear" w:color="auto" w:fill="CFF0FC"/>
            <w:noWrap/>
            <w:tcMar>
              <w:top w:w="15" w:type="dxa"/>
              <w:left w:w="0" w:type="dxa"/>
              <w:bottom w:w="0" w:type="dxa"/>
              <w:right w:w="15" w:type="dxa"/>
            </w:tcMar>
            <w:vAlign w:val="bottom"/>
            <w:hideMark/>
          </w:tcPr>
          <w:p w14:paraId="4AFC00E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344" w:type="dxa"/>
            <w:shd w:val="clear" w:color="auto" w:fill="CFF0FC"/>
            <w:tcMar>
              <w:top w:w="15" w:type="dxa"/>
              <w:left w:w="0" w:type="dxa"/>
              <w:bottom w:w="0" w:type="dxa"/>
              <w:right w:w="15" w:type="dxa"/>
            </w:tcMar>
            <w:vAlign w:val="bottom"/>
            <w:hideMark/>
          </w:tcPr>
          <w:p w14:paraId="40BAFE13"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0B1F12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57E0FC2"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(160</w:t>
            </w:r>
          </w:p>
        </w:tc>
        <w:tc>
          <w:tcPr>
            <w:tcW w:w="192" w:type="dxa"/>
            <w:shd w:val="clear" w:color="auto" w:fill="CFF0FC"/>
            <w:noWrap/>
            <w:tcMar>
              <w:top w:w="15" w:type="dxa"/>
              <w:left w:w="0" w:type="dxa"/>
              <w:bottom w:w="0" w:type="dxa"/>
              <w:right w:w="15" w:type="dxa"/>
            </w:tcMar>
            <w:vAlign w:val="bottom"/>
            <w:hideMark/>
          </w:tcPr>
          <w:p w14:paraId="702F591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58C93C33" w14:textId="77777777" w:rsidTr="00141675">
        <w:tc>
          <w:tcPr>
            <w:tcW w:w="15542" w:type="dxa"/>
            <w:shd w:val="clear" w:color="auto" w:fill="FFFFFF"/>
            <w:tcMar>
              <w:top w:w="15" w:type="dxa"/>
              <w:left w:w="0" w:type="dxa"/>
              <w:bottom w:w="0" w:type="dxa"/>
              <w:right w:w="15" w:type="dxa"/>
            </w:tcMar>
            <w:hideMark/>
          </w:tcPr>
          <w:p w14:paraId="55FFDB9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Net increase (decrease) in cash and cash equivalents</w:t>
            </w:r>
          </w:p>
        </w:tc>
        <w:tc>
          <w:tcPr>
            <w:tcW w:w="344" w:type="dxa"/>
            <w:shd w:val="clear" w:color="auto" w:fill="FFFFFF"/>
            <w:tcMar>
              <w:top w:w="15" w:type="dxa"/>
              <w:left w:w="0" w:type="dxa"/>
              <w:bottom w:w="0" w:type="dxa"/>
              <w:right w:w="15" w:type="dxa"/>
            </w:tcMar>
            <w:vAlign w:val="bottom"/>
            <w:hideMark/>
          </w:tcPr>
          <w:p w14:paraId="53993F39"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91B4D1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tcBorders>
            <w:shd w:val="clear" w:color="auto" w:fill="FFFFFF"/>
            <w:noWrap/>
            <w:tcMar>
              <w:top w:w="15" w:type="dxa"/>
              <w:left w:w="0" w:type="dxa"/>
              <w:bottom w:w="0" w:type="dxa"/>
              <w:right w:w="15" w:type="dxa"/>
            </w:tcMar>
            <w:vAlign w:val="bottom"/>
            <w:hideMark/>
          </w:tcPr>
          <w:p w14:paraId="67694DF6"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4,026</w:t>
            </w:r>
          </w:p>
        </w:tc>
        <w:tc>
          <w:tcPr>
            <w:tcW w:w="191" w:type="dxa"/>
            <w:shd w:val="clear" w:color="auto" w:fill="FFFFFF"/>
            <w:noWrap/>
            <w:tcMar>
              <w:top w:w="15" w:type="dxa"/>
              <w:left w:w="0" w:type="dxa"/>
              <w:bottom w:w="0" w:type="dxa"/>
              <w:right w:w="15" w:type="dxa"/>
            </w:tcMar>
            <w:vAlign w:val="bottom"/>
            <w:hideMark/>
          </w:tcPr>
          <w:p w14:paraId="4DE0B1B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400E3057"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B614D4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top w:val="single" w:sz="6" w:space="0" w:color="000000"/>
            </w:tcBorders>
            <w:shd w:val="clear" w:color="auto" w:fill="FFFFFF"/>
            <w:noWrap/>
            <w:tcMar>
              <w:top w:w="15" w:type="dxa"/>
              <w:left w:w="0" w:type="dxa"/>
              <w:bottom w:w="0" w:type="dxa"/>
              <w:right w:w="15" w:type="dxa"/>
            </w:tcMar>
            <w:vAlign w:val="bottom"/>
            <w:hideMark/>
          </w:tcPr>
          <w:p w14:paraId="5EDF58B0"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(10,796</w:t>
            </w:r>
          </w:p>
        </w:tc>
        <w:tc>
          <w:tcPr>
            <w:tcW w:w="192" w:type="dxa"/>
            <w:shd w:val="clear" w:color="auto" w:fill="FFFFFF"/>
            <w:noWrap/>
            <w:tcMar>
              <w:top w:w="15" w:type="dxa"/>
              <w:left w:w="0" w:type="dxa"/>
              <w:bottom w:w="0" w:type="dxa"/>
              <w:right w:w="15" w:type="dxa"/>
            </w:tcMar>
            <w:vAlign w:val="bottom"/>
            <w:hideMark/>
          </w:tcPr>
          <w:p w14:paraId="395A505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r w:rsidR="00141675" w:rsidRPr="00141675" w14:paraId="4637CAED" w14:textId="77777777" w:rsidTr="00141675">
        <w:tc>
          <w:tcPr>
            <w:tcW w:w="15542" w:type="dxa"/>
            <w:shd w:val="clear" w:color="auto" w:fill="CFF0FC"/>
            <w:tcMar>
              <w:top w:w="15" w:type="dxa"/>
              <w:left w:w="0" w:type="dxa"/>
              <w:bottom w:w="0" w:type="dxa"/>
              <w:right w:w="15" w:type="dxa"/>
            </w:tcMar>
            <w:hideMark/>
          </w:tcPr>
          <w:p w14:paraId="3B17508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Cash and cash equivalents at beginning of period</w:t>
            </w:r>
          </w:p>
        </w:tc>
        <w:tc>
          <w:tcPr>
            <w:tcW w:w="344" w:type="dxa"/>
            <w:shd w:val="clear" w:color="auto" w:fill="CFF0FC"/>
            <w:tcMar>
              <w:top w:w="15" w:type="dxa"/>
              <w:left w:w="0" w:type="dxa"/>
              <w:bottom w:w="0" w:type="dxa"/>
              <w:right w:w="15" w:type="dxa"/>
            </w:tcMar>
            <w:vAlign w:val="bottom"/>
            <w:hideMark/>
          </w:tcPr>
          <w:p w14:paraId="08787F38"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1B541B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bottom w:val="single" w:sz="6" w:space="0" w:color="000000"/>
            </w:tcBorders>
            <w:shd w:val="clear" w:color="auto" w:fill="CFF0FC"/>
            <w:noWrap/>
            <w:tcMar>
              <w:top w:w="15" w:type="dxa"/>
              <w:left w:w="0" w:type="dxa"/>
              <w:bottom w:w="0" w:type="dxa"/>
              <w:right w:w="15" w:type="dxa"/>
            </w:tcMar>
            <w:vAlign w:val="bottom"/>
            <w:hideMark/>
          </w:tcPr>
          <w:p w14:paraId="71A6D00F"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20,514</w:t>
            </w:r>
          </w:p>
        </w:tc>
        <w:tc>
          <w:tcPr>
            <w:tcW w:w="191" w:type="dxa"/>
            <w:shd w:val="clear" w:color="auto" w:fill="CFF0FC"/>
            <w:noWrap/>
            <w:tcMar>
              <w:top w:w="15" w:type="dxa"/>
              <w:left w:w="0" w:type="dxa"/>
              <w:bottom w:w="0" w:type="dxa"/>
              <w:right w:w="15" w:type="dxa"/>
            </w:tcMar>
            <w:vAlign w:val="bottom"/>
            <w:hideMark/>
          </w:tcPr>
          <w:p w14:paraId="2788D3B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472E446E"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50417F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tcBorders>
              <w:bottom w:val="single" w:sz="6" w:space="0" w:color="000000"/>
            </w:tcBorders>
            <w:shd w:val="clear" w:color="auto" w:fill="CFF0FC"/>
            <w:noWrap/>
            <w:tcMar>
              <w:top w:w="15" w:type="dxa"/>
              <w:left w:w="0" w:type="dxa"/>
              <w:bottom w:w="0" w:type="dxa"/>
              <w:right w:w="15" w:type="dxa"/>
            </w:tcMar>
            <w:vAlign w:val="bottom"/>
            <w:hideMark/>
          </w:tcPr>
          <w:p w14:paraId="191816B4"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21,620</w:t>
            </w:r>
          </w:p>
        </w:tc>
        <w:tc>
          <w:tcPr>
            <w:tcW w:w="192" w:type="dxa"/>
            <w:shd w:val="clear" w:color="auto" w:fill="CFF0FC"/>
            <w:noWrap/>
            <w:tcMar>
              <w:top w:w="15" w:type="dxa"/>
              <w:left w:w="0" w:type="dxa"/>
              <w:bottom w:w="0" w:type="dxa"/>
              <w:right w:w="15" w:type="dxa"/>
            </w:tcMar>
            <w:vAlign w:val="bottom"/>
            <w:hideMark/>
          </w:tcPr>
          <w:p w14:paraId="4C2BC52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777E3193" w14:textId="77777777" w:rsidTr="00141675">
        <w:tc>
          <w:tcPr>
            <w:tcW w:w="15542" w:type="dxa"/>
            <w:shd w:val="clear" w:color="auto" w:fill="FFFFFF"/>
            <w:tcMar>
              <w:top w:w="15" w:type="dxa"/>
              <w:left w:w="0" w:type="dxa"/>
              <w:bottom w:w="0" w:type="dxa"/>
              <w:right w:w="15" w:type="dxa"/>
            </w:tcMar>
            <w:hideMark/>
          </w:tcPr>
          <w:p w14:paraId="6570CAC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Cash and cash equivalents at end of period</w:t>
            </w:r>
          </w:p>
        </w:tc>
        <w:tc>
          <w:tcPr>
            <w:tcW w:w="344" w:type="dxa"/>
            <w:shd w:val="clear" w:color="auto" w:fill="FFFFFF"/>
            <w:tcMar>
              <w:top w:w="15" w:type="dxa"/>
              <w:left w:w="0" w:type="dxa"/>
              <w:bottom w:w="0" w:type="dxa"/>
              <w:right w:w="15" w:type="dxa"/>
            </w:tcMar>
            <w:vAlign w:val="bottom"/>
            <w:hideMark/>
          </w:tcPr>
          <w:p w14:paraId="3320F91C"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016A7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5DE8B1"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24,540</w:t>
            </w:r>
          </w:p>
        </w:tc>
        <w:tc>
          <w:tcPr>
            <w:tcW w:w="191" w:type="dxa"/>
            <w:shd w:val="clear" w:color="auto" w:fill="FFFFFF"/>
            <w:noWrap/>
            <w:tcMar>
              <w:top w:w="15" w:type="dxa"/>
              <w:left w:w="0" w:type="dxa"/>
              <w:bottom w:w="0" w:type="dxa"/>
              <w:right w:w="15" w:type="dxa"/>
            </w:tcMar>
            <w:vAlign w:val="bottom"/>
            <w:hideMark/>
          </w:tcPr>
          <w:p w14:paraId="05B48E2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center"/>
            <w:hideMark/>
          </w:tcPr>
          <w:p w14:paraId="7ABDCB9F"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E399D1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4BEE17"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10,824</w:t>
            </w:r>
          </w:p>
        </w:tc>
        <w:tc>
          <w:tcPr>
            <w:tcW w:w="192" w:type="dxa"/>
            <w:shd w:val="clear" w:color="auto" w:fill="FFFFFF"/>
            <w:noWrap/>
            <w:tcMar>
              <w:top w:w="15" w:type="dxa"/>
              <w:left w:w="0" w:type="dxa"/>
              <w:bottom w:w="0" w:type="dxa"/>
              <w:right w:w="15" w:type="dxa"/>
            </w:tcMar>
            <w:vAlign w:val="bottom"/>
            <w:hideMark/>
          </w:tcPr>
          <w:p w14:paraId="72F9E2C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06551A04" w14:textId="77777777" w:rsidTr="00141675">
        <w:tc>
          <w:tcPr>
            <w:tcW w:w="15542" w:type="dxa"/>
            <w:shd w:val="clear" w:color="auto" w:fill="CFF0FC"/>
            <w:tcMar>
              <w:top w:w="15" w:type="dxa"/>
              <w:left w:w="0" w:type="dxa"/>
              <w:bottom w:w="0" w:type="dxa"/>
              <w:right w:w="15" w:type="dxa"/>
            </w:tcMar>
            <w:hideMark/>
          </w:tcPr>
          <w:p w14:paraId="3F40DEA5"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Non-cash investing and financing transactions:</w:t>
            </w:r>
          </w:p>
        </w:tc>
        <w:tc>
          <w:tcPr>
            <w:tcW w:w="344" w:type="dxa"/>
            <w:shd w:val="clear" w:color="auto" w:fill="CFF0FC"/>
            <w:tcMar>
              <w:top w:w="15" w:type="dxa"/>
              <w:left w:w="0" w:type="dxa"/>
              <w:bottom w:w="0" w:type="dxa"/>
              <w:right w:w="15" w:type="dxa"/>
            </w:tcMar>
            <w:vAlign w:val="bottom"/>
            <w:hideMark/>
          </w:tcPr>
          <w:p w14:paraId="36AA3EBA" w14:textId="77777777" w:rsidR="00141675" w:rsidRPr="00141675" w:rsidRDefault="00141675" w:rsidP="00141675">
            <w:pPr>
              <w:widowControl/>
              <w:jc w:val="righ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3C3536C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6083DFB0"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3E2949E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51047955"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33AF92F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742" w:type="dxa"/>
            <w:shd w:val="clear" w:color="auto" w:fill="CFF0FC"/>
            <w:noWrap/>
            <w:tcMar>
              <w:top w:w="15" w:type="dxa"/>
              <w:left w:w="0" w:type="dxa"/>
              <w:bottom w:w="0" w:type="dxa"/>
              <w:right w:w="15" w:type="dxa"/>
            </w:tcMar>
            <w:vAlign w:val="bottom"/>
            <w:hideMark/>
          </w:tcPr>
          <w:p w14:paraId="71A6B6F8"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2" w:type="dxa"/>
            <w:shd w:val="clear" w:color="auto" w:fill="CFF0FC"/>
            <w:noWrap/>
            <w:tcMar>
              <w:top w:w="15" w:type="dxa"/>
              <w:left w:w="0" w:type="dxa"/>
              <w:bottom w:w="0" w:type="dxa"/>
              <w:right w:w="15" w:type="dxa"/>
            </w:tcMar>
            <w:vAlign w:val="bottom"/>
            <w:hideMark/>
          </w:tcPr>
          <w:p w14:paraId="23C637B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2DF4693C" w14:textId="77777777" w:rsidTr="00141675">
        <w:tc>
          <w:tcPr>
            <w:tcW w:w="15542" w:type="dxa"/>
            <w:shd w:val="clear" w:color="auto" w:fill="FFFFFF"/>
            <w:tcMar>
              <w:top w:w="15" w:type="dxa"/>
              <w:left w:w="0" w:type="dxa"/>
              <w:bottom w:w="0" w:type="dxa"/>
              <w:right w:w="15" w:type="dxa"/>
            </w:tcMar>
            <w:hideMark/>
          </w:tcPr>
          <w:p w14:paraId="09D3C274" w14:textId="77777777" w:rsidR="00141675" w:rsidRPr="00141675" w:rsidRDefault="00141675" w:rsidP="00141675">
            <w:pPr>
              <w:widowControl/>
              <w:ind w:left="547" w:hanging="144"/>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Fair values of stock awards assumed in connection with acquisitions</w:t>
            </w:r>
          </w:p>
        </w:tc>
        <w:tc>
          <w:tcPr>
            <w:tcW w:w="344" w:type="dxa"/>
            <w:shd w:val="clear" w:color="auto" w:fill="FFFFFF"/>
            <w:tcMar>
              <w:top w:w="15" w:type="dxa"/>
              <w:left w:w="0" w:type="dxa"/>
              <w:bottom w:w="0" w:type="dxa"/>
              <w:right w:w="15" w:type="dxa"/>
            </w:tcMar>
            <w:vAlign w:val="bottom"/>
            <w:hideMark/>
          </w:tcPr>
          <w:p w14:paraId="1BD79C0F" w14:textId="77777777" w:rsidR="00141675" w:rsidRPr="00141675" w:rsidRDefault="00141675" w:rsidP="00141675">
            <w:pPr>
              <w:widowControl/>
              <w:jc w:val="righ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398A9C9A"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shd w:val="clear" w:color="auto" w:fill="FFFFFF"/>
            <w:noWrap/>
            <w:tcMar>
              <w:top w:w="15" w:type="dxa"/>
              <w:left w:w="0" w:type="dxa"/>
              <w:bottom w:w="0" w:type="dxa"/>
              <w:right w:w="15" w:type="dxa"/>
            </w:tcMar>
            <w:vAlign w:val="bottom"/>
            <w:hideMark/>
          </w:tcPr>
          <w:p w14:paraId="15A69FC8"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91" w:type="dxa"/>
            <w:shd w:val="clear" w:color="auto" w:fill="FFFFFF"/>
            <w:noWrap/>
            <w:tcMar>
              <w:top w:w="15" w:type="dxa"/>
              <w:left w:w="0" w:type="dxa"/>
              <w:bottom w:w="0" w:type="dxa"/>
              <w:right w:w="15" w:type="dxa"/>
            </w:tcMar>
            <w:vAlign w:val="bottom"/>
            <w:hideMark/>
          </w:tcPr>
          <w:p w14:paraId="344C7B5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7524C7F1"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1F1754C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shd w:val="clear" w:color="auto" w:fill="FFFFFF"/>
            <w:noWrap/>
            <w:tcMar>
              <w:top w:w="15" w:type="dxa"/>
              <w:left w:w="0" w:type="dxa"/>
              <w:bottom w:w="0" w:type="dxa"/>
              <w:right w:w="15" w:type="dxa"/>
            </w:tcMar>
            <w:vAlign w:val="bottom"/>
            <w:hideMark/>
          </w:tcPr>
          <w:p w14:paraId="5D1B0850"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8</w:t>
            </w:r>
          </w:p>
        </w:tc>
        <w:tc>
          <w:tcPr>
            <w:tcW w:w="192" w:type="dxa"/>
            <w:shd w:val="clear" w:color="auto" w:fill="FFFFFF"/>
            <w:noWrap/>
            <w:tcMar>
              <w:top w:w="15" w:type="dxa"/>
              <w:left w:w="0" w:type="dxa"/>
              <w:bottom w:w="0" w:type="dxa"/>
              <w:right w:w="15" w:type="dxa"/>
            </w:tcMar>
            <w:vAlign w:val="bottom"/>
            <w:hideMark/>
          </w:tcPr>
          <w:p w14:paraId="711AD89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72CEE651" w14:textId="77777777" w:rsidTr="00141675">
        <w:tc>
          <w:tcPr>
            <w:tcW w:w="15542" w:type="dxa"/>
            <w:shd w:val="clear" w:color="auto" w:fill="CFF0FC"/>
            <w:tcMar>
              <w:top w:w="15" w:type="dxa"/>
              <w:left w:w="0" w:type="dxa"/>
              <w:bottom w:w="0" w:type="dxa"/>
              <w:right w:w="15" w:type="dxa"/>
            </w:tcMar>
            <w:hideMark/>
          </w:tcPr>
          <w:p w14:paraId="1475DBD2"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Change in unsettled repurchases of common stock</w:t>
            </w:r>
          </w:p>
        </w:tc>
        <w:tc>
          <w:tcPr>
            <w:tcW w:w="344" w:type="dxa"/>
            <w:shd w:val="clear" w:color="auto" w:fill="CFF0FC"/>
            <w:tcMar>
              <w:top w:w="15" w:type="dxa"/>
              <w:left w:w="0" w:type="dxa"/>
              <w:bottom w:w="0" w:type="dxa"/>
              <w:right w:w="15" w:type="dxa"/>
            </w:tcMar>
            <w:vAlign w:val="bottom"/>
            <w:hideMark/>
          </w:tcPr>
          <w:p w14:paraId="087EC389" w14:textId="77777777" w:rsidR="00141675" w:rsidRPr="00141675" w:rsidRDefault="00141675" w:rsidP="00141675">
            <w:pPr>
              <w:widowControl/>
              <w:jc w:val="righ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022013BF"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shd w:val="clear" w:color="auto" w:fill="CFF0FC"/>
            <w:noWrap/>
            <w:tcMar>
              <w:top w:w="15" w:type="dxa"/>
              <w:left w:w="0" w:type="dxa"/>
              <w:bottom w:w="0" w:type="dxa"/>
              <w:right w:w="15" w:type="dxa"/>
            </w:tcMar>
            <w:vAlign w:val="bottom"/>
            <w:hideMark/>
          </w:tcPr>
          <w:p w14:paraId="23A249F9"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4</w:t>
            </w:r>
          </w:p>
        </w:tc>
        <w:tc>
          <w:tcPr>
            <w:tcW w:w="191" w:type="dxa"/>
            <w:shd w:val="clear" w:color="auto" w:fill="CFF0FC"/>
            <w:noWrap/>
            <w:tcMar>
              <w:top w:w="15" w:type="dxa"/>
              <w:left w:w="0" w:type="dxa"/>
              <w:bottom w:w="0" w:type="dxa"/>
              <w:right w:w="15" w:type="dxa"/>
            </w:tcMar>
            <w:vAlign w:val="bottom"/>
            <w:hideMark/>
          </w:tcPr>
          <w:p w14:paraId="23FCA92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CFF0FC"/>
            <w:tcMar>
              <w:top w:w="15" w:type="dxa"/>
              <w:left w:w="0" w:type="dxa"/>
              <w:bottom w:w="0" w:type="dxa"/>
              <w:right w:w="15" w:type="dxa"/>
            </w:tcMar>
            <w:vAlign w:val="bottom"/>
            <w:hideMark/>
          </w:tcPr>
          <w:p w14:paraId="2EF229E4"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CFF0FC"/>
            <w:noWrap/>
            <w:tcMar>
              <w:top w:w="15" w:type="dxa"/>
              <w:left w:w="0" w:type="dxa"/>
              <w:bottom w:w="0" w:type="dxa"/>
              <w:right w:w="15" w:type="dxa"/>
            </w:tcMar>
            <w:vAlign w:val="bottom"/>
            <w:hideMark/>
          </w:tcPr>
          <w:p w14:paraId="1B3DD8D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shd w:val="clear" w:color="auto" w:fill="CFF0FC"/>
            <w:noWrap/>
            <w:tcMar>
              <w:top w:w="15" w:type="dxa"/>
              <w:left w:w="0" w:type="dxa"/>
              <w:bottom w:w="0" w:type="dxa"/>
              <w:right w:w="15" w:type="dxa"/>
            </w:tcMar>
            <w:vAlign w:val="bottom"/>
            <w:hideMark/>
          </w:tcPr>
          <w:p w14:paraId="2EB353E5"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77</w:t>
            </w:r>
          </w:p>
        </w:tc>
        <w:tc>
          <w:tcPr>
            <w:tcW w:w="192" w:type="dxa"/>
            <w:shd w:val="clear" w:color="auto" w:fill="CFF0FC"/>
            <w:noWrap/>
            <w:tcMar>
              <w:top w:w="15" w:type="dxa"/>
              <w:left w:w="0" w:type="dxa"/>
              <w:bottom w:w="0" w:type="dxa"/>
              <w:right w:w="15" w:type="dxa"/>
            </w:tcMar>
            <w:vAlign w:val="bottom"/>
            <w:hideMark/>
          </w:tcPr>
          <w:p w14:paraId="30A631B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r>
      <w:tr w:rsidR="00141675" w:rsidRPr="00141675" w14:paraId="0BBCEA5D" w14:textId="77777777" w:rsidTr="00141675">
        <w:tc>
          <w:tcPr>
            <w:tcW w:w="15542" w:type="dxa"/>
            <w:shd w:val="clear" w:color="auto" w:fill="FFFFFF"/>
            <w:tcMar>
              <w:top w:w="15" w:type="dxa"/>
              <w:left w:w="0" w:type="dxa"/>
              <w:bottom w:w="0" w:type="dxa"/>
              <w:right w:w="15" w:type="dxa"/>
            </w:tcMar>
            <w:hideMark/>
          </w:tcPr>
          <w:p w14:paraId="06669648" w14:textId="77777777" w:rsidR="00141675" w:rsidRPr="00141675" w:rsidRDefault="00141675" w:rsidP="00141675">
            <w:pPr>
              <w:widowControl/>
              <w:ind w:left="410"/>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Change in unsettled investment sales</w:t>
            </w:r>
          </w:p>
        </w:tc>
        <w:tc>
          <w:tcPr>
            <w:tcW w:w="344" w:type="dxa"/>
            <w:shd w:val="clear" w:color="auto" w:fill="FFFFFF"/>
            <w:tcMar>
              <w:top w:w="15" w:type="dxa"/>
              <w:left w:w="0" w:type="dxa"/>
              <w:bottom w:w="0" w:type="dxa"/>
              <w:right w:w="15" w:type="dxa"/>
            </w:tcMar>
            <w:vAlign w:val="bottom"/>
            <w:hideMark/>
          </w:tcPr>
          <w:p w14:paraId="28A00E84"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1F59A6F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shd w:val="clear" w:color="auto" w:fill="FFFFFF"/>
            <w:noWrap/>
            <w:tcMar>
              <w:top w:w="15" w:type="dxa"/>
              <w:left w:w="0" w:type="dxa"/>
              <w:bottom w:w="0" w:type="dxa"/>
              <w:right w:w="15" w:type="dxa"/>
            </w:tcMar>
            <w:vAlign w:val="bottom"/>
            <w:hideMark/>
          </w:tcPr>
          <w:p w14:paraId="4D65F584"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91" w:type="dxa"/>
            <w:shd w:val="clear" w:color="auto" w:fill="FFFFFF"/>
            <w:noWrap/>
            <w:tcMar>
              <w:top w:w="15" w:type="dxa"/>
              <w:left w:w="0" w:type="dxa"/>
              <w:bottom w:w="0" w:type="dxa"/>
              <w:right w:w="15" w:type="dxa"/>
            </w:tcMar>
            <w:vAlign w:val="bottom"/>
            <w:hideMark/>
          </w:tcPr>
          <w:p w14:paraId="5B88A8D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344" w:type="dxa"/>
            <w:shd w:val="clear" w:color="auto" w:fill="FFFFFF"/>
            <w:tcMar>
              <w:top w:w="15" w:type="dxa"/>
              <w:left w:w="0" w:type="dxa"/>
              <w:bottom w:w="0" w:type="dxa"/>
              <w:right w:w="15" w:type="dxa"/>
            </w:tcMar>
            <w:vAlign w:val="bottom"/>
            <w:hideMark/>
          </w:tcPr>
          <w:p w14:paraId="24C2ECF2" w14:textId="77777777" w:rsidR="00141675" w:rsidRPr="00141675" w:rsidRDefault="00141675" w:rsidP="00141675">
            <w:pPr>
              <w:widowControl/>
              <w:jc w:val="left"/>
              <w:rPr>
                <w:rFonts w:ascii="Calibri" w:eastAsia="宋体" w:hAnsi="Calibri" w:cs="Calibri"/>
                <w:color w:val="000000"/>
                <w:kern w:val="0"/>
                <w:sz w:val="19"/>
                <w:szCs w:val="19"/>
              </w:rPr>
            </w:pPr>
            <w:r w:rsidRPr="00141675">
              <w:rPr>
                <w:rFonts w:ascii="Calibri" w:eastAsia="宋体" w:hAnsi="Calibri" w:cs="Calibri"/>
                <w:color w:val="000000"/>
                <w:kern w:val="0"/>
                <w:sz w:val="19"/>
                <w:szCs w:val="19"/>
              </w:rPr>
              <w:t> </w:t>
            </w:r>
          </w:p>
        </w:tc>
        <w:tc>
          <w:tcPr>
            <w:tcW w:w="191" w:type="dxa"/>
            <w:shd w:val="clear" w:color="auto" w:fill="FFFFFF"/>
            <w:noWrap/>
            <w:tcMar>
              <w:top w:w="15" w:type="dxa"/>
              <w:left w:w="0" w:type="dxa"/>
              <w:bottom w:w="0" w:type="dxa"/>
              <w:right w:w="15" w:type="dxa"/>
            </w:tcMar>
            <w:vAlign w:val="bottom"/>
            <w:hideMark/>
          </w:tcPr>
          <w:p w14:paraId="6508BE67"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c>
          <w:tcPr>
            <w:tcW w:w="1742" w:type="dxa"/>
            <w:shd w:val="clear" w:color="auto" w:fill="FFFFFF"/>
            <w:noWrap/>
            <w:tcMar>
              <w:top w:w="15" w:type="dxa"/>
              <w:left w:w="0" w:type="dxa"/>
              <w:bottom w:w="0" w:type="dxa"/>
              <w:right w:w="15" w:type="dxa"/>
            </w:tcMar>
            <w:vAlign w:val="bottom"/>
            <w:hideMark/>
          </w:tcPr>
          <w:p w14:paraId="1B7D61FE" w14:textId="77777777" w:rsidR="00141675" w:rsidRPr="00141675" w:rsidRDefault="00141675" w:rsidP="00141675">
            <w:pPr>
              <w:widowControl/>
              <w:jc w:val="righ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(332</w:t>
            </w:r>
          </w:p>
        </w:tc>
        <w:tc>
          <w:tcPr>
            <w:tcW w:w="192" w:type="dxa"/>
            <w:shd w:val="clear" w:color="auto" w:fill="FFFFFF"/>
            <w:noWrap/>
            <w:tcMar>
              <w:top w:w="15" w:type="dxa"/>
              <w:left w:w="0" w:type="dxa"/>
              <w:bottom w:w="0" w:type="dxa"/>
              <w:right w:w="15" w:type="dxa"/>
            </w:tcMar>
            <w:vAlign w:val="bottom"/>
            <w:hideMark/>
          </w:tcPr>
          <w:p w14:paraId="3425085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w:t>
            </w:r>
          </w:p>
        </w:tc>
      </w:tr>
    </w:tbl>
    <w:p w14:paraId="6977AA94"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2ED7E3D5" w14:textId="77777777" w:rsidR="00141675" w:rsidRPr="00141675" w:rsidRDefault="00141675" w:rsidP="00141675">
      <w:pPr>
        <w:widowControl/>
        <w:rPr>
          <w:rFonts w:ascii="Times New Roman" w:eastAsia="宋体" w:hAnsi="Times New Roman" w:cs="Times New Roman" w:hint="eastAsia"/>
          <w:color w:val="000000"/>
          <w:kern w:val="0"/>
          <w:sz w:val="27"/>
          <w:szCs w:val="27"/>
        </w:rPr>
      </w:pPr>
      <w:r w:rsidRPr="00141675">
        <w:rPr>
          <w:rFonts w:ascii="Times New Roman" w:eastAsia="宋体" w:hAnsi="Times New Roman" w:cs="Times New Roman"/>
          <w:color w:val="000000"/>
          <w:kern w:val="0"/>
          <w:sz w:val="27"/>
          <w:szCs w:val="27"/>
        </w:rPr>
        <w:t> </w:t>
      </w:r>
    </w:p>
    <w:p w14:paraId="2B4C23B8" w14:textId="77777777" w:rsidR="00141675" w:rsidRPr="00141675" w:rsidRDefault="00141675" w:rsidP="00141675">
      <w:pPr>
        <w:widowControl/>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See notes to condensed consolidated financial statements.</w:t>
      </w:r>
    </w:p>
    <w:p w14:paraId="23030C4F" w14:textId="77777777" w:rsidR="00141675" w:rsidRPr="00141675" w:rsidRDefault="00141675" w:rsidP="00141675">
      <w:pPr>
        <w:widowControl/>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46FBEA98"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w:t>
      </w:r>
    </w:p>
    <w:p w14:paraId="4963B664"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198800D0">
          <v:rect id="_x0000_i1033" style="width:0;height:1.5pt" o:hralign="center" o:hrstd="t" o:hrnoshade="t" o:hr="t" fillcolor="black" stroked="f"/>
        </w:pict>
      </w:r>
    </w:p>
    <w:p w14:paraId="1158E6C2" w14:textId="77777777" w:rsidR="00141675" w:rsidRPr="00141675" w:rsidRDefault="00141675" w:rsidP="00141675">
      <w:pPr>
        <w:widowControl/>
        <w:jc w:val="left"/>
        <w:rPr>
          <w:rFonts w:ascii="Calibri" w:eastAsia="宋体" w:hAnsi="Calibri" w:cs="Calibri"/>
          <w:b/>
          <w:bCs/>
          <w:color w:val="000000"/>
          <w:kern w:val="0"/>
          <w:sz w:val="20"/>
          <w:szCs w:val="20"/>
        </w:rPr>
      </w:pPr>
      <w:hyperlink r:id="rId30" w:anchor="TABLE_CONTENTS" w:history="1">
        <w:r w:rsidRPr="00141675">
          <w:rPr>
            <w:rFonts w:ascii="Calibri" w:eastAsia="宋体" w:hAnsi="Calibri" w:cs="Calibri"/>
            <w:b/>
            <w:bCs/>
            <w:color w:val="0000FF"/>
            <w:kern w:val="0"/>
            <w:sz w:val="20"/>
            <w:szCs w:val="20"/>
            <w:u w:val="single"/>
          </w:rPr>
          <w:t>Table of Contents</w:t>
        </w:r>
      </w:hyperlink>
    </w:p>
    <w:p w14:paraId="1A995E72"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08C8F736"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20C08426"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p>
    <w:p w14:paraId="149A5BC2"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00BECC91"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32BA74CC"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17A958B0" w14:textId="77777777" w:rsidTr="00141675">
        <w:tc>
          <w:tcPr>
            <w:tcW w:w="1080" w:type="dxa"/>
            <w:noWrap/>
            <w:hideMark/>
          </w:tcPr>
          <w:p w14:paraId="361F90B3" w14:textId="77777777" w:rsidR="00141675" w:rsidRPr="00141675" w:rsidRDefault="00141675" w:rsidP="00141675">
            <w:pPr>
              <w:widowControl/>
              <w:rPr>
                <w:rFonts w:ascii="Calibri" w:eastAsia="宋体" w:hAnsi="Calibri" w:cs="Calibri" w:hint="eastAsia"/>
                <w:b/>
                <w:bCs/>
                <w:kern w:val="0"/>
                <w:sz w:val="20"/>
                <w:szCs w:val="20"/>
              </w:rPr>
            </w:pPr>
            <w:r w:rsidRPr="00141675">
              <w:rPr>
                <w:rFonts w:ascii="Calibri" w:eastAsia="宋体" w:hAnsi="Calibri" w:cs="Calibri"/>
                <w:b/>
                <w:bCs/>
                <w:kern w:val="0"/>
                <w:sz w:val="20"/>
                <w:szCs w:val="20"/>
              </w:rPr>
              <w:t>1.</w:t>
            </w:r>
          </w:p>
        </w:tc>
        <w:tc>
          <w:tcPr>
            <w:tcW w:w="0" w:type="auto"/>
            <w:hideMark/>
          </w:tcPr>
          <w:p w14:paraId="73FEF928"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BASIS OF PRESENTATION, RECENT ACCOUNTING PRONOUNCEMENTS AND OTHER</w:t>
            </w:r>
          </w:p>
        </w:tc>
      </w:tr>
    </w:tbl>
    <w:p w14:paraId="56BC13CE" w14:textId="77777777" w:rsidR="00141675" w:rsidRPr="00141675" w:rsidRDefault="00141675" w:rsidP="00141675">
      <w:pPr>
        <w:widowControl/>
        <w:spacing w:before="120"/>
        <w:jc w:val="left"/>
        <w:rPr>
          <w:rFonts w:ascii="Calibri" w:eastAsia="宋体" w:hAnsi="Calibri" w:cs="Calibri"/>
          <w:b/>
          <w:bCs/>
          <w:kern w:val="0"/>
          <w:sz w:val="20"/>
          <w:szCs w:val="20"/>
        </w:rPr>
      </w:pPr>
      <w:r w:rsidRPr="00141675">
        <w:rPr>
          <w:rFonts w:ascii="Calibri" w:eastAsia="宋体" w:hAnsi="Calibri" w:cs="Calibri"/>
          <w:b/>
          <w:bCs/>
          <w:kern w:val="0"/>
          <w:sz w:val="20"/>
          <w:szCs w:val="20"/>
        </w:rPr>
        <w:t>Basis of Presentation</w:t>
      </w:r>
    </w:p>
    <w:p w14:paraId="0850A4B3"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 xml:space="preserve">We have prepared the condensed consolidated financial statements included herein pursuant to the rules and regulations of the U.S. Securities and Exchange Commission (SEC). Certain information and footnote disclosures normally included in financial statements prepared in accordance with U.S. generally accepted accounting principles (GAAP) have been condensed or omitted pursuant to such rules and regulations. However, we believe that the disclosures herein are adequate to ensure the information presented is not misleading. These unaudited condensed consolidated financial </w:t>
      </w:r>
      <w:r w:rsidRPr="00141675">
        <w:rPr>
          <w:rFonts w:ascii="Calibri" w:eastAsia="宋体" w:hAnsi="Calibri" w:cs="Calibri"/>
          <w:kern w:val="0"/>
          <w:sz w:val="20"/>
          <w:szCs w:val="20"/>
        </w:rPr>
        <w:lastRenderedPageBreak/>
        <w:t>statements should be read in conjunction with the audited consolidated financial statements and the notes thereto included in our Annual Report on Form 10-K for the fiscal year ended May 31, 2019.</w:t>
      </w:r>
    </w:p>
    <w:p w14:paraId="18CB18DB"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believe that all necessary adjustments, which consisted only of normal recurring items, have been included in the accompanying financial statements to present fairly the results of the interim periods. The results of operations for the interim periods presented are not necessarily indicative of the operating results to be expected for any subsequent interim period or for our fiscal year ending May 31, 2020.</w:t>
      </w:r>
    </w:p>
    <w:p w14:paraId="42855B61"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During the first half of fiscal 2020, we adopted Accounting Standards Update (ASU) 2016-02, </w:t>
      </w:r>
      <w:r w:rsidRPr="00141675">
        <w:rPr>
          <w:rFonts w:ascii="Calibri" w:eastAsia="宋体" w:hAnsi="Calibri" w:cs="Calibri"/>
          <w:i/>
          <w:iCs/>
          <w:kern w:val="0"/>
          <w:sz w:val="20"/>
          <w:szCs w:val="20"/>
        </w:rPr>
        <w:t>Leases (Topic 842)</w:t>
      </w:r>
      <w:r w:rsidRPr="00141675">
        <w:rPr>
          <w:rFonts w:ascii="Calibri" w:eastAsia="宋体" w:hAnsi="Calibri" w:cs="Calibri"/>
          <w:kern w:val="0"/>
          <w:sz w:val="20"/>
          <w:szCs w:val="20"/>
        </w:rPr>
        <w:t> and subsequent amendments to the initial guidance:</w:t>
      </w:r>
      <w:r w:rsidRPr="00141675">
        <w:rPr>
          <w:rFonts w:ascii="Calibri" w:eastAsia="宋体" w:hAnsi="Calibri" w:cs="Calibri"/>
          <w:color w:val="000000"/>
          <w:kern w:val="0"/>
          <w:sz w:val="24"/>
          <w:szCs w:val="24"/>
          <w:shd w:val="clear" w:color="auto" w:fill="FFFFFF"/>
        </w:rPr>
        <w:t> </w:t>
      </w:r>
      <w:r w:rsidRPr="00141675">
        <w:rPr>
          <w:rFonts w:ascii="Calibri" w:eastAsia="宋体" w:hAnsi="Calibri" w:cs="Calibri"/>
          <w:kern w:val="0"/>
          <w:sz w:val="20"/>
          <w:szCs w:val="20"/>
        </w:rPr>
        <w:t>ASU 2017-13, ASU 2018-10, ASU 2018-11, ASU 2018-20 and ASU 2019-01 (collectively, Topic 842). Topic 842 requires companies to generally recognize on the balance sheet, operating and financing lease liabilities and corresponding right-of-use (ROU) assets. We adopted this new standard using the effective date of June 1, 2019 as our initial application date. Consequently, financial information for the comparative periods was not updated. We elected the package of practical expedients permitted under the transition guidance of the new standard, which allows us to carry forward our historical lease classification. The adoption of Topic 842 did not result in a cumulative catch-up adjustment to the opening of the accumulated deficit balance as of June 1, 2019. There was no material impact to our condensed consolidated statements of operations and condensed consolidated statements of cash flows for the six months ended November 30, 2019 due to the adoption of Topic 842. Except for the updates to our leases accounting policy noted below, there have been no other changes to our significant accounting policies as disclosed in our Annual Report on Form 10-K for the fiscal year ended May 31, 2019 that had a significant impact on our condensed consolidated financial statements or notes thereto as of and for the six months ended November 30, 2019.</w:t>
      </w:r>
    </w:p>
    <w:p w14:paraId="110F7F91" w14:textId="77777777" w:rsidR="00141675" w:rsidRPr="00141675" w:rsidRDefault="00141675" w:rsidP="00141675">
      <w:pPr>
        <w:widowControl/>
        <w:spacing w:before="240"/>
        <w:jc w:val="left"/>
        <w:rPr>
          <w:rFonts w:ascii="Calibri" w:eastAsia="宋体" w:hAnsi="Calibri" w:cs="Calibri"/>
          <w:b/>
          <w:bCs/>
          <w:kern w:val="0"/>
          <w:sz w:val="20"/>
          <w:szCs w:val="20"/>
        </w:rPr>
      </w:pPr>
      <w:r w:rsidRPr="00141675">
        <w:rPr>
          <w:rFonts w:ascii="Calibri" w:eastAsia="宋体" w:hAnsi="Calibri" w:cs="Calibri"/>
          <w:b/>
          <w:bCs/>
          <w:kern w:val="0"/>
          <w:sz w:val="20"/>
          <w:szCs w:val="20"/>
        </w:rPr>
        <w:t>Leases</w:t>
      </w:r>
    </w:p>
    <w:p w14:paraId="1A9DA3A9"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determine if an arrangement is a lease at its inception. Operating lease liabilities are recognized at the lease commencement date based on the present value of lease payments over the lease term. We generally use our incremental borrowing rate based on the information available at the lease commencement date in determining the present value of future payments, because the implicit rate of the lease is generally not known. ROU assets related to our operating lease liabilities are measured at lease inception based on the initial measurement of the lease liability, plus any prepaid lease payments and less any lease incentives. Our lease terms that are used in determining our operating lease liabilities at lease inception may include options to extend or terminate the leases when it is reasonably certain that we will exercise such options. We amortize our ROU assets as operating lease expense generally on a straight-line basis over the lease term and classify both the lease amortization and imputed interest as operating expenses. We have lease agreements with lease and non-lease components, and in such cases, we generally account for the components as a single lease component.</w:t>
      </w:r>
    </w:p>
    <w:p w14:paraId="2C9C56E6"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have operating leases that primarily relate to certain of our facilities, data centers and vehicles. As of November 30, 2019, our operating leases substantially have remaining terms of one year to twelve years, some of which include options to extend and/or terminate the leases. We do not recognize lease assets and lease liabilities for any lease with an original lease term of less than one year.</w:t>
      </w:r>
    </w:p>
    <w:p w14:paraId="04BE7A7E"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p w14:paraId="1A6DEB73"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lastRenderedPageBreak/>
        <w:pict w14:anchorId="1193F7D3">
          <v:rect id="_x0000_i1034" style="width:0;height:1.5pt" o:hralign="center" o:hrstd="t" o:hrnoshade="t" o:hr="t" fillcolor="black" stroked="f"/>
        </w:pict>
      </w:r>
    </w:p>
    <w:p w14:paraId="05EE4CAF" w14:textId="77777777" w:rsidR="00141675" w:rsidRPr="00141675" w:rsidRDefault="00141675" w:rsidP="00141675">
      <w:pPr>
        <w:widowControl/>
        <w:jc w:val="left"/>
        <w:rPr>
          <w:rFonts w:ascii="Calibri" w:eastAsia="宋体" w:hAnsi="Calibri" w:cs="Calibri"/>
          <w:b/>
          <w:bCs/>
          <w:color w:val="000000"/>
          <w:kern w:val="0"/>
          <w:sz w:val="20"/>
          <w:szCs w:val="20"/>
        </w:rPr>
      </w:pPr>
      <w:hyperlink r:id="rId31" w:anchor="TABLE_CONTENTS" w:history="1">
        <w:r w:rsidRPr="00141675">
          <w:rPr>
            <w:rFonts w:ascii="Calibri" w:eastAsia="宋体" w:hAnsi="Calibri" w:cs="Calibri"/>
            <w:b/>
            <w:bCs/>
            <w:color w:val="0000FF"/>
            <w:kern w:val="0"/>
            <w:sz w:val="20"/>
            <w:szCs w:val="20"/>
            <w:u w:val="single"/>
          </w:rPr>
          <w:t>Table of Contents</w:t>
        </w:r>
      </w:hyperlink>
    </w:p>
    <w:p w14:paraId="22008801"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96E4B3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6747F69C"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4ECCAE04"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1D3CA626"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3ABEB95A"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41D9785A"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At November 30, 2019, ROU assets of $1.9 billion related to our operating leases are included in other non-current assets; and operating lease liabilities of $584 million are included in other current liabilities, and $1.4 billion are included in other non-current liabilities in our condensed consolidated balance sheets. Cash flow movements related to our lease activities are included in prepaid expenses and other assets and accounts payable and other liabilities as presented in net cash provided by operating activities in our condensed consolidated statement of cash flows for the six months ended November 30, 2019.  </w:t>
      </w:r>
    </w:p>
    <w:p w14:paraId="4EEAF98C"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For the three and six months ended November 30, 2019, operating lease expenses totaled $150 million and $298 million, respectively, net of sublease income of $4 million and $8 million, respectively. Cash paid for amounts included in the measurement of operating lease liabilities was $156 million and $304 million for three and six months ended November 30, 2019, respectively. We recorded ROU assets of $2.2 billion in exchange for operating lease obligations during the six months ended November 30, 2019, which included $1.9 billion for operating leases existing on June 1, 2019 that were recognized upon our initial adoption of Topic 842 and $301 million for operating leases that were contracted during the first half of fiscal 2020. As of November 30, 2019, the weighted average remaining lease term for operating leases was approximately five years and the weighted average discount rate used for calculating operating lease obligations was 3.2%.</w:t>
      </w:r>
    </w:p>
    <w:p w14:paraId="27745C6F"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Maturities of operating lease liabilities were as follows as of November 30, 2019 (in millions):</w:t>
      </w:r>
    </w:p>
    <w:p w14:paraId="360AC95E"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p w14:paraId="56DBFA15" w14:textId="77777777" w:rsidR="00141675" w:rsidRPr="00141675" w:rsidRDefault="00141675" w:rsidP="00141675">
      <w:pPr>
        <w:widowControl/>
        <w:rPr>
          <w:rFonts w:ascii="Times New Roman" w:eastAsia="宋体" w:hAnsi="Times New Roman" w:cs="Times New Roman"/>
          <w:kern w:val="0"/>
          <w:sz w:val="2"/>
          <w:szCs w:val="2"/>
        </w:rPr>
      </w:pPr>
      <w:r w:rsidRPr="00141675">
        <w:rPr>
          <w:rFonts w:ascii="Times New Roman" w:eastAsia="宋体" w:hAnsi="Times New Roman" w:cs="Times New Roman"/>
          <w:kern w:val="0"/>
          <w:sz w:val="2"/>
          <w:szCs w:val="2"/>
        </w:rPr>
        <w:t> </w:t>
      </w:r>
    </w:p>
    <w:tbl>
      <w:tblPr>
        <w:tblW w:w="20614" w:type="dxa"/>
        <w:tblCellMar>
          <w:left w:w="0" w:type="dxa"/>
          <w:right w:w="0" w:type="dxa"/>
        </w:tblCellMar>
        <w:tblLook w:val="04A0" w:firstRow="1" w:lastRow="0" w:firstColumn="1" w:lastColumn="0" w:noHBand="0" w:noVBand="1"/>
      </w:tblPr>
      <w:tblGrid>
        <w:gridCol w:w="17562"/>
        <w:gridCol w:w="411"/>
        <w:gridCol w:w="199"/>
        <w:gridCol w:w="2242"/>
        <w:gridCol w:w="200"/>
      </w:tblGrid>
      <w:tr w:rsidR="00141675" w:rsidRPr="00141675" w14:paraId="734F8F74" w14:textId="77777777" w:rsidTr="00141675">
        <w:tc>
          <w:tcPr>
            <w:tcW w:w="17518" w:type="dxa"/>
            <w:shd w:val="clear" w:color="auto" w:fill="CFF0FC"/>
            <w:tcMar>
              <w:top w:w="15" w:type="dxa"/>
              <w:left w:w="0" w:type="dxa"/>
              <w:bottom w:w="0" w:type="dxa"/>
              <w:right w:w="15" w:type="dxa"/>
            </w:tcMar>
            <w:vAlign w:val="bottom"/>
            <w:hideMark/>
          </w:tcPr>
          <w:p w14:paraId="5015D6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Remainder of fiscal 2020</w:t>
            </w:r>
          </w:p>
        </w:tc>
        <w:tc>
          <w:tcPr>
            <w:tcW w:w="410" w:type="dxa"/>
            <w:shd w:val="clear" w:color="auto" w:fill="CFF0FC"/>
            <w:tcMar>
              <w:top w:w="15" w:type="dxa"/>
              <w:left w:w="0" w:type="dxa"/>
              <w:bottom w:w="0" w:type="dxa"/>
              <w:right w:w="15" w:type="dxa"/>
            </w:tcMar>
            <w:vAlign w:val="bottom"/>
            <w:hideMark/>
          </w:tcPr>
          <w:p w14:paraId="70DDD11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08AAFA5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29" w:type="dxa"/>
            <w:shd w:val="clear" w:color="auto" w:fill="CFF0FC"/>
            <w:noWrap/>
            <w:tcMar>
              <w:top w:w="15" w:type="dxa"/>
              <w:left w:w="0" w:type="dxa"/>
              <w:bottom w:w="0" w:type="dxa"/>
              <w:right w:w="15" w:type="dxa"/>
            </w:tcMar>
            <w:vAlign w:val="bottom"/>
            <w:hideMark/>
          </w:tcPr>
          <w:p w14:paraId="2252515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347</w:t>
            </w:r>
          </w:p>
        </w:tc>
        <w:tc>
          <w:tcPr>
            <w:tcW w:w="192" w:type="dxa"/>
            <w:shd w:val="clear" w:color="auto" w:fill="CFF0FC"/>
            <w:noWrap/>
            <w:tcMar>
              <w:top w:w="15" w:type="dxa"/>
              <w:left w:w="0" w:type="dxa"/>
              <w:bottom w:w="0" w:type="dxa"/>
              <w:right w:w="15" w:type="dxa"/>
            </w:tcMar>
            <w:vAlign w:val="bottom"/>
            <w:hideMark/>
          </w:tcPr>
          <w:p w14:paraId="4B0754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786A300" w14:textId="77777777" w:rsidTr="00141675">
        <w:tc>
          <w:tcPr>
            <w:tcW w:w="17518" w:type="dxa"/>
            <w:shd w:val="clear" w:color="auto" w:fill="FFFFFF"/>
            <w:tcMar>
              <w:top w:w="15" w:type="dxa"/>
              <w:left w:w="0" w:type="dxa"/>
              <w:bottom w:w="0" w:type="dxa"/>
              <w:right w:w="15" w:type="dxa"/>
            </w:tcMar>
            <w:vAlign w:val="bottom"/>
            <w:hideMark/>
          </w:tcPr>
          <w:p w14:paraId="4E3F47E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2021</w:t>
            </w:r>
          </w:p>
        </w:tc>
        <w:tc>
          <w:tcPr>
            <w:tcW w:w="410" w:type="dxa"/>
            <w:shd w:val="clear" w:color="auto" w:fill="FFFFFF"/>
            <w:tcMar>
              <w:top w:w="15" w:type="dxa"/>
              <w:left w:w="0" w:type="dxa"/>
              <w:bottom w:w="0" w:type="dxa"/>
              <w:right w:w="15" w:type="dxa"/>
            </w:tcMar>
            <w:vAlign w:val="bottom"/>
            <w:hideMark/>
          </w:tcPr>
          <w:p w14:paraId="6CB759C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0FC7C8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9" w:type="dxa"/>
            <w:shd w:val="clear" w:color="auto" w:fill="FFFFFF"/>
            <w:noWrap/>
            <w:tcMar>
              <w:top w:w="15" w:type="dxa"/>
              <w:left w:w="0" w:type="dxa"/>
              <w:bottom w:w="0" w:type="dxa"/>
              <w:right w:w="15" w:type="dxa"/>
            </w:tcMar>
            <w:vAlign w:val="bottom"/>
            <w:hideMark/>
          </w:tcPr>
          <w:p w14:paraId="0142922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561</w:t>
            </w:r>
          </w:p>
        </w:tc>
        <w:tc>
          <w:tcPr>
            <w:tcW w:w="192" w:type="dxa"/>
            <w:shd w:val="clear" w:color="auto" w:fill="FFFFFF"/>
            <w:noWrap/>
            <w:tcMar>
              <w:top w:w="15" w:type="dxa"/>
              <w:left w:w="0" w:type="dxa"/>
              <w:bottom w:w="0" w:type="dxa"/>
              <w:right w:w="15" w:type="dxa"/>
            </w:tcMar>
            <w:vAlign w:val="bottom"/>
            <w:hideMark/>
          </w:tcPr>
          <w:p w14:paraId="71EE8C3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B89E360" w14:textId="77777777" w:rsidTr="00141675">
        <w:tc>
          <w:tcPr>
            <w:tcW w:w="17518" w:type="dxa"/>
            <w:shd w:val="clear" w:color="auto" w:fill="CFF0FC"/>
            <w:tcMar>
              <w:top w:w="15" w:type="dxa"/>
              <w:left w:w="0" w:type="dxa"/>
              <w:bottom w:w="0" w:type="dxa"/>
              <w:right w:w="15" w:type="dxa"/>
            </w:tcMar>
            <w:vAlign w:val="bottom"/>
            <w:hideMark/>
          </w:tcPr>
          <w:p w14:paraId="33282E3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2022</w:t>
            </w:r>
          </w:p>
        </w:tc>
        <w:tc>
          <w:tcPr>
            <w:tcW w:w="410" w:type="dxa"/>
            <w:shd w:val="clear" w:color="auto" w:fill="CFF0FC"/>
            <w:tcMar>
              <w:top w:w="15" w:type="dxa"/>
              <w:left w:w="0" w:type="dxa"/>
              <w:bottom w:w="0" w:type="dxa"/>
              <w:right w:w="15" w:type="dxa"/>
            </w:tcMar>
            <w:vAlign w:val="bottom"/>
            <w:hideMark/>
          </w:tcPr>
          <w:p w14:paraId="2781A71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3F3A5D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9" w:type="dxa"/>
            <w:shd w:val="clear" w:color="auto" w:fill="CFF0FC"/>
            <w:noWrap/>
            <w:tcMar>
              <w:top w:w="15" w:type="dxa"/>
              <w:left w:w="0" w:type="dxa"/>
              <w:bottom w:w="0" w:type="dxa"/>
              <w:right w:w="15" w:type="dxa"/>
            </w:tcMar>
            <w:vAlign w:val="bottom"/>
            <w:hideMark/>
          </w:tcPr>
          <w:p w14:paraId="252D574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442</w:t>
            </w:r>
          </w:p>
        </w:tc>
        <w:tc>
          <w:tcPr>
            <w:tcW w:w="192" w:type="dxa"/>
            <w:shd w:val="clear" w:color="auto" w:fill="CFF0FC"/>
            <w:noWrap/>
            <w:tcMar>
              <w:top w:w="15" w:type="dxa"/>
              <w:left w:w="0" w:type="dxa"/>
              <w:bottom w:w="0" w:type="dxa"/>
              <w:right w:w="15" w:type="dxa"/>
            </w:tcMar>
            <w:vAlign w:val="bottom"/>
            <w:hideMark/>
          </w:tcPr>
          <w:p w14:paraId="577A57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F3C4BCB" w14:textId="77777777" w:rsidTr="00141675">
        <w:tc>
          <w:tcPr>
            <w:tcW w:w="17518" w:type="dxa"/>
            <w:shd w:val="clear" w:color="auto" w:fill="FFFFFF"/>
            <w:tcMar>
              <w:top w:w="15" w:type="dxa"/>
              <w:left w:w="0" w:type="dxa"/>
              <w:bottom w:w="0" w:type="dxa"/>
              <w:right w:w="15" w:type="dxa"/>
            </w:tcMar>
            <w:vAlign w:val="bottom"/>
            <w:hideMark/>
          </w:tcPr>
          <w:p w14:paraId="43E499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2023</w:t>
            </w:r>
          </w:p>
        </w:tc>
        <w:tc>
          <w:tcPr>
            <w:tcW w:w="410" w:type="dxa"/>
            <w:shd w:val="clear" w:color="auto" w:fill="FFFFFF"/>
            <w:tcMar>
              <w:top w:w="15" w:type="dxa"/>
              <w:left w:w="0" w:type="dxa"/>
              <w:bottom w:w="0" w:type="dxa"/>
              <w:right w:w="15" w:type="dxa"/>
            </w:tcMar>
            <w:vAlign w:val="bottom"/>
            <w:hideMark/>
          </w:tcPr>
          <w:p w14:paraId="33ECB1E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A71A4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9" w:type="dxa"/>
            <w:shd w:val="clear" w:color="auto" w:fill="FFFFFF"/>
            <w:noWrap/>
            <w:tcMar>
              <w:top w:w="15" w:type="dxa"/>
              <w:left w:w="0" w:type="dxa"/>
              <w:bottom w:w="0" w:type="dxa"/>
              <w:right w:w="15" w:type="dxa"/>
            </w:tcMar>
            <w:vAlign w:val="bottom"/>
            <w:hideMark/>
          </w:tcPr>
          <w:p w14:paraId="14BC500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287</w:t>
            </w:r>
          </w:p>
        </w:tc>
        <w:tc>
          <w:tcPr>
            <w:tcW w:w="192" w:type="dxa"/>
            <w:shd w:val="clear" w:color="auto" w:fill="FFFFFF"/>
            <w:noWrap/>
            <w:tcMar>
              <w:top w:w="15" w:type="dxa"/>
              <w:left w:w="0" w:type="dxa"/>
              <w:bottom w:w="0" w:type="dxa"/>
              <w:right w:w="15" w:type="dxa"/>
            </w:tcMar>
            <w:vAlign w:val="bottom"/>
            <w:hideMark/>
          </w:tcPr>
          <w:p w14:paraId="175692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358B198" w14:textId="77777777" w:rsidTr="00141675">
        <w:tc>
          <w:tcPr>
            <w:tcW w:w="17518" w:type="dxa"/>
            <w:shd w:val="clear" w:color="auto" w:fill="CFF0FC"/>
            <w:tcMar>
              <w:top w:w="15" w:type="dxa"/>
              <w:left w:w="0" w:type="dxa"/>
              <w:bottom w:w="0" w:type="dxa"/>
              <w:right w:w="15" w:type="dxa"/>
            </w:tcMar>
            <w:vAlign w:val="bottom"/>
            <w:hideMark/>
          </w:tcPr>
          <w:p w14:paraId="77348FA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2024</w:t>
            </w:r>
          </w:p>
        </w:tc>
        <w:tc>
          <w:tcPr>
            <w:tcW w:w="410" w:type="dxa"/>
            <w:shd w:val="clear" w:color="auto" w:fill="CFF0FC"/>
            <w:tcMar>
              <w:top w:w="15" w:type="dxa"/>
              <w:left w:w="0" w:type="dxa"/>
              <w:bottom w:w="0" w:type="dxa"/>
              <w:right w:w="15" w:type="dxa"/>
            </w:tcMar>
            <w:vAlign w:val="bottom"/>
            <w:hideMark/>
          </w:tcPr>
          <w:p w14:paraId="3678AD1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E957C6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9" w:type="dxa"/>
            <w:shd w:val="clear" w:color="auto" w:fill="CFF0FC"/>
            <w:noWrap/>
            <w:tcMar>
              <w:top w:w="15" w:type="dxa"/>
              <w:left w:w="0" w:type="dxa"/>
              <w:bottom w:w="0" w:type="dxa"/>
              <w:right w:w="15" w:type="dxa"/>
            </w:tcMar>
            <w:vAlign w:val="bottom"/>
            <w:hideMark/>
          </w:tcPr>
          <w:p w14:paraId="57D2AA4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187</w:t>
            </w:r>
          </w:p>
        </w:tc>
        <w:tc>
          <w:tcPr>
            <w:tcW w:w="192" w:type="dxa"/>
            <w:shd w:val="clear" w:color="auto" w:fill="CFF0FC"/>
            <w:noWrap/>
            <w:tcMar>
              <w:top w:w="15" w:type="dxa"/>
              <w:left w:w="0" w:type="dxa"/>
              <w:bottom w:w="0" w:type="dxa"/>
              <w:right w:w="15" w:type="dxa"/>
            </w:tcMar>
            <w:vAlign w:val="bottom"/>
            <w:hideMark/>
          </w:tcPr>
          <w:p w14:paraId="47DC23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712E778" w14:textId="77777777" w:rsidTr="00141675">
        <w:tc>
          <w:tcPr>
            <w:tcW w:w="17518" w:type="dxa"/>
            <w:shd w:val="clear" w:color="auto" w:fill="FFFFFF"/>
            <w:tcMar>
              <w:top w:w="15" w:type="dxa"/>
              <w:left w:w="0" w:type="dxa"/>
              <w:bottom w:w="0" w:type="dxa"/>
              <w:right w:w="15" w:type="dxa"/>
            </w:tcMar>
            <w:vAlign w:val="bottom"/>
            <w:hideMark/>
          </w:tcPr>
          <w:p w14:paraId="5CA20C0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2025</w:t>
            </w:r>
          </w:p>
        </w:tc>
        <w:tc>
          <w:tcPr>
            <w:tcW w:w="410" w:type="dxa"/>
            <w:shd w:val="clear" w:color="auto" w:fill="FFFFFF"/>
            <w:tcMar>
              <w:top w:w="15" w:type="dxa"/>
              <w:left w:w="0" w:type="dxa"/>
              <w:bottom w:w="0" w:type="dxa"/>
              <w:right w:w="15" w:type="dxa"/>
            </w:tcMar>
            <w:vAlign w:val="bottom"/>
            <w:hideMark/>
          </w:tcPr>
          <w:p w14:paraId="4FB4536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3EFFDE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9" w:type="dxa"/>
            <w:shd w:val="clear" w:color="auto" w:fill="FFFFFF"/>
            <w:noWrap/>
            <w:tcMar>
              <w:top w:w="15" w:type="dxa"/>
              <w:left w:w="0" w:type="dxa"/>
              <w:bottom w:w="0" w:type="dxa"/>
              <w:right w:w="15" w:type="dxa"/>
            </w:tcMar>
            <w:vAlign w:val="bottom"/>
            <w:hideMark/>
          </w:tcPr>
          <w:p w14:paraId="38ECEB0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135</w:t>
            </w:r>
          </w:p>
        </w:tc>
        <w:tc>
          <w:tcPr>
            <w:tcW w:w="192" w:type="dxa"/>
            <w:shd w:val="clear" w:color="auto" w:fill="FFFFFF"/>
            <w:noWrap/>
            <w:tcMar>
              <w:top w:w="15" w:type="dxa"/>
              <w:left w:w="0" w:type="dxa"/>
              <w:bottom w:w="0" w:type="dxa"/>
              <w:right w:w="15" w:type="dxa"/>
            </w:tcMar>
            <w:vAlign w:val="bottom"/>
            <w:hideMark/>
          </w:tcPr>
          <w:p w14:paraId="7400358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419FD3C" w14:textId="77777777" w:rsidTr="00141675">
        <w:tc>
          <w:tcPr>
            <w:tcW w:w="17518" w:type="dxa"/>
            <w:shd w:val="clear" w:color="auto" w:fill="CFF0FC"/>
            <w:tcMar>
              <w:top w:w="15" w:type="dxa"/>
              <w:left w:w="0" w:type="dxa"/>
              <w:bottom w:w="0" w:type="dxa"/>
              <w:right w:w="15" w:type="dxa"/>
            </w:tcMar>
            <w:vAlign w:val="bottom"/>
            <w:hideMark/>
          </w:tcPr>
          <w:p w14:paraId="3B46B5A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Thereafter</w:t>
            </w:r>
          </w:p>
        </w:tc>
        <w:tc>
          <w:tcPr>
            <w:tcW w:w="410" w:type="dxa"/>
            <w:shd w:val="clear" w:color="auto" w:fill="CFF0FC"/>
            <w:tcMar>
              <w:top w:w="15" w:type="dxa"/>
              <w:left w:w="0" w:type="dxa"/>
              <w:bottom w:w="0" w:type="dxa"/>
              <w:right w:w="15" w:type="dxa"/>
            </w:tcMar>
            <w:vAlign w:val="bottom"/>
            <w:hideMark/>
          </w:tcPr>
          <w:p w14:paraId="22B3469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2A906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9" w:type="dxa"/>
            <w:tcBorders>
              <w:bottom w:val="single" w:sz="6" w:space="0" w:color="000000"/>
            </w:tcBorders>
            <w:shd w:val="clear" w:color="auto" w:fill="CFF0FC"/>
            <w:noWrap/>
            <w:tcMar>
              <w:top w:w="15" w:type="dxa"/>
              <w:left w:w="0" w:type="dxa"/>
              <w:bottom w:w="0" w:type="dxa"/>
              <w:right w:w="15" w:type="dxa"/>
            </w:tcMar>
            <w:vAlign w:val="bottom"/>
            <w:hideMark/>
          </w:tcPr>
          <w:p w14:paraId="3975989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234</w:t>
            </w:r>
          </w:p>
        </w:tc>
        <w:tc>
          <w:tcPr>
            <w:tcW w:w="192" w:type="dxa"/>
            <w:shd w:val="clear" w:color="auto" w:fill="CFF0FC"/>
            <w:noWrap/>
            <w:tcMar>
              <w:top w:w="15" w:type="dxa"/>
              <w:left w:w="0" w:type="dxa"/>
              <w:bottom w:w="0" w:type="dxa"/>
              <w:right w:w="15" w:type="dxa"/>
            </w:tcMar>
            <w:vAlign w:val="bottom"/>
            <w:hideMark/>
          </w:tcPr>
          <w:p w14:paraId="6F6AED2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6EF8FE4" w14:textId="77777777" w:rsidTr="00141675">
        <w:tc>
          <w:tcPr>
            <w:tcW w:w="17518" w:type="dxa"/>
            <w:shd w:val="clear" w:color="auto" w:fill="FFFFFF"/>
            <w:tcMar>
              <w:top w:w="15" w:type="dxa"/>
              <w:left w:w="0" w:type="dxa"/>
              <w:bottom w:w="0" w:type="dxa"/>
              <w:right w:w="15" w:type="dxa"/>
            </w:tcMar>
            <w:vAlign w:val="bottom"/>
            <w:hideMark/>
          </w:tcPr>
          <w:p w14:paraId="2414ECFF"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operating lease payments</w:t>
            </w:r>
          </w:p>
        </w:tc>
        <w:tc>
          <w:tcPr>
            <w:tcW w:w="410" w:type="dxa"/>
            <w:shd w:val="clear" w:color="auto" w:fill="FFFFFF"/>
            <w:tcMar>
              <w:top w:w="15" w:type="dxa"/>
              <w:left w:w="0" w:type="dxa"/>
              <w:bottom w:w="0" w:type="dxa"/>
              <w:right w:w="15" w:type="dxa"/>
            </w:tcMar>
            <w:vAlign w:val="bottom"/>
            <w:hideMark/>
          </w:tcPr>
          <w:p w14:paraId="51D4B26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7CCE2F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9" w:type="dxa"/>
            <w:tcBorders>
              <w:top w:val="single" w:sz="6" w:space="0" w:color="000000"/>
            </w:tcBorders>
            <w:shd w:val="clear" w:color="auto" w:fill="FFFFFF"/>
            <w:noWrap/>
            <w:tcMar>
              <w:top w:w="15" w:type="dxa"/>
              <w:left w:w="0" w:type="dxa"/>
              <w:bottom w:w="0" w:type="dxa"/>
              <w:right w:w="15" w:type="dxa"/>
            </w:tcMar>
            <w:vAlign w:val="bottom"/>
            <w:hideMark/>
          </w:tcPr>
          <w:p w14:paraId="3A2D38B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2,193</w:t>
            </w:r>
          </w:p>
        </w:tc>
        <w:tc>
          <w:tcPr>
            <w:tcW w:w="192" w:type="dxa"/>
            <w:shd w:val="clear" w:color="auto" w:fill="FFFFFF"/>
            <w:noWrap/>
            <w:tcMar>
              <w:top w:w="15" w:type="dxa"/>
              <w:left w:w="0" w:type="dxa"/>
              <w:bottom w:w="0" w:type="dxa"/>
              <w:right w:w="15" w:type="dxa"/>
            </w:tcMar>
            <w:vAlign w:val="bottom"/>
            <w:hideMark/>
          </w:tcPr>
          <w:p w14:paraId="73E5836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EA4DC0E" w14:textId="77777777" w:rsidTr="00141675">
        <w:tc>
          <w:tcPr>
            <w:tcW w:w="17518" w:type="dxa"/>
            <w:shd w:val="clear" w:color="auto" w:fill="CFF0FC"/>
            <w:tcMar>
              <w:top w:w="15" w:type="dxa"/>
              <w:left w:w="0" w:type="dxa"/>
              <w:bottom w:w="0" w:type="dxa"/>
              <w:right w:w="15" w:type="dxa"/>
            </w:tcMar>
            <w:vAlign w:val="bottom"/>
            <w:hideMark/>
          </w:tcPr>
          <w:p w14:paraId="6F6FE695"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Less: imputed interest</w:t>
            </w:r>
          </w:p>
        </w:tc>
        <w:tc>
          <w:tcPr>
            <w:tcW w:w="410" w:type="dxa"/>
            <w:shd w:val="clear" w:color="auto" w:fill="CFF0FC"/>
            <w:tcMar>
              <w:top w:w="15" w:type="dxa"/>
              <w:left w:w="0" w:type="dxa"/>
              <w:bottom w:w="0" w:type="dxa"/>
              <w:right w:w="15" w:type="dxa"/>
            </w:tcMar>
            <w:vAlign w:val="bottom"/>
            <w:hideMark/>
          </w:tcPr>
          <w:p w14:paraId="32EDCA4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775F23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9" w:type="dxa"/>
            <w:tcBorders>
              <w:bottom w:val="single" w:sz="6" w:space="0" w:color="000000"/>
            </w:tcBorders>
            <w:shd w:val="clear" w:color="auto" w:fill="CFF0FC"/>
            <w:noWrap/>
            <w:tcMar>
              <w:top w:w="15" w:type="dxa"/>
              <w:left w:w="0" w:type="dxa"/>
              <w:bottom w:w="0" w:type="dxa"/>
              <w:right w:w="15" w:type="dxa"/>
            </w:tcMar>
            <w:vAlign w:val="bottom"/>
            <w:hideMark/>
          </w:tcPr>
          <w:p w14:paraId="32D9FB7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(200</w:t>
            </w:r>
          </w:p>
        </w:tc>
        <w:tc>
          <w:tcPr>
            <w:tcW w:w="192" w:type="dxa"/>
            <w:shd w:val="clear" w:color="auto" w:fill="CFF0FC"/>
            <w:noWrap/>
            <w:tcMar>
              <w:top w:w="15" w:type="dxa"/>
              <w:left w:w="0" w:type="dxa"/>
              <w:bottom w:w="0" w:type="dxa"/>
              <w:right w:w="15" w:type="dxa"/>
            </w:tcMar>
            <w:vAlign w:val="bottom"/>
            <w:hideMark/>
          </w:tcPr>
          <w:p w14:paraId="6F9051F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421F3692" w14:textId="77777777" w:rsidTr="00141675">
        <w:tc>
          <w:tcPr>
            <w:tcW w:w="17518" w:type="dxa"/>
            <w:shd w:val="clear" w:color="auto" w:fill="FFFFFF"/>
            <w:tcMar>
              <w:top w:w="15" w:type="dxa"/>
              <w:left w:w="0" w:type="dxa"/>
              <w:bottom w:w="0" w:type="dxa"/>
              <w:right w:w="15" w:type="dxa"/>
            </w:tcMar>
            <w:vAlign w:val="bottom"/>
            <w:hideMark/>
          </w:tcPr>
          <w:p w14:paraId="659AB377" w14:textId="77777777" w:rsidR="00141675" w:rsidRPr="00141675" w:rsidRDefault="00141675" w:rsidP="00141675">
            <w:pPr>
              <w:widowControl/>
              <w:ind w:left="684"/>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operating lease liability</w:t>
            </w:r>
          </w:p>
        </w:tc>
        <w:tc>
          <w:tcPr>
            <w:tcW w:w="410" w:type="dxa"/>
            <w:shd w:val="clear" w:color="auto" w:fill="FFFFFF"/>
            <w:tcMar>
              <w:top w:w="15" w:type="dxa"/>
              <w:left w:w="0" w:type="dxa"/>
              <w:bottom w:w="0" w:type="dxa"/>
              <w:right w:w="15" w:type="dxa"/>
            </w:tcMar>
            <w:vAlign w:val="bottom"/>
            <w:hideMark/>
          </w:tcPr>
          <w:p w14:paraId="7AE3C6C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4DA5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2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0CE08B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1,993</w:t>
            </w:r>
          </w:p>
        </w:tc>
        <w:tc>
          <w:tcPr>
            <w:tcW w:w="192" w:type="dxa"/>
            <w:shd w:val="clear" w:color="auto" w:fill="FFFFFF"/>
            <w:noWrap/>
            <w:tcMar>
              <w:top w:w="15" w:type="dxa"/>
              <w:left w:w="0" w:type="dxa"/>
              <w:bottom w:w="0" w:type="dxa"/>
              <w:right w:w="15" w:type="dxa"/>
            </w:tcMar>
            <w:vAlign w:val="bottom"/>
            <w:hideMark/>
          </w:tcPr>
          <w:p w14:paraId="6B309709"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427D5415" w14:textId="77777777" w:rsidR="00141675" w:rsidRPr="00141675" w:rsidRDefault="00141675" w:rsidP="00141675">
      <w:pPr>
        <w:widowControl/>
        <w:spacing w:before="120"/>
        <w:rPr>
          <w:rFonts w:ascii="Times New Roman" w:eastAsia="宋体" w:hAnsi="Times New Roman" w:cs="Times New Roman"/>
          <w:kern w:val="0"/>
          <w:sz w:val="4"/>
          <w:szCs w:val="4"/>
        </w:rPr>
      </w:pPr>
      <w:r w:rsidRPr="00141675">
        <w:rPr>
          <w:rFonts w:ascii="Times New Roman" w:eastAsia="宋体" w:hAnsi="Times New Roman" w:cs="Times New Roman"/>
          <w:kern w:val="0"/>
          <w:sz w:val="4"/>
          <w:szCs w:val="4"/>
        </w:rPr>
        <w:t> </w:t>
      </w:r>
    </w:p>
    <w:p w14:paraId="5D0F89AF" w14:textId="77777777" w:rsidR="00141675" w:rsidRPr="00141675" w:rsidRDefault="00141675" w:rsidP="00141675">
      <w:pPr>
        <w:widowControl/>
        <w:spacing w:before="180"/>
        <w:jc w:val="left"/>
        <w:rPr>
          <w:rFonts w:ascii="Calibri" w:eastAsia="宋体" w:hAnsi="Calibri" w:cs="Calibri"/>
          <w:b/>
          <w:bCs/>
          <w:kern w:val="0"/>
          <w:sz w:val="20"/>
          <w:szCs w:val="20"/>
        </w:rPr>
      </w:pPr>
      <w:r w:rsidRPr="00141675">
        <w:rPr>
          <w:rFonts w:ascii="Calibri" w:eastAsia="宋体" w:hAnsi="Calibri" w:cs="Calibri"/>
          <w:b/>
          <w:bCs/>
          <w:kern w:val="0"/>
          <w:sz w:val="20"/>
          <w:szCs w:val="20"/>
        </w:rPr>
        <w:t>Remaining Performance Obligations from Contracts with Customers</w:t>
      </w:r>
    </w:p>
    <w:p w14:paraId="3821F988"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lastRenderedPageBreak/>
        <w:t>Trade receivables, net of allowance for doubtful accounts, and deferred revenues are reported net of related uncollected deferred revenues in our condensed consolidated balance sheets as of November 30, 2019 and May 31, 2019. The revenues recognized during the six months ended November 30, 2019 and 2018, respectively, that were included in the opening deferred revenues balance as of May 31, 2019 and 2018, respectively, were approximately $6.2 billion during each period. Revenues recognized from performance obligations satisfied in prior periods and impairment losses recognized on our receivables were immaterial in each of the three and six months ended November 30, 2019 and 2018, respectively.  </w:t>
      </w:r>
    </w:p>
    <w:p w14:paraId="0A6EB305"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Remaining performance obligations, as defined in Note 1 of Notes to Consolidated Financial Statements included in our Annual Report on Form 10-K for the fiscal year ended May 31, 2019, were $32.8 billion as of November 30, 2019, approximately 60% of which we expect to recognize as revenues over the next twelve months and the remainder thereafter.</w:t>
      </w:r>
    </w:p>
    <w:p w14:paraId="53D68DC6"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p w14:paraId="6909BF4B"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74971187">
          <v:rect id="_x0000_i1035" style="width:0;height:1.5pt" o:hralign="center" o:hrstd="t" o:hrnoshade="t" o:hr="t" fillcolor="black" stroked="f"/>
        </w:pict>
      </w:r>
    </w:p>
    <w:p w14:paraId="35FC7C55" w14:textId="77777777" w:rsidR="00141675" w:rsidRPr="00141675" w:rsidRDefault="00141675" w:rsidP="00141675">
      <w:pPr>
        <w:widowControl/>
        <w:jc w:val="left"/>
        <w:rPr>
          <w:rFonts w:ascii="Calibri" w:eastAsia="宋体" w:hAnsi="Calibri" w:cs="Calibri"/>
          <w:b/>
          <w:bCs/>
          <w:color w:val="000000"/>
          <w:kern w:val="0"/>
          <w:sz w:val="20"/>
          <w:szCs w:val="20"/>
        </w:rPr>
      </w:pPr>
      <w:hyperlink r:id="rId32" w:anchor="TABLE_CONTENTS" w:history="1">
        <w:r w:rsidRPr="00141675">
          <w:rPr>
            <w:rFonts w:ascii="Calibri" w:eastAsia="宋体" w:hAnsi="Calibri" w:cs="Calibri"/>
            <w:b/>
            <w:bCs/>
            <w:color w:val="0000FF"/>
            <w:kern w:val="0"/>
            <w:sz w:val="20"/>
            <w:szCs w:val="20"/>
            <w:u w:val="single"/>
          </w:rPr>
          <w:t>Table of Contents</w:t>
        </w:r>
      </w:hyperlink>
    </w:p>
    <w:p w14:paraId="323AABC9"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FDD0EDF"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2E90341D"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6D2C11BA"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4EB0FA91"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76895906"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0E293EE8" w14:textId="77777777" w:rsidR="00141675" w:rsidRPr="00141675" w:rsidRDefault="00141675" w:rsidP="00141675">
      <w:pPr>
        <w:widowControl/>
        <w:spacing w:before="240"/>
        <w:jc w:val="left"/>
        <w:rPr>
          <w:rFonts w:ascii="Calibri" w:eastAsia="宋体" w:hAnsi="Calibri" w:cs="Calibri"/>
          <w:b/>
          <w:bCs/>
          <w:kern w:val="0"/>
          <w:sz w:val="20"/>
          <w:szCs w:val="20"/>
        </w:rPr>
      </w:pPr>
      <w:r w:rsidRPr="00141675">
        <w:rPr>
          <w:rFonts w:ascii="Calibri" w:eastAsia="宋体" w:hAnsi="Calibri" w:cs="Calibri"/>
          <w:b/>
          <w:bCs/>
          <w:kern w:val="0"/>
          <w:sz w:val="20"/>
          <w:szCs w:val="20"/>
        </w:rPr>
        <w:t>Sales of Financing Receivables</w:t>
      </w:r>
    </w:p>
    <w:p w14:paraId="5F5F0A58"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offer certain of our customers the option to acquire our software products, hardware products and services offerings through separate long-term payment contracts. We generally sell these contracts that we have financed for our customers on a non-recourse basis to financial institutions within 90 days of the contracts’ dates of execution. We record the transfers of amounts due from customers to financial institutions as sales of financing receivables because we are considered to have surrendered control of these financing receivables. Financing receivables sold to financial institutions were $196 million and $876 million for the three and six months ended November 30, 2019, respectively, and $216 million and $1.0 billion for the three and six months ended November 30, 2018, respectively.</w:t>
      </w:r>
    </w:p>
    <w:p w14:paraId="5C1CB76C" w14:textId="77777777" w:rsidR="00141675" w:rsidRPr="00141675" w:rsidRDefault="00141675" w:rsidP="00141675">
      <w:pPr>
        <w:widowControl/>
        <w:spacing w:before="240"/>
        <w:jc w:val="left"/>
        <w:rPr>
          <w:rFonts w:ascii="Calibri" w:eastAsia="宋体" w:hAnsi="Calibri" w:cs="Calibri"/>
          <w:b/>
          <w:bCs/>
          <w:kern w:val="0"/>
          <w:sz w:val="20"/>
          <w:szCs w:val="20"/>
        </w:rPr>
      </w:pPr>
      <w:r w:rsidRPr="00141675">
        <w:rPr>
          <w:rFonts w:ascii="Calibri" w:eastAsia="宋体" w:hAnsi="Calibri" w:cs="Calibri"/>
          <w:b/>
          <w:bCs/>
          <w:kern w:val="0"/>
          <w:sz w:val="20"/>
          <w:szCs w:val="20"/>
        </w:rPr>
        <w:t>Cash, Cash Equivalents and Restricted Cash</w:t>
      </w:r>
    </w:p>
    <w:p w14:paraId="54B581D3"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Restricted cash that was included within cash and cash equivalents as presented within our condensed consolidated balance sheets as of November 30, 2019 and May 31, 2019 and our condensed consolidated statements of cash flows for the six months ended November 30, 2019 and 2018 was nominal.</w:t>
      </w:r>
    </w:p>
    <w:p w14:paraId="52426274" w14:textId="77777777" w:rsidR="00141675" w:rsidRPr="00141675" w:rsidRDefault="00141675" w:rsidP="00141675">
      <w:pPr>
        <w:widowControl/>
        <w:spacing w:before="240"/>
        <w:jc w:val="left"/>
        <w:rPr>
          <w:rFonts w:ascii="Calibri" w:eastAsia="宋体" w:hAnsi="Calibri" w:cs="Calibri"/>
          <w:b/>
          <w:bCs/>
          <w:kern w:val="0"/>
          <w:sz w:val="20"/>
          <w:szCs w:val="20"/>
        </w:rPr>
      </w:pPr>
      <w:r w:rsidRPr="00141675">
        <w:rPr>
          <w:rFonts w:ascii="Calibri" w:eastAsia="宋体" w:hAnsi="Calibri" w:cs="Calibri"/>
          <w:b/>
          <w:bCs/>
          <w:kern w:val="0"/>
          <w:sz w:val="20"/>
          <w:szCs w:val="20"/>
        </w:rPr>
        <w:t>Acquisition Related and Other Expenses</w:t>
      </w:r>
    </w:p>
    <w:p w14:paraId="57C7DE12"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Acquisition related and other expenses primarily consist of personnel related costs for transitional and certain other employees, integration related professional services, certain business combination adjustments including adjustments after the measurement period has ended and certain other operating items, net.</w:t>
      </w:r>
    </w:p>
    <w:p w14:paraId="299F41E4" w14:textId="77777777" w:rsidR="00141675" w:rsidRPr="00141675" w:rsidRDefault="00141675" w:rsidP="00141675">
      <w:pPr>
        <w:widowControl/>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lastRenderedPageBreak/>
        <w:t> </w:t>
      </w:r>
    </w:p>
    <w:tbl>
      <w:tblPr>
        <w:tblW w:w="20614" w:type="dxa"/>
        <w:tblCellMar>
          <w:left w:w="0" w:type="dxa"/>
          <w:right w:w="0" w:type="dxa"/>
        </w:tblCellMar>
        <w:tblLook w:val="04A0" w:firstRow="1" w:lastRow="0" w:firstColumn="1" w:lastColumn="0" w:noHBand="0" w:noVBand="1"/>
      </w:tblPr>
      <w:tblGrid>
        <w:gridCol w:w="10388"/>
        <w:gridCol w:w="238"/>
        <w:gridCol w:w="200"/>
        <w:gridCol w:w="1899"/>
        <w:gridCol w:w="199"/>
        <w:gridCol w:w="237"/>
        <w:gridCol w:w="199"/>
        <w:gridCol w:w="1943"/>
        <w:gridCol w:w="199"/>
        <w:gridCol w:w="237"/>
        <w:gridCol w:w="199"/>
        <w:gridCol w:w="1898"/>
        <w:gridCol w:w="199"/>
        <w:gridCol w:w="237"/>
        <w:gridCol w:w="199"/>
        <w:gridCol w:w="1943"/>
        <w:gridCol w:w="200"/>
      </w:tblGrid>
      <w:tr w:rsidR="00141675" w:rsidRPr="00141675" w14:paraId="7EDDFFE4" w14:textId="77777777" w:rsidTr="00141675">
        <w:tc>
          <w:tcPr>
            <w:tcW w:w="10367" w:type="dxa"/>
            <w:shd w:val="clear" w:color="auto" w:fill="FFFFFF"/>
            <w:tcMar>
              <w:top w:w="15" w:type="dxa"/>
              <w:left w:w="0" w:type="dxa"/>
              <w:bottom w:w="0" w:type="dxa"/>
              <w:right w:w="15" w:type="dxa"/>
            </w:tcMar>
            <w:vAlign w:val="bottom"/>
            <w:hideMark/>
          </w:tcPr>
          <w:p w14:paraId="5DAF8A23" w14:textId="77777777" w:rsidR="00141675" w:rsidRPr="00141675" w:rsidRDefault="00141675" w:rsidP="00141675">
            <w:pPr>
              <w:widowControl/>
              <w:jc w:val="center"/>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37" w:type="dxa"/>
            <w:shd w:val="clear" w:color="auto" w:fill="FFFFFF"/>
            <w:tcMar>
              <w:top w:w="15" w:type="dxa"/>
              <w:left w:w="0" w:type="dxa"/>
              <w:bottom w:w="0" w:type="dxa"/>
              <w:right w:w="15" w:type="dxa"/>
            </w:tcMar>
            <w:vAlign w:val="bottom"/>
            <w:hideMark/>
          </w:tcPr>
          <w:p w14:paraId="3253576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4643" w:type="dxa"/>
            <w:gridSpan w:val="6"/>
            <w:tcBorders>
              <w:bottom w:val="single" w:sz="6" w:space="0" w:color="000000"/>
            </w:tcBorders>
            <w:shd w:val="clear" w:color="auto" w:fill="FFFFFF"/>
            <w:tcMar>
              <w:top w:w="15" w:type="dxa"/>
              <w:left w:w="0" w:type="dxa"/>
              <w:bottom w:w="0" w:type="dxa"/>
              <w:right w:w="15" w:type="dxa"/>
            </w:tcMar>
            <w:vAlign w:val="bottom"/>
            <w:hideMark/>
          </w:tcPr>
          <w:p w14:paraId="424CD97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193F9C4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385AEE7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7" w:type="dxa"/>
            <w:shd w:val="clear" w:color="auto" w:fill="FFFFFF"/>
            <w:tcMar>
              <w:top w:w="15" w:type="dxa"/>
              <w:left w:w="0" w:type="dxa"/>
              <w:bottom w:w="0" w:type="dxa"/>
              <w:right w:w="15" w:type="dxa"/>
            </w:tcMar>
            <w:vAlign w:val="bottom"/>
            <w:hideMark/>
          </w:tcPr>
          <w:p w14:paraId="137A23B2"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4643" w:type="dxa"/>
            <w:gridSpan w:val="6"/>
            <w:tcBorders>
              <w:bottom w:val="single" w:sz="6" w:space="0" w:color="000000"/>
            </w:tcBorders>
            <w:shd w:val="clear" w:color="auto" w:fill="FFFFFF"/>
            <w:tcMar>
              <w:top w:w="15" w:type="dxa"/>
              <w:left w:w="0" w:type="dxa"/>
              <w:bottom w:w="0" w:type="dxa"/>
              <w:right w:w="15" w:type="dxa"/>
            </w:tcMar>
            <w:vAlign w:val="bottom"/>
            <w:hideMark/>
          </w:tcPr>
          <w:p w14:paraId="4FB8117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63821B9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2" w:type="dxa"/>
            <w:shd w:val="clear" w:color="auto" w:fill="FFFFFF"/>
            <w:noWrap/>
            <w:tcMar>
              <w:top w:w="15" w:type="dxa"/>
              <w:left w:w="0" w:type="dxa"/>
              <w:bottom w:w="0" w:type="dxa"/>
              <w:right w:w="15" w:type="dxa"/>
            </w:tcMar>
            <w:vAlign w:val="bottom"/>
            <w:hideMark/>
          </w:tcPr>
          <w:p w14:paraId="1168DC7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149BB6E3" w14:textId="77777777" w:rsidTr="00141675">
        <w:tc>
          <w:tcPr>
            <w:tcW w:w="10367" w:type="dxa"/>
            <w:tcBorders>
              <w:bottom w:val="single" w:sz="6" w:space="0" w:color="000000"/>
            </w:tcBorders>
            <w:shd w:val="clear" w:color="auto" w:fill="FFFFFF"/>
            <w:tcMar>
              <w:top w:w="15" w:type="dxa"/>
              <w:left w:w="0" w:type="dxa"/>
              <w:bottom w:w="0" w:type="dxa"/>
              <w:right w:w="15" w:type="dxa"/>
            </w:tcMar>
            <w:vAlign w:val="bottom"/>
            <w:hideMark/>
          </w:tcPr>
          <w:p w14:paraId="25AEBF0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37" w:type="dxa"/>
            <w:shd w:val="clear" w:color="auto" w:fill="FFFFFF"/>
            <w:tcMar>
              <w:top w:w="15" w:type="dxa"/>
              <w:left w:w="0" w:type="dxa"/>
              <w:bottom w:w="0" w:type="dxa"/>
              <w:right w:w="15" w:type="dxa"/>
            </w:tcMar>
            <w:vAlign w:val="bottom"/>
            <w:hideMark/>
          </w:tcPr>
          <w:p w14:paraId="3BE3F48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8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3285EE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2ECD431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7" w:type="dxa"/>
            <w:tcBorders>
              <w:top w:val="single" w:sz="6" w:space="0" w:color="000000"/>
            </w:tcBorders>
            <w:shd w:val="clear" w:color="auto" w:fill="FFFFFF"/>
            <w:tcMar>
              <w:top w:w="15" w:type="dxa"/>
              <w:left w:w="0" w:type="dxa"/>
              <w:bottom w:w="0" w:type="dxa"/>
              <w:right w:w="15" w:type="dxa"/>
            </w:tcMar>
            <w:vAlign w:val="bottom"/>
            <w:hideMark/>
          </w:tcPr>
          <w:p w14:paraId="1393C9A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8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AB247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6BA3CB0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7" w:type="dxa"/>
            <w:shd w:val="clear" w:color="auto" w:fill="FFFFFF"/>
            <w:tcMar>
              <w:top w:w="15" w:type="dxa"/>
              <w:left w:w="0" w:type="dxa"/>
              <w:bottom w:w="0" w:type="dxa"/>
              <w:right w:w="15" w:type="dxa"/>
            </w:tcMar>
            <w:vAlign w:val="bottom"/>
            <w:hideMark/>
          </w:tcPr>
          <w:p w14:paraId="05B1339A"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208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153CE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1BCDB52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7" w:type="dxa"/>
            <w:tcBorders>
              <w:top w:val="single" w:sz="6" w:space="0" w:color="000000"/>
            </w:tcBorders>
            <w:shd w:val="clear" w:color="auto" w:fill="FFFFFF"/>
            <w:tcMar>
              <w:top w:w="15" w:type="dxa"/>
              <w:left w:w="0" w:type="dxa"/>
              <w:bottom w:w="0" w:type="dxa"/>
              <w:right w:w="15" w:type="dxa"/>
            </w:tcMar>
            <w:vAlign w:val="bottom"/>
            <w:hideMark/>
          </w:tcPr>
          <w:p w14:paraId="3DAC114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8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1ED44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2C1EC8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2EB42496" w14:textId="77777777" w:rsidTr="00141675">
        <w:tc>
          <w:tcPr>
            <w:tcW w:w="10367" w:type="dxa"/>
            <w:tcBorders>
              <w:top w:val="single" w:sz="6" w:space="0" w:color="000000"/>
            </w:tcBorders>
            <w:shd w:val="clear" w:color="auto" w:fill="CFF0FC"/>
            <w:tcMar>
              <w:top w:w="15" w:type="dxa"/>
              <w:left w:w="0" w:type="dxa"/>
              <w:bottom w:w="0" w:type="dxa"/>
              <w:right w:w="15" w:type="dxa"/>
            </w:tcMar>
            <w:hideMark/>
          </w:tcPr>
          <w:p w14:paraId="34C3CCA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Transitional and other employee related costs</w:t>
            </w:r>
          </w:p>
        </w:tc>
        <w:tc>
          <w:tcPr>
            <w:tcW w:w="237" w:type="dxa"/>
            <w:shd w:val="clear" w:color="auto" w:fill="CFF0FC"/>
            <w:tcMar>
              <w:top w:w="15" w:type="dxa"/>
              <w:left w:w="0" w:type="dxa"/>
              <w:bottom w:w="0" w:type="dxa"/>
              <w:right w:w="15" w:type="dxa"/>
            </w:tcMar>
            <w:vAlign w:val="bottom"/>
            <w:hideMark/>
          </w:tcPr>
          <w:p w14:paraId="568EE04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23E29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9" w:type="dxa"/>
            <w:tcBorders>
              <w:top w:val="single" w:sz="6" w:space="0" w:color="000000"/>
            </w:tcBorders>
            <w:shd w:val="clear" w:color="auto" w:fill="CFF0FC"/>
            <w:noWrap/>
            <w:tcMar>
              <w:top w:w="15" w:type="dxa"/>
              <w:left w:w="0" w:type="dxa"/>
              <w:bottom w:w="0" w:type="dxa"/>
              <w:right w:w="15" w:type="dxa"/>
            </w:tcMar>
            <w:vAlign w:val="bottom"/>
            <w:hideMark/>
          </w:tcPr>
          <w:p w14:paraId="65D0D82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1" w:type="dxa"/>
            <w:shd w:val="clear" w:color="auto" w:fill="CFF0FC"/>
            <w:noWrap/>
            <w:tcMar>
              <w:top w:w="15" w:type="dxa"/>
              <w:left w:w="0" w:type="dxa"/>
              <w:bottom w:w="0" w:type="dxa"/>
              <w:right w:w="15" w:type="dxa"/>
            </w:tcMar>
            <w:vAlign w:val="bottom"/>
            <w:hideMark/>
          </w:tcPr>
          <w:p w14:paraId="18019DB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110B98B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4EEA9A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9" w:type="dxa"/>
            <w:tcBorders>
              <w:top w:val="single" w:sz="6" w:space="0" w:color="000000"/>
            </w:tcBorders>
            <w:shd w:val="clear" w:color="auto" w:fill="CFF0FC"/>
            <w:noWrap/>
            <w:tcMar>
              <w:top w:w="15" w:type="dxa"/>
              <w:left w:w="0" w:type="dxa"/>
              <w:bottom w:w="0" w:type="dxa"/>
              <w:right w:w="15" w:type="dxa"/>
            </w:tcMar>
            <w:vAlign w:val="bottom"/>
            <w:hideMark/>
          </w:tcPr>
          <w:p w14:paraId="52EE56B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w:t>
            </w:r>
          </w:p>
        </w:tc>
        <w:tc>
          <w:tcPr>
            <w:tcW w:w="191" w:type="dxa"/>
            <w:shd w:val="clear" w:color="auto" w:fill="CFF0FC"/>
            <w:noWrap/>
            <w:tcMar>
              <w:top w:w="15" w:type="dxa"/>
              <w:left w:w="0" w:type="dxa"/>
              <w:bottom w:w="0" w:type="dxa"/>
              <w:right w:w="15" w:type="dxa"/>
            </w:tcMar>
            <w:vAlign w:val="bottom"/>
            <w:hideMark/>
          </w:tcPr>
          <w:p w14:paraId="1C815A1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2968D867"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642B0E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9" w:type="dxa"/>
            <w:tcBorders>
              <w:top w:val="single" w:sz="6" w:space="0" w:color="000000"/>
            </w:tcBorders>
            <w:shd w:val="clear" w:color="auto" w:fill="CFF0FC"/>
            <w:noWrap/>
            <w:tcMar>
              <w:top w:w="15" w:type="dxa"/>
              <w:left w:w="0" w:type="dxa"/>
              <w:bottom w:w="0" w:type="dxa"/>
              <w:right w:w="15" w:type="dxa"/>
            </w:tcMar>
            <w:vAlign w:val="bottom"/>
            <w:hideMark/>
          </w:tcPr>
          <w:p w14:paraId="378A2ED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w:t>
            </w:r>
          </w:p>
        </w:tc>
        <w:tc>
          <w:tcPr>
            <w:tcW w:w="191" w:type="dxa"/>
            <w:shd w:val="clear" w:color="auto" w:fill="CFF0FC"/>
            <w:noWrap/>
            <w:tcMar>
              <w:top w:w="15" w:type="dxa"/>
              <w:left w:w="0" w:type="dxa"/>
              <w:bottom w:w="0" w:type="dxa"/>
              <w:right w:w="15" w:type="dxa"/>
            </w:tcMar>
            <w:vAlign w:val="bottom"/>
            <w:hideMark/>
          </w:tcPr>
          <w:p w14:paraId="4B33D78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1EE045B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CDE3D2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9" w:type="dxa"/>
            <w:tcBorders>
              <w:top w:val="single" w:sz="6" w:space="0" w:color="000000"/>
            </w:tcBorders>
            <w:shd w:val="clear" w:color="auto" w:fill="CFF0FC"/>
            <w:noWrap/>
            <w:tcMar>
              <w:top w:w="15" w:type="dxa"/>
              <w:left w:w="0" w:type="dxa"/>
              <w:bottom w:w="0" w:type="dxa"/>
              <w:right w:w="15" w:type="dxa"/>
            </w:tcMar>
            <w:vAlign w:val="bottom"/>
            <w:hideMark/>
          </w:tcPr>
          <w:p w14:paraId="14DC5D8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w:t>
            </w:r>
          </w:p>
        </w:tc>
        <w:tc>
          <w:tcPr>
            <w:tcW w:w="192" w:type="dxa"/>
            <w:shd w:val="clear" w:color="auto" w:fill="CFF0FC"/>
            <w:noWrap/>
            <w:tcMar>
              <w:top w:w="15" w:type="dxa"/>
              <w:left w:w="0" w:type="dxa"/>
              <w:bottom w:w="0" w:type="dxa"/>
              <w:right w:w="15" w:type="dxa"/>
            </w:tcMar>
            <w:vAlign w:val="bottom"/>
            <w:hideMark/>
          </w:tcPr>
          <w:p w14:paraId="64FBE6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5816E8B" w14:textId="77777777" w:rsidTr="00141675">
        <w:tc>
          <w:tcPr>
            <w:tcW w:w="10367" w:type="dxa"/>
            <w:shd w:val="clear" w:color="auto" w:fill="FFFFFF"/>
            <w:tcMar>
              <w:top w:w="15" w:type="dxa"/>
              <w:left w:w="0" w:type="dxa"/>
              <w:bottom w:w="0" w:type="dxa"/>
              <w:right w:w="15" w:type="dxa"/>
            </w:tcMar>
            <w:hideMark/>
          </w:tcPr>
          <w:p w14:paraId="4FEC4F0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Business combination adjustments, net</w:t>
            </w:r>
          </w:p>
        </w:tc>
        <w:tc>
          <w:tcPr>
            <w:tcW w:w="237" w:type="dxa"/>
            <w:shd w:val="clear" w:color="auto" w:fill="FFFFFF"/>
            <w:tcMar>
              <w:top w:w="15" w:type="dxa"/>
              <w:left w:w="0" w:type="dxa"/>
              <w:bottom w:w="0" w:type="dxa"/>
              <w:right w:w="15" w:type="dxa"/>
            </w:tcMar>
            <w:vAlign w:val="bottom"/>
            <w:hideMark/>
          </w:tcPr>
          <w:p w14:paraId="379FC24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6EC699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9" w:type="dxa"/>
            <w:shd w:val="clear" w:color="auto" w:fill="FFFFFF"/>
            <w:noWrap/>
            <w:tcMar>
              <w:top w:w="15" w:type="dxa"/>
              <w:left w:w="0" w:type="dxa"/>
              <w:bottom w:w="0" w:type="dxa"/>
              <w:right w:w="15" w:type="dxa"/>
            </w:tcMar>
            <w:vAlign w:val="bottom"/>
            <w:hideMark/>
          </w:tcPr>
          <w:p w14:paraId="369AC8B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c>
          <w:tcPr>
            <w:tcW w:w="191" w:type="dxa"/>
            <w:shd w:val="clear" w:color="auto" w:fill="FFFFFF"/>
            <w:noWrap/>
            <w:tcMar>
              <w:top w:w="15" w:type="dxa"/>
              <w:left w:w="0" w:type="dxa"/>
              <w:bottom w:w="0" w:type="dxa"/>
              <w:right w:w="15" w:type="dxa"/>
            </w:tcMar>
            <w:vAlign w:val="bottom"/>
            <w:hideMark/>
          </w:tcPr>
          <w:p w14:paraId="6B13545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37" w:type="dxa"/>
            <w:shd w:val="clear" w:color="auto" w:fill="FFFFFF"/>
            <w:tcMar>
              <w:top w:w="15" w:type="dxa"/>
              <w:left w:w="0" w:type="dxa"/>
              <w:bottom w:w="0" w:type="dxa"/>
              <w:right w:w="15" w:type="dxa"/>
            </w:tcMar>
            <w:vAlign w:val="bottom"/>
            <w:hideMark/>
          </w:tcPr>
          <w:p w14:paraId="5F98A15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D71945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9" w:type="dxa"/>
            <w:shd w:val="clear" w:color="auto" w:fill="FFFFFF"/>
            <w:noWrap/>
            <w:tcMar>
              <w:top w:w="15" w:type="dxa"/>
              <w:left w:w="0" w:type="dxa"/>
              <w:bottom w:w="0" w:type="dxa"/>
              <w:right w:w="15" w:type="dxa"/>
            </w:tcMar>
            <w:vAlign w:val="bottom"/>
            <w:hideMark/>
          </w:tcPr>
          <w:p w14:paraId="0954A76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1" w:type="dxa"/>
            <w:shd w:val="clear" w:color="auto" w:fill="FFFFFF"/>
            <w:noWrap/>
            <w:tcMar>
              <w:top w:w="15" w:type="dxa"/>
              <w:left w:w="0" w:type="dxa"/>
              <w:bottom w:w="0" w:type="dxa"/>
              <w:right w:w="15" w:type="dxa"/>
            </w:tcMar>
            <w:vAlign w:val="bottom"/>
            <w:hideMark/>
          </w:tcPr>
          <w:p w14:paraId="0FA5B2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FFFFFF"/>
            <w:tcMar>
              <w:top w:w="15" w:type="dxa"/>
              <w:left w:w="0" w:type="dxa"/>
              <w:bottom w:w="0" w:type="dxa"/>
              <w:right w:w="15" w:type="dxa"/>
            </w:tcMar>
            <w:vAlign w:val="bottom"/>
            <w:hideMark/>
          </w:tcPr>
          <w:p w14:paraId="62B8853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BDC146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9" w:type="dxa"/>
            <w:shd w:val="clear" w:color="auto" w:fill="FFFFFF"/>
            <w:noWrap/>
            <w:tcMar>
              <w:top w:w="15" w:type="dxa"/>
              <w:left w:w="0" w:type="dxa"/>
              <w:bottom w:w="0" w:type="dxa"/>
              <w:right w:w="15" w:type="dxa"/>
            </w:tcMar>
            <w:vAlign w:val="bottom"/>
            <w:hideMark/>
          </w:tcPr>
          <w:p w14:paraId="2507A9C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191" w:type="dxa"/>
            <w:shd w:val="clear" w:color="auto" w:fill="FFFFFF"/>
            <w:noWrap/>
            <w:tcMar>
              <w:top w:w="15" w:type="dxa"/>
              <w:left w:w="0" w:type="dxa"/>
              <w:bottom w:w="0" w:type="dxa"/>
              <w:right w:w="15" w:type="dxa"/>
            </w:tcMar>
            <w:vAlign w:val="bottom"/>
            <w:hideMark/>
          </w:tcPr>
          <w:p w14:paraId="320A1D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FFFFFF"/>
            <w:tcMar>
              <w:top w:w="15" w:type="dxa"/>
              <w:left w:w="0" w:type="dxa"/>
              <w:bottom w:w="0" w:type="dxa"/>
              <w:right w:w="15" w:type="dxa"/>
            </w:tcMar>
            <w:vAlign w:val="bottom"/>
            <w:hideMark/>
          </w:tcPr>
          <w:p w14:paraId="4915C8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3A7EB2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9" w:type="dxa"/>
            <w:shd w:val="clear" w:color="auto" w:fill="FFFFFF"/>
            <w:noWrap/>
            <w:tcMar>
              <w:top w:w="15" w:type="dxa"/>
              <w:left w:w="0" w:type="dxa"/>
              <w:bottom w:w="0" w:type="dxa"/>
              <w:right w:w="15" w:type="dxa"/>
            </w:tcMar>
            <w:vAlign w:val="bottom"/>
            <w:hideMark/>
          </w:tcPr>
          <w:p w14:paraId="3BF4B72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192" w:type="dxa"/>
            <w:shd w:val="clear" w:color="auto" w:fill="FFFFFF"/>
            <w:noWrap/>
            <w:tcMar>
              <w:top w:w="15" w:type="dxa"/>
              <w:left w:w="0" w:type="dxa"/>
              <w:bottom w:w="0" w:type="dxa"/>
              <w:right w:w="15" w:type="dxa"/>
            </w:tcMar>
            <w:vAlign w:val="bottom"/>
            <w:hideMark/>
          </w:tcPr>
          <w:p w14:paraId="3623C67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947E6C2" w14:textId="77777777" w:rsidTr="00141675">
        <w:tc>
          <w:tcPr>
            <w:tcW w:w="10367" w:type="dxa"/>
            <w:shd w:val="clear" w:color="auto" w:fill="CFF0FC"/>
            <w:tcMar>
              <w:top w:w="15" w:type="dxa"/>
              <w:left w:w="0" w:type="dxa"/>
              <w:bottom w:w="0" w:type="dxa"/>
              <w:right w:w="15" w:type="dxa"/>
            </w:tcMar>
            <w:hideMark/>
          </w:tcPr>
          <w:p w14:paraId="217A7D8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Other, net</w:t>
            </w:r>
          </w:p>
        </w:tc>
        <w:tc>
          <w:tcPr>
            <w:tcW w:w="237" w:type="dxa"/>
            <w:shd w:val="clear" w:color="auto" w:fill="CFF0FC"/>
            <w:tcMar>
              <w:top w:w="15" w:type="dxa"/>
              <w:left w:w="0" w:type="dxa"/>
              <w:bottom w:w="0" w:type="dxa"/>
              <w:right w:w="15" w:type="dxa"/>
            </w:tcMar>
            <w:vAlign w:val="bottom"/>
            <w:hideMark/>
          </w:tcPr>
          <w:p w14:paraId="732E4BE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222CF0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9" w:type="dxa"/>
            <w:tcBorders>
              <w:bottom w:val="single" w:sz="6" w:space="0" w:color="000000"/>
            </w:tcBorders>
            <w:shd w:val="clear" w:color="auto" w:fill="CFF0FC"/>
            <w:noWrap/>
            <w:tcMar>
              <w:top w:w="15" w:type="dxa"/>
              <w:left w:w="0" w:type="dxa"/>
              <w:bottom w:w="0" w:type="dxa"/>
              <w:right w:w="15" w:type="dxa"/>
            </w:tcMar>
            <w:vAlign w:val="bottom"/>
            <w:hideMark/>
          </w:tcPr>
          <w:p w14:paraId="1C6D585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191" w:type="dxa"/>
            <w:shd w:val="clear" w:color="auto" w:fill="CFF0FC"/>
            <w:noWrap/>
            <w:tcMar>
              <w:top w:w="15" w:type="dxa"/>
              <w:left w:w="0" w:type="dxa"/>
              <w:bottom w:w="0" w:type="dxa"/>
              <w:right w:w="15" w:type="dxa"/>
            </w:tcMar>
            <w:vAlign w:val="bottom"/>
            <w:hideMark/>
          </w:tcPr>
          <w:p w14:paraId="29E229A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646448F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65074D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9" w:type="dxa"/>
            <w:tcBorders>
              <w:bottom w:val="single" w:sz="6" w:space="0" w:color="000000"/>
            </w:tcBorders>
            <w:shd w:val="clear" w:color="auto" w:fill="CFF0FC"/>
            <w:noWrap/>
            <w:tcMar>
              <w:top w:w="15" w:type="dxa"/>
              <w:left w:w="0" w:type="dxa"/>
              <w:bottom w:w="0" w:type="dxa"/>
              <w:right w:w="15" w:type="dxa"/>
            </w:tcMar>
            <w:vAlign w:val="bottom"/>
            <w:hideMark/>
          </w:tcPr>
          <w:p w14:paraId="079F23A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c>
          <w:tcPr>
            <w:tcW w:w="191" w:type="dxa"/>
            <w:shd w:val="clear" w:color="auto" w:fill="CFF0FC"/>
            <w:noWrap/>
            <w:tcMar>
              <w:top w:w="15" w:type="dxa"/>
              <w:left w:w="0" w:type="dxa"/>
              <w:bottom w:w="0" w:type="dxa"/>
              <w:right w:w="15" w:type="dxa"/>
            </w:tcMar>
            <w:vAlign w:val="bottom"/>
            <w:hideMark/>
          </w:tcPr>
          <w:p w14:paraId="7F27F63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3B1D846E"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66E51E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9" w:type="dxa"/>
            <w:tcBorders>
              <w:bottom w:val="single" w:sz="6" w:space="0" w:color="000000"/>
            </w:tcBorders>
            <w:shd w:val="clear" w:color="auto" w:fill="CFF0FC"/>
            <w:noWrap/>
            <w:tcMar>
              <w:top w:w="15" w:type="dxa"/>
              <w:left w:w="0" w:type="dxa"/>
              <w:bottom w:w="0" w:type="dxa"/>
              <w:right w:w="15" w:type="dxa"/>
            </w:tcMar>
            <w:vAlign w:val="bottom"/>
            <w:hideMark/>
          </w:tcPr>
          <w:p w14:paraId="0148812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w:t>
            </w:r>
          </w:p>
        </w:tc>
        <w:tc>
          <w:tcPr>
            <w:tcW w:w="191" w:type="dxa"/>
            <w:shd w:val="clear" w:color="auto" w:fill="CFF0FC"/>
            <w:noWrap/>
            <w:tcMar>
              <w:top w:w="15" w:type="dxa"/>
              <w:left w:w="0" w:type="dxa"/>
              <w:bottom w:w="0" w:type="dxa"/>
              <w:right w:w="15" w:type="dxa"/>
            </w:tcMar>
            <w:vAlign w:val="bottom"/>
            <w:hideMark/>
          </w:tcPr>
          <w:p w14:paraId="5590842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242B6A3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097C52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9" w:type="dxa"/>
            <w:tcBorders>
              <w:bottom w:val="single" w:sz="6" w:space="0" w:color="000000"/>
            </w:tcBorders>
            <w:shd w:val="clear" w:color="auto" w:fill="CFF0FC"/>
            <w:noWrap/>
            <w:tcMar>
              <w:top w:w="15" w:type="dxa"/>
              <w:left w:w="0" w:type="dxa"/>
              <w:bottom w:w="0" w:type="dxa"/>
              <w:right w:w="15" w:type="dxa"/>
            </w:tcMar>
            <w:vAlign w:val="bottom"/>
            <w:hideMark/>
          </w:tcPr>
          <w:p w14:paraId="49737A4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c>
          <w:tcPr>
            <w:tcW w:w="192" w:type="dxa"/>
            <w:shd w:val="clear" w:color="auto" w:fill="CFF0FC"/>
            <w:noWrap/>
            <w:tcMar>
              <w:top w:w="15" w:type="dxa"/>
              <w:left w:w="0" w:type="dxa"/>
              <w:bottom w:w="0" w:type="dxa"/>
              <w:right w:w="15" w:type="dxa"/>
            </w:tcMar>
            <w:vAlign w:val="bottom"/>
            <w:hideMark/>
          </w:tcPr>
          <w:p w14:paraId="6E27D5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981A51E" w14:textId="77777777" w:rsidTr="00141675">
        <w:tc>
          <w:tcPr>
            <w:tcW w:w="10367" w:type="dxa"/>
            <w:shd w:val="clear" w:color="auto" w:fill="FFFFFF"/>
            <w:tcMar>
              <w:top w:w="15" w:type="dxa"/>
              <w:left w:w="0" w:type="dxa"/>
              <w:bottom w:w="0" w:type="dxa"/>
              <w:right w:w="15" w:type="dxa"/>
            </w:tcMar>
            <w:hideMark/>
          </w:tcPr>
          <w:p w14:paraId="266C505C"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acquisition related and other expenses</w:t>
            </w:r>
          </w:p>
        </w:tc>
        <w:tc>
          <w:tcPr>
            <w:tcW w:w="237" w:type="dxa"/>
            <w:shd w:val="clear" w:color="auto" w:fill="FFFFFF"/>
            <w:tcMar>
              <w:top w:w="15" w:type="dxa"/>
              <w:left w:w="0" w:type="dxa"/>
              <w:bottom w:w="0" w:type="dxa"/>
              <w:right w:w="15" w:type="dxa"/>
            </w:tcMar>
            <w:vAlign w:val="bottom"/>
            <w:hideMark/>
          </w:tcPr>
          <w:p w14:paraId="24538F8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4B5C0B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AE75A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w:t>
            </w:r>
          </w:p>
        </w:tc>
        <w:tc>
          <w:tcPr>
            <w:tcW w:w="191" w:type="dxa"/>
            <w:shd w:val="clear" w:color="auto" w:fill="FFFFFF"/>
            <w:noWrap/>
            <w:tcMar>
              <w:top w:w="15" w:type="dxa"/>
              <w:left w:w="0" w:type="dxa"/>
              <w:bottom w:w="0" w:type="dxa"/>
              <w:right w:w="15" w:type="dxa"/>
            </w:tcMar>
            <w:vAlign w:val="bottom"/>
            <w:hideMark/>
          </w:tcPr>
          <w:p w14:paraId="2EE3A33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FFFFFF"/>
            <w:tcMar>
              <w:top w:w="15" w:type="dxa"/>
              <w:left w:w="0" w:type="dxa"/>
              <w:bottom w:w="0" w:type="dxa"/>
              <w:right w:w="15" w:type="dxa"/>
            </w:tcMar>
            <w:vAlign w:val="bottom"/>
            <w:hideMark/>
          </w:tcPr>
          <w:p w14:paraId="6DF8526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7D73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CAF02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w:t>
            </w:r>
          </w:p>
        </w:tc>
        <w:tc>
          <w:tcPr>
            <w:tcW w:w="191" w:type="dxa"/>
            <w:shd w:val="clear" w:color="auto" w:fill="FFFFFF"/>
            <w:noWrap/>
            <w:tcMar>
              <w:top w:w="15" w:type="dxa"/>
              <w:left w:w="0" w:type="dxa"/>
              <w:bottom w:w="0" w:type="dxa"/>
              <w:right w:w="15" w:type="dxa"/>
            </w:tcMar>
            <w:vAlign w:val="bottom"/>
            <w:hideMark/>
          </w:tcPr>
          <w:p w14:paraId="296D3A7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FFFFFF"/>
            <w:tcMar>
              <w:top w:w="15" w:type="dxa"/>
              <w:left w:w="0" w:type="dxa"/>
              <w:bottom w:w="0" w:type="dxa"/>
              <w:right w:w="15" w:type="dxa"/>
            </w:tcMar>
            <w:vAlign w:val="bottom"/>
            <w:hideMark/>
          </w:tcPr>
          <w:p w14:paraId="5E6845E3"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4DF5D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DC69C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37</w:t>
            </w:r>
          </w:p>
        </w:tc>
        <w:tc>
          <w:tcPr>
            <w:tcW w:w="191" w:type="dxa"/>
            <w:shd w:val="clear" w:color="auto" w:fill="FFFFFF"/>
            <w:noWrap/>
            <w:tcMar>
              <w:top w:w="15" w:type="dxa"/>
              <w:left w:w="0" w:type="dxa"/>
              <w:bottom w:w="0" w:type="dxa"/>
              <w:right w:w="15" w:type="dxa"/>
            </w:tcMar>
            <w:vAlign w:val="bottom"/>
            <w:hideMark/>
          </w:tcPr>
          <w:p w14:paraId="50D203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FFFFFF"/>
            <w:tcMar>
              <w:top w:w="15" w:type="dxa"/>
              <w:left w:w="0" w:type="dxa"/>
              <w:bottom w:w="0" w:type="dxa"/>
              <w:right w:w="15" w:type="dxa"/>
            </w:tcMar>
            <w:vAlign w:val="bottom"/>
            <w:hideMark/>
          </w:tcPr>
          <w:p w14:paraId="23E119C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DA640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04851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2" w:type="dxa"/>
            <w:shd w:val="clear" w:color="auto" w:fill="FFFFFF"/>
            <w:noWrap/>
            <w:tcMar>
              <w:top w:w="15" w:type="dxa"/>
              <w:left w:w="0" w:type="dxa"/>
              <w:bottom w:w="0" w:type="dxa"/>
              <w:right w:w="15" w:type="dxa"/>
            </w:tcMar>
            <w:vAlign w:val="bottom"/>
            <w:hideMark/>
          </w:tcPr>
          <w:p w14:paraId="4E72144D"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4DA82CE4" w14:textId="77777777" w:rsidR="00141675" w:rsidRPr="00141675" w:rsidRDefault="00141675" w:rsidP="00141675">
      <w:pPr>
        <w:widowControl/>
        <w:spacing w:before="240"/>
        <w:jc w:val="left"/>
        <w:rPr>
          <w:rFonts w:ascii="Calibri" w:eastAsia="宋体" w:hAnsi="Calibri" w:cs="Calibri"/>
          <w:b/>
          <w:bCs/>
          <w:kern w:val="0"/>
          <w:sz w:val="20"/>
          <w:szCs w:val="20"/>
        </w:rPr>
      </w:pPr>
      <w:r w:rsidRPr="00141675">
        <w:rPr>
          <w:rFonts w:ascii="Calibri" w:eastAsia="宋体" w:hAnsi="Calibri" w:cs="Calibri"/>
          <w:b/>
          <w:bCs/>
          <w:kern w:val="0"/>
          <w:sz w:val="20"/>
          <w:szCs w:val="20"/>
        </w:rPr>
        <w:t>Non-Operating Income, net</w:t>
      </w:r>
    </w:p>
    <w:p w14:paraId="47CEFB1F"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Non-operating income, net consists primarily of interest income, net foreign currency exchange losses, the noncontrolling interests in the net profits of our majority-owned subsidiaries (primarily Oracle Financial Services Software Limited and Oracle Corporation Japan) and net other income, including net realized gains and losses related to all of our investments, net unrealized gains and losses related to the small portion of our investment portfolio related to our deferred compensation plan, net unrealized gains and losses related to certain equity securities and non-service net periodic pension income (losses).</w:t>
      </w:r>
    </w:p>
    <w:p w14:paraId="6A84BB5C" w14:textId="77777777" w:rsidR="00141675" w:rsidRPr="00141675" w:rsidRDefault="00141675" w:rsidP="00141675">
      <w:pPr>
        <w:widowControl/>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bl>
      <w:tblPr>
        <w:tblW w:w="20614" w:type="dxa"/>
        <w:tblCellMar>
          <w:left w:w="0" w:type="dxa"/>
          <w:right w:w="0" w:type="dxa"/>
        </w:tblCellMar>
        <w:tblLook w:val="04A0" w:firstRow="1" w:lastRow="0" w:firstColumn="1" w:lastColumn="0" w:noHBand="0" w:noVBand="1"/>
      </w:tblPr>
      <w:tblGrid>
        <w:gridCol w:w="10390"/>
        <w:gridCol w:w="238"/>
        <w:gridCol w:w="200"/>
        <w:gridCol w:w="1899"/>
        <w:gridCol w:w="199"/>
        <w:gridCol w:w="237"/>
        <w:gridCol w:w="199"/>
        <w:gridCol w:w="1942"/>
        <w:gridCol w:w="199"/>
        <w:gridCol w:w="237"/>
        <w:gridCol w:w="199"/>
        <w:gridCol w:w="1898"/>
        <w:gridCol w:w="199"/>
        <w:gridCol w:w="237"/>
        <w:gridCol w:w="199"/>
        <w:gridCol w:w="1942"/>
        <w:gridCol w:w="200"/>
      </w:tblGrid>
      <w:tr w:rsidR="00141675" w:rsidRPr="00141675" w14:paraId="5E838EFB" w14:textId="77777777" w:rsidTr="00141675">
        <w:tc>
          <w:tcPr>
            <w:tcW w:w="10369" w:type="dxa"/>
            <w:shd w:val="clear" w:color="auto" w:fill="FFFFFF"/>
            <w:tcMar>
              <w:top w:w="15" w:type="dxa"/>
              <w:left w:w="0" w:type="dxa"/>
              <w:bottom w:w="0" w:type="dxa"/>
              <w:right w:w="15" w:type="dxa"/>
            </w:tcMar>
            <w:vAlign w:val="bottom"/>
            <w:hideMark/>
          </w:tcPr>
          <w:p w14:paraId="0114B63B" w14:textId="77777777" w:rsidR="00141675" w:rsidRPr="00141675" w:rsidRDefault="00141675" w:rsidP="00141675">
            <w:pPr>
              <w:widowControl/>
              <w:jc w:val="center"/>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37" w:type="dxa"/>
            <w:shd w:val="clear" w:color="auto" w:fill="FFFFFF"/>
            <w:tcMar>
              <w:top w:w="15" w:type="dxa"/>
              <w:left w:w="0" w:type="dxa"/>
              <w:bottom w:w="0" w:type="dxa"/>
              <w:right w:w="15" w:type="dxa"/>
            </w:tcMar>
            <w:vAlign w:val="bottom"/>
            <w:hideMark/>
          </w:tcPr>
          <w:p w14:paraId="129FA7F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4642" w:type="dxa"/>
            <w:gridSpan w:val="6"/>
            <w:tcBorders>
              <w:bottom w:val="single" w:sz="6" w:space="0" w:color="000000"/>
            </w:tcBorders>
            <w:shd w:val="clear" w:color="auto" w:fill="FFFFFF"/>
            <w:tcMar>
              <w:top w:w="15" w:type="dxa"/>
              <w:left w:w="0" w:type="dxa"/>
              <w:bottom w:w="0" w:type="dxa"/>
              <w:right w:w="15" w:type="dxa"/>
            </w:tcMar>
            <w:vAlign w:val="bottom"/>
            <w:hideMark/>
          </w:tcPr>
          <w:p w14:paraId="11FA660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4E27DBB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6A25B9A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7" w:type="dxa"/>
            <w:shd w:val="clear" w:color="auto" w:fill="FFFFFF"/>
            <w:tcMar>
              <w:top w:w="15" w:type="dxa"/>
              <w:left w:w="0" w:type="dxa"/>
              <w:bottom w:w="0" w:type="dxa"/>
              <w:right w:w="15" w:type="dxa"/>
            </w:tcMar>
            <w:vAlign w:val="bottom"/>
            <w:hideMark/>
          </w:tcPr>
          <w:p w14:paraId="44508261"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4642" w:type="dxa"/>
            <w:gridSpan w:val="6"/>
            <w:tcBorders>
              <w:bottom w:val="single" w:sz="6" w:space="0" w:color="000000"/>
            </w:tcBorders>
            <w:shd w:val="clear" w:color="auto" w:fill="FFFFFF"/>
            <w:tcMar>
              <w:top w:w="15" w:type="dxa"/>
              <w:left w:w="0" w:type="dxa"/>
              <w:bottom w:w="0" w:type="dxa"/>
              <w:right w:w="15" w:type="dxa"/>
            </w:tcMar>
            <w:vAlign w:val="bottom"/>
            <w:hideMark/>
          </w:tcPr>
          <w:p w14:paraId="5FA691F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143B6D1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2" w:type="dxa"/>
            <w:shd w:val="clear" w:color="auto" w:fill="FFFFFF"/>
            <w:noWrap/>
            <w:tcMar>
              <w:top w:w="15" w:type="dxa"/>
              <w:left w:w="0" w:type="dxa"/>
              <w:bottom w:w="0" w:type="dxa"/>
              <w:right w:w="15" w:type="dxa"/>
            </w:tcMar>
            <w:vAlign w:val="bottom"/>
            <w:hideMark/>
          </w:tcPr>
          <w:p w14:paraId="46D46DC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5C64F44B" w14:textId="77777777" w:rsidTr="00141675">
        <w:tc>
          <w:tcPr>
            <w:tcW w:w="10369" w:type="dxa"/>
            <w:tcBorders>
              <w:bottom w:val="single" w:sz="6" w:space="0" w:color="000000"/>
            </w:tcBorders>
            <w:shd w:val="clear" w:color="auto" w:fill="FFFFFF"/>
            <w:tcMar>
              <w:top w:w="15" w:type="dxa"/>
              <w:left w:w="0" w:type="dxa"/>
              <w:bottom w:w="0" w:type="dxa"/>
              <w:right w:w="15" w:type="dxa"/>
            </w:tcMar>
            <w:vAlign w:val="bottom"/>
            <w:hideMark/>
          </w:tcPr>
          <w:p w14:paraId="7811156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37" w:type="dxa"/>
            <w:shd w:val="clear" w:color="auto" w:fill="FFFFFF"/>
            <w:tcMar>
              <w:top w:w="15" w:type="dxa"/>
              <w:left w:w="0" w:type="dxa"/>
              <w:bottom w:w="0" w:type="dxa"/>
              <w:right w:w="15" w:type="dxa"/>
            </w:tcMar>
            <w:vAlign w:val="bottom"/>
            <w:hideMark/>
          </w:tcPr>
          <w:p w14:paraId="426F625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8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1D887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60A032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7" w:type="dxa"/>
            <w:tcBorders>
              <w:top w:val="single" w:sz="6" w:space="0" w:color="000000"/>
            </w:tcBorders>
            <w:shd w:val="clear" w:color="auto" w:fill="FFFFFF"/>
            <w:tcMar>
              <w:top w:w="15" w:type="dxa"/>
              <w:left w:w="0" w:type="dxa"/>
              <w:bottom w:w="0" w:type="dxa"/>
              <w:right w:w="15" w:type="dxa"/>
            </w:tcMar>
            <w:vAlign w:val="bottom"/>
            <w:hideMark/>
          </w:tcPr>
          <w:p w14:paraId="792867B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8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E1F519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3288CDD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7" w:type="dxa"/>
            <w:shd w:val="clear" w:color="auto" w:fill="FFFFFF"/>
            <w:tcMar>
              <w:top w:w="15" w:type="dxa"/>
              <w:left w:w="0" w:type="dxa"/>
              <w:bottom w:w="0" w:type="dxa"/>
              <w:right w:w="15" w:type="dxa"/>
            </w:tcMar>
            <w:vAlign w:val="bottom"/>
            <w:hideMark/>
          </w:tcPr>
          <w:p w14:paraId="454C8FDC"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208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37C8F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825374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37" w:type="dxa"/>
            <w:tcBorders>
              <w:top w:val="single" w:sz="6" w:space="0" w:color="000000"/>
            </w:tcBorders>
            <w:shd w:val="clear" w:color="auto" w:fill="FFFFFF"/>
            <w:tcMar>
              <w:top w:w="15" w:type="dxa"/>
              <w:left w:w="0" w:type="dxa"/>
              <w:bottom w:w="0" w:type="dxa"/>
              <w:right w:w="15" w:type="dxa"/>
            </w:tcMar>
            <w:vAlign w:val="bottom"/>
            <w:hideMark/>
          </w:tcPr>
          <w:p w14:paraId="76C62AD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8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B66F6C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2815839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500F7958" w14:textId="77777777" w:rsidTr="00141675">
        <w:tc>
          <w:tcPr>
            <w:tcW w:w="10369" w:type="dxa"/>
            <w:tcBorders>
              <w:top w:val="single" w:sz="6" w:space="0" w:color="000000"/>
            </w:tcBorders>
            <w:shd w:val="clear" w:color="auto" w:fill="CFF0FC"/>
            <w:tcMar>
              <w:top w:w="15" w:type="dxa"/>
              <w:left w:w="0" w:type="dxa"/>
              <w:bottom w:w="0" w:type="dxa"/>
              <w:right w:w="15" w:type="dxa"/>
            </w:tcMar>
            <w:hideMark/>
          </w:tcPr>
          <w:p w14:paraId="27FCB7F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Interest income</w:t>
            </w:r>
          </w:p>
        </w:tc>
        <w:tc>
          <w:tcPr>
            <w:tcW w:w="237" w:type="dxa"/>
            <w:shd w:val="clear" w:color="auto" w:fill="CFF0FC"/>
            <w:tcMar>
              <w:top w:w="15" w:type="dxa"/>
              <w:left w:w="0" w:type="dxa"/>
              <w:bottom w:w="0" w:type="dxa"/>
              <w:right w:w="15" w:type="dxa"/>
            </w:tcMar>
            <w:vAlign w:val="bottom"/>
            <w:hideMark/>
          </w:tcPr>
          <w:p w14:paraId="2529521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D3F4FB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40E2EA8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145</w:t>
            </w:r>
          </w:p>
        </w:tc>
        <w:tc>
          <w:tcPr>
            <w:tcW w:w="191" w:type="dxa"/>
            <w:shd w:val="clear" w:color="auto" w:fill="CFF0FC"/>
            <w:noWrap/>
            <w:tcMar>
              <w:top w:w="15" w:type="dxa"/>
              <w:left w:w="0" w:type="dxa"/>
              <w:bottom w:w="0" w:type="dxa"/>
              <w:right w:w="15" w:type="dxa"/>
            </w:tcMar>
            <w:vAlign w:val="bottom"/>
            <w:hideMark/>
          </w:tcPr>
          <w:p w14:paraId="5C4B902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59E6564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489A6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5FD4F17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296</w:t>
            </w:r>
          </w:p>
        </w:tc>
        <w:tc>
          <w:tcPr>
            <w:tcW w:w="191" w:type="dxa"/>
            <w:shd w:val="clear" w:color="auto" w:fill="CFF0FC"/>
            <w:noWrap/>
            <w:tcMar>
              <w:top w:w="15" w:type="dxa"/>
              <w:left w:w="0" w:type="dxa"/>
              <w:bottom w:w="0" w:type="dxa"/>
              <w:right w:w="15" w:type="dxa"/>
            </w:tcMar>
            <w:vAlign w:val="bottom"/>
            <w:hideMark/>
          </w:tcPr>
          <w:p w14:paraId="073F49E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2202F232" w14:textId="77777777" w:rsidR="00141675" w:rsidRPr="00141675" w:rsidRDefault="00141675" w:rsidP="00141675">
            <w:pPr>
              <w:widowControl/>
              <w:jc w:val="left"/>
              <w:rPr>
                <w:rFonts w:ascii="Arial" w:eastAsia="宋体" w:hAnsi="Arial" w:cs="Arial"/>
                <w:color w:val="000000"/>
                <w:kern w:val="0"/>
                <w:sz w:val="20"/>
                <w:szCs w:val="20"/>
              </w:rPr>
            </w:pPr>
            <w:r w:rsidRPr="00141675">
              <w:rPr>
                <w:rFonts w:ascii="Arial" w:eastAsia="宋体" w:hAnsi="Arial" w:cs="Arial"/>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612226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60BDE89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335</w:t>
            </w:r>
          </w:p>
        </w:tc>
        <w:tc>
          <w:tcPr>
            <w:tcW w:w="191" w:type="dxa"/>
            <w:shd w:val="clear" w:color="auto" w:fill="CFF0FC"/>
            <w:noWrap/>
            <w:tcMar>
              <w:top w:w="15" w:type="dxa"/>
              <w:left w:w="0" w:type="dxa"/>
              <w:bottom w:w="0" w:type="dxa"/>
              <w:right w:w="15" w:type="dxa"/>
            </w:tcMar>
            <w:vAlign w:val="bottom"/>
            <w:hideMark/>
          </w:tcPr>
          <w:p w14:paraId="70918EC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1B20180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94792F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8" w:type="dxa"/>
            <w:tcBorders>
              <w:top w:val="single" w:sz="6" w:space="0" w:color="000000"/>
            </w:tcBorders>
            <w:shd w:val="clear" w:color="auto" w:fill="CFF0FC"/>
            <w:noWrap/>
            <w:tcMar>
              <w:top w:w="15" w:type="dxa"/>
              <w:left w:w="0" w:type="dxa"/>
              <w:bottom w:w="0" w:type="dxa"/>
              <w:right w:w="15" w:type="dxa"/>
            </w:tcMar>
            <w:vAlign w:val="bottom"/>
            <w:hideMark/>
          </w:tcPr>
          <w:p w14:paraId="09DD412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644</w:t>
            </w:r>
          </w:p>
        </w:tc>
        <w:tc>
          <w:tcPr>
            <w:tcW w:w="192" w:type="dxa"/>
            <w:shd w:val="clear" w:color="auto" w:fill="CFF0FC"/>
            <w:noWrap/>
            <w:tcMar>
              <w:top w:w="15" w:type="dxa"/>
              <w:left w:w="0" w:type="dxa"/>
              <w:bottom w:w="0" w:type="dxa"/>
              <w:right w:w="15" w:type="dxa"/>
            </w:tcMar>
            <w:vAlign w:val="bottom"/>
            <w:hideMark/>
          </w:tcPr>
          <w:p w14:paraId="08195CF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7367D71" w14:textId="77777777" w:rsidTr="00141675">
        <w:tc>
          <w:tcPr>
            <w:tcW w:w="10369" w:type="dxa"/>
            <w:shd w:val="clear" w:color="auto" w:fill="FFFFFF"/>
            <w:tcMar>
              <w:top w:w="15" w:type="dxa"/>
              <w:left w:w="0" w:type="dxa"/>
              <w:bottom w:w="0" w:type="dxa"/>
              <w:right w:w="15" w:type="dxa"/>
            </w:tcMar>
            <w:hideMark/>
          </w:tcPr>
          <w:p w14:paraId="7CAEFF1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Foreign currency losses, net</w:t>
            </w:r>
          </w:p>
        </w:tc>
        <w:tc>
          <w:tcPr>
            <w:tcW w:w="237" w:type="dxa"/>
            <w:shd w:val="clear" w:color="auto" w:fill="FFFFFF"/>
            <w:tcMar>
              <w:top w:w="15" w:type="dxa"/>
              <w:left w:w="0" w:type="dxa"/>
              <w:bottom w:w="0" w:type="dxa"/>
              <w:right w:w="15" w:type="dxa"/>
            </w:tcMar>
            <w:vAlign w:val="bottom"/>
            <w:hideMark/>
          </w:tcPr>
          <w:p w14:paraId="607D9C5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DE418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427DEE3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w:t>
            </w:r>
          </w:p>
        </w:tc>
        <w:tc>
          <w:tcPr>
            <w:tcW w:w="191" w:type="dxa"/>
            <w:shd w:val="clear" w:color="auto" w:fill="FFFFFF"/>
            <w:noWrap/>
            <w:tcMar>
              <w:top w:w="15" w:type="dxa"/>
              <w:left w:w="0" w:type="dxa"/>
              <w:bottom w:w="0" w:type="dxa"/>
              <w:right w:w="15" w:type="dxa"/>
            </w:tcMar>
            <w:vAlign w:val="bottom"/>
            <w:hideMark/>
          </w:tcPr>
          <w:p w14:paraId="7427CFF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37" w:type="dxa"/>
            <w:shd w:val="clear" w:color="auto" w:fill="FFFFFF"/>
            <w:tcMar>
              <w:top w:w="15" w:type="dxa"/>
              <w:left w:w="0" w:type="dxa"/>
              <w:bottom w:w="0" w:type="dxa"/>
              <w:right w:w="15" w:type="dxa"/>
            </w:tcMar>
            <w:vAlign w:val="bottom"/>
            <w:hideMark/>
          </w:tcPr>
          <w:p w14:paraId="36618AA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711C9D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60782EE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w:t>
            </w:r>
          </w:p>
        </w:tc>
        <w:tc>
          <w:tcPr>
            <w:tcW w:w="191" w:type="dxa"/>
            <w:shd w:val="clear" w:color="auto" w:fill="FFFFFF"/>
            <w:noWrap/>
            <w:tcMar>
              <w:top w:w="15" w:type="dxa"/>
              <w:left w:w="0" w:type="dxa"/>
              <w:bottom w:w="0" w:type="dxa"/>
              <w:right w:w="15" w:type="dxa"/>
            </w:tcMar>
            <w:vAlign w:val="bottom"/>
            <w:hideMark/>
          </w:tcPr>
          <w:p w14:paraId="7DABC41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37" w:type="dxa"/>
            <w:shd w:val="clear" w:color="auto" w:fill="FFFFFF"/>
            <w:tcMar>
              <w:top w:w="15" w:type="dxa"/>
              <w:left w:w="0" w:type="dxa"/>
              <w:bottom w:w="0" w:type="dxa"/>
              <w:right w:w="15" w:type="dxa"/>
            </w:tcMar>
            <w:vAlign w:val="bottom"/>
            <w:hideMark/>
          </w:tcPr>
          <w:p w14:paraId="418F3380" w14:textId="77777777" w:rsidR="00141675" w:rsidRPr="00141675" w:rsidRDefault="00141675" w:rsidP="00141675">
            <w:pPr>
              <w:widowControl/>
              <w:jc w:val="left"/>
              <w:rPr>
                <w:rFonts w:ascii="Arial" w:eastAsia="宋体" w:hAnsi="Arial" w:cs="Arial"/>
                <w:color w:val="000000"/>
                <w:kern w:val="0"/>
                <w:sz w:val="20"/>
                <w:szCs w:val="20"/>
              </w:rPr>
            </w:pPr>
            <w:r w:rsidRPr="00141675">
              <w:rPr>
                <w:rFonts w:ascii="Arial" w:eastAsia="宋体" w:hAnsi="Arial" w:cs="Arial"/>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DB77A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72DDF27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w:t>
            </w:r>
          </w:p>
        </w:tc>
        <w:tc>
          <w:tcPr>
            <w:tcW w:w="191" w:type="dxa"/>
            <w:shd w:val="clear" w:color="auto" w:fill="FFFFFF"/>
            <w:noWrap/>
            <w:tcMar>
              <w:top w:w="15" w:type="dxa"/>
              <w:left w:w="0" w:type="dxa"/>
              <w:bottom w:w="0" w:type="dxa"/>
              <w:right w:w="15" w:type="dxa"/>
            </w:tcMar>
            <w:vAlign w:val="bottom"/>
            <w:hideMark/>
          </w:tcPr>
          <w:p w14:paraId="47AC81C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37" w:type="dxa"/>
            <w:shd w:val="clear" w:color="auto" w:fill="FFFFFF"/>
            <w:tcMar>
              <w:top w:w="15" w:type="dxa"/>
              <w:left w:w="0" w:type="dxa"/>
              <w:bottom w:w="0" w:type="dxa"/>
              <w:right w:w="15" w:type="dxa"/>
            </w:tcMar>
            <w:vAlign w:val="bottom"/>
            <w:hideMark/>
          </w:tcPr>
          <w:p w14:paraId="3FFC47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C53A64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shd w:val="clear" w:color="auto" w:fill="FFFFFF"/>
            <w:noWrap/>
            <w:tcMar>
              <w:top w:w="15" w:type="dxa"/>
              <w:left w:w="0" w:type="dxa"/>
              <w:bottom w:w="0" w:type="dxa"/>
              <w:right w:w="15" w:type="dxa"/>
            </w:tcMar>
            <w:vAlign w:val="bottom"/>
            <w:hideMark/>
          </w:tcPr>
          <w:p w14:paraId="401EC8A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w:t>
            </w:r>
          </w:p>
        </w:tc>
        <w:tc>
          <w:tcPr>
            <w:tcW w:w="192" w:type="dxa"/>
            <w:shd w:val="clear" w:color="auto" w:fill="FFFFFF"/>
            <w:noWrap/>
            <w:tcMar>
              <w:top w:w="15" w:type="dxa"/>
              <w:left w:w="0" w:type="dxa"/>
              <w:bottom w:w="0" w:type="dxa"/>
              <w:right w:w="15" w:type="dxa"/>
            </w:tcMar>
            <w:vAlign w:val="bottom"/>
            <w:hideMark/>
          </w:tcPr>
          <w:p w14:paraId="7803DCB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3B90DA08" w14:textId="77777777" w:rsidTr="00141675">
        <w:tc>
          <w:tcPr>
            <w:tcW w:w="10369" w:type="dxa"/>
            <w:shd w:val="clear" w:color="auto" w:fill="CFF0FC"/>
            <w:tcMar>
              <w:top w:w="15" w:type="dxa"/>
              <w:left w:w="0" w:type="dxa"/>
              <w:bottom w:w="0" w:type="dxa"/>
              <w:right w:w="15" w:type="dxa"/>
            </w:tcMar>
            <w:hideMark/>
          </w:tcPr>
          <w:p w14:paraId="10773D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Noncontrolling interests in income</w:t>
            </w:r>
          </w:p>
        </w:tc>
        <w:tc>
          <w:tcPr>
            <w:tcW w:w="237" w:type="dxa"/>
            <w:shd w:val="clear" w:color="auto" w:fill="CFF0FC"/>
            <w:tcMar>
              <w:top w:w="15" w:type="dxa"/>
              <w:left w:w="0" w:type="dxa"/>
              <w:bottom w:w="0" w:type="dxa"/>
              <w:right w:w="15" w:type="dxa"/>
            </w:tcMar>
            <w:vAlign w:val="bottom"/>
            <w:hideMark/>
          </w:tcPr>
          <w:p w14:paraId="4987F51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FD1679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shd w:val="clear" w:color="auto" w:fill="CFF0FC"/>
            <w:noWrap/>
            <w:tcMar>
              <w:top w:w="15" w:type="dxa"/>
              <w:left w:w="0" w:type="dxa"/>
              <w:bottom w:w="0" w:type="dxa"/>
              <w:right w:w="15" w:type="dxa"/>
            </w:tcMar>
            <w:vAlign w:val="bottom"/>
            <w:hideMark/>
          </w:tcPr>
          <w:p w14:paraId="1F80D51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(46</w:t>
            </w:r>
          </w:p>
        </w:tc>
        <w:tc>
          <w:tcPr>
            <w:tcW w:w="191" w:type="dxa"/>
            <w:shd w:val="clear" w:color="auto" w:fill="CFF0FC"/>
            <w:noWrap/>
            <w:tcMar>
              <w:top w:w="15" w:type="dxa"/>
              <w:left w:w="0" w:type="dxa"/>
              <w:bottom w:w="0" w:type="dxa"/>
              <w:right w:w="15" w:type="dxa"/>
            </w:tcMar>
            <w:vAlign w:val="bottom"/>
            <w:hideMark/>
          </w:tcPr>
          <w:p w14:paraId="2C7BB24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37" w:type="dxa"/>
            <w:shd w:val="clear" w:color="auto" w:fill="CFF0FC"/>
            <w:tcMar>
              <w:top w:w="15" w:type="dxa"/>
              <w:left w:w="0" w:type="dxa"/>
              <w:bottom w:w="0" w:type="dxa"/>
              <w:right w:w="15" w:type="dxa"/>
            </w:tcMar>
            <w:vAlign w:val="bottom"/>
            <w:hideMark/>
          </w:tcPr>
          <w:p w14:paraId="2073A00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0ECF93B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shd w:val="clear" w:color="auto" w:fill="CFF0FC"/>
            <w:noWrap/>
            <w:tcMar>
              <w:top w:w="15" w:type="dxa"/>
              <w:left w:w="0" w:type="dxa"/>
              <w:bottom w:w="0" w:type="dxa"/>
              <w:right w:w="15" w:type="dxa"/>
            </w:tcMar>
            <w:vAlign w:val="bottom"/>
            <w:hideMark/>
          </w:tcPr>
          <w:p w14:paraId="4C61FB5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1" w:type="dxa"/>
            <w:shd w:val="clear" w:color="auto" w:fill="CFF0FC"/>
            <w:noWrap/>
            <w:tcMar>
              <w:top w:w="15" w:type="dxa"/>
              <w:left w:w="0" w:type="dxa"/>
              <w:bottom w:w="0" w:type="dxa"/>
              <w:right w:w="15" w:type="dxa"/>
            </w:tcMar>
            <w:vAlign w:val="bottom"/>
            <w:hideMark/>
          </w:tcPr>
          <w:p w14:paraId="65F5079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37" w:type="dxa"/>
            <w:shd w:val="clear" w:color="auto" w:fill="CFF0FC"/>
            <w:tcMar>
              <w:top w:w="15" w:type="dxa"/>
              <w:left w:w="0" w:type="dxa"/>
              <w:bottom w:w="0" w:type="dxa"/>
              <w:right w:w="15" w:type="dxa"/>
            </w:tcMar>
            <w:vAlign w:val="bottom"/>
            <w:hideMark/>
          </w:tcPr>
          <w:p w14:paraId="0431C9F0" w14:textId="77777777" w:rsidR="00141675" w:rsidRPr="00141675" w:rsidRDefault="00141675" w:rsidP="00141675">
            <w:pPr>
              <w:widowControl/>
              <w:jc w:val="left"/>
              <w:rPr>
                <w:rFonts w:ascii="Arial" w:eastAsia="宋体" w:hAnsi="Arial" w:cs="Arial"/>
                <w:color w:val="000000"/>
                <w:kern w:val="0"/>
                <w:sz w:val="20"/>
                <w:szCs w:val="20"/>
              </w:rPr>
            </w:pPr>
            <w:r w:rsidRPr="00141675">
              <w:rPr>
                <w:rFonts w:ascii="Arial" w:eastAsia="宋体" w:hAnsi="Arial" w:cs="Arial"/>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51C9C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shd w:val="clear" w:color="auto" w:fill="CFF0FC"/>
            <w:noWrap/>
            <w:tcMar>
              <w:top w:w="15" w:type="dxa"/>
              <w:left w:w="0" w:type="dxa"/>
              <w:bottom w:w="0" w:type="dxa"/>
              <w:right w:w="15" w:type="dxa"/>
            </w:tcMar>
            <w:vAlign w:val="bottom"/>
            <w:hideMark/>
          </w:tcPr>
          <w:p w14:paraId="35B1BF4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(87</w:t>
            </w:r>
          </w:p>
        </w:tc>
        <w:tc>
          <w:tcPr>
            <w:tcW w:w="191" w:type="dxa"/>
            <w:shd w:val="clear" w:color="auto" w:fill="CFF0FC"/>
            <w:noWrap/>
            <w:tcMar>
              <w:top w:w="15" w:type="dxa"/>
              <w:left w:w="0" w:type="dxa"/>
              <w:bottom w:w="0" w:type="dxa"/>
              <w:right w:w="15" w:type="dxa"/>
            </w:tcMar>
            <w:vAlign w:val="bottom"/>
            <w:hideMark/>
          </w:tcPr>
          <w:p w14:paraId="7F03EB1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37" w:type="dxa"/>
            <w:shd w:val="clear" w:color="auto" w:fill="CFF0FC"/>
            <w:tcMar>
              <w:top w:w="15" w:type="dxa"/>
              <w:left w:w="0" w:type="dxa"/>
              <w:bottom w:w="0" w:type="dxa"/>
              <w:right w:w="15" w:type="dxa"/>
            </w:tcMar>
            <w:vAlign w:val="bottom"/>
            <w:hideMark/>
          </w:tcPr>
          <w:p w14:paraId="545FE66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E176EE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shd w:val="clear" w:color="auto" w:fill="CFF0FC"/>
            <w:noWrap/>
            <w:tcMar>
              <w:top w:w="15" w:type="dxa"/>
              <w:left w:w="0" w:type="dxa"/>
              <w:bottom w:w="0" w:type="dxa"/>
              <w:right w:w="15" w:type="dxa"/>
            </w:tcMar>
            <w:vAlign w:val="bottom"/>
            <w:hideMark/>
          </w:tcPr>
          <w:p w14:paraId="6406CAE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(71</w:t>
            </w:r>
          </w:p>
        </w:tc>
        <w:tc>
          <w:tcPr>
            <w:tcW w:w="192" w:type="dxa"/>
            <w:shd w:val="clear" w:color="auto" w:fill="CFF0FC"/>
            <w:noWrap/>
            <w:tcMar>
              <w:top w:w="15" w:type="dxa"/>
              <w:left w:w="0" w:type="dxa"/>
              <w:bottom w:w="0" w:type="dxa"/>
              <w:right w:w="15" w:type="dxa"/>
            </w:tcMar>
            <w:vAlign w:val="bottom"/>
            <w:hideMark/>
          </w:tcPr>
          <w:p w14:paraId="73A27C8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192E3C2C" w14:textId="77777777" w:rsidTr="00141675">
        <w:tc>
          <w:tcPr>
            <w:tcW w:w="10369" w:type="dxa"/>
            <w:shd w:val="clear" w:color="auto" w:fill="FFFFFF"/>
            <w:tcMar>
              <w:top w:w="15" w:type="dxa"/>
              <w:left w:w="0" w:type="dxa"/>
              <w:bottom w:w="0" w:type="dxa"/>
              <w:right w:w="15" w:type="dxa"/>
            </w:tcMar>
            <w:hideMark/>
          </w:tcPr>
          <w:p w14:paraId="3F0930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Other income (loss), net</w:t>
            </w:r>
          </w:p>
        </w:tc>
        <w:tc>
          <w:tcPr>
            <w:tcW w:w="237" w:type="dxa"/>
            <w:shd w:val="clear" w:color="auto" w:fill="FFFFFF"/>
            <w:tcMar>
              <w:top w:w="15" w:type="dxa"/>
              <w:left w:w="0" w:type="dxa"/>
              <w:bottom w:w="0" w:type="dxa"/>
              <w:right w:w="15" w:type="dxa"/>
            </w:tcMar>
            <w:vAlign w:val="bottom"/>
            <w:hideMark/>
          </w:tcPr>
          <w:p w14:paraId="5E910FE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E1B68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tcBorders>
              <w:bottom w:val="single" w:sz="6" w:space="0" w:color="000000"/>
            </w:tcBorders>
            <w:shd w:val="clear" w:color="auto" w:fill="FFFFFF"/>
            <w:noWrap/>
            <w:tcMar>
              <w:top w:w="15" w:type="dxa"/>
              <w:left w:w="0" w:type="dxa"/>
              <w:bottom w:w="0" w:type="dxa"/>
              <w:right w:w="15" w:type="dxa"/>
            </w:tcMar>
            <w:vAlign w:val="bottom"/>
            <w:hideMark/>
          </w:tcPr>
          <w:p w14:paraId="7C91866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w:t>
            </w:r>
          </w:p>
        </w:tc>
        <w:tc>
          <w:tcPr>
            <w:tcW w:w="191" w:type="dxa"/>
            <w:shd w:val="clear" w:color="auto" w:fill="FFFFFF"/>
            <w:noWrap/>
            <w:tcMar>
              <w:top w:w="15" w:type="dxa"/>
              <w:left w:w="0" w:type="dxa"/>
              <w:bottom w:w="0" w:type="dxa"/>
              <w:right w:w="15" w:type="dxa"/>
            </w:tcMar>
            <w:vAlign w:val="bottom"/>
            <w:hideMark/>
          </w:tcPr>
          <w:p w14:paraId="75DDDAC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FFFFFF"/>
            <w:tcMar>
              <w:top w:w="15" w:type="dxa"/>
              <w:left w:w="0" w:type="dxa"/>
              <w:bottom w:w="0" w:type="dxa"/>
              <w:right w:w="15" w:type="dxa"/>
            </w:tcMar>
            <w:vAlign w:val="bottom"/>
            <w:hideMark/>
          </w:tcPr>
          <w:p w14:paraId="5B1F21D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4631B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tcBorders>
              <w:bottom w:val="single" w:sz="6" w:space="0" w:color="000000"/>
            </w:tcBorders>
            <w:shd w:val="clear" w:color="auto" w:fill="FFFFFF"/>
            <w:noWrap/>
            <w:tcMar>
              <w:top w:w="15" w:type="dxa"/>
              <w:left w:w="0" w:type="dxa"/>
              <w:bottom w:w="0" w:type="dxa"/>
              <w:right w:w="15" w:type="dxa"/>
            </w:tcMar>
            <w:vAlign w:val="bottom"/>
            <w:hideMark/>
          </w:tcPr>
          <w:p w14:paraId="7916DC9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w:t>
            </w:r>
          </w:p>
        </w:tc>
        <w:tc>
          <w:tcPr>
            <w:tcW w:w="191" w:type="dxa"/>
            <w:shd w:val="clear" w:color="auto" w:fill="FFFFFF"/>
            <w:noWrap/>
            <w:tcMar>
              <w:top w:w="15" w:type="dxa"/>
              <w:left w:w="0" w:type="dxa"/>
              <w:bottom w:w="0" w:type="dxa"/>
              <w:right w:w="15" w:type="dxa"/>
            </w:tcMar>
            <w:vAlign w:val="bottom"/>
            <w:hideMark/>
          </w:tcPr>
          <w:p w14:paraId="7D19C37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37" w:type="dxa"/>
            <w:shd w:val="clear" w:color="auto" w:fill="FFFFFF"/>
            <w:tcMar>
              <w:top w:w="15" w:type="dxa"/>
              <w:left w:w="0" w:type="dxa"/>
              <w:bottom w:w="0" w:type="dxa"/>
              <w:right w:w="15" w:type="dxa"/>
            </w:tcMar>
            <w:vAlign w:val="bottom"/>
            <w:hideMark/>
          </w:tcPr>
          <w:p w14:paraId="606C2C4E" w14:textId="77777777" w:rsidR="00141675" w:rsidRPr="00141675" w:rsidRDefault="00141675" w:rsidP="00141675">
            <w:pPr>
              <w:widowControl/>
              <w:jc w:val="left"/>
              <w:rPr>
                <w:rFonts w:ascii="Arial" w:eastAsia="宋体" w:hAnsi="Arial" w:cs="Arial"/>
                <w:color w:val="000000"/>
                <w:kern w:val="0"/>
                <w:sz w:val="20"/>
                <w:szCs w:val="20"/>
              </w:rPr>
            </w:pPr>
            <w:r w:rsidRPr="00141675">
              <w:rPr>
                <w:rFonts w:ascii="Arial" w:eastAsia="宋体" w:hAnsi="Arial" w:cs="Arial"/>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0EC8D3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tcBorders>
              <w:bottom w:val="single" w:sz="6" w:space="0" w:color="000000"/>
            </w:tcBorders>
            <w:shd w:val="clear" w:color="auto" w:fill="FFFFFF"/>
            <w:noWrap/>
            <w:tcMar>
              <w:top w:w="15" w:type="dxa"/>
              <w:left w:w="0" w:type="dxa"/>
              <w:bottom w:w="0" w:type="dxa"/>
              <w:right w:w="15" w:type="dxa"/>
            </w:tcMar>
            <w:vAlign w:val="bottom"/>
            <w:hideMark/>
          </w:tcPr>
          <w:p w14:paraId="7DF271D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w:t>
            </w:r>
          </w:p>
        </w:tc>
        <w:tc>
          <w:tcPr>
            <w:tcW w:w="191" w:type="dxa"/>
            <w:shd w:val="clear" w:color="auto" w:fill="FFFFFF"/>
            <w:noWrap/>
            <w:tcMar>
              <w:top w:w="15" w:type="dxa"/>
              <w:left w:w="0" w:type="dxa"/>
              <w:bottom w:w="0" w:type="dxa"/>
              <w:right w:w="15" w:type="dxa"/>
            </w:tcMar>
            <w:vAlign w:val="bottom"/>
            <w:hideMark/>
          </w:tcPr>
          <w:p w14:paraId="590700E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FFFFFF"/>
            <w:tcMar>
              <w:top w:w="15" w:type="dxa"/>
              <w:left w:w="0" w:type="dxa"/>
              <w:bottom w:w="0" w:type="dxa"/>
              <w:right w:w="15" w:type="dxa"/>
            </w:tcMar>
            <w:vAlign w:val="bottom"/>
            <w:hideMark/>
          </w:tcPr>
          <w:p w14:paraId="7CBB759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E9BE8F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878" w:type="dxa"/>
            <w:tcBorders>
              <w:bottom w:val="single" w:sz="6" w:space="0" w:color="000000"/>
            </w:tcBorders>
            <w:shd w:val="clear" w:color="auto" w:fill="FFFFFF"/>
            <w:noWrap/>
            <w:tcMar>
              <w:top w:w="15" w:type="dxa"/>
              <w:left w:w="0" w:type="dxa"/>
              <w:bottom w:w="0" w:type="dxa"/>
              <w:right w:w="15" w:type="dxa"/>
            </w:tcMar>
            <w:vAlign w:val="bottom"/>
            <w:hideMark/>
          </w:tcPr>
          <w:p w14:paraId="7E4633E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(34</w:t>
            </w:r>
          </w:p>
        </w:tc>
        <w:tc>
          <w:tcPr>
            <w:tcW w:w="192" w:type="dxa"/>
            <w:shd w:val="clear" w:color="auto" w:fill="FFFFFF"/>
            <w:noWrap/>
            <w:tcMar>
              <w:top w:w="15" w:type="dxa"/>
              <w:left w:w="0" w:type="dxa"/>
              <w:bottom w:w="0" w:type="dxa"/>
              <w:right w:w="15" w:type="dxa"/>
            </w:tcMar>
            <w:vAlign w:val="bottom"/>
            <w:hideMark/>
          </w:tcPr>
          <w:p w14:paraId="6642511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70C46112" w14:textId="77777777" w:rsidTr="00141675">
        <w:tc>
          <w:tcPr>
            <w:tcW w:w="10369" w:type="dxa"/>
            <w:shd w:val="clear" w:color="auto" w:fill="CFF0FC"/>
            <w:tcMar>
              <w:top w:w="15" w:type="dxa"/>
              <w:left w:w="0" w:type="dxa"/>
              <w:bottom w:w="0" w:type="dxa"/>
              <w:right w:w="15" w:type="dxa"/>
            </w:tcMar>
            <w:hideMark/>
          </w:tcPr>
          <w:p w14:paraId="1DC722C7"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non-operating income, net</w:t>
            </w:r>
          </w:p>
        </w:tc>
        <w:tc>
          <w:tcPr>
            <w:tcW w:w="237" w:type="dxa"/>
            <w:shd w:val="clear" w:color="auto" w:fill="CFF0FC"/>
            <w:tcMar>
              <w:top w:w="15" w:type="dxa"/>
              <w:left w:w="0" w:type="dxa"/>
              <w:bottom w:w="0" w:type="dxa"/>
              <w:right w:w="15" w:type="dxa"/>
            </w:tcMar>
            <w:vAlign w:val="bottom"/>
            <w:hideMark/>
          </w:tcPr>
          <w:p w14:paraId="7B8DE80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E0A8C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AA2F8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92</w:t>
            </w:r>
          </w:p>
        </w:tc>
        <w:tc>
          <w:tcPr>
            <w:tcW w:w="191" w:type="dxa"/>
            <w:shd w:val="clear" w:color="auto" w:fill="CFF0FC"/>
            <w:noWrap/>
            <w:tcMar>
              <w:top w:w="15" w:type="dxa"/>
              <w:left w:w="0" w:type="dxa"/>
              <w:bottom w:w="0" w:type="dxa"/>
              <w:right w:w="15" w:type="dxa"/>
            </w:tcMar>
            <w:vAlign w:val="bottom"/>
            <w:hideMark/>
          </w:tcPr>
          <w:p w14:paraId="2CEDF8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406CCC1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DF8A1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C1837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192</w:t>
            </w:r>
          </w:p>
        </w:tc>
        <w:tc>
          <w:tcPr>
            <w:tcW w:w="191" w:type="dxa"/>
            <w:shd w:val="clear" w:color="auto" w:fill="CFF0FC"/>
            <w:noWrap/>
            <w:tcMar>
              <w:top w:w="15" w:type="dxa"/>
              <w:left w:w="0" w:type="dxa"/>
              <w:bottom w:w="0" w:type="dxa"/>
              <w:right w:w="15" w:type="dxa"/>
            </w:tcMar>
            <w:vAlign w:val="bottom"/>
            <w:hideMark/>
          </w:tcPr>
          <w:p w14:paraId="74DDA11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757A7514" w14:textId="77777777" w:rsidR="00141675" w:rsidRPr="00141675" w:rsidRDefault="00141675" w:rsidP="00141675">
            <w:pPr>
              <w:widowControl/>
              <w:jc w:val="left"/>
              <w:rPr>
                <w:rFonts w:ascii="Arial" w:eastAsia="宋体" w:hAnsi="Arial" w:cs="Arial"/>
                <w:color w:val="000000"/>
                <w:kern w:val="0"/>
                <w:sz w:val="20"/>
                <w:szCs w:val="20"/>
              </w:rPr>
            </w:pPr>
            <w:r w:rsidRPr="00141675">
              <w:rPr>
                <w:rFonts w:ascii="Arial" w:eastAsia="宋体" w:hAnsi="Arial" w:cs="Arial"/>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5EA6C3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47304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191</w:t>
            </w:r>
          </w:p>
        </w:tc>
        <w:tc>
          <w:tcPr>
            <w:tcW w:w="191" w:type="dxa"/>
            <w:shd w:val="clear" w:color="auto" w:fill="CFF0FC"/>
            <w:noWrap/>
            <w:tcMar>
              <w:top w:w="15" w:type="dxa"/>
              <w:left w:w="0" w:type="dxa"/>
              <w:bottom w:w="0" w:type="dxa"/>
              <w:right w:w="15" w:type="dxa"/>
            </w:tcMar>
            <w:vAlign w:val="bottom"/>
            <w:hideMark/>
          </w:tcPr>
          <w:p w14:paraId="6F13348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37" w:type="dxa"/>
            <w:shd w:val="clear" w:color="auto" w:fill="CFF0FC"/>
            <w:tcMar>
              <w:top w:w="15" w:type="dxa"/>
              <w:left w:w="0" w:type="dxa"/>
              <w:bottom w:w="0" w:type="dxa"/>
              <w:right w:w="15" w:type="dxa"/>
            </w:tcMar>
            <w:vAlign w:val="bottom"/>
            <w:hideMark/>
          </w:tcPr>
          <w:p w14:paraId="4ED430F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D670D2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878"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6F9AE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484</w:t>
            </w:r>
          </w:p>
        </w:tc>
        <w:tc>
          <w:tcPr>
            <w:tcW w:w="192" w:type="dxa"/>
            <w:shd w:val="clear" w:color="auto" w:fill="CFF0FC"/>
            <w:noWrap/>
            <w:tcMar>
              <w:top w:w="15" w:type="dxa"/>
              <w:left w:w="0" w:type="dxa"/>
              <w:bottom w:w="0" w:type="dxa"/>
              <w:right w:w="15" w:type="dxa"/>
            </w:tcMar>
            <w:vAlign w:val="bottom"/>
            <w:hideMark/>
          </w:tcPr>
          <w:p w14:paraId="1597848A"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38CCDF8F" w14:textId="77777777" w:rsidR="00141675" w:rsidRPr="00141675" w:rsidRDefault="00141675" w:rsidP="00141675">
      <w:pPr>
        <w:widowControl/>
        <w:rPr>
          <w:rFonts w:ascii="宋体" w:eastAsia="宋体" w:hAnsi="宋体" w:cs="宋体"/>
          <w:kern w:val="0"/>
          <w:sz w:val="2"/>
          <w:szCs w:val="2"/>
        </w:rPr>
      </w:pPr>
      <w:r w:rsidRPr="00141675">
        <w:rPr>
          <w:rFonts w:ascii="宋体" w:eastAsia="宋体" w:hAnsi="宋体" w:cs="宋体"/>
          <w:kern w:val="0"/>
          <w:sz w:val="2"/>
          <w:szCs w:val="2"/>
        </w:rPr>
        <w:t> </w:t>
      </w:r>
    </w:p>
    <w:p w14:paraId="26A939B5"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w:t>
      </w:r>
    </w:p>
    <w:p w14:paraId="4517968A"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62885D0F">
          <v:rect id="_x0000_i1036" style="width:0;height:1.5pt" o:hralign="center" o:hrstd="t" o:hrnoshade="t" o:hr="t" fillcolor="black" stroked="f"/>
        </w:pict>
      </w:r>
    </w:p>
    <w:p w14:paraId="34F71868" w14:textId="77777777" w:rsidR="00141675" w:rsidRPr="00141675" w:rsidRDefault="00141675" w:rsidP="00141675">
      <w:pPr>
        <w:widowControl/>
        <w:jc w:val="left"/>
        <w:rPr>
          <w:rFonts w:ascii="Calibri" w:eastAsia="宋体" w:hAnsi="Calibri" w:cs="Calibri"/>
          <w:b/>
          <w:bCs/>
          <w:color w:val="000000"/>
          <w:kern w:val="0"/>
          <w:sz w:val="20"/>
          <w:szCs w:val="20"/>
        </w:rPr>
      </w:pPr>
      <w:hyperlink r:id="rId33" w:anchor="TABLE_CONTENTS" w:history="1">
        <w:r w:rsidRPr="00141675">
          <w:rPr>
            <w:rFonts w:ascii="Calibri" w:eastAsia="宋体" w:hAnsi="Calibri" w:cs="Calibri"/>
            <w:b/>
            <w:bCs/>
            <w:color w:val="0000FF"/>
            <w:kern w:val="0"/>
            <w:sz w:val="20"/>
            <w:szCs w:val="20"/>
            <w:u w:val="single"/>
          </w:rPr>
          <w:t>Table of Contents</w:t>
        </w:r>
      </w:hyperlink>
    </w:p>
    <w:p w14:paraId="06701352"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14A1D37C"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1F3AF359"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339652C2"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28F1A383"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591A938F"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6B9BACEA" w14:textId="77777777" w:rsidR="00141675" w:rsidRPr="00141675" w:rsidRDefault="00141675" w:rsidP="00141675">
      <w:pPr>
        <w:widowControl/>
        <w:spacing w:before="240"/>
        <w:jc w:val="left"/>
        <w:rPr>
          <w:rFonts w:ascii="Calibri" w:eastAsia="宋体" w:hAnsi="Calibri" w:cs="Calibri"/>
          <w:b/>
          <w:bCs/>
          <w:kern w:val="0"/>
          <w:sz w:val="20"/>
          <w:szCs w:val="20"/>
        </w:rPr>
      </w:pPr>
      <w:r w:rsidRPr="00141675">
        <w:rPr>
          <w:rFonts w:ascii="Calibri" w:eastAsia="宋体" w:hAnsi="Calibri" w:cs="Calibri"/>
          <w:b/>
          <w:bCs/>
          <w:kern w:val="0"/>
          <w:sz w:val="20"/>
          <w:szCs w:val="20"/>
        </w:rPr>
        <w:t>Recent Accounting Pronouncements</w:t>
      </w:r>
    </w:p>
    <w:p w14:paraId="4E45704A" w14:textId="77777777" w:rsidR="00141675" w:rsidRPr="00141675" w:rsidRDefault="00141675" w:rsidP="00141675">
      <w:pPr>
        <w:widowControl/>
        <w:spacing w:before="120"/>
        <w:rPr>
          <w:rFonts w:ascii="Calibri" w:eastAsia="宋体" w:hAnsi="Calibri" w:cs="Calibri"/>
          <w:b/>
          <w:bCs/>
          <w:i/>
          <w:iCs/>
          <w:kern w:val="0"/>
          <w:sz w:val="20"/>
          <w:szCs w:val="20"/>
        </w:rPr>
      </w:pPr>
      <w:r w:rsidRPr="00141675">
        <w:rPr>
          <w:rFonts w:ascii="Calibri" w:eastAsia="宋体" w:hAnsi="Calibri" w:cs="Calibri"/>
          <w:b/>
          <w:bCs/>
          <w:i/>
          <w:iCs/>
          <w:kern w:val="0"/>
          <w:sz w:val="20"/>
          <w:szCs w:val="20"/>
        </w:rPr>
        <w:t>Financial Instruments:</w:t>
      </w:r>
      <w:r w:rsidRPr="00141675">
        <w:rPr>
          <w:rFonts w:ascii="Calibri" w:eastAsia="宋体" w:hAnsi="Calibri" w:cs="Calibri"/>
          <w:kern w:val="0"/>
          <w:sz w:val="20"/>
          <w:szCs w:val="20"/>
        </w:rPr>
        <w:t>  In June 2016, the FASB issued ASU 2016-13, </w:t>
      </w:r>
      <w:r w:rsidRPr="00141675">
        <w:rPr>
          <w:rFonts w:ascii="Calibri" w:eastAsia="宋体" w:hAnsi="Calibri" w:cs="Calibri"/>
          <w:i/>
          <w:iCs/>
          <w:kern w:val="0"/>
          <w:sz w:val="20"/>
          <w:szCs w:val="20"/>
        </w:rPr>
        <w:t>Financial Instruments—Credit Losses (Topic 326): Measurement of Credit Losses on Financial Instruments</w:t>
      </w:r>
      <w:r w:rsidRPr="00141675">
        <w:rPr>
          <w:rFonts w:ascii="Calibri" w:eastAsia="宋体" w:hAnsi="Calibri" w:cs="Calibri"/>
          <w:kern w:val="0"/>
          <w:sz w:val="20"/>
          <w:szCs w:val="20"/>
        </w:rPr>
        <w:t> (ASU 2016-13) </w:t>
      </w:r>
      <w:r w:rsidRPr="00141675">
        <w:rPr>
          <w:rFonts w:ascii="Calibri" w:eastAsia="宋体" w:hAnsi="Calibri" w:cs="Calibri"/>
          <w:color w:val="000000"/>
          <w:kern w:val="0"/>
          <w:sz w:val="20"/>
          <w:szCs w:val="20"/>
          <w:shd w:val="clear" w:color="auto" w:fill="FFFFFF"/>
        </w:rPr>
        <w:t xml:space="preserve">and also issued subsequent amendments to the initial guidance (collectively, Topic 326). Topic 326 requires measurement and recognition of expected credit losses for financial assets held. Topic 326 is effective </w:t>
      </w:r>
      <w:r w:rsidRPr="00141675">
        <w:rPr>
          <w:rFonts w:ascii="Calibri" w:eastAsia="宋体" w:hAnsi="Calibri" w:cs="Calibri"/>
          <w:color w:val="000000"/>
          <w:kern w:val="0"/>
          <w:sz w:val="20"/>
          <w:szCs w:val="20"/>
          <w:shd w:val="clear" w:color="auto" w:fill="FFFFFF"/>
        </w:rPr>
        <w:lastRenderedPageBreak/>
        <w:t>for us in our first quarter of fiscal 2021, and earlier adoption is permitted beginning in the first quarter of fiscal 2020. We are currently evaluating the impact of our pending adoption of Topic 326 on our consolidated financial statements.</w:t>
      </w:r>
    </w:p>
    <w:p w14:paraId="58F19448"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5974E58E" w14:textId="77777777" w:rsidTr="00141675">
        <w:tc>
          <w:tcPr>
            <w:tcW w:w="1080" w:type="dxa"/>
            <w:noWrap/>
            <w:hideMark/>
          </w:tcPr>
          <w:p w14:paraId="46D28059" w14:textId="77777777" w:rsidR="00141675" w:rsidRPr="00141675" w:rsidRDefault="00141675" w:rsidP="00141675">
            <w:pPr>
              <w:widowControl/>
              <w:spacing w:before="120"/>
              <w:rPr>
                <w:rFonts w:ascii="Calibri" w:eastAsia="宋体" w:hAnsi="Calibri" w:cs="Calibri" w:hint="eastAsia"/>
                <w:b/>
                <w:bCs/>
                <w:kern w:val="0"/>
                <w:sz w:val="20"/>
                <w:szCs w:val="20"/>
              </w:rPr>
            </w:pPr>
            <w:r w:rsidRPr="00141675">
              <w:rPr>
                <w:rFonts w:ascii="Calibri" w:eastAsia="宋体" w:hAnsi="Calibri" w:cs="Calibri"/>
                <w:b/>
                <w:bCs/>
                <w:kern w:val="0"/>
                <w:sz w:val="20"/>
                <w:szCs w:val="20"/>
              </w:rPr>
              <w:t>2.</w:t>
            </w:r>
          </w:p>
        </w:tc>
        <w:tc>
          <w:tcPr>
            <w:tcW w:w="0" w:type="auto"/>
            <w:hideMark/>
          </w:tcPr>
          <w:p w14:paraId="1492A948"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ACQUISITIONS</w:t>
            </w:r>
          </w:p>
        </w:tc>
      </w:tr>
    </w:tbl>
    <w:p w14:paraId="74974D7A" w14:textId="77777777" w:rsidR="00141675" w:rsidRPr="00141675" w:rsidRDefault="00141675" w:rsidP="00141675">
      <w:pPr>
        <w:widowControl/>
        <w:spacing w:before="120"/>
        <w:jc w:val="left"/>
        <w:rPr>
          <w:rFonts w:ascii="Calibri" w:eastAsia="宋体" w:hAnsi="Calibri" w:cs="Calibri"/>
          <w:b/>
          <w:bCs/>
          <w:kern w:val="0"/>
          <w:sz w:val="20"/>
          <w:szCs w:val="20"/>
        </w:rPr>
      </w:pPr>
      <w:r w:rsidRPr="00141675">
        <w:rPr>
          <w:rFonts w:ascii="Calibri" w:eastAsia="宋体" w:hAnsi="Calibri" w:cs="Calibri"/>
          <w:b/>
          <w:bCs/>
          <w:kern w:val="0"/>
          <w:sz w:val="20"/>
          <w:szCs w:val="20"/>
        </w:rPr>
        <w:t>Fiscal 2020 and 2019 Acquisitions</w:t>
      </w:r>
    </w:p>
    <w:p w14:paraId="6B8439CD"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During the first half of fiscal 2020 and full year of fiscal 2019, we acquired certain companies and purchased certain technology and development assets primarily to expand our products and services offerings. These acquisitions were not significant individually or in the aggregate to our condensed consolidated financial statements.</w:t>
      </w:r>
    </w:p>
    <w:p w14:paraId="4AAA70AC" w14:textId="77777777" w:rsidR="00141675" w:rsidRPr="00141675" w:rsidRDefault="00141675" w:rsidP="00141675">
      <w:pPr>
        <w:widowControl/>
        <w:jc w:val="left"/>
        <w:rPr>
          <w:rFonts w:ascii="宋体" w:eastAsia="宋体" w:hAnsi="宋体" w:cs="宋体"/>
          <w:kern w:val="0"/>
          <w:sz w:val="16"/>
          <w:szCs w:val="16"/>
        </w:rPr>
      </w:pPr>
      <w:r w:rsidRPr="00141675">
        <w:rPr>
          <w:rFonts w:ascii="宋体" w:eastAsia="宋体" w:hAnsi="宋体" w:cs="宋体"/>
          <w:kern w:val="0"/>
          <w:sz w:val="16"/>
          <w:szCs w:val="16"/>
        </w:rPr>
        <w:t> </w:t>
      </w:r>
    </w:p>
    <w:p w14:paraId="07B1526D"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78266AE5" w14:textId="77777777" w:rsidTr="00141675">
        <w:tc>
          <w:tcPr>
            <w:tcW w:w="1080" w:type="dxa"/>
            <w:noWrap/>
            <w:hideMark/>
          </w:tcPr>
          <w:p w14:paraId="38B3CE34" w14:textId="77777777" w:rsidR="00141675" w:rsidRPr="00141675" w:rsidRDefault="00141675" w:rsidP="00141675">
            <w:pPr>
              <w:widowControl/>
              <w:rPr>
                <w:rFonts w:ascii="Calibri" w:eastAsia="宋体" w:hAnsi="Calibri" w:cs="Calibri" w:hint="eastAsia"/>
                <w:b/>
                <w:bCs/>
                <w:kern w:val="0"/>
                <w:sz w:val="20"/>
                <w:szCs w:val="20"/>
              </w:rPr>
            </w:pPr>
            <w:r w:rsidRPr="00141675">
              <w:rPr>
                <w:rFonts w:ascii="Calibri" w:eastAsia="宋体" w:hAnsi="Calibri" w:cs="Calibri"/>
                <w:b/>
                <w:bCs/>
                <w:kern w:val="0"/>
                <w:sz w:val="20"/>
                <w:szCs w:val="20"/>
              </w:rPr>
              <w:t>3.</w:t>
            </w:r>
          </w:p>
        </w:tc>
        <w:tc>
          <w:tcPr>
            <w:tcW w:w="0" w:type="auto"/>
            <w:hideMark/>
          </w:tcPr>
          <w:p w14:paraId="64FA79FA"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FAIR VALUE MEASUREMENTS</w:t>
            </w:r>
          </w:p>
        </w:tc>
      </w:tr>
    </w:tbl>
    <w:p w14:paraId="74DFD5CA"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perform fair value measurements in accordance with FASB Accounting Standards Codification (ASC) 820, </w:t>
      </w:r>
      <w:r w:rsidRPr="00141675">
        <w:rPr>
          <w:rFonts w:ascii="Calibri" w:eastAsia="宋体" w:hAnsi="Calibri" w:cs="Calibri"/>
          <w:i/>
          <w:iCs/>
          <w:kern w:val="0"/>
          <w:sz w:val="20"/>
          <w:szCs w:val="20"/>
        </w:rPr>
        <w:t>Fair Value Measurement</w:t>
      </w:r>
      <w:r w:rsidRPr="00141675">
        <w:rPr>
          <w:rFonts w:ascii="Calibri" w:eastAsia="宋体" w:hAnsi="Calibri" w:cs="Calibri"/>
          <w:kern w:val="0"/>
          <w:sz w:val="20"/>
          <w:szCs w:val="20"/>
        </w:rPr>
        <w:t>. ASC 820 defines fair value as the price that would be received from selling an asset or paid to transfer a liability in an orderly transaction between market participants at the measurement date. When determining the fair value measurements for assets and liabilities required to be recorded at their fair values, we consider the principal or most advantageous market in which we would transact and consider assumptions that market participants would use when pricing the assets or liabilities, such as inherent risk, transfer restrictions and risk of nonperformance.</w:t>
      </w:r>
    </w:p>
    <w:p w14:paraId="4A19974D"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ASC 820 establishes a fair value hierarchy that requires an entity to maximize the use of observable inputs and minimize the use of unobservable inputs when measuring fair value. An asset’s or a liability’s categorization within the fair value hierarchy is based upon the lowest level of input that is significant to the fair value measurement. ASC 820 establishes three levels of inputs that may be used to measure fair value:</w:t>
      </w:r>
    </w:p>
    <w:tbl>
      <w:tblPr>
        <w:tblW w:w="20614" w:type="dxa"/>
        <w:tblCellMar>
          <w:left w:w="0" w:type="dxa"/>
          <w:right w:w="0" w:type="dxa"/>
        </w:tblCellMar>
        <w:tblLook w:val="04A0" w:firstRow="1" w:lastRow="0" w:firstColumn="1" w:lastColumn="0" w:noHBand="0" w:noVBand="1"/>
      </w:tblPr>
      <w:tblGrid>
        <w:gridCol w:w="1096"/>
        <w:gridCol w:w="556"/>
        <w:gridCol w:w="18962"/>
      </w:tblGrid>
      <w:tr w:rsidR="00141675" w:rsidRPr="00141675" w14:paraId="5A2C5A16" w14:textId="77777777" w:rsidTr="00141675">
        <w:tc>
          <w:tcPr>
            <w:tcW w:w="1080" w:type="dxa"/>
            <w:noWrap/>
            <w:hideMark/>
          </w:tcPr>
          <w:p w14:paraId="52CE349F"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4BC594D2"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75EB2D0E"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Level 1:  quoted prices in active markets for identical assets or liabilities;</w:t>
            </w:r>
          </w:p>
        </w:tc>
      </w:tr>
      <w:tr w:rsidR="00141675" w:rsidRPr="00141675" w14:paraId="21EF66AB" w14:textId="77777777" w:rsidTr="00141675">
        <w:tc>
          <w:tcPr>
            <w:tcW w:w="1080" w:type="dxa"/>
            <w:noWrap/>
            <w:hideMark/>
          </w:tcPr>
          <w:p w14:paraId="7288DC53"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0779504C"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540A15B3"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Level 2:  inputs other than Level 1 that are observable, either directly or indirectly, such as quoted prices in active markets for similar assets or liabilities, quoted prices for identical or similar assets or liabilities in markets that are not active, or other inputs that are observable or can be corroborated by observable market data for substantially the full term of the assets or liabilities; or</w:t>
            </w:r>
          </w:p>
        </w:tc>
      </w:tr>
    </w:tbl>
    <w:p w14:paraId="78428483" w14:textId="77777777" w:rsidR="00141675" w:rsidRPr="00141675" w:rsidRDefault="00141675" w:rsidP="00141675">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1096"/>
        <w:gridCol w:w="556"/>
        <w:gridCol w:w="18962"/>
      </w:tblGrid>
      <w:tr w:rsidR="00141675" w:rsidRPr="00141675" w14:paraId="6C32958F" w14:textId="77777777" w:rsidTr="00141675">
        <w:tc>
          <w:tcPr>
            <w:tcW w:w="1080" w:type="dxa"/>
            <w:noWrap/>
            <w:hideMark/>
          </w:tcPr>
          <w:p w14:paraId="2AE27FFD"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4E54E40D"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29BDAA14"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Level 3:  unobservable inputs that are supported by little or no market activity and that are significant to the fair values of the assets or liabilities.</w:t>
            </w:r>
          </w:p>
        </w:tc>
      </w:tr>
    </w:tbl>
    <w:p w14:paraId="6BA0760C"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w:t>
      </w:r>
    </w:p>
    <w:p w14:paraId="05DDA82B"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246705F5">
          <v:rect id="_x0000_i1037" style="width:0;height:1.5pt" o:hralign="center" o:hrstd="t" o:hrnoshade="t" o:hr="t" fillcolor="black" stroked="f"/>
        </w:pict>
      </w:r>
    </w:p>
    <w:p w14:paraId="23892C33" w14:textId="77777777" w:rsidR="00141675" w:rsidRPr="00141675" w:rsidRDefault="00141675" w:rsidP="00141675">
      <w:pPr>
        <w:widowControl/>
        <w:jc w:val="left"/>
        <w:rPr>
          <w:rFonts w:ascii="Calibri" w:eastAsia="宋体" w:hAnsi="Calibri" w:cs="Calibri"/>
          <w:b/>
          <w:bCs/>
          <w:color w:val="000000"/>
          <w:kern w:val="0"/>
          <w:sz w:val="20"/>
          <w:szCs w:val="20"/>
        </w:rPr>
      </w:pPr>
      <w:hyperlink r:id="rId34" w:anchor="TABLE_CONTENTS" w:history="1">
        <w:r w:rsidRPr="00141675">
          <w:rPr>
            <w:rFonts w:ascii="Calibri" w:eastAsia="宋体" w:hAnsi="Calibri" w:cs="Calibri"/>
            <w:b/>
            <w:bCs/>
            <w:color w:val="0000FF"/>
            <w:kern w:val="0"/>
            <w:sz w:val="20"/>
            <w:szCs w:val="20"/>
            <w:u w:val="single"/>
          </w:rPr>
          <w:t>Table of Contents</w:t>
        </w:r>
      </w:hyperlink>
    </w:p>
    <w:p w14:paraId="60716B4E"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7A2E73D0"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631DE2A7"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0C8D16AF"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1BABEE46"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2DE0BDD6"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21DF7C62"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Assets and Liabilities Measured at Fair Value on a Recurring Basis</w:t>
      </w:r>
    </w:p>
    <w:p w14:paraId="15B37393"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lastRenderedPageBreak/>
        <w:t>Our assets and liabilities measured at fair value on a recurring basis consisted of the following (Level 1 and Level 2 inputs are defined above):</w:t>
      </w:r>
    </w:p>
    <w:p w14:paraId="20659C2E" w14:textId="77777777" w:rsidR="00141675" w:rsidRPr="00141675" w:rsidRDefault="00141675" w:rsidP="00141675">
      <w:pPr>
        <w:widowControl/>
        <w:jc w:val="left"/>
        <w:rPr>
          <w:rFonts w:ascii="Times New Roman" w:eastAsia="宋体" w:hAnsi="Times New Roman" w:cs="Times New Roman"/>
          <w:kern w:val="0"/>
          <w:sz w:val="22"/>
        </w:rPr>
      </w:pPr>
      <w:r w:rsidRPr="00141675">
        <w:rPr>
          <w:rFonts w:ascii="Times New Roman" w:eastAsia="宋体" w:hAnsi="Times New Roman" w:cs="Times New Roman"/>
          <w:kern w:val="0"/>
          <w:sz w:val="22"/>
        </w:rPr>
        <w:t> </w:t>
      </w:r>
    </w:p>
    <w:tbl>
      <w:tblPr>
        <w:tblW w:w="20614" w:type="dxa"/>
        <w:tblCellMar>
          <w:left w:w="0" w:type="dxa"/>
          <w:right w:w="0" w:type="dxa"/>
        </w:tblCellMar>
        <w:tblLook w:val="04A0" w:firstRow="1" w:lastRow="0" w:firstColumn="1" w:lastColumn="0" w:noHBand="0" w:noVBand="1"/>
      </w:tblPr>
      <w:tblGrid>
        <w:gridCol w:w="7547"/>
        <w:gridCol w:w="199"/>
        <w:gridCol w:w="199"/>
        <w:gridCol w:w="1550"/>
        <w:gridCol w:w="199"/>
        <w:gridCol w:w="200"/>
        <w:gridCol w:w="199"/>
        <w:gridCol w:w="1594"/>
        <w:gridCol w:w="199"/>
        <w:gridCol w:w="200"/>
        <w:gridCol w:w="199"/>
        <w:gridCol w:w="1595"/>
        <w:gridCol w:w="199"/>
        <w:gridCol w:w="200"/>
        <w:gridCol w:w="199"/>
        <w:gridCol w:w="1550"/>
        <w:gridCol w:w="199"/>
        <w:gridCol w:w="200"/>
        <w:gridCol w:w="199"/>
        <w:gridCol w:w="1594"/>
        <w:gridCol w:w="199"/>
        <w:gridCol w:w="200"/>
        <w:gridCol w:w="199"/>
        <w:gridCol w:w="1595"/>
        <w:gridCol w:w="201"/>
      </w:tblGrid>
      <w:tr w:rsidR="00141675" w:rsidRPr="00141675" w14:paraId="410F5DF7" w14:textId="77777777" w:rsidTr="00141675">
        <w:tc>
          <w:tcPr>
            <w:tcW w:w="7545" w:type="dxa"/>
            <w:shd w:val="clear" w:color="auto" w:fill="FFFFFF"/>
            <w:tcMar>
              <w:top w:w="15" w:type="dxa"/>
              <w:left w:w="0" w:type="dxa"/>
              <w:bottom w:w="0" w:type="dxa"/>
              <w:right w:w="15" w:type="dxa"/>
            </w:tcMar>
            <w:vAlign w:val="bottom"/>
            <w:hideMark/>
          </w:tcPr>
          <w:p w14:paraId="75255904" w14:textId="77777777" w:rsidR="00141675" w:rsidRPr="00141675" w:rsidRDefault="00141675" w:rsidP="00141675">
            <w:pPr>
              <w:widowControl/>
              <w:jc w:val="center"/>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200" w:type="dxa"/>
            <w:shd w:val="clear" w:color="auto" w:fill="FFFFFF"/>
            <w:tcMar>
              <w:top w:w="15" w:type="dxa"/>
              <w:left w:w="0" w:type="dxa"/>
              <w:bottom w:w="0" w:type="dxa"/>
              <w:right w:w="15" w:type="dxa"/>
            </w:tcMar>
            <w:vAlign w:val="bottom"/>
            <w:hideMark/>
          </w:tcPr>
          <w:p w14:paraId="34D4D32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091" w:type="dxa"/>
            <w:gridSpan w:val="10"/>
            <w:tcBorders>
              <w:bottom w:val="single" w:sz="6" w:space="0" w:color="000000"/>
            </w:tcBorders>
            <w:shd w:val="clear" w:color="auto" w:fill="FFFFFF"/>
            <w:tcMar>
              <w:top w:w="15" w:type="dxa"/>
              <w:left w:w="0" w:type="dxa"/>
              <w:bottom w:w="0" w:type="dxa"/>
              <w:right w:w="15" w:type="dxa"/>
            </w:tcMar>
            <w:vAlign w:val="bottom"/>
            <w:hideMark/>
          </w:tcPr>
          <w:p w14:paraId="63B5842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 2019</w:t>
            </w:r>
          </w:p>
        </w:tc>
        <w:tc>
          <w:tcPr>
            <w:tcW w:w="191" w:type="dxa"/>
            <w:shd w:val="clear" w:color="auto" w:fill="FFFFFF"/>
            <w:noWrap/>
            <w:tcMar>
              <w:top w:w="15" w:type="dxa"/>
              <w:left w:w="0" w:type="dxa"/>
              <w:bottom w:w="0" w:type="dxa"/>
              <w:right w:w="15" w:type="dxa"/>
            </w:tcMar>
            <w:vAlign w:val="bottom"/>
            <w:hideMark/>
          </w:tcPr>
          <w:p w14:paraId="459C28E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shd w:val="clear" w:color="auto" w:fill="FFFFFF"/>
            <w:tcMar>
              <w:top w:w="15" w:type="dxa"/>
              <w:left w:w="0" w:type="dxa"/>
              <w:bottom w:w="0" w:type="dxa"/>
              <w:right w:w="15" w:type="dxa"/>
            </w:tcMar>
            <w:vAlign w:val="bottom"/>
            <w:hideMark/>
          </w:tcPr>
          <w:p w14:paraId="12DA2A7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091" w:type="dxa"/>
            <w:gridSpan w:val="10"/>
            <w:tcBorders>
              <w:bottom w:val="single" w:sz="6" w:space="0" w:color="000000"/>
            </w:tcBorders>
            <w:shd w:val="clear" w:color="auto" w:fill="FFFFFF"/>
            <w:tcMar>
              <w:top w:w="15" w:type="dxa"/>
              <w:left w:w="0" w:type="dxa"/>
              <w:bottom w:w="0" w:type="dxa"/>
              <w:right w:w="15" w:type="dxa"/>
            </w:tcMar>
            <w:vAlign w:val="bottom"/>
            <w:hideMark/>
          </w:tcPr>
          <w:p w14:paraId="569BFD6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May 31, 2019</w:t>
            </w:r>
          </w:p>
        </w:tc>
        <w:tc>
          <w:tcPr>
            <w:tcW w:w="193" w:type="dxa"/>
            <w:shd w:val="clear" w:color="auto" w:fill="FFFFFF"/>
            <w:noWrap/>
            <w:tcMar>
              <w:top w:w="15" w:type="dxa"/>
              <w:left w:w="0" w:type="dxa"/>
              <w:bottom w:w="0" w:type="dxa"/>
              <w:right w:w="15" w:type="dxa"/>
            </w:tcMar>
            <w:vAlign w:val="bottom"/>
            <w:hideMark/>
          </w:tcPr>
          <w:p w14:paraId="39565BD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78D73E5D" w14:textId="77777777" w:rsidTr="00141675">
        <w:tc>
          <w:tcPr>
            <w:tcW w:w="7545" w:type="dxa"/>
            <w:shd w:val="clear" w:color="auto" w:fill="FFFFFF"/>
            <w:tcMar>
              <w:top w:w="15" w:type="dxa"/>
              <w:left w:w="0" w:type="dxa"/>
              <w:bottom w:w="0" w:type="dxa"/>
              <w:right w:w="15" w:type="dxa"/>
            </w:tcMar>
            <w:vAlign w:val="bottom"/>
            <w:hideMark/>
          </w:tcPr>
          <w:p w14:paraId="0594B26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shd w:val="clear" w:color="auto" w:fill="FFFFFF"/>
            <w:tcMar>
              <w:top w:w="15" w:type="dxa"/>
              <w:left w:w="0" w:type="dxa"/>
              <w:bottom w:w="0" w:type="dxa"/>
              <w:right w:w="15" w:type="dxa"/>
            </w:tcMar>
            <w:vAlign w:val="bottom"/>
            <w:hideMark/>
          </w:tcPr>
          <w:p w14:paraId="348D2C4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915"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6E87A3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Fair Value Measurements</w:t>
            </w:r>
          </w:p>
          <w:p w14:paraId="3FA60C7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Using Input Types</w:t>
            </w:r>
          </w:p>
        </w:tc>
        <w:tc>
          <w:tcPr>
            <w:tcW w:w="191" w:type="dxa"/>
            <w:shd w:val="clear" w:color="auto" w:fill="FFFFFF"/>
            <w:noWrap/>
            <w:tcMar>
              <w:top w:w="15" w:type="dxa"/>
              <w:left w:w="0" w:type="dxa"/>
              <w:bottom w:w="0" w:type="dxa"/>
              <w:right w:w="15" w:type="dxa"/>
            </w:tcMar>
            <w:vAlign w:val="bottom"/>
            <w:hideMark/>
          </w:tcPr>
          <w:p w14:paraId="6039F63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tcBorders>
              <w:top w:val="single" w:sz="6" w:space="0" w:color="000000"/>
            </w:tcBorders>
            <w:shd w:val="clear" w:color="auto" w:fill="FFFFFF"/>
            <w:tcMar>
              <w:top w:w="15" w:type="dxa"/>
              <w:left w:w="0" w:type="dxa"/>
              <w:bottom w:w="0" w:type="dxa"/>
              <w:right w:w="15" w:type="dxa"/>
            </w:tcMar>
            <w:vAlign w:val="bottom"/>
            <w:hideMark/>
          </w:tcPr>
          <w:p w14:paraId="2AA6AD6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575684E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33" w:type="dxa"/>
            <w:tcBorders>
              <w:top w:val="single" w:sz="6" w:space="0" w:color="000000"/>
            </w:tcBorders>
            <w:shd w:val="clear" w:color="auto" w:fill="FFFFFF"/>
            <w:noWrap/>
            <w:tcMar>
              <w:top w:w="15" w:type="dxa"/>
              <w:left w:w="0" w:type="dxa"/>
              <w:bottom w:w="0" w:type="dxa"/>
              <w:right w:w="15" w:type="dxa"/>
            </w:tcMar>
            <w:vAlign w:val="bottom"/>
            <w:hideMark/>
          </w:tcPr>
          <w:p w14:paraId="2D359F3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7D2A8A4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shd w:val="clear" w:color="auto" w:fill="FFFFFF"/>
            <w:tcMar>
              <w:top w:w="15" w:type="dxa"/>
              <w:left w:w="0" w:type="dxa"/>
              <w:bottom w:w="0" w:type="dxa"/>
              <w:right w:w="15" w:type="dxa"/>
            </w:tcMar>
            <w:vAlign w:val="bottom"/>
            <w:hideMark/>
          </w:tcPr>
          <w:p w14:paraId="64088D1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915"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71921B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Fair Value Measurements</w:t>
            </w:r>
          </w:p>
          <w:p w14:paraId="5A2E4C9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Using Input Types</w:t>
            </w:r>
          </w:p>
        </w:tc>
        <w:tc>
          <w:tcPr>
            <w:tcW w:w="191" w:type="dxa"/>
            <w:shd w:val="clear" w:color="auto" w:fill="FFFFFF"/>
            <w:noWrap/>
            <w:tcMar>
              <w:top w:w="15" w:type="dxa"/>
              <w:left w:w="0" w:type="dxa"/>
              <w:bottom w:w="0" w:type="dxa"/>
              <w:right w:w="15" w:type="dxa"/>
            </w:tcMar>
            <w:vAlign w:val="bottom"/>
            <w:hideMark/>
          </w:tcPr>
          <w:p w14:paraId="3D3CBC5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tcBorders>
              <w:top w:val="single" w:sz="6" w:space="0" w:color="000000"/>
            </w:tcBorders>
            <w:shd w:val="clear" w:color="auto" w:fill="FFFFFF"/>
            <w:tcMar>
              <w:top w:w="15" w:type="dxa"/>
              <w:left w:w="0" w:type="dxa"/>
              <w:bottom w:w="0" w:type="dxa"/>
              <w:right w:w="15" w:type="dxa"/>
            </w:tcMar>
            <w:vAlign w:val="bottom"/>
            <w:hideMark/>
          </w:tcPr>
          <w:p w14:paraId="5E11D84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DA3F07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33" w:type="dxa"/>
            <w:tcBorders>
              <w:top w:val="single" w:sz="6" w:space="0" w:color="000000"/>
            </w:tcBorders>
            <w:shd w:val="clear" w:color="auto" w:fill="FFFFFF"/>
            <w:noWrap/>
            <w:tcMar>
              <w:top w:w="15" w:type="dxa"/>
              <w:left w:w="0" w:type="dxa"/>
              <w:bottom w:w="0" w:type="dxa"/>
              <w:right w:w="15" w:type="dxa"/>
            </w:tcMar>
            <w:vAlign w:val="bottom"/>
            <w:hideMark/>
          </w:tcPr>
          <w:p w14:paraId="454DE88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58DEDD2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E196B2B" w14:textId="77777777" w:rsidTr="00141675">
        <w:tc>
          <w:tcPr>
            <w:tcW w:w="7545" w:type="dxa"/>
            <w:tcBorders>
              <w:bottom w:val="single" w:sz="6" w:space="0" w:color="000000"/>
            </w:tcBorders>
            <w:shd w:val="clear" w:color="auto" w:fill="FFFFFF"/>
            <w:tcMar>
              <w:top w:w="15" w:type="dxa"/>
              <w:left w:w="0" w:type="dxa"/>
              <w:bottom w:w="0" w:type="dxa"/>
              <w:right w:w="15" w:type="dxa"/>
            </w:tcMar>
            <w:vAlign w:val="bottom"/>
            <w:hideMark/>
          </w:tcPr>
          <w:p w14:paraId="7480792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00" w:type="dxa"/>
            <w:shd w:val="clear" w:color="auto" w:fill="FFFFFF"/>
            <w:tcMar>
              <w:top w:w="15" w:type="dxa"/>
              <w:left w:w="0" w:type="dxa"/>
              <w:bottom w:w="0" w:type="dxa"/>
              <w:right w:w="15" w:type="dxa"/>
            </w:tcMar>
            <w:vAlign w:val="bottom"/>
            <w:hideMark/>
          </w:tcPr>
          <w:p w14:paraId="7FB3F73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4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62038D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Level 1</w:t>
            </w:r>
          </w:p>
        </w:tc>
        <w:tc>
          <w:tcPr>
            <w:tcW w:w="191" w:type="dxa"/>
            <w:shd w:val="clear" w:color="auto" w:fill="FFFFFF"/>
            <w:noWrap/>
            <w:tcMar>
              <w:top w:w="15" w:type="dxa"/>
              <w:left w:w="0" w:type="dxa"/>
              <w:bottom w:w="0" w:type="dxa"/>
              <w:right w:w="15" w:type="dxa"/>
            </w:tcMar>
            <w:vAlign w:val="bottom"/>
            <w:hideMark/>
          </w:tcPr>
          <w:p w14:paraId="0D32A3E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tcBorders>
              <w:top w:val="single" w:sz="6" w:space="0" w:color="000000"/>
            </w:tcBorders>
            <w:shd w:val="clear" w:color="auto" w:fill="FFFFFF"/>
            <w:tcMar>
              <w:top w:w="15" w:type="dxa"/>
              <w:left w:w="0" w:type="dxa"/>
              <w:bottom w:w="0" w:type="dxa"/>
              <w:right w:w="15" w:type="dxa"/>
            </w:tcMar>
            <w:vAlign w:val="bottom"/>
            <w:hideMark/>
          </w:tcPr>
          <w:p w14:paraId="6AC65CB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4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6DF87C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Level 2</w:t>
            </w:r>
          </w:p>
        </w:tc>
        <w:tc>
          <w:tcPr>
            <w:tcW w:w="191" w:type="dxa"/>
            <w:shd w:val="clear" w:color="auto" w:fill="FFFFFF"/>
            <w:noWrap/>
            <w:tcMar>
              <w:top w:w="15" w:type="dxa"/>
              <w:left w:w="0" w:type="dxa"/>
              <w:bottom w:w="0" w:type="dxa"/>
              <w:right w:w="15" w:type="dxa"/>
            </w:tcMar>
            <w:vAlign w:val="bottom"/>
            <w:hideMark/>
          </w:tcPr>
          <w:p w14:paraId="58680EF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shd w:val="clear" w:color="auto" w:fill="FFFFFF"/>
            <w:tcMar>
              <w:top w:w="15" w:type="dxa"/>
              <w:left w:w="0" w:type="dxa"/>
              <w:bottom w:w="0" w:type="dxa"/>
              <w:right w:w="15" w:type="dxa"/>
            </w:tcMar>
            <w:vAlign w:val="bottom"/>
            <w:hideMark/>
          </w:tcPr>
          <w:p w14:paraId="2B14073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40" w:type="dxa"/>
            <w:gridSpan w:val="2"/>
            <w:tcBorders>
              <w:bottom w:val="single" w:sz="6" w:space="0" w:color="000000"/>
            </w:tcBorders>
            <w:shd w:val="clear" w:color="auto" w:fill="FFFFFF"/>
            <w:tcMar>
              <w:top w:w="15" w:type="dxa"/>
              <w:left w:w="0" w:type="dxa"/>
              <w:bottom w:w="0" w:type="dxa"/>
              <w:right w:w="15" w:type="dxa"/>
            </w:tcMar>
            <w:vAlign w:val="bottom"/>
            <w:hideMark/>
          </w:tcPr>
          <w:p w14:paraId="3A663DE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Total</w:t>
            </w:r>
          </w:p>
        </w:tc>
        <w:tc>
          <w:tcPr>
            <w:tcW w:w="191" w:type="dxa"/>
            <w:shd w:val="clear" w:color="auto" w:fill="FFFFFF"/>
            <w:noWrap/>
            <w:tcMar>
              <w:top w:w="15" w:type="dxa"/>
              <w:left w:w="0" w:type="dxa"/>
              <w:bottom w:w="0" w:type="dxa"/>
              <w:right w:w="15" w:type="dxa"/>
            </w:tcMar>
            <w:vAlign w:val="bottom"/>
            <w:hideMark/>
          </w:tcPr>
          <w:p w14:paraId="7F62584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shd w:val="clear" w:color="auto" w:fill="FFFFFF"/>
            <w:tcMar>
              <w:top w:w="15" w:type="dxa"/>
              <w:left w:w="0" w:type="dxa"/>
              <w:bottom w:w="0" w:type="dxa"/>
              <w:right w:w="15" w:type="dxa"/>
            </w:tcMar>
            <w:vAlign w:val="bottom"/>
            <w:hideMark/>
          </w:tcPr>
          <w:p w14:paraId="7AE0A76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4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783FD8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Level 1</w:t>
            </w:r>
          </w:p>
        </w:tc>
        <w:tc>
          <w:tcPr>
            <w:tcW w:w="191" w:type="dxa"/>
            <w:shd w:val="clear" w:color="auto" w:fill="FFFFFF"/>
            <w:noWrap/>
            <w:tcMar>
              <w:top w:w="15" w:type="dxa"/>
              <w:left w:w="0" w:type="dxa"/>
              <w:bottom w:w="0" w:type="dxa"/>
              <w:right w:w="15" w:type="dxa"/>
            </w:tcMar>
            <w:vAlign w:val="bottom"/>
            <w:hideMark/>
          </w:tcPr>
          <w:p w14:paraId="3DA10FE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tcBorders>
              <w:top w:val="single" w:sz="6" w:space="0" w:color="000000"/>
            </w:tcBorders>
            <w:shd w:val="clear" w:color="auto" w:fill="FFFFFF"/>
            <w:tcMar>
              <w:top w:w="15" w:type="dxa"/>
              <w:left w:w="0" w:type="dxa"/>
              <w:bottom w:w="0" w:type="dxa"/>
              <w:right w:w="15" w:type="dxa"/>
            </w:tcMar>
            <w:vAlign w:val="bottom"/>
            <w:hideMark/>
          </w:tcPr>
          <w:p w14:paraId="66EC338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4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E81089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Level 2</w:t>
            </w:r>
          </w:p>
        </w:tc>
        <w:tc>
          <w:tcPr>
            <w:tcW w:w="191" w:type="dxa"/>
            <w:shd w:val="clear" w:color="auto" w:fill="FFFFFF"/>
            <w:noWrap/>
            <w:tcMar>
              <w:top w:w="15" w:type="dxa"/>
              <w:left w:w="0" w:type="dxa"/>
              <w:bottom w:w="0" w:type="dxa"/>
              <w:right w:w="15" w:type="dxa"/>
            </w:tcMar>
            <w:vAlign w:val="bottom"/>
            <w:hideMark/>
          </w:tcPr>
          <w:p w14:paraId="0732BD0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0" w:type="dxa"/>
            <w:shd w:val="clear" w:color="auto" w:fill="FFFFFF"/>
            <w:tcMar>
              <w:top w:w="15" w:type="dxa"/>
              <w:left w:w="0" w:type="dxa"/>
              <w:bottom w:w="0" w:type="dxa"/>
              <w:right w:w="15" w:type="dxa"/>
            </w:tcMar>
            <w:vAlign w:val="bottom"/>
            <w:hideMark/>
          </w:tcPr>
          <w:p w14:paraId="408A964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40" w:type="dxa"/>
            <w:gridSpan w:val="2"/>
            <w:tcBorders>
              <w:bottom w:val="single" w:sz="6" w:space="0" w:color="000000"/>
            </w:tcBorders>
            <w:shd w:val="clear" w:color="auto" w:fill="FFFFFF"/>
            <w:tcMar>
              <w:top w:w="15" w:type="dxa"/>
              <w:left w:w="0" w:type="dxa"/>
              <w:bottom w:w="0" w:type="dxa"/>
              <w:right w:w="15" w:type="dxa"/>
            </w:tcMar>
            <w:vAlign w:val="bottom"/>
            <w:hideMark/>
          </w:tcPr>
          <w:p w14:paraId="1FB3E86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Total</w:t>
            </w:r>
          </w:p>
        </w:tc>
        <w:tc>
          <w:tcPr>
            <w:tcW w:w="193" w:type="dxa"/>
            <w:shd w:val="clear" w:color="auto" w:fill="FFFFFF"/>
            <w:noWrap/>
            <w:tcMar>
              <w:top w:w="15" w:type="dxa"/>
              <w:left w:w="0" w:type="dxa"/>
              <w:bottom w:w="0" w:type="dxa"/>
              <w:right w:w="15" w:type="dxa"/>
            </w:tcMar>
            <w:vAlign w:val="bottom"/>
            <w:hideMark/>
          </w:tcPr>
          <w:p w14:paraId="53E688C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9402A89" w14:textId="77777777" w:rsidTr="00141675">
        <w:tc>
          <w:tcPr>
            <w:tcW w:w="7545" w:type="dxa"/>
            <w:tcBorders>
              <w:top w:val="single" w:sz="6" w:space="0" w:color="000000"/>
            </w:tcBorders>
            <w:shd w:val="clear" w:color="auto" w:fill="CFF0FC"/>
            <w:tcMar>
              <w:top w:w="15" w:type="dxa"/>
              <w:left w:w="0" w:type="dxa"/>
              <w:bottom w:w="0" w:type="dxa"/>
              <w:right w:w="15" w:type="dxa"/>
            </w:tcMar>
            <w:hideMark/>
          </w:tcPr>
          <w:p w14:paraId="403131A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Assets:</w:t>
            </w:r>
          </w:p>
        </w:tc>
        <w:tc>
          <w:tcPr>
            <w:tcW w:w="200" w:type="dxa"/>
            <w:shd w:val="clear" w:color="auto" w:fill="CFF0FC"/>
            <w:tcMar>
              <w:top w:w="15" w:type="dxa"/>
              <w:left w:w="0" w:type="dxa"/>
              <w:bottom w:w="0" w:type="dxa"/>
              <w:right w:w="15" w:type="dxa"/>
            </w:tcMar>
            <w:vAlign w:val="bottom"/>
            <w:hideMark/>
          </w:tcPr>
          <w:p w14:paraId="3A4AB620"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F39B706"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533" w:type="dxa"/>
            <w:tcBorders>
              <w:top w:val="single" w:sz="6" w:space="0" w:color="000000"/>
            </w:tcBorders>
            <w:shd w:val="clear" w:color="auto" w:fill="CFF0FC"/>
            <w:noWrap/>
            <w:tcMar>
              <w:top w:w="15" w:type="dxa"/>
              <w:left w:w="0" w:type="dxa"/>
              <w:bottom w:w="0" w:type="dxa"/>
              <w:right w:w="15" w:type="dxa"/>
            </w:tcMar>
            <w:vAlign w:val="bottom"/>
            <w:hideMark/>
          </w:tcPr>
          <w:p w14:paraId="442F535F"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69E3675"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5E9C0343"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2361C99"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533" w:type="dxa"/>
            <w:tcBorders>
              <w:top w:val="single" w:sz="6" w:space="0" w:color="000000"/>
            </w:tcBorders>
            <w:shd w:val="clear" w:color="auto" w:fill="CFF0FC"/>
            <w:noWrap/>
            <w:tcMar>
              <w:top w:w="15" w:type="dxa"/>
              <w:left w:w="0" w:type="dxa"/>
              <w:bottom w:w="0" w:type="dxa"/>
              <w:right w:w="15" w:type="dxa"/>
            </w:tcMar>
            <w:vAlign w:val="bottom"/>
            <w:hideMark/>
          </w:tcPr>
          <w:p w14:paraId="10F3EBB5"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8A63539"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1B54CDEF"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F6D17FA"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533" w:type="dxa"/>
            <w:tcBorders>
              <w:top w:val="single" w:sz="6" w:space="0" w:color="000000"/>
            </w:tcBorders>
            <w:shd w:val="clear" w:color="auto" w:fill="CFF0FC"/>
            <w:noWrap/>
            <w:tcMar>
              <w:top w:w="15" w:type="dxa"/>
              <w:left w:w="0" w:type="dxa"/>
              <w:bottom w:w="0" w:type="dxa"/>
              <w:right w:w="15" w:type="dxa"/>
            </w:tcMar>
            <w:vAlign w:val="bottom"/>
            <w:hideMark/>
          </w:tcPr>
          <w:p w14:paraId="373D969B"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0C78868"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11C8DE4B"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20494EC"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533" w:type="dxa"/>
            <w:tcBorders>
              <w:top w:val="single" w:sz="6" w:space="0" w:color="000000"/>
            </w:tcBorders>
            <w:shd w:val="clear" w:color="auto" w:fill="CFF0FC"/>
            <w:noWrap/>
            <w:tcMar>
              <w:top w:w="15" w:type="dxa"/>
              <w:left w:w="0" w:type="dxa"/>
              <w:bottom w:w="0" w:type="dxa"/>
              <w:right w:w="15" w:type="dxa"/>
            </w:tcMar>
            <w:vAlign w:val="bottom"/>
            <w:hideMark/>
          </w:tcPr>
          <w:p w14:paraId="64D20BFB"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9228BC0"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6D583058"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B4399E0"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533" w:type="dxa"/>
            <w:tcBorders>
              <w:top w:val="single" w:sz="6" w:space="0" w:color="000000"/>
            </w:tcBorders>
            <w:shd w:val="clear" w:color="auto" w:fill="CFF0FC"/>
            <w:noWrap/>
            <w:tcMar>
              <w:top w:w="15" w:type="dxa"/>
              <w:left w:w="0" w:type="dxa"/>
              <w:bottom w:w="0" w:type="dxa"/>
              <w:right w:w="15" w:type="dxa"/>
            </w:tcMar>
            <w:vAlign w:val="bottom"/>
            <w:hideMark/>
          </w:tcPr>
          <w:p w14:paraId="1B731499"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8E9EC8D"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3124B531"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847D5B7"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533" w:type="dxa"/>
            <w:tcBorders>
              <w:top w:val="single" w:sz="6" w:space="0" w:color="000000"/>
            </w:tcBorders>
            <w:shd w:val="clear" w:color="auto" w:fill="CFF0FC"/>
            <w:noWrap/>
            <w:tcMar>
              <w:top w:w="15" w:type="dxa"/>
              <w:left w:w="0" w:type="dxa"/>
              <w:bottom w:w="0" w:type="dxa"/>
              <w:right w:w="15" w:type="dxa"/>
            </w:tcMar>
            <w:vAlign w:val="bottom"/>
            <w:hideMark/>
          </w:tcPr>
          <w:p w14:paraId="26DEC12C"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3" w:type="dxa"/>
            <w:shd w:val="clear" w:color="auto" w:fill="CFF0FC"/>
            <w:noWrap/>
            <w:tcMar>
              <w:top w:w="15" w:type="dxa"/>
              <w:left w:w="0" w:type="dxa"/>
              <w:bottom w:w="0" w:type="dxa"/>
              <w:right w:w="15" w:type="dxa"/>
            </w:tcMar>
            <w:vAlign w:val="bottom"/>
            <w:hideMark/>
          </w:tcPr>
          <w:p w14:paraId="4AA579D8"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r>
      <w:tr w:rsidR="00141675" w:rsidRPr="00141675" w14:paraId="25594C26" w14:textId="77777777" w:rsidTr="00141675">
        <w:tc>
          <w:tcPr>
            <w:tcW w:w="7545" w:type="dxa"/>
            <w:shd w:val="clear" w:color="auto" w:fill="FFFFFF"/>
            <w:tcMar>
              <w:top w:w="15" w:type="dxa"/>
              <w:left w:w="0" w:type="dxa"/>
              <w:bottom w:w="0" w:type="dxa"/>
              <w:right w:w="15" w:type="dxa"/>
            </w:tcMar>
            <w:hideMark/>
          </w:tcPr>
          <w:p w14:paraId="3DACA628"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Corporate debt securities and other</w:t>
            </w:r>
          </w:p>
        </w:tc>
        <w:tc>
          <w:tcPr>
            <w:tcW w:w="200" w:type="dxa"/>
            <w:shd w:val="clear" w:color="auto" w:fill="FFFFFF"/>
            <w:tcMar>
              <w:top w:w="15" w:type="dxa"/>
              <w:left w:w="0" w:type="dxa"/>
              <w:bottom w:w="0" w:type="dxa"/>
              <w:right w:w="15" w:type="dxa"/>
            </w:tcMar>
            <w:vAlign w:val="bottom"/>
            <w:hideMark/>
          </w:tcPr>
          <w:p w14:paraId="236F24F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9E93E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shd w:val="clear" w:color="auto" w:fill="FFFFFF"/>
            <w:noWrap/>
            <w:tcMar>
              <w:top w:w="15" w:type="dxa"/>
              <w:left w:w="0" w:type="dxa"/>
              <w:bottom w:w="0" w:type="dxa"/>
              <w:right w:w="15" w:type="dxa"/>
            </w:tcMar>
            <w:vAlign w:val="bottom"/>
            <w:hideMark/>
          </w:tcPr>
          <w:p w14:paraId="0414F48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w:t>
            </w:r>
          </w:p>
        </w:tc>
        <w:tc>
          <w:tcPr>
            <w:tcW w:w="191" w:type="dxa"/>
            <w:shd w:val="clear" w:color="auto" w:fill="FFFFFF"/>
            <w:noWrap/>
            <w:tcMar>
              <w:top w:w="15" w:type="dxa"/>
              <w:left w:w="0" w:type="dxa"/>
              <w:bottom w:w="0" w:type="dxa"/>
              <w:right w:w="15" w:type="dxa"/>
            </w:tcMar>
            <w:vAlign w:val="bottom"/>
            <w:hideMark/>
          </w:tcPr>
          <w:p w14:paraId="32F63F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2BF89EF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BF81B8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shd w:val="clear" w:color="auto" w:fill="FFFFFF"/>
            <w:noWrap/>
            <w:tcMar>
              <w:top w:w="15" w:type="dxa"/>
              <w:left w:w="0" w:type="dxa"/>
              <w:bottom w:w="0" w:type="dxa"/>
              <w:right w:w="15" w:type="dxa"/>
            </w:tcMar>
            <w:vAlign w:val="bottom"/>
            <w:hideMark/>
          </w:tcPr>
          <w:p w14:paraId="784454F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2,910</w:t>
            </w:r>
          </w:p>
        </w:tc>
        <w:tc>
          <w:tcPr>
            <w:tcW w:w="191" w:type="dxa"/>
            <w:shd w:val="clear" w:color="auto" w:fill="FFFFFF"/>
            <w:noWrap/>
            <w:tcMar>
              <w:top w:w="15" w:type="dxa"/>
              <w:left w:w="0" w:type="dxa"/>
              <w:bottom w:w="0" w:type="dxa"/>
              <w:right w:w="15" w:type="dxa"/>
            </w:tcMar>
            <w:vAlign w:val="bottom"/>
            <w:hideMark/>
          </w:tcPr>
          <w:p w14:paraId="707D7D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194085E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B5DAC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shd w:val="clear" w:color="auto" w:fill="FFFFFF"/>
            <w:noWrap/>
            <w:tcMar>
              <w:top w:w="15" w:type="dxa"/>
              <w:left w:w="0" w:type="dxa"/>
              <w:bottom w:w="0" w:type="dxa"/>
              <w:right w:w="15" w:type="dxa"/>
            </w:tcMar>
            <w:vAlign w:val="bottom"/>
            <w:hideMark/>
          </w:tcPr>
          <w:p w14:paraId="33A73D4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2,960</w:t>
            </w:r>
          </w:p>
        </w:tc>
        <w:tc>
          <w:tcPr>
            <w:tcW w:w="191" w:type="dxa"/>
            <w:shd w:val="clear" w:color="auto" w:fill="FFFFFF"/>
            <w:noWrap/>
            <w:tcMar>
              <w:top w:w="15" w:type="dxa"/>
              <w:left w:w="0" w:type="dxa"/>
              <w:bottom w:w="0" w:type="dxa"/>
              <w:right w:w="15" w:type="dxa"/>
            </w:tcMar>
            <w:vAlign w:val="bottom"/>
            <w:hideMark/>
          </w:tcPr>
          <w:p w14:paraId="31E738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0E78AA5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62B92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shd w:val="clear" w:color="auto" w:fill="FFFFFF"/>
            <w:noWrap/>
            <w:tcMar>
              <w:top w:w="15" w:type="dxa"/>
              <w:left w:w="0" w:type="dxa"/>
              <w:bottom w:w="0" w:type="dxa"/>
              <w:right w:w="15" w:type="dxa"/>
            </w:tcMar>
            <w:vAlign w:val="bottom"/>
            <w:hideMark/>
          </w:tcPr>
          <w:p w14:paraId="10ADF82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4,899</w:t>
            </w:r>
          </w:p>
        </w:tc>
        <w:tc>
          <w:tcPr>
            <w:tcW w:w="191" w:type="dxa"/>
            <w:shd w:val="clear" w:color="auto" w:fill="FFFFFF"/>
            <w:noWrap/>
            <w:tcMar>
              <w:top w:w="15" w:type="dxa"/>
              <w:left w:w="0" w:type="dxa"/>
              <w:bottom w:w="0" w:type="dxa"/>
              <w:right w:w="15" w:type="dxa"/>
            </w:tcMar>
            <w:vAlign w:val="bottom"/>
            <w:hideMark/>
          </w:tcPr>
          <w:p w14:paraId="7D16087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5150D48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4F69B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shd w:val="clear" w:color="auto" w:fill="FFFFFF"/>
            <w:noWrap/>
            <w:tcMar>
              <w:top w:w="15" w:type="dxa"/>
              <w:left w:w="0" w:type="dxa"/>
              <w:bottom w:w="0" w:type="dxa"/>
              <w:right w:w="15" w:type="dxa"/>
            </w:tcMar>
            <w:vAlign w:val="bottom"/>
            <w:hideMark/>
          </w:tcPr>
          <w:p w14:paraId="23AF06C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17,343</w:t>
            </w:r>
          </w:p>
        </w:tc>
        <w:tc>
          <w:tcPr>
            <w:tcW w:w="191" w:type="dxa"/>
            <w:shd w:val="clear" w:color="auto" w:fill="FFFFFF"/>
            <w:noWrap/>
            <w:tcMar>
              <w:top w:w="15" w:type="dxa"/>
              <w:left w:w="0" w:type="dxa"/>
              <w:bottom w:w="0" w:type="dxa"/>
              <w:right w:w="15" w:type="dxa"/>
            </w:tcMar>
            <w:vAlign w:val="bottom"/>
            <w:hideMark/>
          </w:tcPr>
          <w:p w14:paraId="0CA2AA1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576368D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BB9634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shd w:val="clear" w:color="auto" w:fill="FFFFFF"/>
            <w:noWrap/>
            <w:tcMar>
              <w:top w:w="15" w:type="dxa"/>
              <w:left w:w="0" w:type="dxa"/>
              <w:bottom w:w="0" w:type="dxa"/>
              <w:right w:w="15" w:type="dxa"/>
            </w:tcMar>
            <w:vAlign w:val="bottom"/>
            <w:hideMark/>
          </w:tcPr>
          <w:p w14:paraId="3221B77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22,242</w:t>
            </w:r>
          </w:p>
        </w:tc>
        <w:tc>
          <w:tcPr>
            <w:tcW w:w="193" w:type="dxa"/>
            <w:shd w:val="clear" w:color="auto" w:fill="FFFFFF"/>
            <w:noWrap/>
            <w:tcMar>
              <w:top w:w="15" w:type="dxa"/>
              <w:left w:w="0" w:type="dxa"/>
              <w:bottom w:w="0" w:type="dxa"/>
              <w:right w:w="15" w:type="dxa"/>
            </w:tcMar>
            <w:vAlign w:val="bottom"/>
            <w:hideMark/>
          </w:tcPr>
          <w:p w14:paraId="5287231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DD0760B" w14:textId="77777777" w:rsidTr="00141675">
        <w:tc>
          <w:tcPr>
            <w:tcW w:w="7545" w:type="dxa"/>
            <w:shd w:val="clear" w:color="auto" w:fill="CFF0FC"/>
            <w:tcMar>
              <w:top w:w="15" w:type="dxa"/>
              <w:left w:w="0" w:type="dxa"/>
              <w:bottom w:w="0" w:type="dxa"/>
              <w:right w:w="15" w:type="dxa"/>
            </w:tcMar>
            <w:hideMark/>
          </w:tcPr>
          <w:p w14:paraId="6DCB02C7"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Commercial paper debt securities</w:t>
            </w:r>
          </w:p>
        </w:tc>
        <w:tc>
          <w:tcPr>
            <w:tcW w:w="200" w:type="dxa"/>
            <w:shd w:val="clear" w:color="auto" w:fill="CFF0FC"/>
            <w:tcMar>
              <w:top w:w="15" w:type="dxa"/>
              <w:left w:w="0" w:type="dxa"/>
              <w:bottom w:w="0" w:type="dxa"/>
              <w:right w:w="15" w:type="dxa"/>
            </w:tcMar>
            <w:vAlign w:val="bottom"/>
            <w:hideMark/>
          </w:tcPr>
          <w:p w14:paraId="2036763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462FC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447885C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5EB1F9A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6CC2DF3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0AF95A1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1B0288A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13,787</w:t>
            </w:r>
          </w:p>
        </w:tc>
        <w:tc>
          <w:tcPr>
            <w:tcW w:w="191" w:type="dxa"/>
            <w:shd w:val="clear" w:color="auto" w:fill="CFF0FC"/>
            <w:noWrap/>
            <w:tcMar>
              <w:top w:w="15" w:type="dxa"/>
              <w:left w:w="0" w:type="dxa"/>
              <w:bottom w:w="0" w:type="dxa"/>
              <w:right w:w="15" w:type="dxa"/>
            </w:tcMar>
            <w:vAlign w:val="bottom"/>
            <w:hideMark/>
          </w:tcPr>
          <w:p w14:paraId="4B41A6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30AA721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5E7394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628DA56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13,787</w:t>
            </w:r>
          </w:p>
        </w:tc>
        <w:tc>
          <w:tcPr>
            <w:tcW w:w="191" w:type="dxa"/>
            <w:shd w:val="clear" w:color="auto" w:fill="CFF0FC"/>
            <w:noWrap/>
            <w:tcMar>
              <w:top w:w="15" w:type="dxa"/>
              <w:left w:w="0" w:type="dxa"/>
              <w:bottom w:w="0" w:type="dxa"/>
              <w:right w:w="15" w:type="dxa"/>
            </w:tcMar>
            <w:vAlign w:val="bottom"/>
            <w:hideMark/>
          </w:tcPr>
          <w:p w14:paraId="6F0FFC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5352989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2B3BF7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64C58C2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099D9B8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7E64D6E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D95004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5837C19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6E09863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7E6E715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E004CB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1C8BBE0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3" w:type="dxa"/>
            <w:shd w:val="clear" w:color="auto" w:fill="CFF0FC"/>
            <w:noWrap/>
            <w:tcMar>
              <w:top w:w="15" w:type="dxa"/>
              <w:left w:w="0" w:type="dxa"/>
              <w:bottom w:w="0" w:type="dxa"/>
              <w:right w:w="15" w:type="dxa"/>
            </w:tcMar>
            <w:vAlign w:val="bottom"/>
            <w:hideMark/>
          </w:tcPr>
          <w:p w14:paraId="3806F42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CC85209" w14:textId="77777777" w:rsidTr="00141675">
        <w:tc>
          <w:tcPr>
            <w:tcW w:w="7545" w:type="dxa"/>
            <w:shd w:val="clear" w:color="auto" w:fill="FFFFFF"/>
            <w:tcMar>
              <w:top w:w="15" w:type="dxa"/>
              <w:left w:w="0" w:type="dxa"/>
              <w:bottom w:w="0" w:type="dxa"/>
              <w:right w:w="15" w:type="dxa"/>
            </w:tcMar>
            <w:hideMark/>
          </w:tcPr>
          <w:p w14:paraId="414D7EF4"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Money market funds</w:t>
            </w:r>
          </w:p>
        </w:tc>
        <w:tc>
          <w:tcPr>
            <w:tcW w:w="200" w:type="dxa"/>
            <w:shd w:val="clear" w:color="auto" w:fill="FFFFFF"/>
            <w:tcMar>
              <w:top w:w="15" w:type="dxa"/>
              <w:left w:w="0" w:type="dxa"/>
              <w:bottom w:w="0" w:type="dxa"/>
              <w:right w:w="15" w:type="dxa"/>
            </w:tcMar>
            <w:vAlign w:val="bottom"/>
            <w:hideMark/>
          </w:tcPr>
          <w:p w14:paraId="550C335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019EB7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FFFFFF"/>
            <w:noWrap/>
            <w:tcMar>
              <w:top w:w="15" w:type="dxa"/>
              <w:left w:w="0" w:type="dxa"/>
              <w:bottom w:w="0" w:type="dxa"/>
              <w:right w:w="15" w:type="dxa"/>
            </w:tcMar>
            <w:vAlign w:val="bottom"/>
            <w:hideMark/>
          </w:tcPr>
          <w:p w14:paraId="0D6A244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3BFF2DB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4789582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B0719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FFFFFF"/>
            <w:noWrap/>
            <w:tcMar>
              <w:top w:w="15" w:type="dxa"/>
              <w:left w:w="0" w:type="dxa"/>
              <w:bottom w:w="0" w:type="dxa"/>
              <w:right w:w="15" w:type="dxa"/>
            </w:tcMar>
            <w:vAlign w:val="bottom"/>
            <w:hideMark/>
          </w:tcPr>
          <w:p w14:paraId="5A633A2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2BB9C7A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112D05F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740" w:type="dxa"/>
            <w:gridSpan w:val="2"/>
            <w:shd w:val="clear" w:color="auto" w:fill="FFFFFF"/>
            <w:tcMar>
              <w:top w:w="15" w:type="dxa"/>
              <w:left w:w="0" w:type="dxa"/>
              <w:bottom w:w="0" w:type="dxa"/>
              <w:right w:w="15" w:type="dxa"/>
            </w:tcMar>
            <w:vAlign w:val="bottom"/>
            <w:hideMark/>
          </w:tcPr>
          <w:p w14:paraId="074ACCB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5B9B74B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75D9AF8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B30A5F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FFFFFF"/>
            <w:noWrap/>
            <w:tcMar>
              <w:top w:w="15" w:type="dxa"/>
              <w:left w:w="0" w:type="dxa"/>
              <w:bottom w:w="0" w:type="dxa"/>
              <w:right w:w="15" w:type="dxa"/>
            </w:tcMar>
            <w:vAlign w:val="bottom"/>
            <w:hideMark/>
          </w:tcPr>
          <w:p w14:paraId="545BC46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5,700</w:t>
            </w:r>
          </w:p>
        </w:tc>
        <w:tc>
          <w:tcPr>
            <w:tcW w:w="191" w:type="dxa"/>
            <w:shd w:val="clear" w:color="auto" w:fill="FFFFFF"/>
            <w:noWrap/>
            <w:tcMar>
              <w:top w:w="15" w:type="dxa"/>
              <w:left w:w="0" w:type="dxa"/>
              <w:bottom w:w="0" w:type="dxa"/>
              <w:right w:w="15" w:type="dxa"/>
            </w:tcMar>
            <w:vAlign w:val="bottom"/>
            <w:hideMark/>
          </w:tcPr>
          <w:p w14:paraId="5F899A4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3CF1466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F25B8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FFFFFF"/>
            <w:noWrap/>
            <w:tcMar>
              <w:top w:w="15" w:type="dxa"/>
              <w:left w:w="0" w:type="dxa"/>
              <w:bottom w:w="0" w:type="dxa"/>
              <w:right w:w="15" w:type="dxa"/>
            </w:tcMar>
            <w:vAlign w:val="bottom"/>
            <w:hideMark/>
          </w:tcPr>
          <w:p w14:paraId="353247B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64F5DEE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4774BF7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4E34F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FFFFFF"/>
            <w:noWrap/>
            <w:tcMar>
              <w:top w:w="15" w:type="dxa"/>
              <w:left w:w="0" w:type="dxa"/>
              <w:bottom w:w="0" w:type="dxa"/>
              <w:right w:w="15" w:type="dxa"/>
            </w:tcMar>
            <w:vAlign w:val="bottom"/>
            <w:hideMark/>
          </w:tcPr>
          <w:p w14:paraId="7F7AC9B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5,700</w:t>
            </w:r>
          </w:p>
        </w:tc>
        <w:tc>
          <w:tcPr>
            <w:tcW w:w="193" w:type="dxa"/>
            <w:shd w:val="clear" w:color="auto" w:fill="FFFFFF"/>
            <w:noWrap/>
            <w:tcMar>
              <w:top w:w="15" w:type="dxa"/>
              <w:left w:w="0" w:type="dxa"/>
              <w:bottom w:w="0" w:type="dxa"/>
              <w:right w:w="15" w:type="dxa"/>
            </w:tcMar>
            <w:vAlign w:val="bottom"/>
            <w:hideMark/>
          </w:tcPr>
          <w:p w14:paraId="249A415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FD739A6" w14:textId="77777777" w:rsidTr="00141675">
        <w:tc>
          <w:tcPr>
            <w:tcW w:w="7545" w:type="dxa"/>
            <w:shd w:val="clear" w:color="auto" w:fill="CFF0FC"/>
            <w:tcMar>
              <w:top w:w="15" w:type="dxa"/>
              <w:left w:w="0" w:type="dxa"/>
              <w:bottom w:w="0" w:type="dxa"/>
              <w:right w:w="15" w:type="dxa"/>
            </w:tcMar>
            <w:hideMark/>
          </w:tcPr>
          <w:p w14:paraId="3BFFF10C"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Derivative financial instruments</w:t>
            </w:r>
          </w:p>
        </w:tc>
        <w:tc>
          <w:tcPr>
            <w:tcW w:w="200" w:type="dxa"/>
            <w:shd w:val="clear" w:color="auto" w:fill="CFF0FC"/>
            <w:tcMar>
              <w:top w:w="15" w:type="dxa"/>
              <w:left w:w="0" w:type="dxa"/>
              <w:bottom w:w="0" w:type="dxa"/>
              <w:right w:w="15" w:type="dxa"/>
            </w:tcMar>
            <w:vAlign w:val="bottom"/>
            <w:hideMark/>
          </w:tcPr>
          <w:p w14:paraId="64CF21A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94B5B7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tcBorders>
              <w:bottom w:val="single" w:sz="6" w:space="0" w:color="000000"/>
            </w:tcBorders>
            <w:shd w:val="clear" w:color="auto" w:fill="CFF0FC"/>
            <w:noWrap/>
            <w:tcMar>
              <w:top w:w="15" w:type="dxa"/>
              <w:left w:w="0" w:type="dxa"/>
              <w:bottom w:w="0" w:type="dxa"/>
              <w:right w:w="15" w:type="dxa"/>
            </w:tcMar>
            <w:vAlign w:val="bottom"/>
            <w:hideMark/>
          </w:tcPr>
          <w:p w14:paraId="5B009C8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4180C43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03F4A3D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B3F110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tcBorders>
              <w:bottom w:val="single" w:sz="6" w:space="0" w:color="000000"/>
            </w:tcBorders>
            <w:shd w:val="clear" w:color="auto" w:fill="CFF0FC"/>
            <w:noWrap/>
            <w:tcMar>
              <w:top w:w="15" w:type="dxa"/>
              <w:left w:w="0" w:type="dxa"/>
              <w:bottom w:w="0" w:type="dxa"/>
              <w:right w:w="15" w:type="dxa"/>
            </w:tcMar>
            <w:vAlign w:val="bottom"/>
            <w:hideMark/>
          </w:tcPr>
          <w:p w14:paraId="1D7C244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w:t>
            </w:r>
          </w:p>
        </w:tc>
        <w:tc>
          <w:tcPr>
            <w:tcW w:w="191" w:type="dxa"/>
            <w:shd w:val="clear" w:color="auto" w:fill="CFF0FC"/>
            <w:noWrap/>
            <w:tcMar>
              <w:top w:w="15" w:type="dxa"/>
              <w:left w:w="0" w:type="dxa"/>
              <w:bottom w:w="0" w:type="dxa"/>
              <w:right w:w="15" w:type="dxa"/>
            </w:tcMar>
            <w:vAlign w:val="bottom"/>
            <w:hideMark/>
          </w:tcPr>
          <w:p w14:paraId="3E88E4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24C435B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64D75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tcBorders>
              <w:bottom w:val="single" w:sz="6" w:space="0" w:color="000000"/>
            </w:tcBorders>
            <w:shd w:val="clear" w:color="auto" w:fill="CFF0FC"/>
            <w:noWrap/>
            <w:tcMar>
              <w:top w:w="15" w:type="dxa"/>
              <w:left w:w="0" w:type="dxa"/>
              <w:bottom w:w="0" w:type="dxa"/>
              <w:right w:w="15" w:type="dxa"/>
            </w:tcMar>
            <w:vAlign w:val="bottom"/>
            <w:hideMark/>
          </w:tcPr>
          <w:p w14:paraId="34A105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w:t>
            </w:r>
          </w:p>
        </w:tc>
        <w:tc>
          <w:tcPr>
            <w:tcW w:w="191" w:type="dxa"/>
            <w:shd w:val="clear" w:color="auto" w:fill="CFF0FC"/>
            <w:noWrap/>
            <w:tcMar>
              <w:top w:w="15" w:type="dxa"/>
              <w:left w:w="0" w:type="dxa"/>
              <w:bottom w:w="0" w:type="dxa"/>
              <w:right w:w="15" w:type="dxa"/>
            </w:tcMar>
            <w:vAlign w:val="bottom"/>
            <w:hideMark/>
          </w:tcPr>
          <w:p w14:paraId="2052E4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270C5FF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0C98CD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tcBorders>
              <w:bottom w:val="single" w:sz="6" w:space="0" w:color="000000"/>
            </w:tcBorders>
            <w:shd w:val="clear" w:color="auto" w:fill="CFF0FC"/>
            <w:noWrap/>
            <w:tcMar>
              <w:top w:w="15" w:type="dxa"/>
              <w:left w:w="0" w:type="dxa"/>
              <w:bottom w:w="0" w:type="dxa"/>
              <w:right w:w="15" w:type="dxa"/>
            </w:tcMar>
            <w:vAlign w:val="bottom"/>
            <w:hideMark/>
          </w:tcPr>
          <w:p w14:paraId="6F2C402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0FA73A7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1D7BD18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2214AF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tcBorders>
              <w:bottom w:val="single" w:sz="6" w:space="0" w:color="000000"/>
            </w:tcBorders>
            <w:shd w:val="clear" w:color="auto" w:fill="CFF0FC"/>
            <w:noWrap/>
            <w:tcMar>
              <w:top w:w="15" w:type="dxa"/>
              <w:left w:w="0" w:type="dxa"/>
              <w:bottom w:w="0" w:type="dxa"/>
              <w:right w:w="15" w:type="dxa"/>
            </w:tcMar>
            <w:vAlign w:val="bottom"/>
            <w:hideMark/>
          </w:tcPr>
          <w:p w14:paraId="4246687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191" w:type="dxa"/>
            <w:shd w:val="clear" w:color="auto" w:fill="CFF0FC"/>
            <w:noWrap/>
            <w:tcMar>
              <w:top w:w="15" w:type="dxa"/>
              <w:left w:w="0" w:type="dxa"/>
              <w:bottom w:w="0" w:type="dxa"/>
              <w:right w:w="15" w:type="dxa"/>
            </w:tcMar>
            <w:vAlign w:val="bottom"/>
            <w:hideMark/>
          </w:tcPr>
          <w:p w14:paraId="2222323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14ED161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67432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tcBorders>
              <w:bottom w:val="single" w:sz="6" w:space="0" w:color="000000"/>
            </w:tcBorders>
            <w:shd w:val="clear" w:color="auto" w:fill="CFF0FC"/>
            <w:noWrap/>
            <w:tcMar>
              <w:top w:w="15" w:type="dxa"/>
              <w:left w:w="0" w:type="dxa"/>
              <w:bottom w:w="0" w:type="dxa"/>
              <w:right w:w="15" w:type="dxa"/>
            </w:tcMar>
            <w:vAlign w:val="bottom"/>
            <w:hideMark/>
          </w:tcPr>
          <w:p w14:paraId="12C1B49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193" w:type="dxa"/>
            <w:shd w:val="clear" w:color="auto" w:fill="CFF0FC"/>
            <w:noWrap/>
            <w:tcMar>
              <w:top w:w="15" w:type="dxa"/>
              <w:left w:w="0" w:type="dxa"/>
              <w:bottom w:w="0" w:type="dxa"/>
              <w:right w:w="15" w:type="dxa"/>
            </w:tcMar>
            <w:vAlign w:val="bottom"/>
            <w:hideMark/>
          </w:tcPr>
          <w:p w14:paraId="2C3A9E4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9612640" w14:textId="77777777" w:rsidTr="00141675">
        <w:tc>
          <w:tcPr>
            <w:tcW w:w="7545" w:type="dxa"/>
            <w:shd w:val="clear" w:color="auto" w:fill="FFFFFF"/>
            <w:tcMar>
              <w:top w:w="15" w:type="dxa"/>
              <w:left w:w="0" w:type="dxa"/>
              <w:bottom w:w="0" w:type="dxa"/>
              <w:right w:w="15" w:type="dxa"/>
            </w:tcMar>
            <w:hideMark/>
          </w:tcPr>
          <w:p w14:paraId="5ECB7B0E" w14:textId="77777777" w:rsidR="00141675" w:rsidRPr="00141675" w:rsidRDefault="00141675" w:rsidP="00141675">
            <w:pPr>
              <w:widowControl/>
              <w:ind w:left="684"/>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assets</w:t>
            </w:r>
          </w:p>
        </w:tc>
        <w:tc>
          <w:tcPr>
            <w:tcW w:w="200" w:type="dxa"/>
            <w:shd w:val="clear" w:color="auto" w:fill="FFFFFF"/>
            <w:tcMar>
              <w:top w:w="15" w:type="dxa"/>
              <w:left w:w="0" w:type="dxa"/>
              <w:bottom w:w="0" w:type="dxa"/>
              <w:right w:w="15" w:type="dxa"/>
            </w:tcMar>
            <w:vAlign w:val="bottom"/>
            <w:hideMark/>
          </w:tcPr>
          <w:p w14:paraId="3F3CBB8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F3E68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2E01F9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w:t>
            </w:r>
          </w:p>
        </w:tc>
        <w:tc>
          <w:tcPr>
            <w:tcW w:w="191" w:type="dxa"/>
            <w:shd w:val="clear" w:color="auto" w:fill="FFFFFF"/>
            <w:noWrap/>
            <w:tcMar>
              <w:top w:w="15" w:type="dxa"/>
              <w:left w:w="0" w:type="dxa"/>
              <w:bottom w:w="0" w:type="dxa"/>
              <w:right w:w="15" w:type="dxa"/>
            </w:tcMar>
            <w:vAlign w:val="bottom"/>
            <w:hideMark/>
          </w:tcPr>
          <w:p w14:paraId="6B27B2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6CFA946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1B626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9B959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16,709</w:t>
            </w:r>
          </w:p>
        </w:tc>
        <w:tc>
          <w:tcPr>
            <w:tcW w:w="191" w:type="dxa"/>
            <w:shd w:val="clear" w:color="auto" w:fill="FFFFFF"/>
            <w:noWrap/>
            <w:tcMar>
              <w:top w:w="15" w:type="dxa"/>
              <w:left w:w="0" w:type="dxa"/>
              <w:bottom w:w="0" w:type="dxa"/>
              <w:right w:w="15" w:type="dxa"/>
            </w:tcMar>
            <w:vAlign w:val="bottom"/>
            <w:hideMark/>
          </w:tcPr>
          <w:p w14:paraId="30C678D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4917297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89EDE7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C9A7C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16,759</w:t>
            </w:r>
          </w:p>
        </w:tc>
        <w:tc>
          <w:tcPr>
            <w:tcW w:w="191" w:type="dxa"/>
            <w:shd w:val="clear" w:color="auto" w:fill="FFFFFF"/>
            <w:noWrap/>
            <w:tcMar>
              <w:top w:w="15" w:type="dxa"/>
              <w:left w:w="0" w:type="dxa"/>
              <w:bottom w:w="0" w:type="dxa"/>
              <w:right w:w="15" w:type="dxa"/>
            </w:tcMar>
            <w:vAlign w:val="bottom"/>
            <w:hideMark/>
          </w:tcPr>
          <w:p w14:paraId="5036D66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62CD494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81D4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CDC7C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10,599</w:t>
            </w:r>
          </w:p>
        </w:tc>
        <w:tc>
          <w:tcPr>
            <w:tcW w:w="191" w:type="dxa"/>
            <w:shd w:val="clear" w:color="auto" w:fill="FFFFFF"/>
            <w:noWrap/>
            <w:tcMar>
              <w:top w:w="15" w:type="dxa"/>
              <w:left w:w="0" w:type="dxa"/>
              <w:bottom w:w="0" w:type="dxa"/>
              <w:right w:w="15" w:type="dxa"/>
            </w:tcMar>
            <w:vAlign w:val="bottom"/>
            <w:hideMark/>
          </w:tcPr>
          <w:p w14:paraId="1C75777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6174816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94DA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9DC5C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17,348</w:t>
            </w:r>
          </w:p>
        </w:tc>
        <w:tc>
          <w:tcPr>
            <w:tcW w:w="191" w:type="dxa"/>
            <w:shd w:val="clear" w:color="auto" w:fill="FFFFFF"/>
            <w:noWrap/>
            <w:tcMar>
              <w:top w:w="15" w:type="dxa"/>
              <w:left w:w="0" w:type="dxa"/>
              <w:bottom w:w="0" w:type="dxa"/>
              <w:right w:w="15" w:type="dxa"/>
            </w:tcMar>
            <w:vAlign w:val="bottom"/>
            <w:hideMark/>
          </w:tcPr>
          <w:p w14:paraId="59B832B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0A7D5EE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6AEC3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89EC3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27,947</w:t>
            </w:r>
          </w:p>
        </w:tc>
        <w:tc>
          <w:tcPr>
            <w:tcW w:w="193" w:type="dxa"/>
            <w:shd w:val="clear" w:color="auto" w:fill="FFFFFF"/>
            <w:noWrap/>
            <w:tcMar>
              <w:top w:w="15" w:type="dxa"/>
              <w:left w:w="0" w:type="dxa"/>
              <w:bottom w:w="0" w:type="dxa"/>
              <w:right w:w="15" w:type="dxa"/>
            </w:tcMar>
            <w:vAlign w:val="bottom"/>
            <w:hideMark/>
          </w:tcPr>
          <w:p w14:paraId="3B38494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625329E" w14:textId="77777777" w:rsidTr="00141675">
        <w:tc>
          <w:tcPr>
            <w:tcW w:w="7545" w:type="dxa"/>
            <w:shd w:val="clear" w:color="auto" w:fill="CFF0FC"/>
            <w:tcMar>
              <w:top w:w="15" w:type="dxa"/>
              <w:left w:w="0" w:type="dxa"/>
              <w:bottom w:w="0" w:type="dxa"/>
              <w:right w:w="15" w:type="dxa"/>
            </w:tcMar>
            <w:hideMark/>
          </w:tcPr>
          <w:p w14:paraId="1F055B3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Liabilities:</w:t>
            </w:r>
          </w:p>
        </w:tc>
        <w:tc>
          <w:tcPr>
            <w:tcW w:w="200" w:type="dxa"/>
            <w:shd w:val="clear" w:color="auto" w:fill="CFF0FC"/>
            <w:tcMar>
              <w:top w:w="15" w:type="dxa"/>
              <w:left w:w="0" w:type="dxa"/>
              <w:bottom w:w="0" w:type="dxa"/>
              <w:right w:w="15" w:type="dxa"/>
            </w:tcMar>
            <w:vAlign w:val="bottom"/>
            <w:hideMark/>
          </w:tcPr>
          <w:p w14:paraId="2B8816A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EDAEDA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4FDCBED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2932D4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433BF1F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DBDE13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287641C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BC5D1F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4F15FCA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98A646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6D3B16D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EE90C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1D9B145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16736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4FB0115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096807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18CB15B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20E02E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2E92FCF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7FF526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CFF0FC"/>
            <w:tcMar>
              <w:top w:w="15" w:type="dxa"/>
              <w:left w:w="0" w:type="dxa"/>
              <w:bottom w:w="0" w:type="dxa"/>
              <w:right w:w="15" w:type="dxa"/>
            </w:tcMar>
            <w:vAlign w:val="bottom"/>
            <w:hideMark/>
          </w:tcPr>
          <w:p w14:paraId="79099FA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013F6A4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33" w:type="dxa"/>
            <w:shd w:val="clear" w:color="auto" w:fill="CFF0FC"/>
            <w:noWrap/>
            <w:tcMar>
              <w:top w:w="15" w:type="dxa"/>
              <w:left w:w="0" w:type="dxa"/>
              <w:bottom w:w="0" w:type="dxa"/>
              <w:right w:w="15" w:type="dxa"/>
            </w:tcMar>
            <w:vAlign w:val="bottom"/>
            <w:hideMark/>
          </w:tcPr>
          <w:p w14:paraId="78DD8CC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CFF0FC"/>
            <w:noWrap/>
            <w:tcMar>
              <w:top w:w="15" w:type="dxa"/>
              <w:left w:w="0" w:type="dxa"/>
              <w:bottom w:w="0" w:type="dxa"/>
              <w:right w:w="15" w:type="dxa"/>
            </w:tcMar>
            <w:vAlign w:val="bottom"/>
            <w:hideMark/>
          </w:tcPr>
          <w:p w14:paraId="666F47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DE20784" w14:textId="77777777" w:rsidTr="00141675">
        <w:tc>
          <w:tcPr>
            <w:tcW w:w="7545" w:type="dxa"/>
            <w:shd w:val="clear" w:color="auto" w:fill="FFFFFF"/>
            <w:tcMar>
              <w:top w:w="15" w:type="dxa"/>
              <w:left w:w="0" w:type="dxa"/>
              <w:bottom w:w="0" w:type="dxa"/>
              <w:right w:w="15" w:type="dxa"/>
            </w:tcMar>
            <w:hideMark/>
          </w:tcPr>
          <w:p w14:paraId="6C13B3DC"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Derivative financial instruments</w:t>
            </w:r>
          </w:p>
        </w:tc>
        <w:tc>
          <w:tcPr>
            <w:tcW w:w="200" w:type="dxa"/>
            <w:shd w:val="clear" w:color="auto" w:fill="FFFFFF"/>
            <w:tcMar>
              <w:top w:w="15" w:type="dxa"/>
              <w:left w:w="0" w:type="dxa"/>
              <w:bottom w:w="0" w:type="dxa"/>
              <w:right w:w="15" w:type="dxa"/>
            </w:tcMar>
            <w:vAlign w:val="bottom"/>
            <w:hideMark/>
          </w:tcPr>
          <w:p w14:paraId="4AE7DE4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3C4839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bottom w:val="double" w:sz="6" w:space="0" w:color="000000"/>
            </w:tcBorders>
            <w:shd w:val="clear" w:color="auto" w:fill="FFFFFF"/>
            <w:noWrap/>
            <w:tcMar>
              <w:top w:w="15" w:type="dxa"/>
              <w:left w:w="0" w:type="dxa"/>
              <w:bottom w:w="0" w:type="dxa"/>
              <w:right w:w="15" w:type="dxa"/>
            </w:tcMar>
            <w:vAlign w:val="bottom"/>
            <w:hideMark/>
          </w:tcPr>
          <w:p w14:paraId="39C030C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1D1B68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3F7D4C6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44E903F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bottom w:val="double" w:sz="6" w:space="0" w:color="000000"/>
            </w:tcBorders>
            <w:shd w:val="clear" w:color="auto" w:fill="FFFFFF"/>
            <w:noWrap/>
            <w:tcMar>
              <w:top w:w="15" w:type="dxa"/>
              <w:left w:w="0" w:type="dxa"/>
              <w:bottom w:w="0" w:type="dxa"/>
              <w:right w:w="15" w:type="dxa"/>
            </w:tcMar>
            <w:vAlign w:val="bottom"/>
            <w:hideMark/>
          </w:tcPr>
          <w:p w14:paraId="3A4A71A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269</w:t>
            </w:r>
          </w:p>
        </w:tc>
        <w:tc>
          <w:tcPr>
            <w:tcW w:w="191" w:type="dxa"/>
            <w:shd w:val="clear" w:color="auto" w:fill="FFFFFF"/>
            <w:noWrap/>
            <w:tcMar>
              <w:top w:w="15" w:type="dxa"/>
              <w:left w:w="0" w:type="dxa"/>
              <w:bottom w:w="0" w:type="dxa"/>
              <w:right w:w="15" w:type="dxa"/>
            </w:tcMar>
            <w:vAlign w:val="bottom"/>
            <w:hideMark/>
          </w:tcPr>
          <w:p w14:paraId="54F5DE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7773B90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2D8DF4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bottom w:val="double" w:sz="6" w:space="0" w:color="000000"/>
            </w:tcBorders>
            <w:shd w:val="clear" w:color="auto" w:fill="FFFFFF"/>
            <w:noWrap/>
            <w:tcMar>
              <w:top w:w="15" w:type="dxa"/>
              <w:left w:w="0" w:type="dxa"/>
              <w:bottom w:w="0" w:type="dxa"/>
              <w:right w:w="15" w:type="dxa"/>
            </w:tcMar>
            <w:vAlign w:val="bottom"/>
            <w:hideMark/>
          </w:tcPr>
          <w:p w14:paraId="39F7D2D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269</w:t>
            </w:r>
          </w:p>
        </w:tc>
        <w:tc>
          <w:tcPr>
            <w:tcW w:w="191" w:type="dxa"/>
            <w:shd w:val="clear" w:color="auto" w:fill="FFFFFF"/>
            <w:noWrap/>
            <w:tcMar>
              <w:top w:w="15" w:type="dxa"/>
              <w:left w:w="0" w:type="dxa"/>
              <w:bottom w:w="0" w:type="dxa"/>
              <w:right w:w="15" w:type="dxa"/>
            </w:tcMar>
            <w:vAlign w:val="bottom"/>
            <w:hideMark/>
          </w:tcPr>
          <w:p w14:paraId="735FAA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382BB62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7FF8FC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bottom w:val="double" w:sz="6" w:space="0" w:color="000000"/>
            </w:tcBorders>
            <w:shd w:val="clear" w:color="auto" w:fill="FFFFFF"/>
            <w:noWrap/>
            <w:tcMar>
              <w:top w:w="15" w:type="dxa"/>
              <w:left w:w="0" w:type="dxa"/>
              <w:bottom w:w="0" w:type="dxa"/>
              <w:right w:w="15" w:type="dxa"/>
            </w:tcMar>
            <w:vAlign w:val="bottom"/>
            <w:hideMark/>
          </w:tcPr>
          <w:p w14:paraId="0DF4A81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7DE032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1CF9481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224EA13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bottom w:val="double" w:sz="6" w:space="0" w:color="000000"/>
            </w:tcBorders>
            <w:shd w:val="clear" w:color="auto" w:fill="FFFFFF"/>
            <w:noWrap/>
            <w:tcMar>
              <w:top w:w="15" w:type="dxa"/>
              <w:left w:w="0" w:type="dxa"/>
              <w:bottom w:w="0" w:type="dxa"/>
              <w:right w:w="15" w:type="dxa"/>
            </w:tcMar>
            <w:vAlign w:val="bottom"/>
            <w:hideMark/>
          </w:tcPr>
          <w:p w14:paraId="3D8AE00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230</w:t>
            </w:r>
          </w:p>
        </w:tc>
        <w:tc>
          <w:tcPr>
            <w:tcW w:w="191" w:type="dxa"/>
            <w:shd w:val="clear" w:color="auto" w:fill="FFFFFF"/>
            <w:noWrap/>
            <w:tcMar>
              <w:top w:w="15" w:type="dxa"/>
              <w:left w:w="0" w:type="dxa"/>
              <w:bottom w:w="0" w:type="dxa"/>
              <w:right w:w="15" w:type="dxa"/>
            </w:tcMar>
            <w:vAlign w:val="bottom"/>
            <w:hideMark/>
          </w:tcPr>
          <w:p w14:paraId="13C0E60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0" w:type="dxa"/>
            <w:shd w:val="clear" w:color="auto" w:fill="FFFFFF"/>
            <w:tcMar>
              <w:top w:w="15" w:type="dxa"/>
              <w:left w:w="0" w:type="dxa"/>
              <w:bottom w:w="0" w:type="dxa"/>
              <w:right w:w="15" w:type="dxa"/>
            </w:tcMar>
            <w:vAlign w:val="bottom"/>
            <w:hideMark/>
          </w:tcPr>
          <w:p w14:paraId="6A45559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double" w:sz="6" w:space="0" w:color="000000"/>
            </w:tcBorders>
            <w:shd w:val="clear" w:color="auto" w:fill="FFFFFF"/>
            <w:noWrap/>
            <w:tcMar>
              <w:top w:w="15" w:type="dxa"/>
              <w:left w:w="0" w:type="dxa"/>
              <w:bottom w:w="0" w:type="dxa"/>
              <w:right w:w="15" w:type="dxa"/>
            </w:tcMar>
            <w:vAlign w:val="bottom"/>
            <w:hideMark/>
          </w:tcPr>
          <w:p w14:paraId="00F13A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33" w:type="dxa"/>
            <w:tcBorders>
              <w:bottom w:val="double" w:sz="6" w:space="0" w:color="000000"/>
            </w:tcBorders>
            <w:shd w:val="clear" w:color="auto" w:fill="FFFFFF"/>
            <w:noWrap/>
            <w:tcMar>
              <w:top w:w="15" w:type="dxa"/>
              <w:left w:w="0" w:type="dxa"/>
              <w:bottom w:w="0" w:type="dxa"/>
              <w:right w:w="15" w:type="dxa"/>
            </w:tcMar>
            <w:vAlign w:val="bottom"/>
            <w:hideMark/>
          </w:tcPr>
          <w:p w14:paraId="415B46C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230</w:t>
            </w:r>
          </w:p>
        </w:tc>
        <w:tc>
          <w:tcPr>
            <w:tcW w:w="193" w:type="dxa"/>
            <w:shd w:val="clear" w:color="auto" w:fill="FFFFFF"/>
            <w:noWrap/>
            <w:tcMar>
              <w:top w:w="15" w:type="dxa"/>
              <w:left w:w="0" w:type="dxa"/>
              <w:bottom w:w="0" w:type="dxa"/>
              <w:right w:w="15" w:type="dxa"/>
            </w:tcMar>
            <w:vAlign w:val="bottom"/>
            <w:hideMark/>
          </w:tcPr>
          <w:p w14:paraId="65B64E2D"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03470D67" w14:textId="77777777" w:rsidR="00141675" w:rsidRPr="00141675" w:rsidRDefault="00141675" w:rsidP="00141675">
      <w:pPr>
        <w:widowControl/>
        <w:jc w:val="left"/>
        <w:rPr>
          <w:rFonts w:ascii="宋体" w:eastAsia="宋体" w:hAnsi="宋体" w:cs="宋体"/>
          <w:kern w:val="0"/>
          <w:sz w:val="12"/>
          <w:szCs w:val="12"/>
        </w:rPr>
      </w:pPr>
      <w:r w:rsidRPr="00141675">
        <w:rPr>
          <w:rFonts w:ascii="宋体" w:eastAsia="宋体" w:hAnsi="宋体" w:cs="宋体"/>
          <w:kern w:val="0"/>
          <w:sz w:val="12"/>
          <w:szCs w:val="12"/>
        </w:rPr>
        <w:t> </w:t>
      </w:r>
    </w:p>
    <w:p w14:paraId="57D9CF9B" w14:textId="77777777" w:rsidR="00141675" w:rsidRPr="00141675" w:rsidRDefault="00141675" w:rsidP="00141675">
      <w:pPr>
        <w:widowControl/>
        <w:rPr>
          <w:rFonts w:ascii="Calibri" w:eastAsia="宋体" w:hAnsi="Calibri" w:cs="Calibri"/>
          <w:kern w:val="0"/>
          <w:sz w:val="20"/>
          <w:szCs w:val="20"/>
        </w:rPr>
      </w:pPr>
      <w:r w:rsidRPr="00141675">
        <w:rPr>
          <w:rFonts w:ascii="Calibri" w:eastAsia="宋体" w:hAnsi="Calibri" w:cs="Calibri"/>
          <w:kern w:val="0"/>
          <w:sz w:val="20"/>
          <w:szCs w:val="20"/>
        </w:rPr>
        <w:t>We classify our marketable securities as available-for-sale debt securities at the time of purchase and reevaluate such classification as of each balance sheet date. Our marketable securities investments consist of Tier 1 commercial paper debt securities, corporate debt securities and certain other securities. Marketable securities as presented per our condensed consolidated balance sheets included securities with original maturities at the time of purchase greater than three months and the remainder of the securities were included in cash and cash equivalents. As of November 30, 2019 and May 31, 2019, approximately 88% and 33%, respectively, of our marketable securities investments mature within one year and 12% and 67%, respectively, mature within one to four years. Our valuation techniques used to measure the fair values of our instruments that were classified as Level 1 in the table above were derived from quoted market prices and active markets for these instruments that exist. Our valuation techniques used to measure the fair values of Level 2 instruments listed in the table above, the counterparties to which have high credit ratings, were derived from the following: non-binding market consensus prices that were corroborated by observable market data, quoted market prices for similar instruments, or pricing models, such as discounted cash flow techniques, with all significant inputs derived from or corroborated by observable market data including LIBOR-based yield curves, among others.</w:t>
      </w:r>
    </w:p>
    <w:p w14:paraId="59FE4713"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Based on the trading prices of the $51.6 billion and $56.1 billion of senior notes and the related fair value hedges that we had outstanding as of November 30, 2019 and May 31, 2019, respectively, the estimated fair values of the senior notes and the related fair value hedges using Level 2 inputs at November 30, 2019 and May 31, 2019 were $56.6 billion and $58.4 billion, respectively.</w:t>
      </w:r>
    </w:p>
    <w:p w14:paraId="0AF9859D"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2187861E" w14:textId="77777777" w:rsidR="00141675" w:rsidRPr="00141675" w:rsidRDefault="00141675" w:rsidP="00141675">
      <w:pPr>
        <w:widowControl/>
        <w:rPr>
          <w:rFonts w:ascii="微软雅黑" w:eastAsia="微软雅黑" w:hAnsi="微软雅黑" w:cs="宋体" w:hint="eastAsia"/>
          <w:color w:val="000000"/>
          <w:kern w:val="0"/>
          <w:sz w:val="12"/>
          <w:szCs w:val="12"/>
        </w:rPr>
      </w:pPr>
      <w:r w:rsidRPr="00141675">
        <w:rPr>
          <w:rFonts w:ascii="微软雅黑" w:eastAsia="微软雅黑" w:hAnsi="微软雅黑" w:cs="宋体" w:hint="eastAsia"/>
          <w:color w:val="000000"/>
          <w:kern w:val="0"/>
          <w:sz w:val="12"/>
          <w:szCs w:val="12"/>
        </w:rPr>
        <w:t> </w:t>
      </w:r>
    </w:p>
    <w:p w14:paraId="6730FB92" w14:textId="77777777" w:rsidR="00141675" w:rsidRPr="00141675" w:rsidRDefault="00141675" w:rsidP="00141675">
      <w:pPr>
        <w:widowControl/>
        <w:spacing w:before="240"/>
        <w:jc w:val="center"/>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t>12</w:t>
      </w:r>
    </w:p>
    <w:p w14:paraId="5D30059A"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1F5C44FF">
          <v:rect id="_x0000_i1038" style="width:0;height:1.5pt" o:hralign="center" o:hrstd="t" o:hrnoshade="t" o:hr="t" fillcolor="black" stroked="f"/>
        </w:pict>
      </w:r>
    </w:p>
    <w:p w14:paraId="1653BE90" w14:textId="77777777" w:rsidR="00141675" w:rsidRPr="00141675" w:rsidRDefault="00141675" w:rsidP="00141675">
      <w:pPr>
        <w:widowControl/>
        <w:jc w:val="left"/>
        <w:rPr>
          <w:rFonts w:ascii="Calibri" w:eastAsia="宋体" w:hAnsi="Calibri" w:cs="Calibri"/>
          <w:b/>
          <w:bCs/>
          <w:color w:val="000000"/>
          <w:kern w:val="0"/>
          <w:sz w:val="20"/>
          <w:szCs w:val="20"/>
        </w:rPr>
      </w:pPr>
      <w:hyperlink r:id="rId35" w:anchor="TABLE_CONTENTS" w:history="1">
        <w:r w:rsidRPr="00141675">
          <w:rPr>
            <w:rFonts w:ascii="Calibri" w:eastAsia="宋体" w:hAnsi="Calibri" w:cs="Calibri"/>
            <w:b/>
            <w:bCs/>
            <w:color w:val="0000FF"/>
            <w:kern w:val="0"/>
            <w:sz w:val="20"/>
            <w:szCs w:val="20"/>
            <w:u w:val="single"/>
          </w:rPr>
          <w:t>Table of Contents</w:t>
        </w:r>
      </w:hyperlink>
    </w:p>
    <w:p w14:paraId="25C25715"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2B93800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lastRenderedPageBreak/>
        <w:t>ORACLE CORPORATION</w:t>
      </w:r>
    </w:p>
    <w:p w14:paraId="54A30CEB"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0E3369B1"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656A685E"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3E32B969"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6D196F64" w14:textId="77777777" w:rsidTr="00141675">
        <w:tc>
          <w:tcPr>
            <w:tcW w:w="1080" w:type="dxa"/>
            <w:noWrap/>
            <w:hideMark/>
          </w:tcPr>
          <w:p w14:paraId="3AFFD420"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4.</w:t>
            </w:r>
          </w:p>
        </w:tc>
        <w:tc>
          <w:tcPr>
            <w:tcW w:w="0" w:type="auto"/>
            <w:hideMark/>
          </w:tcPr>
          <w:p w14:paraId="0379A772"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INTANGIBLE ASSETS AND GOODWILL</w:t>
            </w:r>
          </w:p>
        </w:tc>
      </w:tr>
    </w:tbl>
    <w:p w14:paraId="03D34B43"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The changes in intangible assets for fiscal 2020 and the net book value of intangible assets as of November 30, 2019 and May 31, 2019 were as follows:</w:t>
      </w:r>
    </w:p>
    <w:p w14:paraId="5BFB0D99" w14:textId="77777777" w:rsidR="00141675" w:rsidRPr="00141675" w:rsidRDefault="00141675" w:rsidP="00141675">
      <w:pPr>
        <w:widowControl/>
        <w:rPr>
          <w:rFonts w:ascii="Times New Roman" w:eastAsia="宋体" w:hAnsi="Times New Roman" w:cs="Times New Roman"/>
          <w:kern w:val="0"/>
          <w:sz w:val="8"/>
          <w:szCs w:val="8"/>
        </w:rPr>
      </w:pPr>
      <w:r w:rsidRPr="00141675">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4909"/>
        <w:gridCol w:w="201"/>
        <w:gridCol w:w="205"/>
        <w:gridCol w:w="1311"/>
        <w:gridCol w:w="102"/>
        <w:gridCol w:w="94"/>
        <w:gridCol w:w="209"/>
        <w:gridCol w:w="1245"/>
        <w:gridCol w:w="101"/>
        <w:gridCol w:w="93"/>
        <w:gridCol w:w="204"/>
        <w:gridCol w:w="1541"/>
        <w:gridCol w:w="101"/>
        <w:gridCol w:w="93"/>
        <w:gridCol w:w="204"/>
        <w:gridCol w:w="1310"/>
        <w:gridCol w:w="113"/>
        <w:gridCol w:w="93"/>
        <w:gridCol w:w="204"/>
        <w:gridCol w:w="1244"/>
        <w:gridCol w:w="113"/>
        <w:gridCol w:w="93"/>
        <w:gridCol w:w="204"/>
        <w:gridCol w:w="1541"/>
        <w:gridCol w:w="113"/>
        <w:gridCol w:w="93"/>
        <w:gridCol w:w="204"/>
        <w:gridCol w:w="1310"/>
        <w:gridCol w:w="101"/>
        <w:gridCol w:w="93"/>
        <w:gridCol w:w="204"/>
        <w:gridCol w:w="1496"/>
        <w:gridCol w:w="101"/>
        <w:gridCol w:w="93"/>
        <w:gridCol w:w="300"/>
        <w:gridCol w:w="772"/>
        <w:gridCol w:w="206"/>
      </w:tblGrid>
      <w:tr w:rsidR="00141675" w:rsidRPr="00141675" w14:paraId="5BAE8B12" w14:textId="77777777" w:rsidTr="00141675">
        <w:trPr>
          <w:trHeight w:val="327"/>
        </w:trPr>
        <w:tc>
          <w:tcPr>
            <w:tcW w:w="4897" w:type="dxa"/>
            <w:shd w:val="clear" w:color="auto" w:fill="FFFFFF"/>
            <w:tcMar>
              <w:top w:w="15" w:type="dxa"/>
              <w:left w:w="0" w:type="dxa"/>
              <w:bottom w:w="0" w:type="dxa"/>
              <w:right w:w="15" w:type="dxa"/>
            </w:tcMar>
            <w:vAlign w:val="bottom"/>
            <w:hideMark/>
          </w:tcPr>
          <w:p w14:paraId="494592A1" w14:textId="77777777" w:rsidR="00141675" w:rsidRPr="00141675" w:rsidRDefault="00141675" w:rsidP="00141675">
            <w:pPr>
              <w:widowControl/>
              <w:jc w:val="left"/>
              <w:rPr>
                <w:rFonts w:ascii="Times New Roman" w:eastAsia="宋体" w:hAnsi="Times New Roman" w:cs="Times New Roman"/>
                <w:kern w:val="0"/>
                <w:sz w:val="14"/>
                <w:szCs w:val="14"/>
              </w:rPr>
            </w:pPr>
            <w:r w:rsidRPr="00141675">
              <w:rPr>
                <w:rFonts w:ascii="Times New Roman" w:eastAsia="宋体" w:hAnsi="Times New Roman" w:cs="Times New Roman"/>
                <w:kern w:val="0"/>
                <w:sz w:val="14"/>
                <w:szCs w:val="14"/>
              </w:rPr>
              <w:t> </w:t>
            </w:r>
          </w:p>
        </w:tc>
        <w:tc>
          <w:tcPr>
            <w:tcW w:w="200" w:type="dxa"/>
            <w:shd w:val="clear" w:color="auto" w:fill="FFFFFF"/>
            <w:tcMar>
              <w:top w:w="15" w:type="dxa"/>
              <w:left w:w="0" w:type="dxa"/>
              <w:bottom w:w="0" w:type="dxa"/>
              <w:right w:w="15" w:type="dxa"/>
            </w:tcMar>
            <w:vAlign w:val="bottom"/>
            <w:hideMark/>
          </w:tcPr>
          <w:p w14:paraId="0D17017C"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5049" w:type="dxa"/>
            <w:gridSpan w:val="10"/>
            <w:tcBorders>
              <w:bottom w:val="single" w:sz="6" w:space="0" w:color="000000"/>
            </w:tcBorders>
            <w:shd w:val="clear" w:color="auto" w:fill="FFFFFF"/>
            <w:tcMar>
              <w:top w:w="15" w:type="dxa"/>
              <w:left w:w="0" w:type="dxa"/>
              <w:bottom w:w="0" w:type="dxa"/>
              <w:right w:w="15" w:type="dxa"/>
            </w:tcMar>
            <w:vAlign w:val="bottom"/>
            <w:hideMark/>
          </w:tcPr>
          <w:p w14:paraId="46A0A11A"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Intangible Assets, Gross</w:t>
            </w:r>
          </w:p>
        </w:tc>
        <w:tc>
          <w:tcPr>
            <w:tcW w:w="93" w:type="dxa"/>
            <w:shd w:val="clear" w:color="auto" w:fill="FFFFFF"/>
            <w:noWrap/>
            <w:tcMar>
              <w:top w:w="15" w:type="dxa"/>
              <w:left w:w="0" w:type="dxa"/>
              <w:bottom w:w="0" w:type="dxa"/>
              <w:right w:w="15" w:type="dxa"/>
            </w:tcMar>
            <w:vAlign w:val="bottom"/>
            <w:hideMark/>
          </w:tcPr>
          <w:p w14:paraId="1B513EFC"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93" w:type="dxa"/>
            <w:shd w:val="clear" w:color="auto" w:fill="FFFFFF"/>
            <w:tcMar>
              <w:top w:w="15" w:type="dxa"/>
              <w:left w:w="0" w:type="dxa"/>
              <w:bottom w:w="0" w:type="dxa"/>
              <w:right w:w="15" w:type="dxa"/>
            </w:tcMar>
            <w:vAlign w:val="bottom"/>
            <w:hideMark/>
          </w:tcPr>
          <w:p w14:paraId="16EA098A"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5069" w:type="dxa"/>
            <w:gridSpan w:val="10"/>
            <w:tcBorders>
              <w:bottom w:val="single" w:sz="6" w:space="0" w:color="000000"/>
            </w:tcBorders>
            <w:shd w:val="clear" w:color="auto" w:fill="FFFFFF"/>
            <w:tcMar>
              <w:top w:w="15" w:type="dxa"/>
              <w:left w:w="0" w:type="dxa"/>
              <w:bottom w:w="0" w:type="dxa"/>
              <w:right w:w="15" w:type="dxa"/>
            </w:tcMar>
            <w:vAlign w:val="bottom"/>
            <w:hideMark/>
          </w:tcPr>
          <w:p w14:paraId="2B7CAB41"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Accumulated Amortization</w:t>
            </w:r>
          </w:p>
        </w:tc>
        <w:tc>
          <w:tcPr>
            <w:tcW w:w="105" w:type="dxa"/>
            <w:shd w:val="clear" w:color="auto" w:fill="FFFFFF"/>
            <w:noWrap/>
            <w:tcMar>
              <w:top w:w="15" w:type="dxa"/>
              <w:left w:w="0" w:type="dxa"/>
              <w:bottom w:w="0" w:type="dxa"/>
              <w:right w:w="15" w:type="dxa"/>
            </w:tcMar>
            <w:vAlign w:val="bottom"/>
            <w:hideMark/>
          </w:tcPr>
          <w:p w14:paraId="68C2B853"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93" w:type="dxa"/>
            <w:shd w:val="clear" w:color="auto" w:fill="FFFFFF"/>
            <w:tcMar>
              <w:top w:w="15" w:type="dxa"/>
              <w:left w:w="0" w:type="dxa"/>
              <w:bottom w:w="0" w:type="dxa"/>
              <w:right w:w="15" w:type="dxa"/>
            </w:tcMar>
            <w:vAlign w:val="bottom"/>
            <w:hideMark/>
          </w:tcPr>
          <w:p w14:paraId="11262E95"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3378" w:type="dxa"/>
            <w:gridSpan w:val="6"/>
            <w:tcBorders>
              <w:bottom w:val="single" w:sz="6" w:space="0" w:color="000000"/>
            </w:tcBorders>
            <w:shd w:val="clear" w:color="auto" w:fill="FFFFFF"/>
            <w:tcMar>
              <w:top w:w="15" w:type="dxa"/>
              <w:left w:w="0" w:type="dxa"/>
              <w:bottom w:w="0" w:type="dxa"/>
              <w:right w:w="15" w:type="dxa"/>
            </w:tcMar>
            <w:vAlign w:val="bottom"/>
            <w:hideMark/>
          </w:tcPr>
          <w:p w14:paraId="00D5C939"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Intangible Assets, Net</w:t>
            </w:r>
          </w:p>
        </w:tc>
        <w:tc>
          <w:tcPr>
            <w:tcW w:w="93" w:type="dxa"/>
            <w:shd w:val="clear" w:color="auto" w:fill="FFFFFF"/>
            <w:noWrap/>
            <w:tcMar>
              <w:top w:w="15" w:type="dxa"/>
              <w:left w:w="0" w:type="dxa"/>
              <w:bottom w:w="0" w:type="dxa"/>
              <w:right w:w="15" w:type="dxa"/>
            </w:tcMar>
            <w:vAlign w:val="bottom"/>
            <w:hideMark/>
          </w:tcPr>
          <w:p w14:paraId="249540F0" w14:textId="77777777" w:rsidR="00141675" w:rsidRPr="00141675" w:rsidRDefault="00141675" w:rsidP="00141675">
            <w:pPr>
              <w:widowControl/>
              <w:jc w:val="left"/>
              <w:rPr>
                <w:rFonts w:ascii="Calibri" w:eastAsia="宋体" w:hAnsi="Calibri" w:cs="Calibri"/>
                <w:b/>
                <w:bCs/>
                <w:color w:val="000000"/>
                <w:kern w:val="0"/>
                <w:sz w:val="11"/>
                <w:szCs w:val="11"/>
              </w:rPr>
            </w:pPr>
            <w:r w:rsidRPr="00141675">
              <w:rPr>
                <w:rFonts w:ascii="Calibri" w:eastAsia="宋体" w:hAnsi="Calibri" w:cs="Calibri"/>
                <w:b/>
                <w:bCs/>
                <w:color w:val="000000"/>
                <w:kern w:val="0"/>
                <w:sz w:val="11"/>
                <w:szCs w:val="11"/>
              </w:rPr>
              <w:t> </w:t>
            </w:r>
          </w:p>
        </w:tc>
        <w:tc>
          <w:tcPr>
            <w:tcW w:w="93" w:type="dxa"/>
            <w:shd w:val="clear" w:color="auto" w:fill="FFFFFF"/>
            <w:tcMar>
              <w:top w:w="15" w:type="dxa"/>
              <w:left w:w="0" w:type="dxa"/>
              <w:bottom w:w="0" w:type="dxa"/>
              <w:right w:w="15" w:type="dxa"/>
            </w:tcMar>
            <w:vAlign w:val="bottom"/>
            <w:hideMark/>
          </w:tcPr>
          <w:p w14:paraId="0CE8F7A1" w14:textId="77777777" w:rsidR="00141675" w:rsidRPr="00141675" w:rsidRDefault="00141675" w:rsidP="00141675">
            <w:pPr>
              <w:widowControl/>
              <w:jc w:val="left"/>
              <w:rPr>
                <w:rFonts w:ascii="Calibri" w:eastAsia="宋体" w:hAnsi="Calibri" w:cs="Calibri"/>
                <w:color w:val="000000"/>
                <w:kern w:val="0"/>
                <w:sz w:val="11"/>
                <w:szCs w:val="11"/>
              </w:rPr>
            </w:pPr>
            <w:r w:rsidRPr="00141675">
              <w:rPr>
                <w:rFonts w:ascii="Calibri" w:eastAsia="宋体" w:hAnsi="Calibri" w:cs="Calibri"/>
                <w:color w:val="000000"/>
                <w:kern w:val="0"/>
                <w:sz w:val="11"/>
                <w:szCs w:val="11"/>
              </w:rPr>
              <w:t> </w:t>
            </w:r>
          </w:p>
        </w:tc>
        <w:tc>
          <w:tcPr>
            <w:tcW w:w="1061" w:type="dxa"/>
            <w:gridSpan w:val="2"/>
            <w:vMerge w:val="restart"/>
            <w:shd w:val="clear" w:color="auto" w:fill="FFFFFF"/>
            <w:tcMar>
              <w:top w:w="15" w:type="dxa"/>
              <w:left w:w="0" w:type="dxa"/>
              <w:bottom w:w="0" w:type="dxa"/>
              <w:right w:w="15" w:type="dxa"/>
            </w:tcMar>
            <w:vAlign w:val="bottom"/>
            <w:hideMark/>
          </w:tcPr>
          <w:p w14:paraId="6070A28E"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Weighted</w:t>
            </w:r>
          </w:p>
          <w:p w14:paraId="5C191995"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Average</w:t>
            </w:r>
          </w:p>
          <w:p w14:paraId="49F7522E"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Useful</w:t>
            </w:r>
          </w:p>
          <w:p w14:paraId="30187B84"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Life</w:t>
            </w:r>
            <w:r w:rsidRPr="00141675">
              <w:rPr>
                <w:rFonts w:ascii="Calibri" w:eastAsia="宋体" w:hAnsi="Calibri" w:cs="Calibri"/>
                <w:b/>
                <w:bCs/>
                <w:color w:val="000000"/>
                <w:kern w:val="0"/>
                <w:sz w:val="18"/>
                <w:szCs w:val="18"/>
                <w:vertAlign w:val="superscript"/>
              </w:rPr>
              <w:t>(2)</w:t>
            </w:r>
          </w:p>
        </w:tc>
        <w:tc>
          <w:tcPr>
            <w:tcW w:w="198" w:type="dxa"/>
            <w:vMerge w:val="restart"/>
            <w:shd w:val="clear" w:color="auto" w:fill="FFFFFF"/>
            <w:noWrap/>
            <w:tcMar>
              <w:top w:w="15" w:type="dxa"/>
              <w:left w:w="0" w:type="dxa"/>
              <w:bottom w:w="0" w:type="dxa"/>
              <w:right w:w="15" w:type="dxa"/>
            </w:tcMar>
            <w:vAlign w:val="bottom"/>
            <w:hideMark/>
          </w:tcPr>
          <w:p w14:paraId="36473166" w14:textId="77777777" w:rsidR="00141675" w:rsidRPr="00141675" w:rsidRDefault="00141675" w:rsidP="00141675">
            <w:pPr>
              <w:widowControl/>
              <w:jc w:val="left"/>
              <w:rPr>
                <w:rFonts w:ascii="Calibri" w:eastAsia="宋体" w:hAnsi="Calibri" w:cs="Calibri"/>
                <w:b/>
                <w:bCs/>
                <w:color w:val="000000"/>
                <w:kern w:val="0"/>
                <w:sz w:val="11"/>
                <w:szCs w:val="11"/>
              </w:rPr>
            </w:pPr>
            <w:r w:rsidRPr="00141675">
              <w:rPr>
                <w:rFonts w:ascii="Calibri" w:eastAsia="宋体" w:hAnsi="Calibri" w:cs="Calibri"/>
                <w:b/>
                <w:bCs/>
                <w:color w:val="000000"/>
                <w:kern w:val="0"/>
                <w:sz w:val="11"/>
                <w:szCs w:val="11"/>
              </w:rPr>
              <w:t> </w:t>
            </w:r>
          </w:p>
          <w:p w14:paraId="643EE39B" w14:textId="77777777" w:rsidR="00141675" w:rsidRPr="00141675" w:rsidRDefault="00141675" w:rsidP="00141675">
            <w:pPr>
              <w:widowControl/>
              <w:jc w:val="left"/>
              <w:rPr>
                <w:rFonts w:ascii="Calibri" w:eastAsia="宋体" w:hAnsi="Calibri" w:cs="Calibri"/>
                <w:color w:val="000000"/>
                <w:kern w:val="0"/>
                <w:sz w:val="11"/>
                <w:szCs w:val="11"/>
              </w:rPr>
            </w:pPr>
            <w:r w:rsidRPr="00141675">
              <w:rPr>
                <w:rFonts w:ascii="Calibri" w:eastAsia="宋体" w:hAnsi="Calibri" w:cs="Calibri"/>
                <w:color w:val="000000"/>
                <w:kern w:val="0"/>
                <w:sz w:val="11"/>
                <w:szCs w:val="11"/>
              </w:rPr>
              <w:t> </w:t>
            </w:r>
          </w:p>
        </w:tc>
      </w:tr>
      <w:tr w:rsidR="00141675" w:rsidRPr="00141675" w14:paraId="6E049B2B" w14:textId="77777777" w:rsidTr="00141675">
        <w:tc>
          <w:tcPr>
            <w:tcW w:w="4897" w:type="dxa"/>
            <w:tcBorders>
              <w:bottom w:val="single" w:sz="6" w:space="0" w:color="000000"/>
            </w:tcBorders>
            <w:shd w:val="clear" w:color="auto" w:fill="FFFFFF"/>
            <w:tcMar>
              <w:top w:w="15" w:type="dxa"/>
              <w:left w:w="0" w:type="dxa"/>
              <w:bottom w:w="0" w:type="dxa"/>
              <w:right w:w="15" w:type="dxa"/>
            </w:tcMar>
            <w:vAlign w:val="bottom"/>
            <w:hideMark/>
          </w:tcPr>
          <w:p w14:paraId="521A229B"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(Dollars in millions)</w:t>
            </w:r>
          </w:p>
        </w:tc>
        <w:tc>
          <w:tcPr>
            <w:tcW w:w="200" w:type="dxa"/>
            <w:shd w:val="clear" w:color="auto" w:fill="FFFFFF"/>
            <w:tcMar>
              <w:top w:w="15" w:type="dxa"/>
              <w:left w:w="0" w:type="dxa"/>
              <w:bottom w:w="0" w:type="dxa"/>
              <w:right w:w="15" w:type="dxa"/>
            </w:tcMar>
            <w:vAlign w:val="bottom"/>
            <w:hideMark/>
          </w:tcPr>
          <w:p w14:paraId="4FAE71D2"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150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515323"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May 31,</w:t>
            </w:r>
          </w:p>
          <w:p w14:paraId="34EF5B5A"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2019</w:t>
            </w:r>
          </w:p>
        </w:tc>
        <w:tc>
          <w:tcPr>
            <w:tcW w:w="93" w:type="dxa"/>
            <w:shd w:val="clear" w:color="auto" w:fill="FFFFFF"/>
            <w:noWrap/>
            <w:tcMar>
              <w:top w:w="15" w:type="dxa"/>
              <w:left w:w="0" w:type="dxa"/>
              <w:bottom w:w="0" w:type="dxa"/>
              <w:right w:w="15" w:type="dxa"/>
            </w:tcMar>
            <w:vAlign w:val="bottom"/>
            <w:hideMark/>
          </w:tcPr>
          <w:p w14:paraId="5D906C6D"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93" w:type="dxa"/>
            <w:tcBorders>
              <w:top w:val="single" w:sz="6" w:space="0" w:color="000000"/>
            </w:tcBorders>
            <w:shd w:val="clear" w:color="auto" w:fill="FFFFFF"/>
            <w:tcMar>
              <w:top w:w="15" w:type="dxa"/>
              <w:left w:w="0" w:type="dxa"/>
              <w:bottom w:w="0" w:type="dxa"/>
              <w:right w:w="15" w:type="dxa"/>
            </w:tcMar>
            <w:vAlign w:val="bottom"/>
            <w:hideMark/>
          </w:tcPr>
          <w:p w14:paraId="089C7E8C"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144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AF7861"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Additions &amp;</w:t>
            </w:r>
          </w:p>
          <w:p w14:paraId="44AA11EE"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Adjustments, net</w:t>
            </w:r>
            <w:r w:rsidRPr="00141675">
              <w:rPr>
                <w:rFonts w:ascii="Calibri" w:eastAsia="宋体" w:hAnsi="Calibri" w:cs="Calibri"/>
                <w:b/>
                <w:bCs/>
                <w:color w:val="000000"/>
                <w:kern w:val="0"/>
                <w:sz w:val="18"/>
                <w:szCs w:val="18"/>
                <w:vertAlign w:val="superscript"/>
              </w:rPr>
              <w:t>(1)</w:t>
            </w:r>
          </w:p>
        </w:tc>
        <w:tc>
          <w:tcPr>
            <w:tcW w:w="93" w:type="dxa"/>
            <w:shd w:val="clear" w:color="auto" w:fill="FFFFFF"/>
            <w:noWrap/>
            <w:tcMar>
              <w:top w:w="15" w:type="dxa"/>
              <w:left w:w="0" w:type="dxa"/>
              <w:bottom w:w="0" w:type="dxa"/>
              <w:right w:w="15" w:type="dxa"/>
            </w:tcMar>
            <w:vAlign w:val="bottom"/>
            <w:hideMark/>
          </w:tcPr>
          <w:p w14:paraId="4B7EB87E" w14:textId="77777777" w:rsidR="00141675" w:rsidRPr="00141675" w:rsidRDefault="00141675" w:rsidP="00141675">
            <w:pPr>
              <w:widowControl/>
              <w:jc w:val="left"/>
              <w:rPr>
                <w:rFonts w:ascii="Times New Roman" w:eastAsia="宋体" w:hAnsi="Times New Roman" w:cs="Times New Roman"/>
                <w:color w:val="000000"/>
                <w:kern w:val="0"/>
                <w:sz w:val="14"/>
                <w:szCs w:val="14"/>
              </w:rPr>
            </w:pPr>
            <w:r w:rsidRPr="00141675">
              <w:rPr>
                <w:rFonts w:ascii="Times New Roman" w:eastAsia="宋体" w:hAnsi="Times New Roman" w:cs="Times New Roman"/>
                <w:color w:val="000000"/>
                <w:kern w:val="0"/>
                <w:sz w:val="14"/>
                <w:szCs w:val="14"/>
              </w:rPr>
              <w:t> </w:t>
            </w:r>
          </w:p>
        </w:tc>
        <w:tc>
          <w:tcPr>
            <w:tcW w:w="93" w:type="dxa"/>
            <w:tcBorders>
              <w:top w:val="single" w:sz="6" w:space="0" w:color="000000"/>
            </w:tcBorders>
            <w:shd w:val="clear" w:color="auto" w:fill="FFFFFF"/>
            <w:tcMar>
              <w:top w:w="15" w:type="dxa"/>
              <w:left w:w="0" w:type="dxa"/>
              <w:bottom w:w="0" w:type="dxa"/>
              <w:right w:w="15" w:type="dxa"/>
            </w:tcMar>
            <w:vAlign w:val="bottom"/>
            <w:hideMark/>
          </w:tcPr>
          <w:p w14:paraId="57789C3A"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16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0E50D6"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November 30,</w:t>
            </w:r>
          </w:p>
          <w:p w14:paraId="453FED92"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2019</w:t>
            </w:r>
          </w:p>
        </w:tc>
        <w:tc>
          <w:tcPr>
            <w:tcW w:w="93" w:type="dxa"/>
            <w:shd w:val="clear" w:color="auto" w:fill="FFFFFF"/>
            <w:noWrap/>
            <w:tcMar>
              <w:top w:w="15" w:type="dxa"/>
              <w:left w:w="0" w:type="dxa"/>
              <w:bottom w:w="0" w:type="dxa"/>
              <w:right w:w="15" w:type="dxa"/>
            </w:tcMar>
            <w:vAlign w:val="bottom"/>
            <w:hideMark/>
          </w:tcPr>
          <w:p w14:paraId="4089CCFC"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93" w:type="dxa"/>
            <w:shd w:val="clear" w:color="auto" w:fill="FFFFFF"/>
            <w:tcMar>
              <w:top w:w="15" w:type="dxa"/>
              <w:left w:w="0" w:type="dxa"/>
              <w:bottom w:w="0" w:type="dxa"/>
              <w:right w:w="15" w:type="dxa"/>
            </w:tcMar>
            <w:vAlign w:val="bottom"/>
            <w:hideMark/>
          </w:tcPr>
          <w:p w14:paraId="0189BC50"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150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09F798"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May 31,</w:t>
            </w:r>
          </w:p>
          <w:p w14:paraId="456C5457"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2019</w:t>
            </w:r>
          </w:p>
        </w:tc>
        <w:tc>
          <w:tcPr>
            <w:tcW w:w="105" w:type="dxa"/>
            <w:shd w:val="clear" w:color="auto" w:fill="FFFFFF"/>
            <w:noWrap/>
            <w:tcMar>
              <w:top w:w="15" w:type="dxa"/>
              <w:left w:w="0" w:type="dxa"/>
              <w:bottom w:w="0" w:type="dxa"/>
              <w:right w:w="15" w:type="dxa"/>
            </w:tcMar>
            <w:vAlign w:val="bottom"/>
            <w:hideMark/>
          </w:tcPr>
          <w:p w14:paraId="67EC75F1"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93" w:type="dxa"/>
            <w:tcBorders>
              <w:top w:val="single" w:sz="6" w:space="0" w:color="000000"/>
            </w:tcBorders>
            <w:shd w:val="clear" w:color="auto" w:fill="FFFFFF"/>
            <w:tcMar>
              <w:top w:w="15" w:type="dxa"/>
              <w:left w:w="0" w:type="dxa"/>
              <w:bottom w:w="0" w:type="dxa"/>
              <w:right w:w="15" w:type="dxa"/>
            </w:tcMar>
            <w:vAlign w:val="bottom"/>
            <w:hideMark/>
          </w:tcPr>
          <w:p w14:paraId="75758919"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1437"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9196929"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Expense</w:t>
            </w:r>
          </w:p>
        </w:tc>
        <w:tc>
          <w:tcPr>
            <w:tcW w:w="105" w:type="dxa"/>
            <w:shd w:val="clear" w:color="auto" w:fill="FFFFFF"/>
            <w:noWrap/>
            <w:tcMar>
              <w:top w:w="15" w:type="dxa"/>
              <w:left w:w="0" w:type="dxa"/>
              <w:bottom w:w="0" w:type="dxa"/>
              <w:right w:w="15" w:type="dxa"/>
            </w:tcMar>
            <w:vAlign w:val="bottom"/>
            <w:hideMark/>
          </w:tcPr>
          <w:p w14:paraId="1EE42516"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93" w:type="dxa"/>
            <w:tcBorders>
              <w:top w:val="single" w:sz="6" w:space="0" w:color="000000"/>
            </w:tcBorders>
            <w:shd w:val="clear" w:color="auto" w:fill="FFFFFF"/>
            <w:tcMar>
              <w:top w:w="15" w:type="dxa"/>
              <w:left w:w="0" w:type="dxa"/>
              <w:bottom w:w="0" w:type="dxa"/>
              <w:right w:w="15" w:type="dxa"/>
            </w:tcMar>
            <w:vAlign w:val="bottom"/>
            <w:hideMark/>
          </w:tcPr>
          <w:p w14:paraId="316F72A4"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16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B8DD985"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November 30,</w:t>
            </w:r>
          </w:p>
          <w:p w14:paraId="2BDE71EC"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2019</w:t>
            </w:r>
          </w:p>
        </w:tc>
        <w:tc>
          <w:tcPr>
            <w:tcW w:w="105" w:type="dxa"/>
            <w:shd w:val="clear" w:color="auto" w:fill="FFFFFF"/>
            <w:noWrap/>
            <w:tcMar>
              <w:top w:w="15" w:type="dxa"/>
              <w:left w:w="0" w:type="dxa"/>
              <w:bottom w:w="0" w:type="dxa"/>
              <w:right w:w="15" w:type="dxa"/>
            </w:tcMar>
            <w:vAlign w:val="bottom"/>
            <w:hideMark/>
          </w:tcPr>
          <w:p w14:paraId="0FC543D4"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93" w:type="dxa"/>
            <w:shd w:val="clear" w:color="auto" w:fill="FFFFFF"/>
            <w:tcMar>
              <w:top w:w="15" w:type="dxa"/>
              <w:left w:w="0" w:type="dxa"/>
              <w:bottom w:w="0" w:type="dxa"/>
              <w:right w:w="15" w:type="dxa"/>
            </w:tcMar>
            <w:vAlign w:val="bottom"/>
            <w:hideMark/>
          </w:tcPr>
          <w:p w14:paraId="1DC7CE5F"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150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544C863"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May 31,</w:t>
            </w:r>
          </w:p>
          <w:p w14:paraId="0AC84872"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2019</w:t>
            </w:r>
          </w:p>
        </w:tc>
        <w:tc>
          <w:tcPr>
            <w:tcW w:w="93" w:type="dxa"/>
            <w:shd w:val="clear" w:color="auto" w:fill="FFFFFF"/>
            <w:noWrap/>
            <w:tcMar>
              <w:top w:w="15" w:type="dxa"/>
              <w:left w:w="0" w:type="dxa"/>
              <w:bottom w:w="0" w:type="dxa"/>
              <w:right w:w="15" w:type="dxa"/>
            </w:tcMar>
            <w:vAlign w:val="bottom"/>
            <w:hideMark/>
          </w:tcPr>
          <w:p w14:paraId="40900605"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93" w:type="dxa"/>
            <w:tcBorders>
              <w:top w:val="single" w:sz="6" w:space="0" w:color="000000"/>
            </w:tcBorders>
            <w:shd w:val="clear" w:color="auto" w:fill="FFFFFF"/>
            <w:tcMar>
              <w:top w:w="15" w:type="dxa"/>
              <w:left w:w="0" w:type="dxa"/>
              <w:bottom w:w="0" w:type="dxa"/>
              <w:right w:w="15" w:type="dxa"/>
            </w:tcMar>
            <w:vAlign w:val="bottom"/>
            <w:hideMark/>
          </w:tcPr>
          <w:p w14:paraId="7043C807" w14:textId="77777777" w:rsidR="00141675" w:rsidRPr="00141675" w:rsidRDefault="00141675" w:rsidP="00141675">
            <w:pPr>
              <w:widowControl/>
              <w:jc w:val="left"/>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 </w:t>
            </w:r>
          </w:p>
        </w:tc>
        <w:tc>
          <w:tcPr>
            <w:tcW w:w="1644"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5DA90E"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November 30,</w:t>
            </w:r>
          </w:p>
          <w:p w14:paraId="6B2B694E" w14:textId="77777777" w:rsidR="00141675" w:rsidRPr="00141675" w:rsidRDefault="00141675" w:rsidP="00141675">
            <w:pPr>
              <w:widowControl/>
              <w:jc w:val="center"/>
              <w:rPr>
                <w:rFonts w:ascii="Calibri" w:eastAsia="宋体" w:hAnsi="Calibri" w:cs="Calibri"/>
                <w:b/>
                <w:bCs/>
                <w:color w:val="000000"/>
                <w:kern w:val="0"/>
                <w:sz w:val="14"/>
                <w:szCs w:val="14"/>
              </w:rPr>
            </w:pPr>
            <w:r w:rsidRPr="00141675">
              <w:rPr>
                <w:rFonts w:ascii="Calibri" w:eastAsia="宋体" w:hAnsi="Calibri" w:cs="Calibri"/>
                <w:b/>
                <w:bCs/>
                <w:color w:val="000000"/>
                <w:kern w:val="0"/>
                <w:sz w:val="14"/>
                <w:szCs w:val="14"/>
              </w:rPr>
              <w:t>2019</w:t>
            </w:r>
          </w:p>
        </w:tc>
        <w:tc>
          <w:tcPr>
            <w:tcW w:w="93" w:type="dxa"/>
            <w:shd w:val="clear" w:color="auto" w:fill="FFFFFF"/>
            <w:noWrap/>
            <w:tcMar>
              <w:top w:w="15" w:type="dxa"/>
              <w:left w:w="0" w:type="dxa"/>
              <w:bottom w:w="0" w:type="dxa"/>
              <w:right w:w="15" w:type="dxa"/>
            </w:tcMar>
            <w:vAlign w:val="bottom"/>
            <w:hideMark/>
          </w:tcPr>
          <w:p w14:paraId="7B73D2D6" w14:textId="77777777" w:rsidR="00141675" w:rsidRPr="00141675" w:rsidRDefault="00141675" w:rsidP="00141675">
            <w:pPr>
              <w:widowControl/>
              <w:jc w:val="left"/>
              <w:rPr>
                <w:rFonts w:ascii="Calibri" w:eastAsia="宋体" w:hAnsi="Calibri" w:cs="Calibri"/>
                <w:b/>
                <w:bCs/>
                <w:color w:val="000000"/>
                <w:kern w:val="0"/>
                <w:sz w:val="11"/>
                <w:szCs w:val="11"/>
              </w:rPr>
            </w:pPr>
            <w:r w:rsidRPr="00141675">
              <w:rPr>
                <w:rFonts w:ascii="Calibri" w:eastAsia="宋体" w:hAnsi="Calibri" w:cs="Calibri"/>
                <w:b/>
                <w:bCs/>
                <w:color w:val="000000"/>
                <w:kern w:val="0"/>
                <w:sz w:val="11"/>
                <w:szCs w:val="11"/>
              </w:rPr>
              <w:t> </w:t>
            </w:r>
          </w:p>
        </w:tc>
        <w:tc>
          <w:tcPr>
            <w:tcW w:w="93" w:type="dxa"/>
            <w:shd w:val="clear" w:color="auto" w:fill="FFFFFF"/>
            <w:tcMar>
              <w:top w:w="15" w:type="dxa"/>
              <w:left w:w="0" w:type="dxa"/>
              <w:bottom w:w="0" w:type="dxa"/>
              <w:right w:w="15" w:type="dxa"/>
            </w:tcMar>
            <w:vAlign w:val="bottom"/>
            <w:hideMark/>
          </w:tcPr>
          <w:p w14:paraId="256C658A" w14:textId="77777777" w:rsidR="00141675" w:rsidRPr="00141675" w:rsidRDefault="00141675" w:rsidP="00141675">
            <w:pPr>
              <w:widowControl/>
              <w:jc w:val="left"/>
              <w:rPr>
                <w:rFonts w:ascii="Calibri" w:eastAsia="宋体" w:hAnsi="Calibri" w:cs="Calibri"/>
                <w:b/>
                <w:bCs/>
                <w:color w:val="000000"/>
                <w:kern w:val="0"/>
                <w:sz w:val="11"/>
                <w:szCs w:val="11"/>
              </w:rPr>
            </w:pPr>
            <w:r w:rsidRPr="00141675">
              <w:rPr>
                <w:rFonts w:ascii="Calibri" w:eastAsia="宋体" w:hAnsi="Calibri" w:cs="Calibri"/>
                <w:b/>
                <w:bCs/>
                <w:color w:val="000000"/>
                <w:kern w:val="0"/>
                <w:sz w:val="11"/>
                <w:szCs w:val="11"/>
              </w:rPr>
              <w:t> </w:t>
            </w:r>
          </w:p>
        </w:tc>
        <w:tc>
          <w:tcPr>
            <w:tcW w:w="0" w:type="auto"/>
            <w:gridSpan w:val="2"/>
            <w:vMerge/>
            <w:vAlign w:val="center"/>
            <w:hideMark/>
          </w:tcPr>
          <w:p w14:paraId="4A80141B" w14:textId="77777777" w:rsidR="00141675" w:rsidRPr="00141675" w:rsidRDefault="00141675" w:rsidP="00141675">
            <w:pPr>
              <w:widowControl/>
              <w:spacing w:beforeAutospacing="1" w:afterAutospacing="1"/>
              <w:jc w:val="left"/>
              <w:rPr>
                <w:rFonts w:ascii="Calibri" w:eastAsia="宋体" w:hAnsi="Calibri" w:cs="Calibri"/>
                <w:b/>
                <w:bCs/>
                <w:color w:val="000000"/>
                <w:kern w:val="0"/>
                <w:sz w:val="14"/>
                <w:szCs w:val="14"/>
              </w:rPr>
            </w:pPr>
          </w:p>
        </w:tc>
        <w:tc>
          <w:tcPr>
            <w:tcW w:w="0" w:type="auto"/>
            <w:vMerge/>
            <w:vAlign w:val="center"/>
            <w:hideMark/>
          </w:tcPr>
          <w:p w14:paraId="2E9039C2" w14:textId="77777777" w:rsidR="00141675" w:rsidRPr="00141675" w:rsidRDefault="00141675" w:rsidP="00141675">
            <w:pPr>
              <w:widowControl/>
              <w:spacing w:beforeAutospacing="1" w:afterAutospacing="1"/>
              <w:jc w:val="left"/>
              <w:rPr>
                <w:rFonts w:ascii="Calibri" w:eastAsia="宋体" w:hAnsi="Calibri" w:cs="Calibri"/>
                <w:color w:val="000000"/>
                <w:kern w:val="0"/>
                <w:sz w:val="11"/>
                <w:szCs w:val="11"/>
              </w:rPr>
            </w:pPr>
          </w:p>
        </w:tc>
      </w:tr>
      <w:tr w:rsidR="00141675" w:rsidRPr="00141675" w14:paraId="3B2C1370" w14:textId="77777777" w:rsidTr="00141675">
        <w:tc>
          <w:tcPr>
            <w:tcW w:w="4897" w:type="dxa"/>
            <w:tcBorders>
              <w:top w:val="single" w:sz="6" w:space="0" w:color="000000"/>
            </w:tcBorders>
            <w:shd w:val="clear" w:color="auto" w:fill="CFF0FC"/>
            <w:tcMar>
              <w:top w:w="15" w:type="dxa"/>
              <w:left w:w="0" w:type="dxa"/>
              <w:bottom w:w="0" w:type="dxa"/>
              <w:right w:w="15" w:type="dxa"/>
            </w:tcMar>
            <w:hideMark/>
          </w:tcPr>
          <w:p w14:paraId="41C1BCB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Developed technology</w:t>
            </w:r>
          </w:p>
        </w:tc>
        <w:tc>
          <w:tcPr>
            <w:tcW w:w="200" w:type="dxa"/>
            <w:shd w:val="clear" w:color="auto" w:fill="CFF0FC"/>
            <w:tcMar>
              <w:top w:w="15" w:type="dxa"/>
              <w:left w:w="0" w:type="dxa"/>
              <w:bottom w:w="0" w:type="dxa"/>
              <w:right w:w="15" w:type="dxa"/>
            </w:tcMar>
            <w:vAlign w:val="bottom"/>
            <w:hideMark/>
          </w:tcPr>
          <w:p w14:paraId="4071177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6" w:type="dxa"/>
            <w:tcBorders>
              <w:top w:val="single" w:sz="6" w:space="0" w:color="000000"/>
            </w:tcBorders>
            <w:shd w:val="clear" w:color="auto" w:fill="CFF0FC"/>
            <w:noWrap/>
            <w:tcMar>
              <w:top w:w="15" w:type="dxa"/>
              <w:left w:w="0" w:type="dxa"/>
              <w:bottom w:w="0" w:type="dxa"/>
              <w:right w:w="15" w:type="dxa"/>
            </w:tcMar>
            <w:vAlign w:val="bottom"/>
            <w:hideMark/>
          </w:tcPr>
          <w:p w14:paraId="4D9CF98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93" w:type="dxa"/>
            <w:tcBorders>
              <w:top w:val="single" w:sz="6" w:space="0" w:color="000000"/>
            </w:tcBorders>
            <w:shd w:val="clear" w:color="auto" w:fill="CFF0FC"/>
            <w:noWrap/>
            <w:tcMar>
              <w:top w:w="15" w:type="dxa"/>
              <w:left w:w="0" w:type="dxa"/>
              <w:bottom w:w="0" w:type="dxa"/>
              <w:right w:w="15" w:type="dxa"/>
            </w:tcMar>
            <w:vAlign w:val="bottom"/>
            <w:hideMark/>
          </w:tcPr>
          <w:p w14:paraId="1A1E9C92"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5,406</w:t>
            </w:r>
          </w:p>
        </w:tc>
        <w:tc>
          <w:tcPr>
            <w:tcW w:w="93" w:type="dxa"/>
            <w:shd w:val="clear" w:color="auto" w:fill="CFF0FC"/>
            <w:noWrap/>
            <w:tcMar>
              <w:top w:w="15" w:type="dxa"/>
              <w:left w:w="0" w:type="dxa"/>
              <w:bottom w:w="0" w:type="dxa"/>
              <w:right w:w="15" w:type="dxa"/>
            </w:tcMar>
            <w:vAlign w:val="bottom"/>
            <w:hideMark/>
          </w:tcPr>
          <w:p w14:paraId="23695AA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1BC80C7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00" w:type="dxa"/>
            <w:tcBorders>
              <w:top w:val="single" w:sz="6" w:space="0" w:color="000000"/>
            </w:tcBorders>
            <w:shd w:val="clear" w:color="auto" w:fill="CFF0FC"/>
            <w:noWrap/>
            <w:tcMar>
              <w:top w:w="15" w:type="dxa"/>
              <w:left w:w="0" w:type="dxa"/>
              <w:bottom w:w="0" w:type="dxa"/>
              <w:right w:w="15" w:type="dxa"/>
            </w:tcMar>
            <w:vAlign w:val="bottom"/>
            <w:hideMark/>
          </w:tcPr>
          <w:p w14:paraId="6494045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26" w:type="dxa"/>
            <w:tcBorders>
              <w:top w:val="single" w:sz="6" w:space="0" w:color="000000"/>
            </w:tcBorders>
            <w:shd w:val="clear" w:color="auto" w:fill="CFF0FC"/>
            <w:noWrap/>
            <w:tcMar>
              <w:top w:w="15" w:type="dxa"/>
              <w:left w:w="0" w:type="dxa"/>
              <w:bottom w:w="0" w:type="dxa"/>
              <w:right w:w="15" w:type="dxa"/>
            </w:tcMar>
            <w:vAlign w:val="bottom"/>
            <w:hideMark/>
          </w:tcPr>
          <w:p w14:paraId="1D77F4F2"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17</w:t>
            </w:r>
          </w:p>
        </w:tc>
        <w:tc>
          <w:tcPr>
            <w:tcW w:w="93" w:type="dxa"/>
            <w:shd w:val="clear" w:color="auto" w:fill="CFF0FC"/>
            <w:noWrap/>
            <w:tcMar>
              <w:top w:w="15" w:type="dxa"/>
              <w:left w:w="0" w:type="dxa"/>
              <w:bottom w:w="0" w:type="dxa"/>
              <w:right w:w="15" w:type="dxa"/>
            </w:tcMar>
            <w:vAlign w:val="bottom"/>
            <w:hideMark/>
          </w:tcPr>
          <w:p w14:paraId="1DFCB23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024ED58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tcBorders>
            <w:shd w:val="clear" w:color="auto" w:fill="CFF0FC"/>
            <w:noWrap/>
            <w:tcMar>
              <w:top w:w="15" w:type="dxa"/>
              <w:left w:w="0" w:type="dxa"/>
              <w:bottom w:w="0" w:type="dxa"/>
              <w:right w:w="15" w:type="dxa"/>
            </w:tcMar>
            <w:vAlign w:val="bottom"/>
            <w:hideMark/>
          </w:tcPr>
          <w:p w14:paraId="25638B0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433" w:type="dxa"/>
            <w:tcBorders>
              <w:top w:val="single" w:sz="6" w:space="0" w:color="000000"/>
            </w:tcBorders>
            <w:shd w:val="clear" w:color="auto" w:fill="CFF0FC"/>
            <w:noWrap/>
            <w:tcMar>
              <w:top w:w="15" w:type="dxa"/>
              <w:left w:w="0" w:type="dxa"/>
              <w:bottom w:w="0" w:type="dxa"/>
              <w:right w:w="15" w:type="dxa"/>
            </w:tcMar>
            <w:vAlign w:val="bottom"/>
            <w:hideMark/>
          </w:tcPr>
          <w:p w14:paraId="76D9F265"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5,423</w:t>
            </w:r>
          </w:p>
        </w:tc>
        <w:tc>
          <w:tcPr>
            <w:tcW w:w="93" w:type="dxa"/>
            <w:shd w:val="clear" w:color="auto" w:fill="CFF0FC"/>
            <w:noWrap/>
            <w:tcMar>
              <w:top w:w="15" w:type="dxa"/>
              <w:left w:w="0" w:type="dxa"/>
              <w:bottom w:w="0" w:type="dxa"/>
              <w:right w:w="15" w:type="dxa"/>
            </w:tcMar>
            <w:vAlign w:val="bottom"/>
            <w:hideMark/>
          </w:tcPr>
          <w:p w14:paraId="223515E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69956F6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tcBorders>
            <w:shd w:val="clear" w:color="auto" w:fill="CFF0FC"/>
            <w:noWrap/>
            <w:tcMar>
              <w:top w:w="15" w:type="dxa"/>
              <w:left w:w="0" w:type="dxa"/>
              <w:bottom w:w="0" w:type="dxa"/>
              <w:right w:w="15" w:type="dxa"/>
            </w:tcMar>
            <w:vAlign w:val="bottom"/>
            <w:hideMark/>
          </w:tcPr>
          <w:p w14:paraId="24E0406D"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93" w:type="dxa"/>
            <w:tcBorders>
              <w:top w:val="single" w:sz="6" w:space="0" w:color="000000"/>
            </w:tcBorders>
            <w:shd w:val="clear" w:color="auto" w:fill="CFF0FC"/>
            <w:noWrap/>
            <w:tcMar>
              <w:top w:w="15" w:type="dxa"/>
              <w:left w:w="0" w:type="dxa"/>
              <w:bottom w:w="0" w:type="dxa"/>
              <w:right w:w="15" w:type="dxa"/>
            </w:tcMar>
            <w:vAlign w:val="bottom"/>
            <w:hideMark/>
          </w:tcPr>
          <w:p w14:paraId="4A14664C"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(3,467</w:t>
            </w:r>
          </w:p>
        </w:tc>
        <w:tc>
          <w:tcPr>
            <w:tcW w:w="105" w:type="dxa"/>
            <w:shd w:val="clear" w:color="auto" w:fill="CFF0FC"/>
            <w:noWrap/>
            <w:tcMar>
              <w:top w:w="15" w:type="dxa"/>
              <w:left w:w="0" w:type="dxa"/>
              <w:bottom w:w="0" w:type="dxa"/>
              <w:right w:w="15" w:type="dxa"/>
            </w:tcMar>
            <w:vAlign w:val="bottom"/>
            <w:hideMark/>
          </w:tcPr>
          <w:p w14:paraId="0BA53D2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CFF0FC"/>
            <w:tcMar>
              <w:top w:w="15" w:type="dxa"/>
              <w:left w:w="0" w:type="dxa"/>
              <w:bottom w:w="0" w:type="dxa"/>
              <w:right w:w="15" w:type="dxa"/>
            </w:tcMar>
            <w:vAlign w:val="bottom"/>
            <w:hideMark/>
          </w:tcPr>
          <w:p w14:paraId="5D27452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tcBorders>
            <w:shd w:val="clear" w:color="auto" w:fill="CFF0FC"/>
            <w:noWrap/>
            <w:tcMar>
              <w:top w:w="15" w:type="dxa"/>
              <w:left w:w="0" w:type="dxa"/>
              <w:bottom w:w="0" w:type="dxa"/>
              <w:right w:w="15" w:type="dxa"/>
            </w:tcMar>
            <w:vAlign w:val="bottom"/>
            <w:hideMark/>
          </w:tcPr>
          <w:p w14:paraId="4694B00D"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26" w:type="dxa"/>
            <w:tcBorders>
              <w:top w:val="single" w:sz="6" w:space="0" w:color="000000"/>
            </w:tcBorders>
            <w:shd w:val="clear" w:color="auto" w:fill="CFF0FC"/>
            <w:noWrap/>
            <w:tcMar>
              <w:top w:w="15" w:type="dxa"/>
              <w:left w:w="0" w:type="dxa"/>
              <w:bottom w:w="0" w:type="dxa"/>
              <w:right w:w="15" w:type="dxa"/>
            </w:tcMar>
            <w:vAlign w:val="bottom"/>
            <w:hideMark/>
          </w:tcPr>
          <w:p w14:paraId="5132B61E"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(415</w:t>
            </w:r>
          </w:p>
        </w:tc>
        <w:tc>
          <w:tcPr>
            <w:tcW w:w="105" w:type="dxa"/>
            <w:shd w:val="clear" w:color="auto" w:fill="CFF0FC"/>
            <w:noWrap/>
            <w:tcMar>
              <w:top w:w="15" w:type="dxa"/>
              <w:left w:w="0" w:type="dxa"/>
              <w:bottom w:w="0" w:type="dxa"/>
              <w:right w:w="15" w:type="dxa"/>
            </w:tcMar>
            <w:vAlign w:val="bottom"/>
            <w:hideMark/>
          </w:tcPr>
          <w:p w14:paraId="21817D1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CFF0FC"/>
            <w:tcMar>
              <w:top w:w="15" w:type="dxa"/>
              <w:left w:w="0" w:type="dxa"/>
              <w:bottom w:w="0" w:type="dxa"/>
              <w:right w:w="15" w:type="dxa"/>
            </w:tcMar>
            <w:vAlign w:val="bottom"/>
            <w:hideMark/>
          </w:tcPr>
          <w:p w14:paraId="7FA9575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tcBorders>
            <w:shd w:val="clear" w:color="auto" w:fill="CFF0FC"/>
            <w:noWrap/>
            <w:tcMar>
              <w:top w:w="15" w:type="dxa"/>
              <w:left w:w="0" w:type="dxa"/>
              <w:bottom w:w="0" w:type="dxa"/>
              <w:right w:w="15" w:type="dxa"/>
            </w:tcMar>
            <w:vAlign w:val="bottom"/>
            <w:hideMark/>
          </w:tcPr>
          <w:p w14:paraId="1E8878F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433" w:type="dxa"/>
            <w:tcBorders>
              <w:top w:val="single" w:sz="6" w:space="0" w:color="000000"/>
            </w:tcBorders>
            <w:shd w:val="clear" w:color="auto" w:fill="CFF0FC"/>
            <w:noWrap/>
            <w:tcMar>
              <w:top w:w="15" w:type="dxa"/>
              <w:left w:w="0" w:type="dxa"/>
              <w:bottom w:w="0" w:type="dxa"/>
              <w:right w:w="15" w:type="dxa"/>
            </w:tcMar>
            <w:vAlign w:val="bottom"/>
            <w:hideMark/>
          </w:tcPr>
          <w:p w14:paraId="7495D6AC"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(3,882</w:t>
            </w:r>
          </w:p>
        </w:tc>
        <w:tc>
          <w:tcPr>
            <w:tcW w:w="105" w:type="dxa"/>
            <w:shd w:val="clear" w:color="auto" w:fill="CFF0FC"/>
            <w:noWrap/>
            <w:tcMar>
              <w:top w:w="15" w:type="dxa"/>
              <w:left w:w="0" w:type="dxa"/>
              <w:bottom w:w="0" w:type="dxa"/>
              <w:right w:w="15" w:type="dxa"/>
            </w:tcMar>
            <w:vAlign w:val="bottom"/>
            <w:hideMark/>
          </w:tcPr>
          <w:p w14:paraId="33598C1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CFF0FC"/>
            <w:tcMar>
              <w:top w:w="15" w:type="dxa"/>
              <w:left w:w="0" w:type="dxa"/>
              <w:bottom w:w="0" w:type="dxa"/>
              <w:right w:w="15" w:type="dxa"/>
            </w:tcMar>
            <w:vAlign w:val="bottom"/>
            <w:hideMark/>
          </w:tcPr>
          <w:p w14:paraId="0D60B8F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tcBorders>
            <w:shd w:val="clear" w:color="auto" w:fill="CFF0FC"/>
            <w:noWrap/>
            <w:tcMar>
              <w:top w:w="15" w:type="dxa"/>
              <w:left w:w="0" w:type="dxa"/>
              <w:bottom w:w="0" w:type="dxa"/>
              <w:right w:w="15" w:type="dxa"/>
            </w:tcMar>
            <w:vAlign w:val="bottom"/>
            <w:hideMark/>
          </w:tcPr>
          <w:p w14:paraId="52A45DF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93" w:type="dxa"/>
            <w:tcBorders>
              <w:top w:val="single" w:sz="6" w:space="0" w:color="000000"/>
            </w:tcBorders>
            <w:shd w:val="clear" w:color="auto" w:fill="CFF0FC"/>
            <w:noWrap/>
            <w:tcMar>
              <w:top w:w="15" w:type="dxa"/>
              <w:left w:w="0" w:type="dxa"/>
              <w:bottom w:w="0" w:type="dxa"/>
              <w:right w:w="15" w:type="dxa"/>
            </w:tcMar>
            <w:vAlign w:val="bottom"/>
            <w:hideMark/>
          </w:tcPr>
          <w:p w14:paraId="06B62AE6"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1,939</w:t>
            </w:r>
          </w:p>
        </w:tc>
        <w:tc>
          <w:tcPr>
            <w:tcW w:w="93" w:type="dxa"/>
            <w:shd w:val="clear" w:color="auto" w:fill="CFF0FC"/>
            <w:noWrap/>
            <w:tcMar>
              <w:top w:w="15" w:type="dxa"/>
              <w:left w:w="0" w:type="dxa"/>
              <w:bottom w:w="0" w:type="dxa"/>
              <w:right w:w="15" w:type="dxa"/>
            </w:tcMar>
            <w:vAlign w:val="bottom"/>
            <w:hideMark/>
          </w:tcPr>
          <w:p w14:paraId="15985C5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111A9A6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tcBorders>
            <w:shd w:val="clear" w:color="auto" w:fill="CFF0FC"/>
            <w:noWrap/>
            <w:tcMar>
              <w:top w:w="15" w:type="dxa"/>
              <w:left w:w="0" w:type="dxa"/>
              <w:bottom w:w="0" w:type="dxa"/>
              <w:right w:w="15" w:type="dxa"/>
            </w:tcMar>
            <w:vAlign w:val="bottom"/>
            <w:hideMark/>
          </w:tcPr>
          <w:p w14:paraId="44A2D28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433" w:type="dxa"/>
            <w:tcBorders>
              <w:top w:val="single" w:sz="6" w:space="0" w:color="000000"/>
            </w:tcBorders>
            <w:shd w:val="clear" w:color="auto" w:fill="CFF0FC"/>
            <w:noWrap/>
            <w:tcMar>
              <w:top w:w="15" w:type="dxa"/>
              <w:left w:w="0" w:type="dxa"/>
              <w:bottom w:w="0" w:type="dxa"/>
              <w:right w:w="15" w:type="dxa"/>
            </w:tcMar>
            <w:vAlign w:val="bottom"/>
            <w:hideMark/>
          </w:tcPr>
          <w:p w14:paraId="3573BF8A"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1,541</w:t>
            </w:r>
          </w:p>
        </w:tc>
        <w:tc>
          <w:tcPr>
            <w:tcW w:w="93" w:type="dxa"/>
            <w:shd w:val="clear" w:color="auto" w:fill="CFF0FC"/>
            <w:noWrap/>
            <w:tcMar>
              <w:top w:w="15" w:type="dxa"/>
              <w:left w:w="0" w:type="dxa"/>
              <w:bottom w:w="0" w:type="dxa"/>
              <w:right w:w="15" w:type="dxa"/>
            </w:tcMar>
            <w:vAlign w:val="bottom"/>
            <w:hideMark/>
          </w:tcPr>
          <w:p w14:paraId="3487EEF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5DE67D4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91" w:type="dxa"/>
            <w:tcBorders>
              <w:top w:val="single" w:sz="6" w:space="0" w:color="000000"/>
            </w:tcBorders>
            <w:shd w:val="clear" w:color="auto" w:fill="CFF0FC"/>
            <w:noWrap/>
            <w:tcMar>
              <w:top w:w="15" w:type="dxa"/>
              <w:left w:w="0" w:type="dxa"/>
              <w:bottom w:w="0" w:type="dxa"/>
              <w:right w:w="15" w:type="dxa"/>
            </w:tcMar>
            <w:vAlign w:val="bottom"/>
            <w:hideMark/>
          </w:tcPr>
          <w:p w14:paraId="6E60CB9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755" w:type="dxa"/>
            <w:tcBorders>
              <w:top w:val="single" w:sz="6" w:space="0" w:color="000000"/>
            </w:tcBorders>
            <w:shd w:val="clear" w:color="auto" w:fill="CFF0FC"/>
            <w:noWrap/>
            <w:tcMar>
              <w:top w:w="15" w:type="dxa"/>
              <w:left w:w="0" w:type="dxa"/>
              <w:bottom w:w="0" w:type="dxa"/>
              <w:right w:w="15" w:type="dxa"/>
            </w:tcMar>
            <w:vAlign w:val="bottom"/>
            <w:hideMark/>
          </w:tcPr>
          <w:p w14:paraId="126EF537"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5</w:t>
            </w:r>
          </w:p>
        </w:tc>
        <w:tc>
          <w:tcPr>
            <w:tcW w:w="198" w:type="dxa"/>
            <w:shd w:val="clear" w:color="auto" w:fill="CFF0FC"/>
            <w:noWrap/>
            <w:tcMar>
              <w:top w:w="15" w:type="dxa"/>
              <w:left w:w="0" w:type="dxa"/>
              <w:bottom w:w="0" w:type="dxa"/>
              <w:right w:w="15" w:type="dxa"/>
            </w:tcMar>
            <w:vAlign w:val="bottom"/>
            <w:hideMark/>
          </w:tcPr>
          <w:p w14:paraId="45C1E99D" w14:textId="77777777" w:rsidR="00141675" w:rsidRPr="00141675" w:rsidRDefault="00141675" w:rsidP="00141675">
            <w:pPr>
              <w:widowControl/>
              <w:jc w:val="left"/>
              <w:rPr>
                <w:rFonts w:ascii="Calibri" w:eastAsia="宋体" w:hAnsi="Calibri" w:cs="Calibri"/>
                <w:color w:val="000000"/>
                <w:kern w:val="0"/>
                <w:sz w:val="13"/>
                <w:szCs w:val="13"/>
              </w:rPr>
            </w:pPr>
            <w:r w:rsidRPr="00141675">
              <w:rPr>
                <w:rFonts w:ascii="Calibri" w:eastAsia="宋体" w:hAnsi="Calibri" w:cs="Calibri"/>
                <w:color w:val="000000"/>
                <w:kern w:val="0"/>
                <w:sz w:val="13"/>
                <w:szCs w:val="13"/>
              </w:rPr>
              <w:t> </w:t>
            </w:r>
          </w:p>
        </w:tc>
      </w:tr>
      <w:tr w:rsidR="00141675" w:rsidRPr="00141675" w14:paraId="1EA68489" w14:textId="77777777" w:rsidTr="00141675">
        <w:tc>
          <w:tcPr>
            <w:tcW w:w="4897" w:type="dxa"/>
            <w:shd w:val="clear" w:color="auto" w:fill="FFFFFF"/>
            <w:tcMar>
              <w:top w:w="15" w:type="dxa"/>
              <w:left w:w="0" w:type="dxa"/>
              <w:bottom w:w="0" w:type="dxa"/>
              <w:right w:w="15" w:type="dxa"/>
            </w:tcMar>
            <w:hideMark/>
          </w:tcPr>
          <w:p w14:paraId="24F27CA4" w14:textId="77777777" w:rsidR="00141675" w:rsidRPr="00141675" w:rsidRDefault="00141675" w:rsidP="00141675">
            <w:pPr>
              <w:widowControl/>
              <w:ind w:left="144" w:hanging="144"/>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Cloud services and license support agreements and related relationships</w:t>
            </w:r>
          </w:p>
        </w:tc>
        <w:tc>
          <w:tcPr>
            <w:tcW w:w="200" w:type="dxa"/>
            <w:shd w:val="clear" w:color="auto" w:fill="FFFFFF"/>
            <w:tcMar>
              <w:top w:w="15" w:type="dxa"/>
              <w:left w:w="0" w:type="dxa"/>
              <w:bottom w:w="0" w:type="dxa"/>
              <w:right w:w="15" w:type="dxa"/>
            </w:tcMar>
            <w:vAlign w:val="bottom"/>
            <w:hideMark/>
          </w:tcPr>
          <w:p w14:paraId="05A467F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6" w:type="dxa"/>
            <w:shd w:val="clear" w:color="auto" w:fill="FFFFFF"/>
            <w:noWrap/>
            <w:tcMar>
              <w:top w:w="15" w:type="dxa"/>
              <w:left w:w="0" w:type="dxa"/>
              <w:bottom w:w="0" w:type="dxa"/>
              <w:right w:w="15" w:type="dxa"/>
            </w:tcMar>
            <w:vAlign w:val="bottom"/>
            <w:hideMark/>
          </w:tcPr>
          <w:p w14:paraId="0F350DA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93" w:type="dxa"/>
            <w:shd w:val="clear" w:color="auto" w:fill="FFFFFF"/>
            <w:noWrap/>
            <w:tcMar>
              <w:top w:w="15" w:type="dxa"/>
              <w:left w:w="0" w:type="dxa"/>
              <w:bottom w:w="0" w:type="dxa"/>
              <w:right w:w="15" w:type="dxa"/>
            </w:tcMar>
            <w:vAlign w:val="bottom"/>
            <w:hideMark/>
          </w:tcPr>
          <w:p w14:paraId="015A805D"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5,693</w:t>
            </w:r>
          </w:p>
        </w:tc>
        <w:tc>
          <w:tcPr>
            <w:tcW w:w="93" w:type="dxa"/>
            <w:shd w:val="clear" w:color="auto" w:fill="FFFFFF"/>
            <w:noWrap/>
            <w:tcMar>
              <w:top w:w="15" w:type="dxa"/>
              <w:left w:w="0" w:type="dxa"/>
              <w:bottom w:w="0" w:type="dxa"/>
              <w:right w:w="15" w:type="dxa"/>
            </w:tcMar>
            <w:vAlign w:val="bottom"/>
            <w:hideMark/>
          </w:tcPr>
          <w:p w14:paraId="07FB337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4AF1771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00" w:type="dxa"/>
            <w:shd w:val="clear" w:color="auto" w:fill="FFFFFF"/>
            <w:noWrap/>
            <w:tcMar>
              <w:top w:w="15" w:type="dxa"/>
              <w:left w:w="0" w:type="dxa"/>
              <w:bottom w:w="0" w:type="dxa"/>
              <w:right w:w="15" w:type="dxa"/>
            </w:tcMar>
            <w:vAlign w:val="bottom"/>
            <w:hideMark/>
          </w:tcPr>
          <w:p w14:paraId="2C72175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26" w:type="dxa"/>
            <w:shd w:val="clear" w:color="auto" w:fill="FFFFFF"/>
            <w:noWrap/>
            <w:tcMar>
              <w:top w:w="15" w:type="dxa"/>
              <w:left w:w="0" w:type="dxa"/>
              <w:bottom w:w="0" w:type="dxa"/>
              <w:right w:w="15" w:type="dxa"/>
            </w:tcMar>
            <w:vAlign w:val="bottom"/>
            <w:hideMark/>
          </w:tcPr>
          <w:p w14:paraId="2FF72BE5"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15</w:t>
            </w:r>
          </w:p>
        </w:tc>
        <w:tc>
          <w:tcPr>
            <w:tcW w:w="93" w:type="dxa"/>
            <w:shd w:val="clear" w:color="auto" w:fill="FFFFFF"/>
            <w:noWrap/>
            <w:tcMar>
              <w:top w:w="15" w:type="dxa"/>
              <w:left w:w="0" w:type="dxa"/>
              <w:bottom w:w="0" w:type="dxa"/>
              <w:right w:w="15" w:type="dxa"/>
            </w:tcMar>
            <w:vAlign w:val="bottom"/>
            <w:hideMark/>
          </w:tcPr>
          <w:p w14:paraId="385BB34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30F88DE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shd w:val="clear" w:color="auto" w:fill="FFFFFF"/>
            <w:noWrap/>
            <w:tcMar>
              <w:top w:w="15" w:type="dxa"/>
              <w:left w:w="0" w:type="dxa"/>
              <w:bottom w:w="0" w:type="dxa"/>
              <w:right w:w="15" w:type="dxa"/>
            </w:tcMar>
            <w:vAlign w:val="bottom"/>
            <w:hideMark/>
          </w:tcPr>
          <w:p w14:paraId="4A68566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33" w:type="dxa"/>
            <w:shd w:val="clear" w:color="auto" w:fill="FFFFFF"/>
            <w:noWrap/>
            <w:tcMar>
              <w:top w:w="15" w:type="dxa"/>
              <w:left w:w="0" w:type="dxa"/>
              <w:bottom w:w="0" w:type="dxa"/>
              <w:right w:w="15" w:type="dxa"/>
            </w:tcMar>
            <w:vAlign w:val="bottom"/>
            <w:hideMark/>
          </w:tcPr>
          <w:p w14:paraId="1FC7301E"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5,708</w:t>
            </w:r>
          </w:p>
        </w:tc>
        <w:tc>
          <w:tcPr>
            <w:tcW w:w="93" w:type="dxa"/>
            <w:shd w:val="clear" w:color="auto" w:fill="FFFFFF"/>
            <w:noWrap/>
            <w:tcMar>
              <w:top w:w="15" w:type="dxa"/>
              <w:left w:w="0" w:type="dxa"/>
              <w:bottom w:w="0" w:type="dxa"/>
              <w:right w:w="15" w:type="dxa"/>
            </w:tcMar>
            <w:vAlign w:val="bottom"/>
            <w:hideMark/>
          </w:tcPr>
          <w:p w14:paraId="378DB70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52B46AD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shd w:val="clear" w:color="auto" w:fill="FFFFFF"/>
            <w:noWrap/>
            <w:tcMar>
              <w:top w:w="15" w:type="dxa"/>
              <w:left w:w="0" w:type="dxa"/>
              <w:bottom w:w="0" w:type="dxa"/>
              <w:right w:w="15" w:type="dxa"/>
            </w:tcMar>
            <w:vAlign w:val="bottom"/>
            <w:hideMark/>
          </w:tcPr>
          <w:p w14:paraId="6E74141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93" w:type="dxa"/>
            <w:shd w:val="clear" w:color="auto" w:fill="FFFFFF"/>
            <w:noWrap/>
            <w:tcMar>
              <w:top w:w="15" w:type="dxa"/>
              <w:left w:w="0" w:type="dxa"/>
              <w:bottom w:w="0" w:type="dxa"/>
              <w:right w:w="15" w:type="dxa"/>
            </w:tcMar>
            <w:vAlign w:val="bottom"/>
            <w:hideMark/>
          </w:tcPr>
          <w:p w14:paraId="7632DF70"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(2,711</w:t>
            </w:r>
          </w:p>
        </w:tc>
        <w:tc>
          <w:tcPr>
            <w:tcW w:w="105" w:type="dxa"/>
            <w:shd w:val="clear" w:color="auto" w:fill="FFFFFF"/>
            <w:noWrap/>
            <w:tcMar>
              <w:top w:w="15" w:type="dxa"/>
              <w:left w:w="0" w:type="dxa"/>
              <w:bottom w:w="0" w:type="dxa"/>
              <w:right w:w="15" w:type="dxa"/>
            </w:tcMar>
            <w:vAlign w:val="bottom"/>
            <w:hideMark/>
          </w:tcPr>
          <w:p w14:paraId="18B2B0E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FFFFFF"/>
            <w:tcMar>
              <w:top w:w="15" w:type="dxa"/>
              <w:left w:w="0" w:type="dxa"/>
              <w:bottom w:w="0" w:type="dxa"/>
              <w:right w:w="15" w:type="dxa"/>
            </w:tcMar>
            <w:vAlign w:val="bottom"/>
            <w:hideMark/>
          </w:tcPr>
          <w:p w14:paraId="1A39EA2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shd w:val="clear" w:color="auto" w:fill="FFFFFF"/>
            <w:noWrap/>
            <w:tcMar>
              <w:top w:w="15" w:type="dxa"/>
              <w:left w:w="0" w:type="dxa"/>
              <w:bottom w:w="0" w:type="dxa"/>
              <w:right w:w="15" w:type="dxa"/>
            </w:tcMar>
            <w:vAlign w:val="bottom"/>
            <w:hideMark/>
          </w:tcPr>
          <w:p w14:paraId="3AD7EE1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26" w:type="dxa"/>
            <w:shd w:val="clear" w:color="auto" w:fill="FFFFFF"/>
            <w:noWrap/>
            <w:tcMar>
              <w:top w:w="15" w:type="dxa"/>
              <w:left w:w="0" w:type="dxa"/>
              <w:bottom w:w="0" w:type="dxa"/>
              <w:right w:w="15" w:type="dxa"/>
            </w:tcMar>
            <w:vAlign w:val="bottom"/>
            <w:hideMark/>
          </w:tcPr>
          <w:p w14:paraId="08D6F7F4"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(342</w:t>
            </w:r>
          </w:p>
        </w:tc>
        <w:tc>
          <w:tcPr>
            <w:tcW w:w="105" w:type="dxa"/>
            <w:shd w:val="clear" w:color="auto" w:fill="FFFFFF"/>
            <w:noWrap/>
            <w:tcMar>
              <w:top w:w="15" w:type="dxa"/>
              <w:left w:w="0" w:type="dxa"/>
              <w:bottom w:w="0" w:type="dxa"/>
              <w:right w:w="15" w:type="dxa"/>
            </w:tcMar>
            <w:vAlign w:val="bottom"/>
            <w:hideMark/>
          </w:tcPr>
          <w:p w14:paraId="39F2F33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FFFFFF"/>
            <w:tcMar>
              <w:top w:w="15" w:type="dxa"/>
              <w:left w:w="0" w:type="dxa"/>
              <w:bottom w:w="0" w:type="dxa"/>
              <w:right w:w="15" w:type="dxa"/>
            </w:tcMar>
            <w:vAlign w:val="bottom"/>
            <w:hideMark/>
          </w:tcPr>
          <w:p w14:paraId="3868E82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shd w:val="clear" w:color="auto" w:fill="FFFFFF"/>
            <w:noWrap/>
            <w:tcMar>
              <w:top w:w="15" w:type="dxa"/>
              <w:left w:w="0" w:type="dxa"/>
              <w:bottom w:w="0" w:type="dxa"/>
              <w:right w:w="15" w:type="dxa"/>
            </w:tcMar>
            <w:vAlign w:val="bottom"/>
            <w:hideMark/>
          </w:tcPr>
          <w:p w14:paraId="2B9E3CD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33" w:type="dxa"/>
            <w:shd w:val="clear" w:color="auto" w:fill="FFFFFF"/>
            <w:noWrap/>
            <w:tcMar>
              <w:top w:w="15" w:type="dxa"/>
              <w:left w:w="0" w:type="dxa"/>
              <w:bottom w:w="0" w:type="dxa"/>
              <w:right w:w="15" w:type="dxa"/>
            </w:tcMar>
            <w:vAlign w:val="bottom"/>
            <w:hideMark/>
          </w:tcPr>
          <w:p w14:paraId="708FD6F2"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(3,053</w:t>
            </w:r>
          </w:p>
        </w:tc>
        <w:tc>
          <w:tcPr>
            <w:tcW w:w="105" w:type="dxa"/>
            <w:shd w:val="clear" w:color="auto" w:fill="FFFFFF"/>
            <w:noWrap/>
            <w:tcMar>
              <w:top w:w="15" w:type="dxa"/>
              <w:left w:w="0" w:type="dxa"/>
              <w:bottom w:w="0" w:type="dxa"/>
              <w:right w:w="15" w:type="dxa"/>
            </w:tcMar>
            <w:vAlign w:val="bottom"/>
            <w:hideMark/>
          </w:tcPr>
          <w:p w14:paraId="5935E48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FFFFFF"/>
            <w:tcMar>
              <w:top w:w="15" w:type="dxa"/>
              <w:left w:w="0" w:type="dxa"/>
              <w:bottom w:w="0" w:type="dxa"/>
              <w:right w:w="15" w:type="dxa"/>
            </w:tcMar>
            <w:vAlign w:val="bottom"/>
            <w:hideMark/>
          </w:tcPr>
          <w:p w14:paraId="038C9DA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shd w:val="clear" w:color="auto" w:fill="FFFFFF"/>
            <w:noWrap/>
            <w:tcMar>
              <w:top w:w="15" w:type="dxa"/>
              <w:left w:w="0" w:type="dxa"/>
              <w:bottom w:w="0" w:type="dxa"/>
              <w:right w:w="15" w:type="dxa"/>
            </w:tcMar>
            <w:vAlign w:val="bottom"/>
            <w:hideMark/>
          </w:tcPr>
          <w:p w14:paraId="4488F99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93" w:type="dxa"/>
            <w:shd w:val="clear" w:color="auto" w:fill="FFFFFF"/>
            <w:noWrap/>
            <w:tcMar>
              <w:top w:w="15" w:type="dxa"/>
              <w:left w:w="0" w:type="dxa"/>
              <w:bottom w:w="0" w:type="dxa"/>
              <w:right w:w="15" w:type="dxa"/>
            </w:tcMar>
            <w:vAlign w:val="bottom"/>
            <w:hideMark/>
          </w:tcPr>
          <w:p w14:paraId="55DCF618"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2,982</w:t>
            </w:r>
          </w:p>
        </w:tc>
        <w:tc>
          <w:tcPr>
            <w:tcW w:w="93" w:type="dxa"/>
            <w:shd w:val="clear" w:color="auto" w:fill="FFFFFF"/>
            <w:noWrap/>
            <w:tcMar>
              <w:top w:w="15" w:type="dxa"/>
              <w:left w:w="0" w:type="dxa"/>
              <w:bottom w:w="0" w:type="dxa"/>
              <w:right w:w="15" w:type="dxa"/>
            </w:tcMar>
            <w:vAlign w:val="bottom"/>
            <w:hideMark/>
          </w:tcPr>
          <w:p w14:paraId="18D9CC7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7684B6B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shd w:val="clear" w:color="auto" w:fill="FFFFFF"/>
            <w:noWrap/>
            <w:tcMar>
              <w:top w:w="15" w:type="dxa"/>
              <w:left w:w="0" w:type="dxa"/>
              <w:bottom w:w="0" w:type="dxa"/>
              <w:right w:w="15" w:type="dxa"/>
            </w:tcMar>
            <w:vAlign w:val="bottom"/>
            <w:hideMark/>
          </w:tcPr>
          <w:p w14:paraId="5C63202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33" w:type="dxa"/>
            <w:shd w:val="clear" w:color="auto" w:fill="FFFFFF"/>
            <w:noWrap/>
            <w:tcMar>
              <w:top w:w="15" w:type="dxa"/>
              <w:left w:w="0" w:type="dxa"/>
              <w:bottom w:w="0" w:type="dxa"/>
              <w:right w:w="15" w:type="dxa"/>
            </w:tcMar>
            <w:vAlign w:val="bottom"/>
            <w:hideMark/>
          </w:tcPr>
          <w:p w14:paraId="61D5CB64"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2,655</w:t>
            </w:r>
          </w:p>
        </w:tc>
        <w:tc>
          <w:tcPr>
            <w:tcW w:w="93" w:type="dxa"/>
            <w:shd w:val="clear" w:color="auto" w:fill="FFFFFF"/>
            <w:noWrap/>
            <w:tcMar>
              <w:top w:w="15" w:type="dxa"/>
              <w:left w:w="0" w:type="dxa"/>
              <w:bottom w:w="0" w:type="dxa"/>
              <w:right w:w="15" w:type="dxa"/>
            </w:tcMar>
            <w:vAlign w:val="bottom"/>
            <w:hideMark/>
          </w:tcPr>
          <w:p w14:paraId="61E896E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32F1815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91" w:type="dxa"/>
            <w:shd w:val="clear" w:color="auto" w:fill="FFFFFF"/>
            <w:noWrap/>
            <w:tcMar>
              <w:top w:w="15" w:type="dxa"/>
              <w:left w:w="0" w:type="dxa"/>
              <w:bottom w:w="0" w:type="dxa"/>
              <w:right w:w="15" w:type="dxa"/>
            </w:tcMar>
            <w:vAlign w:val="bottom"/>
            <w:hideMark/>
          </w:tcPr>
          <w:p w14:paraId="75FAEE1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755" w:type="dxa"/>
            <w:shd w:val="clear" w:color="auto" w:fill="FFFFFF"/>
            <w:noWrap/>
            <w:tcMar>
              <w:top w:w="15" w:type="dxa"/>
              <w:left w:w="0" w:type="dxa"/>
              <w:bottom w:w="0" w:type="dxa"/>
              <w:right w:w="15" w:type="dxa"/>
            </w:tcMar>
            <w:vAlign w:val="bottom"/>
            <w:hideMark/>
          </w:tcPr>
          <w:p w14:paraId="368DF21B"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w:t>
            </w:r>
          </w:p>
        </w:tc>
        <w:tc>
          <w:tcPr>
            <w:tcW w:w="198" w:type="dxa"/>
            <w:shd w:val="clear" w:color="auto" w:fill="FFFFFF"/>
            <w:noWrap/>
            <w:tcMar>
              <w:top w:w="15" w:type="dxa"/>
              <w:left w:w="0" w:type="dxa"/>
              <w:bottom w:w="0" w:type="dxa"/>
              <w:right w:w="15" w:type="dxa"/>
            </w:tcMar>
            <w:vAlign w:val="bottom"/>
            <w:hideMark/>
          </w:tcPr>
          <w:p w14:paraId="7E8DBD5D" w14:textId="77777777" w:rsidR="00141675" w:rsidRPr="00141675" w:rsidRDefault="00141675" w:rsidP="00141675">
            <w:pPr>
              <w:widowControl/>
              <w:jc w:val="left"/>
              <w:rPr>
                <w:rFonts w:ascii="Calibri" w:eastAsia="宋体" w:hAnsi="Calibri" w:cs="Calibri"/>
                <w:color w:val="000000"/>
                <w:kern w:val="0"/>
                <w:sz w:val="13"/>
                <w:szCs w:val="13"/>
              </w:rPr>
            </w:pPr>
            <w:r w:rsidRPr="00141675">
              <w:rPr>
                <w:rFonts w:ascii="Calibri" w:eastAsia="宋体" w:hAnsi="Calibri" w:cs="Calibri"/>
                <w:color w:val="000000"/>
                <w:kern w:val="0"/>
                <w:sz w:val="13"/>
                <w:szCs w:val="13"/>
              </w:rPr>
              <w:t> </w:t>
            </w:r>
          </w:p>
        </w:tc>
      </w:tr>
      <w:tr w:rsidR="00141675" w:rsidRPr="00141675" w14:paraId="20BB5854" w14:textId="77777777" w:rsidTr="00141675">
        <w:tc>
          <w:tcPr>
            <w:tcW w:w="4897" w:type="dxa"/>
            <w:shd w:val="clear" w:color="auto" w:fill="CFF0FC"/>
            <w:tcMar>
              <w:top w:w="15" w:type="dxa"/>
              <w:left w:w="0" w:type="dxa"/>
              <w:bottom w:w="0" w:type="dxa"/>
              <w:right w:w="15" w:type="dxa"/>
            </w:tcMar>
            <w:hideMark/>
          </w:tcPr>
          <w:p w14:paraId="7537370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Other</w:t>
            </w:r>
          </w:p>
        </w:tc>
        <w:tc>
          <w:tcPr>
            <w:tcW w:w="200" w:type="dxa"/>
            <w:shd w:val="clear" w:color="auto" w:fill="CFF0FC"/>
            <w:tcMar>
              <w:top w:w="15" w:type="dxa"/>
              <w:left w:w="0" w:type="dxa"/>
              <w:bottom w:w="0" w:type="dxa"/>
              <w:right w:w="15" w:type="dxa"/>
            </w:tcMar>
            <w:vAlign w:val="bottom"/>
            <w:hideMark/>
          </w:tcPr>
          <w:p w14:paraId="6247481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6" w:type="dxa"/>
            <w:tcBorders>
              <w:bottom w:val="single" w:sz="6" w:space="0" w:color="000000"/>
            </w:tcBorders>
            <w:shd w:val="clear" w:color="auto" w:fill="CFF0FC"/>
            <w:noWrap/>
            <w:tcMar>
              <w:top w:w="15" w:type="dxa"/>
              <w:left w:w="0" w:type="dxa"/>
              <w:bottom w:w="0" w:type="dxa"/>
              <w:right w:w="15" w:type="dxa"/>
            </w:tcMar>
            <w:vAlign w:val="bottom"/>
            <w:hideMark/>
          </w:tcPr>
          <w:p w14:paraId="63A62D1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93" w:type="dxa"/>
            <w:tcBorders>
              <w:bottom w:val="single" w:sz="6" w:space="0" w:color="000000"/>
            </w:tcBorders>
            <w:shd w:val="clear" w:color="auto" w:fill="CFF0FC"/>
            <w:noWrap/>
            <w:tcMar>
              <w:top w:w="15" w:type="dxa"/>
              <w:left w:w="0" w:type="dxa"/>
              <w:bottom w:w="0" w:type="dxa"/>
              <w:right w:w="15" w:type="dxa"/>
            </w:tcMar>
            <w:vAlign w:val="bottom"/>
            <w:hideMark/>
          </w:tcPr>
          <w:p w14:paraId="791DB4A8"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1,589</w:t>
            </w:r>
          </w:p>
        </w:tc>
        <w:tc>
          <w:tcPr>
            <w:tcW w:w="93" w:type="dxa"/>
            <w:shd w:val="clear" w:color="auto" w:fill="CFF0FC"/>
            <w:noWrap/>
            <w:tcMar>
              <w:top w:w="15" w:type="dxa"/>
              <w:left w:w="0" w:type="dxa"/>
              <w:bottom w:w="0" w:type="dxa"/>
              <w:right w:w="15" w:type="dxa"/>
            </w:tcMar>
            <w:vAlign w:val="bottom"/>
            <w:hideMark/>
          </w:tcPr>
          <w:p w14:paraId="03A88C4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741AC51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00" w:type="dxa"/>
            <w:tcBorders>
              <w:bottom w:val="single" w:sz="6" w:space="0" w:color="000000"/>
            </w:tcBorders>
            <w:shd w:val="clear" w:color="auto" w:fill="CFF0FC"/>
            <w:noWrap/>
            <w:tcMar>
              <w:top w:w="15" w:type="dxa"/>
              <w:left w:w="0" w:type="dxa"/>
              <w:bottom w:w="0" w:type="dxa"/>
              <w:right w:w="15" w:type="dxa"/>
            </w:tcMar>
            <w:vAlign w:val="bottom"/>
            <w:hideMark/>
          </w:tcPr>
          <w:p w14:paraId="4207741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26" w:type="dxa"/>
            <w:tcBorders>
              <w:bottom w:val="single" w:sz="6" w:space="0" w:color="000000"/>
            </w:tcBorders>
            <w:shd w:val="clear" w:color="auto" w:fill="CFF0FC"/>
            <w:noWrap/>
            <w:tcMar>
              <w:top w:w="15" w:type="dxa"/>
              <w:left w:w="0" w:type="dxa"/>
              <w:bottom w:w="0" w:type="dxa"/>
              <w:right w:w="15" w:type="dxa"/>
            </w:tcMar>
            <w:vAlign w:val="bottom"/>
            <w:hideMark/>
          </w:tcPr>
          <w:p w14:paraId="32FCAE48"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w:t>
            </w:r>
          </w:p>
        </w:tc>
        <w:tc>
          <w:tcPr>
            <w:tcW w:w="93" w:type="dxa"/>
            <w:shd w:val="clear" w:color="auto" w:fill="CFF0FC"/>
            <w:noWrap/>
            <w:tcMar>
              <w:top w:w="15" w:type="dxa"/>
              <w:left w:w="0" w:type="dxa"/>
              <w:bottom w:w="0" w:type="dxa"/>
              <w:right w:w="15" w:type="dxa"/>
            </w:tcMar>
            <w:vAlign w:val="bottom"/>
            <w:hideMark/>
          </w:tcPr>
          <w:p w14:paraId="22B6CE8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5A1E111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bottom w:val="single" w:sz="6" w:space="0" w:color="000000"/>
            </w:tcBorders>
            <w:shd w:val="clear" w:color="auto" w:fill="CFF0FC"/>
            <w:noWrap/>
            <w:tcMar>
              <w:top w:w="15" w:type="dxa"/>
              <w:left w:w="0" w:type="dxa"/>
              <w:bottom w:w="0" w:type="dxa"/>
              <w:right w:w="15" w:type="dxa"/>
            </w:tcMar>
            <w:vAlign w:val="bottom"/>
            <w:hideMark/>
          </w:tcPr>
          <w:p w14:paraId="4E82AFD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33" w:type="dxa"/>
            <w:tcBorders>
              <w:bottom w:val="single" w:sz="6" w:space="0" w:color="000000"/>
            </w:tcBorders>
            <w:shd w:val="clear" w:color="auto" w:fill="CFF0FC"/>
            <w:noWrap/>
            <w:tcMar>
              <w:top w:w="15" w:type="dxa"/>
              <w:left w:w="0" w:type="dxa"/>
              <w:bottom w:w="0" w:type="dxa"/>
              <w:right w:w="15" w:type="dxa"/>
            </w:tcMar>
            <w:vAlign w:val="bottom"/>
            <w:hideMark/>
          </w:tcPr>
          <w:p w14:paraId="069FC690"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1,591</w:t>
            </w:r>
          </w:p>
        </w:tc>
        <w:tc>
          <w:tcPr>
            <w:tcW w:w="93" w:type="dxa"/>
            <w:shd w:val="clear" w:color="auto" w:fill="CFF0FC"/>
            <w:noWrap/>
            <w:tcMar>
              <w:top w:w="15" w:type="dxa"/>
              <w:left w:w="0" w:type="dxa"/>
              <w:bottom w:w="0" w:type="dxa"/>
              <w:right w:w="15" w:type="dxa"/>
            </w:tcMar>
            <w:vAlign w:val="bottom"/>
            <w:hideMark/>
          </w:tcPr>
          <w:p w14:paraId="3A91296D"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6DEF0D6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bottom w:val="single" w:sz="6" w:space="0" w:color="000000"/>
            </w:tcBorders>
            <w:shd w:val="clear" w:color="auto" w:fill="CFF0FC"/>
            <w:noWrap/>
            <w:tcMar>
              <w:top w:w="15" w:type="dxa"/>
              <w:left w:w="0" w:type="dxa"/>
              <w:bottom w:w="0" w:type="dxa"/>
              <w:right w:w="15" w:type="dxa"/>
            </w:tcMar>
            <w:vAlign w:val="bottom"/>
            <w:hideMark/>
          </w:tcPr>
          <w:p w14:paraId="06E1AA8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93" w:type="dxa"/>
            <w:tcBorders>
              <w:bottom w:val="single" w:sz="6" w:space="0" w:color="000000"/>
            </w:tcBorders>
            <w:shd w:val="clear" w:color="auto" w:fill="CFF0FC"/>
            <w:noWrap/>
            <w:tcMar>
              <w:top w:w="15" w:type="dxa"/>
              <w:left w:w="0" w:type="dxa"/>
              <w:bottom w:w="0" w:type="dxa"/>
              <w:right w:w="15" w:type="dxa"/>
            </w:tcMar>
            <w:vAlign w:val="bottom"/>
            <w:hideMark/>
          </w:tcPr>
          <w:p w14:paraId="1A576717"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(1,231</w:t>
            </w:r>
          </w:p>
        </w:tc>
        <w:tc>
          <w:tcPr>
            <w:tcW w:w="105" w:type="dxa"/>
            <w:shd w:val="clear" w:color="auto" w:fill="CFF0FC"/>
            <w:noWrap/>
            <w:tcMar>
              <w:top w:w="15" w:type="dxa"/>
              <w:left w:w="0" w:type="dxa"/>
              <w:bottom w:w="0" w:type="dxa"/>
              <w:right w:w="15" w:type="dxa"/>
            </w:tcMar>
            <w:vAlign w:val="bottom"/>
            <w:hideMark/>
          </w:tcPr>
          <w:p w14:paraId="261AAEB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CFF0FC"/>
            <w:tcMar>
              <w:top w:w="15" w:type="dxa"/>
              <w:left w:w="0" w:type="dxa"/>
              <w:bottom w:w="0" w:type="dxa"/>
              <w:right w:w="15" w:type="dxa"/>
            </w:tcMar>
            <w:vAlign w:val="bottom"/>
            <w:hideMark/>
          </w:tcPr>
          <w:p w14:paraId="68ADF97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bottom w:val="single" w:sz="6" w:space="0" w:color="000000"/>
            </w:tcBorders>
            <w:shd w:val="clear" w:color="auto" w:fill="CFF0FC"/>
            <w:noWrap/>
            <w:tcMar>
              <w:top w:w="15" w:type="dxa"/>
              <w:left w:w="0" w:type="dxa"/>
              <w:bottom w:w="0" w:type="dxa"/>
              <w:right w:w="15" w:type="dxa"/>
            </w:tcMar>
            <w:vAlign w:val="bottom"/>
            <w:hideMark/>
          </w:tcPr>
          <w:p w14:paraId="75478F7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26" w:type="dxa"/>
            <w:tcBorders>
              <w:bottom w:val="single" w:sz="6" w:space="0" w:color="000000"/>
            </w:tcBorders>
            <w:shd w:val="clear" w:color="auto" w:fill="CFF0FC"/>
            <w:noWrap/>
            <w:tcMar>
              <w:top w:w="15" w:type="dxa"/>
              <w:left w:w="0" w:type="dxa"/>
              <w:bottom w:w="0" w:type="dxa"/>
              <w:right w:w="15" w:type="dxa"/>
            </w:tcMar>
            <w:vAlign w:val="bottom"/>
            <w:hideMark/>
          </w:tcPr>
          <w:p w14:paraId="555878AA"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(64</w:t>
            </w:r>
          </w:p>
        </w:tc>
        <w:tc>
          <w:tcPr>
            <w:tcW w:w="105" w:type="dxa"/>
            <w:shd w:val="clear" w:color="auto" w:fill="CFF0FC"/>
            <w:noWrap/>
            <w:tcMar>
              <w:top w:w="15" w:type="dxa"/>
              <w:left w:w="0" w:type="dxa"/>
              <w:bottom w:w="0" w:type="dxa"/>
              <w:right w:w="15" w:type="dxa"/>
            </w:tcMar>
            <w:vAlign w:val="bottom"/>
            <w:hideMark/>
          </w:tcPr>
          <w:p w14:paraId="3E19EBE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CFF0FC"/>
            <w:tcMar>
              <w:top w:w="15" w:type="dxa"/>
              <w:left w:w="0" w:type="dxa"/>
              <w:bottom w:w="0" w:type="dxa"/>
              <w:right w:w="15" w:type="dxa"/>
            </w:tcMar>
            <w:vAlign w:val="bottom"/>
            <w:hideMark/>
          </w:tcPr>
          <w:p w14:paraId="037B9DB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bottom w:val="single" w:sz="6" w:space="0" w:color="000000"/>
            </w:tcBorders>
            <w:shd w:val="clear" w:color="auto" w:fill="CFF0FC"/>
            <w:noWrap/>
            <w:tcMar>
              <w:top w:w="15" w:type="dxa"/>
              <w:left w:w="0" w:type="dxa"/>
              <w:bottom w:w="0" w:type="dxa"/>
              <w:right w:w="15" w:type="dxa"/>
            </w:tcMar>
            <w:vAlign w:val="bottom"/>
            <w:hideMark/>
          </w:tcPr>
          <w:p w14:paraId="385F249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33" w:type="dxa"/>
            <w:tcBorders>
              <w:bottom w:val="single" w:sz="6" w:space="0" w:color="000000"/>
            </w:tcBorders>
            <w:shd w:val="clear" w:color="auto" w:fill="CFF0FC"/>
            <w:noWrap/>
            <w:tcMar>
              <w:top w:w="15" w:type="dxa"/>
              <w:left w:w="0" w:type="dxa"/>
              <w:bottom w:w="0" w:type="dxa"/>
              <w:right w:w="15" w:type="dxa"/>
            </w:tcMar>
            <w:vAlign w:val="bottom"/>
            <w:hideMark/>
          </w:tcPr>
          <w:p w14:paraId="350A9E67"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(1,295</w:t>
            </w:r>
          </w:p>
        </w:tc>
        <w:tc>
          <w:tcPr>
            <w:tcW w:w="105" w:type="dxa"/>
            <w:shd w:val="clear" w:color="auto" w:fill="CFF0FC"/>
            <w:noWrap/>
            <w:tcMar>
              <w:top w:w="15" w:type="dxa"/>
              <w:left w:w="0" w:type="dxa"/>
              <w:bottom w:w="0" w:type="dxa"/>
              <w:right w:w="15" w:type="dxa"/>
            </w:tcMar>
            <w:vAlign w:val="bottom"/>
            <w:hideMark/>
          </w:tcPr>
          <w:p w14:paraId="736B931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CFF0FC"/>
            <w:tcMar>
              <w:top w:w="15" w:type="dxa"/>
              <w:left w:w="0" w:type="dxa"/>
              <w:bottom w:w="0" w:type="dxa"/>
              <w:right w:w="15" w:type="dxa"/>
            </w:tcMar>
            <w:vAlign w:val="bottom"/>
            <w:hideMark/>
          </w:tcPr>
          <w:p w14:paraId="00F6794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bottom w:val="single" w:sz="6" w:space="0" w:color="000000"/>
            </w:tcBorders>
            <w:shd w:val="clear" w:color="auto" w:fill="CFF0FC"/>
            <w:noWrap/>
            <w:tcMar>
              <w:top w:w="15" w:type="dxa"/>
              <w:left w:w="0" w:type="dxa"/>
              <w:bottom w:w="0" w:type="dxa"/>
              <w:right w:w="15" w:type="dxa"/>
            </w:tcMar>
            <w:vAlign w:val="bottom"/>
            <w:hideMark/>
          </w:tcPr>
          <w:p w14:paraId="0A975AF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93" w:type="dxa"/>
            <w:tcBorders>
              <w:bottom w:val="single" w:sz="6" w:space="0" w:color="000000"/>
            </w:tcBorders>
            <w:shd w:val="clear" w:color="auto" w:fill="CFF0FC"/>
            <w:noWrap/>
            <w:tcMar>
              <w:top w:w="15" w:type="dxa"/>
              <w:left w:w="0" w:type="dxa"/>
              <w:bottom w:w="0" w:type="dxa"/>
              <w:right w:w="15" w:type="dxa"/>
            </w:tcMar>
            <w:vAlign w:val="bottom"/>
            <w:hideMark/>
          </w:tcPr>
          <w:p w14:paraId="6B892B64"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358</w:t>
            </w:r>
          </w:p>
        </w:tc>
        <w:tc>
          <w:tcPr>
            <w:tcW w:w="93" w:type="dxa"/>
            <w:shd w:val="clear" w:color="auto" w:fill="CFF0FC"/>
            <w:noWrap/>
            <w:tcMar>
              <w:top w:w="15" w:type="dxa"/>
              <w:left w:w="0" w:type="dxa"/>
              <w:bottom w:w="0" w:type="dxa"/>
              <w:right w:w="15" w:type="dxa"/>
            </w:tcMar>
            <w:vAlign w:val="bottom"/>
            <w:hideMark/>
          </w:tcPr>
          <w:p w14:paraId="08527E2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5FBD44F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bottom w:val="single" w:sz="6" w:space="0" w:color="000000"/>
            </w:tcBorders>
            <w:shd w:val="clear" w:color="auto" w:fill="CFF0FC"/>
            <w:noWrap/>
            <w:tcMar>
              <w:top w:w="15" w:type="dxa"/>
              <w:left w:w="0" w:type="dxa"/>
              <w:bottom w:w="0" w:type="dxa"/>
              <w:right w:w="15" w:type="dxa"/>
            </w:tcMar>
            <w:vAlign w:val="bottom"/>
            <w:hideMark/>
          </w:tcPr>
          <w:p w14:paraId="7B0B085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33" w:type="dxa"/>
            <w:tcBorders>
              <w:bottom w:val="single" w:sz="6" w:space="0" w:color="000000"/>
            </w:tcBorders>
            <w:shd w:val="clear" w:color="auto" w:fill="CFF0FC"/>
            <w:noWrap/>
            <w:tcMar>
              <w:top w:w="15" w:type="dxa"/>
              <w:left w:w="0" w:type="dxa"/>
              <w:bottom w:w="0" w:type="dxa"/>
              <w:right w:w="15" w:type="dxa"/>
            </w:tcMar>
            <w:vAlign w:val="bottom"/>
            <w:hideMark/>
          </w:tcPr>
          <w:p w14:paraId="714D2C81"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296</w:t>
            </w:r>
          </w:p>
        </w:tc>
        <w:tc>
          <w:tcPr>
            <w:tcW w:w="93" w:type="dxa"/>
            <w:shd w:val="clear" w:color="auto" w:fill="CFF0FC"/>
            <w:noWrap/>
            <w:tcMar>
              <w:top w:w="15" w:type="dxa"/>
              <w:left w:w="0" w:type="dxa"/>
              <w:bottom w:w="0" w:type="dxa"/>
              <w:right w:w="15" w:type="dxa"/>
            </w:tcMar>
            <w:vAlign w:val="bottom"/>
            <w:hideMark/>
          </w:tcPr>
          <w:p w14:paraId="38B144C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CFF0FC"/>
            <w:tcMar>
              <w:top w:w="15" w:type="dxa"/>
              <w:left w:w="0" w:type="dxa"/>
              <w:bottom w:w="0" w:type="dxa"/>
              <w:right w:w="15" w:type="dxa"/>
            </w:tcMar>
            <w:vAlign w:val="bottom"/>
            <w:hideMark/>
          </w:tcPr>
          <w:p w14:paraId="03A8602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91" w:type="dxa"/>
            <w:shd w:val="clear" w:color="auto" w:fill="CFF0FC"/>
            <w:noWrap/>
            <w:tcMar>
              <w:top w:w="15" w:type="dxa"/>
              <w:left w:w="0" w:type="dxa"/>
              <w:bottom w:w="0" w:type="dxa"/>
              <w:right w:w="15" w:type="dxa"/>
            </w:tcMar>
            <w:vAlign w:val="bottom"/>
            <w:hideMark/>
          </w:tcPr>
          <w:p w14:paraId="6D7CCA0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755" w:type="dxa"/>
            <w:shd w:val="clear" w:color="auto" w:fill="CFF0FC"/>
            <w:noWrap/>
            <w:tcMar>
              <w:top w:w="15" w:type="dxa"/>
              <w:left w:w="0" w:type="dxa"/>
              <w:bottom w:w="0" w:type="dxa"/>
              <w:right w:w="15" w:type="dxa"/>
            </w:tcMar>
            <w:vAlign w:val="bottom"/>
            <w:hideMark/>
          </w:tcPr>
          <w:p w14:paraId="675F2191"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w:t>
            </w:r>
          </w:p>
        </w:tc>
        <w:tc>
          <w:tcPr>
            <w:tcW w:w="198" w:type="dxa"/>
            <w:shd w:val="clear" w:color="auto" w:fill="CFF0FC"/>
            <w:noWrap/>
            <w:tcMar>
              <w:top w:w="15" w:type="dxa"/>
              <w:left w:w="0" w:type="dxa"/>
              <w:bottom w:w="0" w:type="dxa"/>
              <w:right w:w="15" w:type="dxa"/>
            </w:tcMar>
            <w:vAlign w:val="bottom"/>
            <w:hideMark/>
          </w:tcPr>
          <w:p w14:paraId="4797AC57" w14:textId="77777777" w:rsidR="00141675" w:rsidRPr="00141675" w:rsidRDefault="00141675" w:rsidP="00141675">
            <w:pPr>
              <w:widowControl/>
              <w:jc w:val="left"/>
              <w:rPr>
                <w:rFonts w:ascii="Calibri" w:eastAsia="宋体" w:hAnsi="Calibri" w:cs="Calibri"/>
                <w:color w:val="000000"/>
                <w:kern w:val="0"/>
                <w:sz w:val="13"/>
                <w:szCs w:val="13"/>
              </w:rPr>
            </w:pPr>
            <w:r w:rsidRPr="00141675">
              <w:rPr>
                <w:rFonts w:ascii="Calibri" w:eastAsia="宋体" w:hAnsi="Calibri" w:cs="Calibri"/>
                <w:color w:val="000000"/>
                <w:kern w:val="0"/>
                <w:sz w:val="13"/>
                <w:szCs w:val="13"/>
              </w:rPr>
              <w:t> </w:t>
            </w:r>
          </w:p>
        </w:tc>
      </w:tr>
      <w:tr w:rsidR="00141675" w:rsidRPr="00141675" w14:paraId="1413A3AD" w14:textId="77777777" w:rsidTr="00141675">
        <w:tc>
          <w:tcPr>
            <w:tcW w:w="4897" w:type="dxa"/>
            <w:shd w:val="clear" w:color="auto" w:fill="FFFFFF"/>
            <w:tcMar>
              <w:top w:w="15" w:type="dxa"/>
              <w:left w:w="0" w:type="dxa"/>
              <w:bottom w:w="0" w:type="dxa"/>
              <w:right w:w="15" w:type="dxa"/>
            </w:tcMar>
            <w:hideMark/>
          </w:tcPr>
          <w:p w14:paraId="4E38565F" w14:textId="77777777" w:rsidR="00141675" w:rsidRPr="00141675" w:rsidRDefault="00141675" w:rsidP="00141675">
            <w:pPr>
              <w:widowControl/>
              <w:ind w:left="274"/>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Total intangible assets, net</w:t>
            </w:r>
          </w:p>
        </w:tc>
        <w:tc>
          <w:tcPr>
            <w:tcW w:w="200" w:type="dxa"/>
            <w:shd w:val="clear" w:color="auto" w:fill="FFFFFF"/>
            <w:tcMar>
              <w:top w:w="15" w:type="dxa"/>
              <w:left w:w="0" w:type="dxa"/>
              <w:bottom w:w="0" w:type="dxa"/>
              <w:right w:w="15" w:type="dxa"/>
            </w:tcMar>
            <w:vAlign w:val="bottom"/>
            <w:hideMark/>
          </w:tcPr>
          <w:p w14:paraId="62565BC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6"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60B659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9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E442CB7"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12,688</w:t>
            </w:r>
          </w:p>
        </w:tc>
        <w:tc>
          <w:tcPr>
            <w:tcW w:w="93" w:type="dxa"/>
            <w:shd w:val="clear" w:color="auto" w:fill="FFFFFF"/>
            <w:noWrap/>
            <w:tcMar>
              <w:top w:w="15" w:type="dxa"/>
              <w:left w:w="0" w:type="dxa"/>
              <w:bottom w:w="0" w:type="dxa"/>
              <w:right w:w="15" w:type="dxa"/>
            </w:tcMar>
            <w:vAlign w:val="bottom"/>
            <w:hideMark/>
          </w:tcPr>
          <w:p w14:paraId="3874356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5D32ABB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00"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F2040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26"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92B454"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34</w:t>
            </w:r>
          </w:p>
        </w:tc>
        <w:tc>
          <w:tcPr>
            <w:tcW w:w="93" w:type="dxa"/>
            <w:shd w:val="clear" w:color="auto" w:fill="FFFFFF"/>
            <w:noWrap/>
            <w:tcMar>
              <w:top w:w="15" w:type="dxa"/>
              <w:left w:w="0" w:type="dxa"/>
              <w:bottom w:w="0" w:type="dxa"/>
              <w:right w:w="15" w:type="dxa"/>
            </w:tcMar>
            <w:vAlign w:val="bottom"/>
            <w:hideMark/>
          </w:tcPr>
          <w:p w14:paraId="2D1CBE2D"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42B89F0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FB907B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43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868BD5C"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12,722</w:t>
            </w:r>
          </w:p>
        </w:tc>
        <w:tc>
          <w:tcPr>
            <w:tcW w:w="93" w:type="dxa"/>
            <w:shd w:val="clear" w:color="auto" w:fill="FFFFFF"/>
            <w:noWrap/>
            <w:tcMar>
              <w:top w:w="15" w:type="dxa"/>
              <w:left w:w="0" w:type="dxa"/>
              <w:bottom w:w="0" w:type="dxa"/>
              <w:right w:w="15" w:type="dxa"/>
            </w:tcMar>
            <w:vAlign w:val="bottom"/>
            <w:hideMark/>
          </w:tcPr>
          <w:p w14:paraId="253544C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079C04F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76876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9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935BCA1"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(7,409</w:t>
            </w:r>
          </w:p>
        </w:tc>
        <w:tc>
          <w:tcPr>
            <w:tcW w:w="105" w:type="dxa"/>
            <w:shd w:val="clear" w:color="auto" w:fill="FFFFFF"/>
            <w:noWrap/>
            <w:tcMar>
              <w:top w:w="15" w:type="dxa"/>
              <w:left w:w="0" w:type="dxa"/>
              <w:bottom w:w="0" w:type="dxa"/>
              <w:right w:w="15" w:type="dxa"/>
            </w:tcMar>
            <w:vAlign w:val="bottom"/>
            <w:hideMark/>
          </w:tcPr>
          <w:p w14:paraId="4D92657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FFFFFF"/>
            <w:tcMar>
              <w:top w:w="15" w:type="dxa"/>
              <w:left w:w="0" w:type="dxa"/>
              <w:bottom w:w="0" w:type="dxa"/>
              <w:right w:w="15" w:type="dxa"/>
            </w:tcMar>
            <w:vAlign w:val="bottom"/>
            <w:hideMark/>
          </w:tcPr>
          <w:p w14:paraId="044CA06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AB1DB5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26"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388F97"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(821</w:t>
            </w:r>
          </w:p>
        </w:tc>
        <w:tc>
          <w:tcPr>
            <w:tcW w:w="105" w:type="dxa"/>
            <w:shd w:val="clear" w:color="auto" w:fill="FFFFFF"/>
            <w:noWrap/>
            <w:tcMar>
              <w:top w:w="15" w:type="dxa"/>
              <w:left w:w="0" w:type="dxa"/>
              <w:bottom w:w="0" w:type="dxa"/>
              <w:right w:w="15" w:type="dxa"/>
            </w:tcMar>
            <w:vAlign w:val="bottom"/>
            <w:hideMark/>
          </w:tcPr>
          <w:p w14:paraId="68E97EC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FFFFFF"/>
            <w:tcMar>
              <w:top w:w="15" w:type="dxa"/>
              <w:left w:w="0" w:type="dxa"/>
              <w:bottom w:w="0" w:type="dxa"/>
              <w:right w:w="15" w:type="dxa"/>
            </w:tcMar>
            <w:vAlign w:val="bottom"/>
            <w:hideMark/>
          </w:tcPr>
          <w:p w14:paraId="60B179D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39C66B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43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21CDE4E"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(8,230</w:t>
            </w:r>
          </w:p>
        </w:tc>
        <w:tc>
          <w:tcPr>
            <w:tcW w:w="105" w:type="dxa"/>
            <w:shd w:val="clear" w:color="auto" w:fill="FFFFFF"/>
            <w:noWrap/>
            <w:tcMar>
              <w:top w:w="15" w:type="dxa"/>
              <w:left w:w="0" w:type="dxa"/>
              <w:bottom w:w="0" w:type="dxa"/>
              <w:right w:w="15" w:type="dxa"/>
            </w:tcMar>
            <w:vAlign w:val="bottom"/>
            <w:hideMark/>
          </w:tcPr>
          <w:p w14:paraId="58894B2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93" w:type="dxa"/>
            <w:shd w:val="clear" w:color="auto" w:fill="FFFFFF"/>
            <w:tcMar>
              <w:top w:w="15" w:type="dxa"/>
              <w:left w:w="0" w:type="dxa"/>
              <w:bottom w:w="0" w:type="dxa"/>
              <w:right w:w="15" w:type="dxa"/>
            </w:tcMar>
            <w:vAlign w:val="bottom"/>
            <w:hideMark/>
          </w:tcPr>
          <w:p w14:paraId="2614D18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7B761B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29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2C875E"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5,279</w:t>
            </w:r>
          </w:p>
        </w:tc>
        <w:tc>
          <w:tcPr>
            <w:tcW w:w="93" w:type="dxa"/>
            <w:shd w:val="clear" w:color="auto" w:fill="FFFFFF"/>
            <w:noWrap/>
            <w:tcMar>
              <w:top w:w="15" w:type="dxa"/>
              <w:left w:w="0" w:type="dxa"/>
              <w:bottom w:w="0" w:type="dxa"/>
              <w:right w:w="15" w:type="dxa"/>
            </w:tcMar>
            <w:vAlign w:val="bottom"/>
            <w:hideMark/>
          </w:tcPr>
          <w:p w14:paraId="4451EB7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15C3885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6"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52C72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43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AEF092"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4,492</w:t>
            </w:r>
          </w:p>
        </w:tc>
        <w:tc>
          <w:tcPr>
            <w:tcW w:w="93" w:type="dxa"/>
            <w:shd w:val="clear" w:color="auto" w:fill="FFFFFF"/>
            <w:noWrap/>
            <w:tcMar>
              <w:top w:w="15" w:type="dxa"/>
              <w:left w:w="0" w:type="dxa"/>
              <w:bottom w:w="0" w:type="dxa"/>
              <w:right w:w="15" w:type="dxa"/>
            </w:tcMar>
            <w:vAlign w:val="bottom"/>
            <w:hideMark/>
          </w:tcPr>
          <w:p w14:paraId="1D4FDCD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93" w:type="dxa"/>
            <w:shd w:val="clear" w:color="auto" w:fill="FFFFFF"/>
            <w:tcMar>
              <w:top w:w="15" w:type="dxa"/>
              <w:left w:w="0" w:type="dxa"/>
              <w:bottom w:w="0" w:type="dxa"/>
              <w:right w:w="15" w:type="dxa"/>
            </w:tcMar>
            <w:vAlign w:val="bottom"/>
            <w:hideMark/>
          </w:tcPr>
          <w:p w14:paraId="1BD9039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91" w:type="dxa"/>
            <w:shd w:val="clear" w:color="auto" w:fill="FFFFFF"/>
            <w:noWrap/>
            <w:tcMar>
              <w:top w:w="15" w:type="dxa"/>
              <w:left w:w="0" w:type="dxa"/>
              <w:bottom w:w="0" w:type="dxa"/>
              <w:right w:w="15" w:type="dxa"/>
            </w:tcMar>
            <w:vAlign w:val="bottom"/>
            <w:hideMark/>
          </w:tcPr>
          <w:p w14:paraId="6F6BBAF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755" w:type="dxa"/>
            <w:shd w:val="clear" w:color="auto" w:fill="FFFFFF"/>
            <w:noWrap/>
            <w:tcMar>
              <w:top w:w="15" w:type="dxa"/>
              <w:left w:w="0" w:type="dxa"/>
              <w:bottom w:w="0" w:type="dxa"/>
              <w:right w:w="15" w:type="dxa"/>
            </w:tcMar>
            <w:vAlign w:val="bottom"/>
            <w:hideMark/>
          </w:tcPr>
          <w:p w14:paraId="12F10415" w14:textId="77777777" w:rsidR="00141675" w:rsidRPr="00141675" w:rsidRDefault="00141675" w:rsidP="00141675">
            <w:pPr>
              <w:widowControl/>
              <w:jc w:val="right"/>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198" w:type="dxa"/>
            <w:shd w:val="clear" w:color="auto" w:fill="FFFFFF"/>
            <w:noWrap/>
            <w:tcMar>
              <w:top w:w="15" w:type="dxa"/>
              <w:left w:w="0" w:type="dxa"/>
              <w:bottom w:w="0" w:type="dxa"/>
              <w:right w:w="15" w:type="dxa"/>
            </w:tcMar>
            <w:vAlign w:val="bottom"/>
            <w:hideMark/>
          </w:tcPr>
          <w:p w14:paraId="43364576"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507AD53A" w14:textId="77777777" w:rsidR="00141675" w:rsidRPr="00141675" w:rsidRDefault="00141675" w:rsidP="00141675">
      <w:pPr>
        <w:widowControl/>
        <w:pBdr>
          <w:bottom w:val="single" w:sz="6" w:space="1" w:color="auto"/>
        </w:pBdr>
        <w:ind w:right="18324"/>
        <w:rPr>
          <w:rFonts w:ascii="Times New Roman" w:eastAsia="宋体" w:hAnsi="Times New Roman" w:cs="Times New Roman"/>
          <w:kern w:val="0"/>
          <w:sz w:val="6"/>
          <w:szCs w:val="6"/>
        </w:rPr>
      </w:pPr>
      <w:r w:rsidRPr="00141675">
        <w:rPr>
          <w:rFonts w:ascii="Times New Roman" w:eastAsia="宋体" w:hAnsi="Times New Roman" w:cs="Times New Roman"/>
          <w:kern w:val="0"/>
          <w:sz w:val="6"/>
          <w:szCs w:val="6"/>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61DC828B" w14:textId="77777777" w:rsidTr="00141675">
        <w:tc>
          <w:tcPr>
            <w:tcW w:w="794" w:type="dxa"/>
            <w:noWrap/>
            <w:hideMark/>
          </w:tcPr>
          <w:p w14:paraId="1352E073" w14:textId="77777777" w:rsidR="00141675" w:rsidRPr="00141675" w:rsidRDefault="00141675" w:rsidP="00141675">
            <w:pPr>
              <w:widowControl/>
              <w:spacing w:before="40"/>
              <w:jc w:val="left"/>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6D794F1A" w14:textId="77777777" w:rsidR="00141675" w:rsidRPr="00141675" w:rsidRDefault="00141675" w:rsidP="00141675">
            <w:pPr>
              <w:widowControl/>
              <w:spacing w:before="40"/>
              <w:jc w:val="left"/>
              <w:rPr>
                <w:rFonts w:ascii="Calibri" w:eastAsia="宋体" w:hAnsi="Calibri" w:cs="Calibri"/>
                <w:kern w:val="0"/>
                <w:sz w:val="15"/>
                <w:szCs w:val="15"/>
              </w:rPr>
            </w:pPr>
            <w:r w:rsidRPr="00141675">
              <w:rPr>
                <w:rFonts w:ascii="Calibri" w:eastAsia="宋体" w:hAnsi="Calibri" w:cs="Calibri"/>
                <w:kern w:val="0"/>
                <w:sz w:val="15"/>
                <w:szCs w:val="15"/>
              </w:rPr>
              <w:t>Amounts also include any changes in intangible asset balances for the periods presented that resulted from foreign currency translations.</w:t>
            </w:r>
          </w:p>
        </w:tc>
      </w:tr>
      <w:tr w:rsidR="00141675" w:rsidRPr="00141675" w14:paraId="629F7B06" w14:textId="77777777" w:rsidTr="00141675">
        <w:tc>
          <w:tcPr>
            <w:tcW w:w="794" w:type="dxa"/>
            <w:noWrap/>
            <w:hideMark/>
          </w:tcPr>
          <w:p w14:paraId="6388F020" w14:textId="77777777" w:rsidR="00141675" w:rsidRPr="00141675" w:rsidRDefault="00141675" w:rsidP="00141675">
            <w:pPr>
              <w:widowControl/>
              <w:jc w:val="left"/>
              <w:rPr>
                <w:rFonts w:ascii="Calibri" w:eastAsia="宋体" w:hAnsi="Calibri" w:cs="Calibri"/>
                <w:kern w:val="0"/>
                <w:sz w:val="15"/>
                <w:szCs w:val="15"/>
              </w:rPr>
            </w:pPr>
            <w:r w:rsidRPr="00141675">
              <w:rPr>
                <w:rFonts w:ascii="Calibri" w:eastAsia="宋体" w:hAnsi="Calibri" w:cs="Calibri"/>
                <w:kern w:val="0"/>
                <w:sz w:val="18"/>
                <w:szCs w:val="18"/>
                <w:vertAlign w:val="superscript"/>
              </w:rPr>
              <w:t>(2)</w:t>
            </w:r>
          </w:p>
        </w:tc>
        <w:tc>
          <w:tcPr>
            <w:tcW w:w="0" w:type="auto"/>
            <w:hideMark/>
          </w:tcPr>
          <w:p w14:paraId="1770EF78" w14:textId="77777777" w:rsidR="00141675" w:rsidRPr="00141675" w:rsidRDefault="00141675" w:rsidP="00141675">
            <w:pPr>
              <w:widowControl/>
              <w:jc w:val="left"/>
              <w:rPr>
                <w:rFonts w:ascii="Calibri" w:eastAsia="宋体" w:hAnsi="Calibri" w:cs="Calibri"/>
                <w:kern w:val="0"/>
                <w:sz w:val="15"/>
                <w:szCs w:val="15"/>
              </w:rPr>
            </w:pPr>
            <w:r w:rsidRPr="00141675">
              <w:rPr>
                <w:rFonts w:ascii="Calibri" w:eastAsia="宋体" w:hAnsi="Calibri" w:cs="Calibri"/>
                <w:kern w:val="0"/>
                <w:sz w:val="15"/>
                <w:szCs w:val="15"/>
              </w:rPr>
              <w:t>Represents weighted-average useful lives (in years) of intangible assets acquired during fiscal 2020.</w:t>
            </w:r>
          </w:p>
        </w:tc>
      </w:tr>
    </w:tbl>
    <w:p w14:paraId="1B3F8A5F"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As of November 30, 2019, estimated future amortization expenses related to intangible assets were as follows (in millions):</w:t>
      </w:r>
    </w:p>
    <w:p w14:paraId="6FAC1548" w14:textId="77777777" w:rsidR="00141675" w:rsidRPr="00141675" w:rsidRDefault="00141675" w:rsidP="00141675">
      <w:pPr>
        <w:widowControl/>
        <w:jc w:val="left"/>
        <w:rPr>
          <w:rFonts w:ascii="Times New Roman" w:eastAsia="宋体" w:hAnsi="Times New Roman" w:cs="Times New Roman"/>
          <w:kern w:val="0"/>
          <w:sz w:val="18"/>
          <w:szCs w:val="18"/>
        </w:rPr>
      </w:pPr>
      <w:r w:rsidRPr="00141675">
        <w:rPr>
          <w:rFonts w:ascii="Times New Roman" w:eastAsia="宋体" w:hAnsi="Times New Roman" w:cs="Times New Roman"/>
          <w:kern w:val="0"/>
          <w:sz w:val="18"/>
          <w:szCs w:val="18"/>
        </w:rPr>
        <w:t> </w:t>
      </w:r>
    </w:p>
    <w:tbl>
      <w:tblPr>
        <w:tblW w:w="20614" w:type="dxa"/>
        <w:tblCellMar>
          <w:left w:w="0" w:type="dxa"/>
          <w:right w:w="0" w:type="dxa"/>
        </w:tblCellMar>
        <w:tblLook w:val="04A0" w:firstRow="1" w:lastRow="0" w:firstColumn="1" w:lastColumn="0" w:noHBand="0" w:noVBand="1"/>
      </w:tblPr>
      <w:tblGrid>
        <w:gridCol w:w="17563"/>
        <w:gridCol w:w="411"/>
        <w:gridCol w:w="199"/>
        <w:gridCol w:w="2242"/>
        <w:gridCol w:w="199"/>
      </w:tblGrid>
      <w:tr w:rsidR="00141675" w:rsidRPr="00141675" w14:paraId="0B820F7D" w14:textId="77777777" w:rsidTr="00141675">
        <w:tc>
          <w:tcPr>
            <w:tcW w:w="17519" w:type="dxa"/>
            <w:shd w:val="clear" w:color="auto" w:fill="CFF0FC"/>
            <w:tcMar>
              <w:top w:w="15" w:type="dxa"/>
              <w:left w:w="0" w:type="dxa"/>
              <w:bottom w:w="0" w:type="dxa"/>
              <w:right w:w="15" w:type="dxa"/>
            </w:tcMar>
            <w:vAlign w:val="bottom"/>
            <w:hideMark/>
          </w:tcPr>
          <w:p w14:paraId="37B962E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Remainder of fiscal 2020</w:t>
            </w:r>
          </w:p>
        </w:tc>
        <w:tc>
          <w:tcPr>
            <w:tcW w:w="410" w:type="dxa"/>
            <w:shd w:val="clear" w:color="auto" w:fill="CFF0FC"/>
            <w:tcMar>
              <w:top w:w="15" w:type="dxa"/>
              <w:left w:w="0" w:type="dxa"/>
              <w:bottom w:w="0" w:type="dxa"/>
              <w:right w:w="15" w:type="dxa"/>
            </w:tcMar>
            <w:vAlign w:val="bottom"/>
            <w:hideMark/>
          </w:tcPr>
          <w:p w14:paraId="5E13A8D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341C63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28" w:type="dxa"/>
            <w:shd w:val="clear" w:color="auto" w:fill="CFF0FC"/>
            <w:noWrap/>
            <w:tcMar>
              <w:top w:w="15" w:type="dxa"/>
              <w:left w:w="0" w:type="dxa"/>
              <w:bottom w:w="0" w:type="dxa"/>
              <w:right w:w="15" w:type="dxa"/>
            </w:tcMar>
            <w:vAlign w:val="bottom"/>
            <w:hideMark/>
          </w:tcPr>
          <w:p w14:paraId="7D5DA14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766</w:t>
            </w:r>
          </w:p>
        </w:tc>
        <w:tc>
          <w:tcPr>
            <w:tcW w:w="191" w:type="dxa"/>
            <w:shd w:val="clear" w:color="auto" w:fill="CFF0FC"/>
            <w:noWrap/>
            <w:tcMar>
              <w:top w:w="15" w:type="dxa"/>
              <w:left w:w="0" w:type="dxa"/>
              <w:bottom w:w="0" w:type="dxa"/>
              <w:right w:w="15" w:type="dxa"/>
            </w:tcMar>
            <w:vAlign w:val="bottom"/>
            <w:hideMark/>
          </w:tcPr>
          <w:p w14:paraId="0C0088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81AF8F5" w14:textId="77777777" w:rsidTr="00141675">
        <w:tc>
          <w:tcPr>
            <w:tcW w:w="17519" w:type="dxa"/>
            <w:shd w:val="clear" w:color="auto" w:fill="FFFFFF"/>
            <w:tcMar>
              <w:top w:w="15" w:type="dxa"/>
              <w:left w:w="0" w:type="dxa"/>
              <w:bottom w:w="0" w:type="dxa"/>
              <w:right w:w="15" w:type="dxa"/>
            </w:tcMar>
            <w:vAlign w:val="bottom"/>
            <w:hideMark/>
          </w:tcPr>
          <w:p w14:paraId="1798F89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2021</w:t>
            </w:r>
          </w:p>
        </w:tc>
        <w:tc>
          <w:tcPr>
            <w:tcW w:w="410" w:type="dxa"/>
            <w:shd w:val="clear" w:color="auto" w:fill="FFFFFF"/>
            <w:tcMar>
              <w:top w:w="15" w:type="dxa"/>
              <w:left w:w="0" w:type="dxa"/>
              <w:bottom w:w="0" w:type="dxa"/>
              <w:right w:w="15" w:type="dxa"/>
            </w:tcMar>
            <w:vAlign w:val="bottom"/>
            <w:hideMark/>
          </w:tcPr>
          <w:p w14:paraId="62858BF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856D3F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8" w:type="dxa"/>
            <w:shd w:val="clear" w:color="auto" w:fill="FFFFFF"/>
            <w:noWrap/>
            <w:tcMar>
              <w:top w:w="15" w:type="dxa"/>
              <w:left w:w="0" w:type="dxa"/>
              <w:bottom w:w="0" w:type="dxa"/>
              <w:right w:w="15" w:type="dxa"/>
            </w:tcMar>
            <w:vAlign w:val="bottom"/>
            <w:hideMark/>
          </w:tcPr>
          <w:p w14:paraId="760EEA7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1,347</w:t>
            </w:r>
          </w:p>
        </w:tc>
        <w:tc>
          <w:tcPr>
            <w:tcW w:w="191" w:type="dxa"/>
            <w:shd w:val="clear" w:color="auto" w:fill="FFFFFF"/>
            <w:noWrap/>
            <w:tcMar>
              <w:top w:w="15" w:type="dxa"/>
              <w:left w:w="0" w:type="dxa"/>
              <w:bottom w:w="0" w:type="dxa"/>
              <w:right w:w="15" w:type="dxa"/>
            </w:tcMar>
            <w:vAlign w:val="bottom"/>
            <w:hideMark/>
          </w:tcPr>
          <w:p w14:paraId="3545F6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577A19A" w14:textId="77777777" w:rsidTr="00141675">
        <w:tc>
          <w:tcPr>
            <w:tcW w:w="17519" w:type="dxa"/>
            <w:shd w:val="clear" w:color="auto" w:fill="CFF0FC"/>
            <w:tcMar>
              <w:top w:w="15" w:type="dxa"/>
              <w:left w:w="0" w:type="dxa"/>
              <w:bottom w:w="0" w:type="dxa"/>
              <w:right w:w="15" w:type="dxa"/>
            </w:tcMar>
            <w:vAlign w:val="bottom"/>
            <w:hideMark/>
          </w:tcPr>
          <w:p w14:paraId="1DCDB5F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2022</w:t>
            </w:r>
          </w:p>
        </w:tc>
        <w:tc>
          <w:tcPr>
            <w:tcW w:w="410" w:type="dxa"/>
            <w:shd w:val="clear" w:color="auto" w:fill="CFF0FC"/>
            <w:tcMar>
              <w:top w:w="15" w:type="dxa"/>
              <w:left w:w="0" w:type="dxa"/>
              <w:bottom w:w="0" w:type="dxa"/>
              <w:right w:w="15" w:type="dxa"/>
            </w:tcMar>
            <w:vAlign w:val="bottom"/>
            <w:hideMark/>
          </w:tcPr>
          <w:p w14:paraId="77CA418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53FF95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8" w:type="dxa"/>
            <w:shd w:val="clear" w:color="auto" w:fill="CFF0FC"/>
            <w:noWrap/>
            <w:tcMar>
              <w:top w:w="15" w:type="dxa"/>
              <w:left w:w="0" w:type="dxa"/>
              <w:bottom w:w="0" w:type="dxa"/>
              <w:right w:w="15" w:type="dxa"/>
            </w:tcMar>
            <w:vAlign w:val="bottom"/>
            <w:hideMark/>
          </w:tcPr>
          <w:p w14:paraId="224D1B4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1,098</w:t>
            </w:r>
          </w:p>
        </w:tc>
        <w:tc>
          <w:tcPr>
            <w:tcW w:w="191" w:type="dxa"/>
            <w:shd w:val="clear" w:color="auto" w:fill="CFF0FC"/>
            <w:noWrap/>
            <w:tcMar>
              <w:top w:w="15" w:type="dxa"/>
              <w:left w:w="0" w:type="dxa"/>
              <w:bottom w:w="0" w:type="dxa"/>
              <w:right w:w="15" w:type="dxa"/>
            </w:tcMar>
            <w:vAlign w:val="bottom"/>
            <w:hideMark/>
          </w:tcPr>
          <w:p w14:paraId="031D489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BB75F60" w14:textId="77777777" w:rsidTr="00141675">
        <w:tc>
          <w:tcPr>
            <w:tcW w:w="17519" w:type="dxa"/>
            <w:shd w:val="clear" w:color="auto" w:fill="FFFFFF"/>
            <w:tcMar>
              <w:top w:w="15" w:type="dxa"/>
              <w:left w:w="0" w:type="dxa"/>
              <w:bottom w:w="0" w:type="dxa"/>
              <w:right w:w="15" w:type="dxa"/>
            </w:tcMar>
            <w:vAlign w:val="bottom"/>
            <w:hideMark/>
          </w:tcPr>
          <w:p w14:paraId="297F60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2023</w:t>
            </w:r>
          </w:p>
        </w:tc>
        <w:tc>
          <w:tcPr>
            <w:tcW w:w="410" w:type="dxa"/>
            <w:shd w:val="clear" w:color="auto" w:fill="FFFFFF"/>
            <w:tcMar>
              <w:top w:w="15" w:type="dxa"/>
              <w:left w:w="0" w:type="dxa"/>
              <w:bottom w:w="0" w:type="dxa"/>
              <w:right w:w="15" w:type="dxa"/>
            </w:tcMar>
            <w:vAlign w:val="bottom"/>
            <w:hideMark/>
          </w:tcPr>
          <w:p w14:paraId="16A0FBA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8E3C3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8" w:type="dxa"/>
            <w:shd w:val="clear" w:color="auto" w:fill="FFFFFF"/>
            <w:noWrap/>
            <w:tcMar>
              <w:top w:w="15" w:type="dxa"/>
              <w:left w:w="0" w:type="dxa"/>
              <w:bottom w:w="0" w:type="dxa"/>
              <w:right w:w="15" w:type="dxa"/>
            </w:tcMar>
            <w:vAlign w:val="bottom"/>
            <w:hideMark/>
          </w:tcPr>
          <w:p w14:paraId="14C3C9C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675</w:t>
            </w:r>
          </w:p>
        </w:tc>
        <w:tc>
          <w:tcPr>
            <w:tcW w:w="191" w:type="dxa"/>
            <w:shd w:val="clear" w:color="auto" w:fill="FFFFFF"/>
            <w:noWrap/>
            <w:tcMar>
              <w:top w:w="15" w:type="dxa"/>
              <w:left w:w="0" w:type="dxa"/>
              <w:bottom w:w="0" w:type="dxa"/>
              <w:right w:w="15" w:type="dxa"/>
            </w:tcMar>
            <w:vAlign w:val="bottom"/>
            <w:hideMark/>
          </w:tcPr>
          <w:p w14:paraId="362099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AE53F66" w14:textId="77777777" w:rsidTr="00141675">
        <w:tc>
          <w:tcPr>
            <w:tcW w:w="17519" w:type="dxa"/>
            <w:shd w:val="clear" w:color="auto" w:fill="CFF0FC"/>
            <w:tcMar>
              <w:top w:w="15" w:type="dxa"/>
              <w:left w:w="0" w:type="dxa"/>
              <w:bottom w:w="0" w:type="dxa"/>
              <w:right w:w="15" w:type="dxa"/>
            </w:tcMar>
            <w:vAlign w:val="bottom"/>
            <w:hideMark/>
          </w:tcPr>
          <w:p w14:paraId="64D2ACA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2024</w:t>
            </w:r>
          </w:p>
        </w:tc>
        <w:tc>
          <w:tcPr>
            <w:tcW w:w="410" w:type="dxa"/>
            <w:shd w:val="clear" w:color="auto" w:fill="CFF0FC"/>
            <w:tcMar>
              <w:top w:w="15" w:type="dxa"/>
              <w:left w:w="0" w:type="dxa"/>
              <w:bottom w:w="0" w:type="dxa"/>
              <w:right w:w="15" w:type="dxa"/>
            </w:tcMar>
            <w:vAlign w:val="bottom"/>
            <w:hideMark/>
          </w:tcPr>
          <w:p w14:paraId="0137820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9831E5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8" w:type="dxa"/>
            <w:shd w:val="clear" w:color="auto" w:fill="CFF0FC"/>
            <w:noWrap/>
            <w:tcMar>
              <w:top w:w="15" w:type="dxa"/>
              <w:left w:w="0" w:type="dxa"/>
              <w:bottom w:w="0" w:type="dxa"/>
              <w:right w:w="15" w:type="dxa"/>
            </w:tcMar>
            <w:vAlign w:val="bottom"/>
            <w:hideMark/>
          </w:tcPr>
          <w:p w14:paraId="462F5EA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445</w:t>
            </w:r>
          </w:p>
        </w:tc>
        <w:tc>
          <w:tcPr>
            <w:tcW w:w="191" w:type="dxa"/>
            <w:shd w:val="clear" w:color="auto" w:fill="CFF0FC"/>
            <w:noWrap/>
            <w:tcMar>
              <w:top w:w="15" w:type="dxa"/>
              <w:left w:w="0" w:type="dxa"/>
              <w:bottom w:w="0" w:type="dxa"/>
              <w:right w:w="15" w:type="dxa"/>
            </w:tcMar>
            <w:vAlign w:val="bottom"/>
            <w:hideMark/>
          </w:tcPr>
          <w:p w14:paraId="224FCF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D4228A6" w14:textId="77777777" w:rsidTr="00141675">
        <w:tc>
          <w:tcPr>
            <w:tcW w:w="17519" w:type="dxa"/>
            <w:shd w:val="clear" w:color="auto" w:fill="FFFFFF"/>
            <w:tcMar>
              <w:top w:w="15" w:type="dxa"/>
              <w:left w:w="0" w:type="dxa"/>
              <w:bottom w:w="0" w:type="dxa"/>
              <w:right w:w="15" w:type="dxa"/>
            </w:tcMar>
            <w:vAlign w:val="bottom"/>
            <w:hideMark/>
          </w:tcPr>
          <w:p w14:paraId="77BE132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Fiscal 2025</w:t>
            </w:r>
          </w:p>
        </w:tc>
        <w:tc>
          <w:tcPr>
            <w:tcW w:w="410" w:type="dxa"/>
            <w:shd w:val="clear" w:color="auto" w:fill="FFFFFF"/>
            <w:tcMar>
              <w:top w:w="15" w:type="dxa"/>
              <w:left w:w="0" w:type="dxa"/>
              <w:bottom w:w="0" w:type="dxa"/>
              <w:right w:w="15" w:type="dxa"/>
            </w:tcMar>
            <w:vAlign w:val="bottom"/>
            <w:hideMark/>
          </w:tcPr>
          <w:p w14:paraId="51F1BCF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1EB756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8" w:type="dxa"/>
            <w:shd w:val="clear" w:color="auto" w:fill="FFFFFF"/>
            <w:noWrap/>
            <w:tcMar>
              <w:top w:w="15" w:type="dxa"/>
              <w:left w:w="0" w:type="dxa"/>
              <w:bottom w:w="0" w:type="dxa"/>
              <w:right w:w="15" w:type="dxa"/>
            </w:tcMar>
            <w:vAlign w:val="bottom"/>
            <w:hideMark/>
          </w:tcPr>
          <w:p w14:paraId="010394D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126</w:t>
            </w:r>
          </w:p>
        </w:tc>
        <w:tc>
          <w:tcPr>
            <w:tcW w:w="191" w:type="dxa"/>
            <w:shd w:val="clear" w:color="auto" w:fill="FFFFFF"/>
            <w:noWrap/>
            <w:tcMar>
              <w:top w:w="15" w:type="dxa"/>
              <w:left w:w="0" w:type="dxa"/>
              <w:bottom w:w="0" w:type="dxa"/>
              <w:right w:w="15" w:type="dxa"/>
            </w:tcMar>
            <w:vAlign w:val="bottom"/>
            <w:hideMark/>
          </w:tcPr>
          <w:p w14:paraId="017193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355635E7" w14:textId="77777777" w:rsidTr="00141675">
        <w:tc>
          <w:tcPr>
            <w:tcW w:w="17519" w:type="dxa"/>
            <w:shd w:val="clear" w:color="auto" w:fill="CFF0FC"/>
            <w:tcMar>
              <w:top w:w="15" w:type="dxa"/>
              <w:left w:w="0" w:type="dxa"/>
              <w:bottom w:w="0" w:type="dxa"/>
              <w:right w:w="15" w:type="dxa"/>
            </w:tcMar>
            <w:vAlign w:val="bottom"/>
            <w:hideMark/>
          </w:tcPr>
          <w:p w14:paraId="6E1E69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Thereafter</w:t>
            </w:r>
          </w:p>
        </w:tc>
        <w:tc>
          <w:tcPr>
            <w:tcW w:w="410" w:type="dxa"/>
            <w:shd w:val="clear" w:color="auto" w:fill="CFF0FC"/>
            <w:tcMar>
              <w:top w:w="15" w:type="dxa"/>
              <w:left w:w="0" w:type="dxa"/>
              <w:bottom w:w="0" w:type="dxa"/>
              <w:right w:w="15" w:type="dxa"/>
            </w:tcMar>
            <w:vAlign w:val="bottom"/>
            <w:hideMark/>
          </w:tcPr>
          <w:p w14:paraId="1FCE4BA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839C9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28" w:type="dxa"/>
            <w:tcBorders>
              <w:bottom w:val="single" w:sz="6" w:space="0" w:color="000000"/>
            </w:tcBorders>
            <w:shd w:val="clear" w:color="auto" w:fill="CFF0FC"/>
            <w:noWrap/>
            <w:tcMar>
              <w:top w:w="15" w:type="dxa"/>
              <w:left w:w="0" w:type="dxa"/>
              <w:bottom w:w="0" w:type="dxa"/>
              <w:right w:w="15" w:type="dxa"/>
            </w:tcMar>
            <w:vAlign w:val="bottom"/>
            <w:hideMark/>
          </w:tcPr>
          <w:p w14:paraId="6BFD6A1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35</w:t>
            </w:r>
          </w:p>
        </w:tc>
        <w:tc>
          <w:tcPr>
            <w:tcW w:w="191" w:type="dxa"/>
            <w:shd w:val="clear" w:color="auto" w:fill="CFF0FC"/>
            <w:noWrap/>
            <w:tcMar>
              <w:top w:w="15" w:type="dxa"/>
              <w:left w:w="0" w:type="dxa"/>
              <w:bottom w:w="0" w:type="dxa"/>
              <w:right w:w="15" w:type="dxa"/>
            </w:tcMar>
            <w:vAlign w:val="bottom"/>
            <w:hideMark/>
          </w:tcPr>
          <w:p w14:paraId="73DB0B8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CFFA258" w14:textId="77777777" w:rsidTr="00141675">
        <w:tc>
          <w:tcPr>
            <w:tcW w:w="17519" w:type="dxa"/>
            <w:shd w:val="clear" w:color="auto" w:fill="FFFFFF"/>
            <w:tcMar>
              <w:top w:w="15" w:type="dxa"/>
              <w:left w:w="0" w:type="dxa"/>
              <w:bottom w:w="0" w:type="dxa"/>
              <w:right w:w="15" w:type="dxa"/>
            </w:tcMar>
            <w:vAlign w:val="bottom"/>
            <w:hideMark/>
          </w:tcPr>
          <w:p w14:paraId="475E9C22"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intangible assets, net</w:t>
            </w:r>
          </w:p>
        </w:tc>
        <w:tc>
          <w:tcPr>
            <w:tcW w:w="410" w:type="dxa"/>
            <w:shd w:val="clear" w:color="auto" w:fill="FFFFFF"/>
            <w:tcMar>
              <w:top w:w="15" w:type="dxa"/>
              <w:left w:w="0" w:type="dxa"/>
              <w:bottom w:w="0" w:type="dxa"/>
              <w:right w:w="15" w:type="dxa"/>
            </w:tcMar>
            <w:vAlign w:val="bottom"/>
            <w:hideMark/>
          </w:tcPr>
          <w:p w14:paraId="1398AD8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46D4F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2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F64B9E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4,492</w:t>
            </w:r>
          </w:p>
        </w:tc>
        <w:tc>
          <w:tcPr>
            <w:tcW w:w="191" w:type="dxa"/>
            <w:shd w:val="clear" w:color="auto" w:fill="FFFFFF"/>
            <w:noWrap/>
            <w:tcMar>
              <w:top w:w="15" w:type="dxa"/>
              <w:left w:w="0" w:type="dxa"/>
              <w:bottom w:w="0" w:type="dxa"/>
              <w:right w:w="15" w:type="dxa"/>
            </w:tcMar>
            <w:vAlign w:val="bottom"/>
            <w:hideMark/>
          </w:tcPr>
          <w:p w14:paraId="463DD420"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0603F831" w14:textId="77777777" w:rsidR="00141675" w:rsidRPr="00141675" w:rsidRDefault="00141675" w:rsidP="00141675">
      <w:pPr>
        <w:widowControl/>
        <w:jc w:val="left"/>
        <w:rPr>
          <w:rFonts w:ascii="宋体" w:eastAsia="宋体" w:hAnsi="宋体" w:cs="宋体"/>
          <w:kern w:val="0"/>
          <w:sz w:val="12"/>
          <w:szCs w:val="12"/>
        </w:rPr>
      </w:pPr>
      <w:r w:rsidRPr="00141675">
        <w:rPr>
          <w:rFonts w:ascii="宋体" w:eastAsia="宋体" w:hAnsi="宋体" w:cs="宋体"/>
          <w:kern w:val="0"/>
          <w:sz w:val="12"/>
          <w:szCs w:val="12"/>
        </w:rPr>
        <w:t> </w:t>
      </w:r>
    </w:p>
    <w:p w14:paraId="61552AB1" w14:textId="77777777" w:rsidR="00141675" w:rsidRPr="00141675" w:rsidRDefault="00141675" w:rsidP="00141675">
      <w:pPr>
        <w:widowControl/>
        <w:rPr>
          <w:rFonts w:ascii="Calibri" w:eastAsia="宋体" w:hAnsi="Calibri" w:cs="Calibri"/>
          <w:kern w:val="0"/>
          <w:sz w:val="20"/>
          <w:szCs w:val="20"/>
        </w:rPr>
      </w:pPr>
      <w:r w:rsidRPr="00141675">
        <w:rPr>
          <w:rFonts w:ascii="Calibri" w:eastAsia="宋体" w:hAnsi="Calibri" w:cs="Calibri"/>
          <w:kern w:val="0"/>
          <w:sz w:val="20"/>
          <w:szCs w:val="20"/>
        </w:rPr>
        <w:t>The changes in the carrying amounts of goodwill, net, which is generally not deductible for tax purposes, for our operating segments for the six months ended November 30, 2019 were as follows:</w:t>
      </w:r>
    </w:p>
    <w:p w14:paraId="1B53BFAA" w14:textId="77777777" w:rsidR="00141675" w:rsidRPr="00141675" w:rsidRDefault="00141675" w:rsidP="00141675">
      <w:pPr>
        <w:widowControl/>
        <w:jc w:val="left"/>
        <w:rPr>
          <w:rFonts w:ascii="Times New Roman" w:eastAsia="宋体" w:hAnsi="Times New Roman" w:cs="Times New Roman"/>
          <w:kern w:val="0"/>
          <w:sz w:val="18"/>
          <w:szCs w:val="18"/>
        </w:rPr>
      </w:pPr>
      <w:r w:rsidRPr="00141675">
        <w:rPr>
          <w:rFonts w:ascii="Times New Roman" w:eastAsia="宋体" w:hAnsi="Times New Roman" w:cs="Times New Roman"/>
          <w:kern w:val="0"/>
          <w:sz w:val="18"/>
          <w:szCs w:val="18"/>
        </w:rPr>
        <w:t> </w:t>
      </w:r>
    </w:p>
    <w:tbl>
      <w:tblPr>
        <w:tblW w:w="20614" w:type="dxa"/>
        <w:tblCellMar>
          <w:left w:w="0" w:type="dxa"/>
          <w:right w:w="0" w:type="dxa"/>
        </w:tblCellMar>
        <w:tblLook w:val="04A0" w:firstRow="1" w:lastRow="0" w:firstColumn="1" w:lastColumn="0" w:noHBand="0" w:noVBand="1"/>
      </w:tblPr>
      <w:tblGrid>
        <w:gridCol w:w="6331"/>
        <w:gridCol w:w="339"/>
        <w:gridCol w:w="201"/>
        <w:gridCol w:w="2832"/>
        <w:gridCol w:w="200"/>
        <w:gridCol w:w="338"/>
        <w:gridCol w:w="200"/>
        <w:gridCol w:w="2832"/>
        <w:gridCol w:w="200"/>
        <w:gridCol w:w="338"/>
        <w:gridCol w:w="200"/>
        <w:gridCol w:w="2832"/>
        <w:gridCol w:w="200"/>
        <w:gridCol w:w="338"/>
        <w:gridCol w:w="200"/>
        <w:gridCol w:w="2832"/>
        <w:gridCol w:w="201"/>
      </w:tblGrid>
      <w:tr w:rsidR="00141675" w:rsidRPr="00141675" w14:paraId="7E39567B" w14:textId="77777777" w:rsidTr="00141675">
        <w:tc>
          <w:tcPr>
            <w:tcW w:w="6290" w:type="dxa"/>
            <w:tcBorders>
              <w:bottom w:val="single" w:sz="6" w:space="0" w:color="000000"/>
            </w:tcBorders>
            <w:shd w:val="clear" w:color="auto" w:fill="FFFFFF"/>
            <w:tcMar>
              <w:top w:w="15" w:type="dxa"/>
              <w:left w:w="0" w:type="dxa"/>
              <w:bottom w:w="0" w:type="dxa"/>
              <w:right w:w="15" w:type="dxa"/>
            </w:tcMar>
            <w:vAlign w:val="bottom"/>
            <w:hideMark/>
          </w:tcPr>
          <w:p w14:paraId="76EC9DC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336" w:type="dxa"/>
            <w:shd w:val="clear" w:color="auto" w:fill="FFFFFF"/>
            <w:tcMar>
              <w:top w:w="15" w:type="dxa"/>
              <w:left w:w="0" w:type="dxa"/>
              <w:bottom w:w="0" w:type="dxa"/>
              <w:right w:w="15" w:type="dxa"/>
            </w:tcMar>
            <w:vAlign w:val="bottom"/>
            <w:hideMark/>
          </w:tcPr>
          <w:p w14:paraId="6E6E680F"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3005" w:type="dxa"/>
            <w:gridSpan w:val="2"/>
            <w:tcBorders>
              <w:bottom w:val="single" w:sz="6" w:space="0" w:color="000000"/>
            </w:tcBorders>
            <w:shd w:val="clear" w:color="auto" w:fill="FFFFFF"/>
            <w:tcMar>
              <w:top w:w="15" w:type="dxa"/>
              <w:left w:w="0" w:type="dxa"/>
              <w:bottom w:w="0" w:type="dxa"/>
              <w:right w:w="15" w:type="dxa"/>
            </w:tcMar>
            <w:vAlign w:val="bottom"/>
            <w:hideMark/>
          </w:tcPr>
          <w:p w14:paraId="1C9AF64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Cloud and License</w:t>
            </w:r>
          </w:p>
        </w:tc>
        <w:tc>
          <w:tcPr>
            <w:tcW w:w="191" w:type="dxa"/>
            <w:shd w:val="clear" w:color="auto" w:fill="FFFFFF"/>
            <w:noWrap/>
            <w:tcMar>
              <w:top w:w="15" w:type="dxa"/>
              <w:left w:w="0" w:type="dxa"/>
              <w:bottom w:w="0" w:type="dxa"/>
              <w:right w:w="15" w:type="dxa"/>
            </w:tcMar>
            <w:vAlign w:val="bottom"/>
            <w:hideMark/>
          </w:tcPr>
          <w:p w14:paraId="7FE6816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36" w:type="dxa"/>
            <w:shd w:val="clear" w:color="auto" w:fill="FFFFFF"/>
            <w:tcMar>
              <w:top w:w="15" w:type="dxa"/>
              <w:left w:w="0" w:type="dxa"/>
              <w:bottom w:w="0" w:type="dxa"/>
              <w:right w:w="15" w:type="dxa"/>
            </w:tcMar>
            <w:vAlign w:val="bottom"/>
            <w:hideMark/>
          </w:tcPr>
          <w:p w14:paraId="48FFC33B"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3005" w:type="dxa"/>
            <w:gridSpan w:val="2"/>
            <w:tcBorders>
              <w:bottom w:val="single" w:sz="6" w:space="0" w:color="000000"/>
            </w:tcBorders>
            <w:shd w:val="clear" w:color="auto" w:fill="FFFFFF"/>
            <w:tcMar>
              <w:top w:w="15" w:type="dxa"/>
              <w:left w:w="0" w:type="dxa"/>
              <w:bottom w:w="0" w:type="dxa"/>
              <w:right w:w="15" w:type="dxa"/>
            </w:tcMar>
            <w:vAlign w:val="bottom"/>
            <w:hideMark/>
          </w:tcPr>
          <w:p w14:paraId="16F194D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Hardware</w:t>
            </w:r>
          </w:p>
        </w:tc>
        <w:tc>
          <w:tcPr>
            <w:tcW w:w="191" w:type="dxa"/>
            <w:shd w:val="clear" w:color="auto" w:fill="FFFFFF"/>
            <w:noWrap/>
            <w:tcMar>
              <w:top w:w="15" w:type="dxa"/>
              <w:left w:w="0" w:type="dxa"/>
              <w:bottom w:w="0" w:type="dxa"/>
              <w:right w:w="15" w:type="dxa"/>
            </w:tcMar>
            <w:vAlign w:val="bottom"/>
            <w:hideMark/>
          </w:tcPr>
          <w:p w14:paraId="4CE8A16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36" w:type="dxa"/>
            <w:shd w:val="clear" w:color="auto" w:fill="FFFFFF"/>
            <w:tcMar>
              <w:top w:w="15" w:type="dxa"/>
              <w:left w:w="0" w:type="dxa"/>
              <w:bottom w:w="0" w:type="dxa"/>
              <w:right w:w="15" w:type="dxa"/>
            </w:tcMar>
            <w:vAlign w:val="bottom"/>
            <w:hideMark/>
          </w:tcPr>
          <w:p w14:paraId="1383B778"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3005" w:type="dxa"/>
            <w:gridSpan w:val="2"/>
            <w:tcBorders>
              <w:bottom w:val="single" w:sz="6" w:space="0" w:color="000000"/>
            </w:tcBorders>
            <w:shd w:val="clear" w:color="auto" w:fill="FFFFFF"/>
            <w:tcMar>
              <w:top w:w="15" w:type="dxa"/>
              <w:left w:w="0" w:type="dxa"/>
              <w:bottom w:w="0" w:type="dxa"/>
              <w:right w:w="15" w:type="dxa"/>
            </w:tcMar>
            <w:vAlign w:val="bottom"/>
            <w:hideMark/>
          </w:tcPr>
          <w:p w14:paraId="3F22370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Services</w:t>
            </w:r>
          </w:p>
        </w:tc>
        <w:tc>
          <w:tcPr>
            <w:tcW w:w="191" w:type="dxa"/>
            <w:shd w:val="clear" w:color="auto" w:fill="FFFFFF"/>
            <w:noWrap/>
            <w:tcMar>
              <w:top w:w="15" w:type="dxa"/>
              <w:left w:w="0" w:type="dxa"/>
              <w:bottom w:w="0" w:type="dxa"/>
              <w:right w:w="15" w:type="dxa"/>
            </w:tcMar>
            <w:vAlign w:val="bottom"/>
            <w:hideMark/>
          </w:tcPr>
          <w:p w14:paraId="1EA60FD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36" w:type="dxa"/>
            <w:shd w:val="clear" w:color="auto" w:fill="FFFFFF"/>
            <w:tcMar>
              <w:top w:w="15" w:type="dxa"/>
              <w:left w:w="0" w:type="dxa"/>
              <w:bottom w:w="0" w:type="dxa"/>
              <w:right w:w="15" w:type="dxa"/>
            </w:tcMar>
            <w:vAlign w:val="bottom"/>
            <w:hideMark/>
          </w:tcPr>
          <w:p w14:paraId="63BA6E17"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3005" w:type="dxa"/>
            <w:gridSpan w:val="2"/>
            <w:tcBorders>
              <w:bottom w:val="single" w:sz="6" w:space="0" w:color="000000"/>
            </w:tcBorders>
            <w:shd w:val="clear" w:color="auto" w:fill="FFFFFF"/>
            <w:tcMar>
              <w:top w:w="15" w:type="dxa"/>
              <w:left w:w="0" w:type="dxa"/>
              <w:bottom w:w="0" w:type="dxa"/>
              <w:right w:w="15" w:type="dxa"/>
            </w:tcMar>
            <w:vAlign w:val="bottom"/>
            <w:hideMark/>
          </w:tcPr>
          <w:p w14:paraId="021E510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Total Goodwill, net</w:t>
            </w:r>
          </w:p>
        </w:tc>
        <w:tc>
          <w:tcPr>
            <w:tcW w:w="192" w:type="dxa"/>
            <w:shd w:val="clear" w:color="auto" w:fill="FFFFFF"/>
            <w:noWrap/>
            <w:tcMar>
              <w:top w:w="15" w:type="dxa"/>
              <w:left w:w="0" w:type="dxa"/>
              <w:bottom w:w="0" w:type="dxa"/>
              <w:right w:w="15" w:type="dxa"/>
            </w:tcMar>
            <w:vAlign w:val="bottom"/>
            <w:hideMark/>
          </w:tcPr>
          <w:p w14:paraId="6017703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EF43C2B" w14:textId="77777777" w:rsidTr="00141675">
        <w:tc>
          <w:tcPr>
            <w:tcW w:w="6290" w:type="dxa"/>
            <w:tcBorders>
              <w:top w:val="single" w:sz="6" w:space="0" w:color="000000"/>
            </w:tcBorders>
            <w:shd w:val="clear" w:color="auto" w:fill="CFF0FC"/>
            <w:tcMar>
              <w:top w:w="15" w:type="dxa"/>
              <w:left w:w="0" w:type="dxa"/>
              <w:bottom w:w="0" w:type="dxa"/>
              <w:right w:w="15" w:type="dxa"/>
            </w:tcMar>
            <w:hideMark/>
          </w:tcPr>
          <w:p w14:paraId="78B7B5B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Balances as of May 31, 2019</w:t>
            </w:r>
          </w:p>
        </w:tc>
        <w:tc>
          <w:tcPr>
            <w:tcW w:w="336" w:type="dxa"/>
            <w:shd w:val="clear" w:color="auto" w:fill="CFF0FC"/>
            <w:tcMar>
              <w:top w:w="15" w:type="dxa"/>
              <w:left w:w="0" w:type="dxa"/>
              <w:bottom w:w="0" w:type="dxa"/>
              <w:right w:w="15" w:type="dxa"/>
            </w:tcMar>
            <w:vAlign w:val="bottom"/>
            <w:hideMark/>
          </w:tcPr>
          <w:p w14:paraId="3AC382F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983912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99" w:type="dxa"/>
            <w:tcBorders>
              <w:top w:val="single" w:sz="6" w:space="0" w:color="000000"/>
            </w:tcBorders>
            <w:shd w:val="clear" w:color="auto" w:fill="CFF0FC"/>
            <w:noWrap/>
            <w:tcMar>
              <w:top w:w="15" w:type="dxa"/>
              <w:left w:w="0" w:type="dxa"/>
              <w:bottom w:w="0" w:type="dxa"/>
              <w:right w:w="15" w:type="dxa"/>
            </w:tcMar>
            <w:vAlign w:val="bottom"/>
            <w:hideMark/>
          </w:tcPr>
          <w:p w14:paraId="476435B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39,633</w:t>
            </w:r>
          </w:p>
        </w:tc>
        <w:tc>
          <w:tcPr>
            <w:tcW w:w="191" w:type="dxa"/>
            <w:shd w:val="clear" w:color="auto" w:fill="CFF0FC"/>
            <w:noWrap/>
            <w:tcMar>
              <w:top w:w="15" w:type="dxa"/>
              <w:left w:w="0" w:type="dxa"/>
              <w:bottom w:w="0" w:type="dxa"/>
              <w:right w:w="15" w:type="dxa"/>
            </w:tcMar>
            <w:vAlign w:val="bottom"/>
            <w:hideMark/>
          </w:tcPr>
          <w:p w14:paraId="6A6DC8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CFF0FC"/>
            <w:tcMar>
              <w:top w:w="15" w:type="dxa"/>
              <w:left w:w="0" w:type="dxa"/>
              <w:bottom w:w="0" w:type="dxa"/>
              <w:right w:w="15" w:type="dxa"/>
            </w:tcMar>
            <w:vAlign w:val="bottom"/>
            <w:hideMark/>
          </w:tcPr>
          <w:p w14:paraId="10B7B5B1"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2C206E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99" w:type="dxa"/>
            <w:tcBorders>
              <w:top w:val="single" w:sz="6" w:space="0" w:color="000000"/>
            </w:tcBorders>
            <w:shd w:val="clear" w:color="auto" w:fill="CFF0FC"/>
            <w:noWrap/>
            <w:tcMar>
              <w:top w:w="15" w:type="dxa"/>
              <w:left w:w="0" w:type="dxa"/>
              <w:bottom w:w="0" w:type="dxa"/>
              <w:right w:w="15" w:type="dxa"/>
            </w:tcMar>
            <w:vAlign w:val="bottom"/>
            <w:hideMark/>
          </w:tcPr>
          <w:p w14:paraId="1890210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2,367</w:t>
            </w:r>
          </w:p>
        </w:tc>
        <w:tc>
          <w:tcPr>
            <w:tcW w:w="191" w:type="dxa"/>
            <w:shd w:val="clear" w:color="auto" w:fill="CFF0FC"/>
            <w:noWrap/>
            <w:tcMar>
              <w:top w:w="15" w:type="dxa"/>
              <w:left w:w="0" w:type="dxa"/>
              <w:bottom w:w="0" w:type="dxa"/>
              <w:right w:w="15" w:type="dxa"/>
            </w:tcMar>
            <w:vAlign w:val="bottom"/>
            <w:hideMark/>
          </w:tcPr>
          <w:p w14:paraId="6C4F60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CFF0FC"/>
            <w:tcMar>
              <w:top w:w="15" w:type="dxa"/>
              <w:left w:w="0" w:type="dxa"/>
              <w:bottom w:w="0" w:type="dxa"/>
              <w:right w:w="15" w:type="dxa"/>
            </w:tcMar>
            <w:vAlign w:val="bottom"/>
            <w:hideMark/>
          </w:tcPr>
          <w:p w14:paraId="3C325A56"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2C0661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99" w:type="dxa"/>
            <w:tcBorders>
              <w:top w:val="single" w:sz="6" w:space="0" w:color="000000"/>
            </w:tcBorders>
            <w:shd w:val="clear" w:color="auto" w:fill="CFF0FC"/>
            <w:noWrap/>
            <w:tcMar>
              <w:top w:w="15" w:type="dxa"/>
              <w:left w:w="0" w:type="dxa"/>
              <w:bottom w:w="0" w:type="dxa"/>
              <w:right w:w="15" w:type="dxa"/>
            </w:tcMar>
            <w:vAlign w:val="bottom"/>
            <w:hideMark/>
          </w:tcPr>
          <w:p w14:paraId="5A1959D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1,779</w:t>
            </w:r>
          </w:p>
        </w:tc>
        <w:tc>
          <w:tcPr>
            <w:tcW w:w="191" w:type="dxa"/>
            <w:shd w:val="clear" w:color="auto" w:fill="CFF0FC"/>
            <w:noWrap/>
            <w:tcMar>
              <w:top w:w="15" w:type="dxa"/>
              <w:left w:w="0" w:type="dxa"/>
              <w:bottom w:w="0" w:type="dxa"/>
              <w:right w:w="15" w:type="dxa"/>
            </w:tcMar>
            <w:vAlign w:val="bottom"/>
            <w:hideMark/>
          </w:tcPr>
          <w:p w14:paraId="1997A2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CFF0FC"/>
            <w:tcMar>
              <w:top w:w="15" w:type="dxa"/>
              <w:left w:w="0" w:type="dxa"/>
              <w:bottom w:w="0" w:type="dxa"/>
              <w:right w:w="15" w:type="dxa"/>
            </w:tcMar>
            <w:vAlign w:val="bottom"/>
            <w:hideMark/>
          </w:tcPr>
          <w:p w14:paraId="6946F66B"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268515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99" w:type="dxa"/>
            <w:tcBorders>
              <w:top w:val="single" w:sz="6" w:space="0" w:color="000000"/>
            </w:tcBorders>
            <w:shd w:val="clear" w:color="auto" w:fill="CFF0FC"/>
            <w:noWrap/>
            <w:tcMar>
              <w:top w:w="15" w:type="dxa"/>
              <w:left w:w="0" w:type="dxa"/>
              <w:bottom w:w="0" w:type="dxa"/>
              <w:right w:w="15" w:type="dxa"/>
            </w:tcMar>
            <w:vAlign w:val="bottom"/>
            <w:hideMark/>
          </w:tcPr>
          <w:p w14:paraId="57057B1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43,779</w:t>
            </w:r>
          </w:p>
        </w:tc>
        <w:tc>
          <w:tcPr>
            <w:tcW w:w="192" w:type="dxa"/>
            <w:shd w:val="clear" w:color="auto" w:fill="CFF0FC"/>
            <w:noWrap/>
            <w:tcMar>
              <w:top w:w="15" w:type="dxa"/>
              <w:left w:w="0" w:type="dxa"/>
              <w:bottom w:w="0" w:type="dxa"/>
              <w:right w:w="15" w:type="dxa"/>
            </w:tcMar>
            <w:vAlign w:val="bottom"/>
            <w:hideMark/>
          </w:tcPr>
          <w:p w14:paraId="084F8D8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3A38D783" w14:textId="77777777" w:rsidTr="00141675">
        <w:tc>
          <w:tcPr>
            <w:tcW w:w="6290" w:type="dxa"/>
            <w:shd w:val="clear" w:color="auto" w:fill="FFFFFF"/>
            <w:tcMar>
              <w:top w:w="15" w:type="dxa"/>
              <w:left w:w="0" w:type="dxa"/>
              <w:bottom w:w="0" w:type="dxa"/>
              <w:right w:w="15" w:type="dxa"/>
            </w:tcMar>
            <w:hideMark/>
          </w:tcPr>
          <w:p w14:paraId="2AB52134"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Goodwill from acquisitions</w:t>
            </w:r>
          </w:p>
        </w:tc>
        <w:tc>
          <w:tcPr>
            <w:tcW w:w="336" w:type="dxa"/>
            <w:shd w:val="clear" w:color="auto" w:fill="FFFFFF"/>
            <w:tcMar>
              <w:top w:w="15" w:type="dxa"/>
              <w:left w:w="0" w:type="dxa"/>
              <w:bottom w:w="0" w:type="dxa"/>
              <w:right w:w="15" w:type="dxa"/>
            </w:tcMar>
            <w:vAlign w:val="bottom"/>
            <w:hideMark/>
          </w:tcPr>
          <w:p w14:paraId="01C78AC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F24BC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99" w:type="dxa"/>
            <w:shd w:val="clear" w:color="auto" w:fill="FFFFFF"/>
            <w:noWrap/>
            <w:tcMar>
              <w:top w:w="15" w:type="dxa"/>
              <w:left w:w="0" w:type="dxa"/>
              <w:bottom w:w="0" w:type="dxa"/>
              <w:right w:w="15" w:type="dxa"/>
            </w:tcMar>
            <w:vAlign w:val="bottom"/>
            <w:hideMark/>
          </w:tcPr>
          <w:p w14:paraId="1F54052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74</w:t>
            </w:r>
          </w:p>
        </w:tc>
        <w:tc>
          <w:tcPr>
            <w:tcW w:w="191" w:type="dxa"/>
            <w:shd w:val="clear" w:color="auto" w:fill="FFFFFF"/>
            <w:noWrap/>
            <w:tcMar>
              <w:top w:w="15" w:type="dxa"/>
              <w:left w:w="0" w:type="dxa"/>
              <w:bottom w:w="0" w:type="dxa"/>
              <w:right w:w="15" w:type="dxa"/>
            </w:tcMar>
            <w:vAlign w:val="bottom"/>
            <w:hideMark/>
          </w:tcPr>
          <w:p w14:paraId="7556B53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FFFFFF"/>
            <w:tcMar>
              <w:top w:w="15" w:type="dxa"/>
              <w:left w:w="0" w:type="dxa"/>
              <w:bottom w:w="0" w:type="dxa"/>
              <w:right w:w="15" w:type="dxa"/>
            </w:tcMar>
            <w:vAlign w:val="bottom"/>
            <w:hideMark/>
          </w:tcPr>
          <w:p w14:paraId="1A729EC1"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A4106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99" w:type="dxa"/>
            <w:shd w:val="clear" w:color="auto" w:fill="FFFFFF"/>
            <w:noWrap/>
            <w:tcMar>
              <w:top w:w="15" w:type="dxa"/>
              <w:left w:w="0" w:type="dxa"/>
              <w:bottom w:w="0" w:type="dxa"/>
              <w:right w:w="15" w:type="dxa"/>
            </w:tcMar>
            <w:vAlign w:val="bottom"/>
            <w:hideMark/>
          </w:tcPr>
          <w:p w14:paraId="6B97427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24DEBA8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FFFFFF"/>
            <w:tcMar>
              <w:top w:w="15" w:type="dxa"/>
              <w:left w:w="0" w:type="dxa"/>
              <w:bottom w:w="0" w:type="dxa"/>
              <w:right w:w="15" w:type="dxa"/>
            </w:tcMar>
            <w:vAlign w:val="bottom"/>
            <w:hideMark/>
          </w:tcPr>
          <w:p w14:paraId="0FA7D140"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4133A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99" w:type="dxa"/>
            <w:shd w:val="clear" w:color="auto" w:fill="FFFFFF"/>
            <w:noWrap/>
            <w:tcMar>
              <w:top w:w="15" w:type="dxa"/>
              <w:left w:w="0" w:type="dxa"/>
              <w:bottom w:w="0" w:type="dxa"/>
              <w:right w:w="15" w:type="dxa"/>
            </w:tcMar>
            <w:vAlign w:val="bottom"/>
            <w:hideMark/>
          </w:tcPr>
          <w:p w14:paraId="60C386F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481C95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FFFFFF"/>
            <w:tcMar>
              <w:top w:w="15" w:type="dxa"/>
              <w:left w:w="0" w:type="dxa"/>
              <w:bottom w:w="0" w:type="dxa"/>
              <w:right w:w="15" w:type="dxa"/>
            </w:tcMar>
            <w:vAlign w:val="bottom"/>
            <w:hideMark/>
          </w:tcPr>
          <w:p w14:paraId="0B9D7A8D"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37321A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99" w:type="dxa"/>
            <w:shd w:val="clear" w:color="auto" w:fill="FFFFFF"/>
            <w:noWrap/>
            <w:tcMar>
              <w:top w:w="15" w:type="dxa"/>
              <w:left w:w="0" w:type="dxa"/>
              <w:bottom w:w="0" w:type="dxa"/>
              <w:right w:w="15" w:type="dxa"/>
            </w:tcMar>
            <w:vAlign w:val="bottom"/>
            <w:hideMark/>
          </w:tcPr>
          <w:p w14:paraId="62DFDB5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74</w:t>
            </w:r>
          </w:p>
        </w:tc>
        <w:tc>
          <w:tcPr>
            <w:tcW w:w="192" w:type="dxa"/>
            <w:shd w:val="clear" w:color="auto" w:fill="FFFFFF"/>
            <w:noWrap/>
            <w:tcMar>
              <w:top w:w="15" w:type="dxa"/>
              <w:left w:w="0" w:type="dxa"/>
              <w:bottom w:w="0" w:type="dxa"/>
              <w:right w:w="15" w:type="dxa"/>
            </w:tcMar>
            <w:vAlign w:val="bottom"/>
            <w:hideMark/>
          </w:tcPr>
          <w:p w14:paraId="40EF5F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825B4A2" w14:textId="77777777" w:rsidTr="00141675">
        <w:tc>
          <w:tcPr>
            <w:tcW w:w="6290" w:type="dxa"/>
            <w:shd w:val="clear" w:color="auto" w:fill="CFF0FC"/>
            <w:tcMar>
              <w:top w:w="15" w:type="dxa"/>
              <w:left w:w="0" w:type="dxa"/>
              <w:bottom w:w="0" w:type="dxa"/>
              <w:right w:w="15" w:type="dxa"/>
            </w:tcMar>
            <w:hideMark/>
          </w:tcPr>
          <w:p w14:paraId="31B08E1D"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Goodwill adjustments, net</w:t>
            </w:r>
            <w:r w:rsidRPr="00141675">
              <w:rPr>
                <w:rFonts w:ascii="Calibri" w:eastAsia="宋体" w:hAnsi="Calibri" w:cs="Calibri"/>
                <w:color w:val="000000"/>
                <w:kern w:val="0"/>
                <w:sz w:val="18"/>
                <w:szCs w:val="18"/>
                <w:vertAlign w:val="superscript"/>
              </w:rPr>
              <w:t>(1)</w:t>
            </w:r>
          </w:p>
        </w:tc>
        <w:tc>
          <w:tcPr>
            <w:tcW w:w="336" w:type="dxa"/>
            <w:shd w:val="clear" w:color="auto" w:fill="CFF0FC"/>
            <w:tcMar>
              <w:top w:w="15" w:type="dxa"/>
              <w:left w:w="0" w:type="dxa"/>
              <w:bottom w:w="0" w:type="dxa"/>
              <w:right w:w="15" w:type="dxa"/>
            </w:tcMar>
            <w:vAlign w:val="bottom"/>
            <w:hideMark/>
          </w:tcPr>
          <w:p w14:paraId="5D48B9F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A13F56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99" w:type="dxa"/>
            <w:tcBorders>
              <w:bottom w:val="single" w:sz="6" w:space="0" w:color="000000"/>
            </w:tcBorders>
            <w:shd w:val="clear" w:color="auto" w:fill="CFF0FC"/>
            <w:noWrap/>
            <w:tcMar>
              <w:top w:w="15" w:type="dxa"/>
              <w:left w:w="0" w:type="dxa"/>
              <w:bottom w:w="0" w:type="dxa"/>
              <w:right w:w="15" w:type="dxa"/>
            </w:tcMar>
            <w:vAlign w:val="bottom"/>
            <w:hideMark/>
          </w:tcPr>
          <w:p w14:paraId="7AB9553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(38</w:t>
            </w:r>
          </w:p>
        </w:tc>
        <w:tc>
          <w:tcPr>
            <w:tcW w:w="191" w:type="dxa"/>
            <w:shd w:val="clear" w:color="auto" w:fill="CFF0FC"/>
            <w:noWrap/>
            <w:tcMar>
              <w:top w:w="15" w:type="dxa"/>
              <w:left w:w="0" w:type="dxa"/>
              <w:bottom w:w="0" w:type="dxa"/>
              <w:right w:w="15" w:type="dxa"/>
            </w:tcMar>
            <w:vAlign w:val="bottom"/>
            <w:hideMark/>
          </w:tcPr>
          <w:p w14:paraId="3307FE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336" w:type="dxa"/>
            <w:shd w:val="clear" w:color="auto" w:fill="CFF0FC"/>
            <w:tcMar>
              <w:top w:w="15" w:type="dxa"/>
              <w:left w:w="0" w:type="dxa"/>
              <w:bottom w:w="0" w:type="dxa"/>
              <w:right w:w="15" w:type="dxa"/>
            </w:tcMar>
            <w:vAlign w:val="bottom"/>
            <w:hideMark/>
          </w:tcPr>
          <w:p w14:paraId="54BCFE3A"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171C7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99" w:type="dxa"/>
            <w:tcBorders>
              <w:bottom w:val="single" w:sz="6" w:space="0" w:color="000000"/>
            </w:tcBorders>
            <w:shd w:val="clear" w:color="auto" w:fill="CFF0FC"/>
            <w:noWrap/>
            <w:tcMar>
              <w:top w:w="15" w:type="dxa"/>
              <w:left w:w="0" w:type="dxa"/>
              <w:bottom w:w="0" w:type="dxa"/>
              <w:right w:w="15" w:type="dxa"/>
            </w:tcMar>
            <w:vAlign w:val="bottom"/>
            <w:hideMark/>
          </w:tcPr>
          <w:p w14:paraId="350C7BF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CFF0FC"/>
            <w:noWrap/>
            <w:tcMar>
              <w:top w:w="15" w:type="dxa"/>
              <w:left w:w="0" w:type="dxa"/>
              <w:bottom w:w="0" w:type="dxa"/>
              <w:right w:w="15" w:type="dxa"/>
            </w:tcMar>
            <w:vAlign w:val="bottom"/>
            <w:hideMark/>
          </w:tcPr>
          <w:p w14:paraId="3AFC8C1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CFF0FC"/>
            <w:tcMar>
              <w:top w:w="15" w:type="dxa"/>
              <w:left w:w="0" w:type="dxa"/>
              <w:bottom w:w="0" w:type="dxa"/>
              <w:right w:w="15" w:type="dxa"/>
            </w:tcMar>
            <w:vAlign w:val="bottom"/>
            <w:hideMark/>
          </w:tcPr>
          <w:p w14:paraId="05984F7E"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F2E3A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99" w:type="dxa"/>
            <w:tcBorders>
              <w:bottom w:val="single" w:sz="6" w:space="0" w:color="000000"/>
            </w:tcBorders>
            <w:shd w:val="clear" w:color="auto" w:fill="CFF0FC"/>
            <w:noWrap/>
            <w:tcMar>
              <w:top w:w="15" w:type="dxa"/>
              <w:left w:w="0" w:type="dxa"/>
              <w:bottom w:w="0" w:type="dxa"/>
              <w:right w:w="15" w:type="dxa"/>
            </w:tcMar>
            <w:vAlign w:val="bottom"/>
            <w:hideMark/>
          </w:tcPr>
          <w:p w14:paraId="6B7A293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191" w:type="dxa"/>
            <w:shd w:val="clear" w:color="auto" w:fill="CFF0FC"/>
            <w:noWrap/>
            <w:tcMar>
              <w:top w:w="15" w:type="dxa"/>
              <w:left w:w="0" w:type="dxa"/>
              <w:bottom w:w="0" w:type="dxa"/>
              <w:right w:w="15" w:type="dxa"/>
            </w:tcMar>
            <w:vAlign w:val="bottom"/>
            <w:hideMark/>
          </w:tcPr>
          <w:p w14:paraId="488CC3A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336" w:type="dxa"/>
            <w:shd w:val="clear" w:color="auto" w:fill="CFF0FC"/>
            <w:tcMar>
              <w:top w:w="15" w:type="dxa"/>
              <w:left w:w="0" w:type="dxa"/>
              <w:bottom w:w="0" w:type="dxa"/>
              <w:right w:w="15" w:type="dxa"/>
            </w:tcMar>
            <w:vAlign w:val="bottom"/>
            <w:hideMark/>
          </w:tcPr>
          <w:p w14:paraId="5B3BBECE"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E13C17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99" w:type="dxa"/>
            <w:tcBorders>
              <w:bottom w:val="single" w:sz="6" w:space="0" w:color="000000"/>
            </w:tcBorders>
            <w:shd w:val="clear" w:color="auto" w:fill="CFF0FC"/>
            <w:noWrap/>
            <w:tcMar>
              <w:top w:w="15" w:type="dxa"/>
              <w:left w:w="0" w:type="dxa"/>
              <w:bottom w:w="0" w:type="dxa"/>
              <w:right w:w="15" w:type="dxa"/>
            </w:tcMar>
            <w:vAlign w:val="bottom"/>
            <w:hideMark/>
          </w:tcPr>
          <w:p w14:paraId="76F11FB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(43</w:t>
            </w:r>
          </w:p>
        </w:tc>
        <w:tc>
          <w:tcPr>
            <w:tcW w:w="192" w:type="dxa"/>
            <w:shd w:val="clear" w:color="auto" w:fill="CFF0FC"/>
            <w:noWrap/>
            <w:tcMar>
              <w:top w:w="15" w:type="dxa"/>
              <w:left w:w="0" w:type="dxa"/>
              <w:bottom w:w="0" w:type="dxa"/>
              <w:right w:w="15" w:type="dxa"/>
            </w:tcMar>
            <w:vAlign w:val="bottom"/>
            <w:hideMark/>
          </w:tcPr>
          <w:p w14:paraId="1B5B49A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2B20D0E4" w14:textId="77777777" w:rsidTr="00141675">
        <w:tc>
          <w:tcPr>
            <w:tcW w:w="6290" w:type="dxa"/>
            <w:shd w:val="clear" w:color="auto" w:fill="FFFFFF"/>
            <w:tcMar>
              <w:top w:w="15" w:type="dxa"/>
              <w:left w:w="0" w:type="dxa"/>
              <w:bottom w:w="0" w:type="dxa"/>
              <w:right w:w="15" w:type="dxa"/>
            </w:tcMar>
            <w:hideMark/>
          </w:tcPr>
          <w:p w14:paraId="798F755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Balances as of November 30, 2019</w:t>
            </w:r>
          </w:p>
        </w:tc>
        <w:tc>
          <w:tcPr>
            <w:tcW w:w="336" w:type="dxa"/>
            <w:shd w:val="clear" w:color="auto" w:fill="FFFFFF"/>
            <w:tcMar>
              <w:top w:w="15" w:type="dxa"/>
              <w:left w:w="0" w:type="dxa"/>
              <w:bottom w:w="0" w:type="dxa"/>
              <w:right w:w="15" w:type="dxa"/>
            </w:tcMar>
            <w:vAlign w:val="bottom"/>
            <w:hideMark/>
          </w:tcPr>
          <w:p w14:paraId="0F95067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269D5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9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6EC15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39,669</w:t>
            </w:r>
          </w:p>
        </w:tc>
        <w:tc>
          <w:tcPr>
            <w:tcW w:w="191" w:type="dxa"/>
            <w:shd w:val="clear" w:color="auto" w:fill="FFFFFF"/>
            <w:noWrap/>
            <w:tcMar>
              <w:top w:w="15" w:type="dxa"/>
              <w:left w:w="0" w:type="dxa"/>
              <w:bottom w:w="0" w:type="dxa"/>
              <w:right w:w="15" w:type="dxa"/>
            </w:tcMar>
            <w:vAlign w:val="bottom"/>
            <w:hideMark/>
          </w:tcPr>
          <w:p w14:paraId="42FCCD7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FFFFFF"/>
            <w:tcMar>
              <w:top w:w="15" w:type="dxa"/>
              <w:left w:w="0" w:type="dxa"/>
              <w:bottom w:w="0" w:type="dxa"/>
              <w:right w:w="15" w:type="dxa"/>
            </w:tcMar>
            <w:vAlign w:val="bottom"/>
            <w:hideMark/>
          </w:tcPr>
          <w:p w14:paraId="7762853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99EC5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9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0178A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2,367</w:t>
            </w:r>
          </w:p>
        </w:tc>
        <w:tc>
          <w:tcPr>
            <w:tcW w:w="191" w:type="dxa"/>
            <w:shd w:val="clear" w:color="auto" w:fill="FFFFFF"/>
            <w:noWrap/>
            <w:tcMar>
              <w:top w:w="15" w:type="dxa"/>
              <w:left w:w="0" w:type="dxa"/>
              <w:bottom w:w="0" w:type="dxa"/>
              <w:right w:w="15" w:type="dxa"/>
            </w:tcMar>
            <w:vAlign w:val="bottom"/>
            <w:hideMark/>
          </w:tcPr>
          <w:p w14:paraId="027F2B3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FFFFFF"/>
            <w:tcMar>
              <w:top w:w="15" w:type="dxa"/>
              <w:left w:w="0" w:type="dxa"/>
              <w:bottom w:w="0" w:type="dxa"/>
              <w:right w:w="15" w:type="dxa"/>
            </w:tcMar>
            <w:vAlign w:val="bottom"/>
            <w:hideMark/>
          </w:tcPr>
          <w:p w14:paraId="63A9907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17AA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9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E870B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1,774</w:t>
            </w:r>
          </w:p>
        </w:tc>
        <w:tc>
          <w:tcPr>
            <w:tcW w:w="191" w:type="dxa"/>
            <w:shd w:val="clear" w:color="auto" w:fill="FFFFFF"/>
            <w:noWrap/>
            <w:tcMar>
              <w:top w:w="15" w:type="dxa"/>
              <w:left w:w="0" w:type="dxa"/>
              <w:bottom w:w="0" w:type="dxa"/>
              <w:right w:w="15" w:type="dxa"/>
            </w:tcMar>
            <w:vAlign w:val="bottom"/>
            <w:hideMark/>
          </w:tcPr>
          <w:p w14:paraId="5139EE2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36" w:type="dxa"/>
            <w:shd w:val="clear" w:color="auto" w:fill="FFFFFF"/>
            <w:tcMar>
              <w:top w:w="15" w:type="dxa"/>
              <w:left w:w="0" w:type="dxa"/>
              <w:bottom w:w="0" w:type="dxa"/>
              <w:right w:w="15" w:type="dxa"/>
            </w:tcMar>
            <w:vAlign w:val="bottom"/>
            <w:hideMark/>
          </w:tcPr>
          <w:p w14:paraId="36734DA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076CB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9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86C79F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43,810</w:t>
            </w:r>
          </w:p>
        </w:tc>
        <w:tc>
          <w:tcPr>
            <w:tcW w:w="192" w:type="dxa"/>
            <w:shd w:val="clear" w:color="auto" w:fill="FFFFFF"/>
            <w:noWrap/>
            <w:tcMar>
              <w:top w:w="15" w:type="dxa"/>
              <w:left w:w="0" w:type="dxa"/>
              <w:bottom w:w="0" w:type="dxa"/>
              <w:right w:w="15" w:type="dxa"/>
            </w:tcMar>
            <w:vAlign w:val="bottom"/>
            <w:hideMark/>
          </w:tcPr>
          <w:p w14:paraId="248F5E49"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24FA816A" w14:textId="77777777" w:rsidR="00141675" w:rsidRPr="00141675" w:rsidRDefault="00141675" w:rsidP="00141675">
      <w:pPr>
        <w:widowControl/>
        <w:pBdr>
          <w:bottom w:val="single" w:sz="6" w:space="1" w:color="auto"/>
        </w:pBdr>
        <w:ind w:right="18324"/>
        <w:rPr>
          <w:rFonts w:ascii="Times New Roman" w:eastAsia="宋体" w:hAnsi="Times New Roman" w:cs="Times New Roman"/>
          <w:kern w:val="0"/>
          <w:sz w:val="8"/>
          <w:szCs w:val="8"/>
        </w:rPr>
      </w:pPr>
      <w:r w:rsidRPr="00141675">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108C36D5" w14:textId="77777777" w:rsidTr="00141675">
        <w:tc>
          <w:tcPr>
            <w:tcW w:w="794" w:type="dxa"/>
            <w:noWrap/>
            <w:hideMark/>
          </w:tcPr>
          <w:p w14:paraId="39437708"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lastRenderedPageBreak/>
              <w:t>(1)</w:t>
            </w:r>
          </w:p>
        </w:tc>
        <w:tc>
          <w:tcPr>
            <w:tcW w:w="0" w:type="auto"/>
            <w:hideMark/>
          </w:tcPr>
          <w:p w14:paraId="6C3A383C"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Pursuant to our business combinations accounting policy, we recorded goodwill adjustments for the effects on goodwill of changes to net assets acquired during the period that such a change is identified, provided that any such change is within the measurement period (up to one year from the date of the acquisition). Amounts also include any changes in goodwill balances for the period presented that resulted from foreign currency translations.</w:t>
            </w:r>
          </w:p>
        </w:tc>
      </w:tr>
    </w:tbl>
    <w:p w14:paraId="6E20458B"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6718E03A" w14:textId="77777777" w:rsidR="00141675" w:rsidRPr="00141675" w:rsidRDefault="00141675" w:rsidP="00141675">
      <w:pPr>
        <w:widowControl/>
        <w:spacing w:before="240"/>
        <w:jc w:val="center"/>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t>13</w:t>
      </w:r>
    </w:p>
    <w:p w14:paraId="405EFF4A"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31CFBEEF">
          <v:rect id="_x0000_i1039" style="width:0;height:1.5pt" o:hralign="center" o:hrstd="t" o:hrnoshade="t" o:hr="t" fillcolor="black" stroked="f"/>
        </w:pict>
      </w:r>
    </w:p>
    <w:p w14:paraId="17749B24" w14:textId="77777777" w:rsidR="00141675" w:rsidRPr="00141675" w:rsidRDefault="00141675" w:rsidP="00141675">
      <w:pPr>
        <w:widowControl/>
        <w:jc w:val="left"/>
        <w:rPr>
          <w:rFonts w:ascii="Calibri" w:eastAsia="宋体" w:hAnsi="Calibri" w:cs="Calibri"/>
          <w:b/>
          <w:bCs/>
          <w:color w:val="000000"/>
          <w:kern w:val="0"/>
          <w:sz w:val="20"/>
          <w:szCs w:val="20"/>
        </w:rPr>
      </w:pPr>
      <w:hyperlink r:id="rId36" w:anchor="TABLE_CONTENTS" w:history="1">
        <w:r w:rsidRPr="00141675">
          <w:rPr>
            <w:rFonts w:ascii="Calibri" w:eastAsia="宋体" w:hAnsi="Calibri" w:cs="Calibri"/>
            <w:b/>
            <w:bCs/>
            <w:color w:val="0000FF"/>
            <w:kern w:val="0"/>
            <w:sz w:val="20"/>
            <w:szCs w:val="20"/>
            <w:u w:val="single"/>
          </w:rPr>
          <w:t>Table of Contents</w:t>
        </w:r>
      </w:hyperlink>
    </w:p>
    <w:p w14:paraId="6F708513"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4AAE114E"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12DAAA4A"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69C3A143"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110E7304"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725F149A"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0C7640F3" w14:textId="77777777" w:rsidTr="00141675">
        <w:tc>
          <w:tcPr>
            <w:tcW w:w="1080" w:type="dxa"/>
            <w:noWrap/>
            <w:hideMark/>
          </w:tcPr>
          <w:p w14:paraId="44A641F8"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5.</w:t>
            </w:r>
          </w:p>
        </w:tc>
        <w:tc>
          <w:tcPr>
            <w:tcW w:w="0" w:type="auto"/>
            <w:hideMark/>
          </w:tcPr>
          <w:p w14:paraId="393DA1D5"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RESTRUCTURING ACTIVITIES</w:t>
            </w:r>
          </w:p>
        </w:tc>
      </w:tr>
    </w:tbl>
    <w:p w14:paraId="2FA65237"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Fiscal 2019 Oracle Restructuring Plan</w:t>
      </w:r>
    </w:p>
    <w:p w14:paraId="1AACDAB4"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During fiscal 2019, our management approved, committed to and initiated plans to restructure and further improve efficiencies in our operations due to our acquisitions and certain other operational activities (2019 Restructuring Plan). </w:t>
      </w:r>
      <w:r w:rsidRPr="00141675">
        <w:rPr>
          <w:rFonts w:ascii="Calibri" w:eastAsia="宋体" w:hAnsi="Calibri" w:cs="Calibri"/>
          <w:color w:val="000000"/>
          <w:kern w:val="0"/>
          <w:sz w:val="20"/>
          <w:szCs w:val="20"/>
        </w:rPr>
        <w:t>In the fourth quarter of fiscal 2019, our management supplemented the 2019 Restructuring Plan to reflect additional actions that we expect to take. </w:t>
      </w:r>
      <w:r w:rsidRPr="00141675">
        <w:rPr>
          <w:rFonts w:ascii="Calibri" w:eastAsia="宋体" w:hAnsi="Calibri" w:cs="Calibri"/>
          <w:kern w:val="0"/>
          <w:sz w:val="20"/>
          <w:szCs w:val="20"/>
        </w:rPr>
        <w:t>The total estimated restructuring costs associated with the 2019 Restructuring Plan are up to $626 million and will be recorded to the restructuring expense line item within our condensed consolidated statements of operations as they are incurred. We recorded $125 million of restructuring expenses in connection with the 2019 Restructuring Plan in the first half of fiscal 2020 and we expect to incur the majority of the estimated remaining $25 million through the end of fiscal 2020. Any changes to the estimates of executing the 2019 Restructuring Plan will be reflected in our future results of operations.</w:t>
      </w:r>
    </w:p>
    <w:p w14:paraId="744EF33E"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Summary of All Plans</w:t>
      </w:r>
    </w:p>
    <w:p w14:paraId="13D69926" w14:textId="77777777" w:rsidR="00141675" w:rsidRPr="00141675" w:rsidRDefault="00141675" w:rsidP="00141675">
      <w:pPr>
        <w:widowControl/>
        <w:rPr>
          <w:rFonts w:ascii="Times New Roman" w:eastAsia="宋体" w:hAnsi="Times New Roman" w:cs="Times New Roman"/>
          <w:b/>
          <w:bCs/>
          <w:kern w:val="0"/>
          <w:sz w:val="24"/>
          <w:szCs w:val="24"/>
        </w:rPr>
      </w:pPr>
      <w:r w:rsidRPr="00141675">
        <w:rPr>
          <w:rFonts w:ascii="Times New Roman" w:eastAsia="宋体" w:hAnsi="Times New Roman" w:cs="Times New Roman"/>
          <w:b/>
          <w:bCs/>
          <w:kern w:val="0"/>
          <w:sz w:val="24"/>
          <w:szCs w:val="24"/>
        </w:rPr>
        <w:t> </w:t>
      </w:r>
    </w:p>
    <w:tbl>
      <w:tblPr>
        <w:tblW w:w="20614" w:type="dxa"/>
        <w:tblCellMar>
          <w:left w:w="0" w:type="dxa"/>
          <w:right w:w="0" w:type="dxa"/>
        </w:tblCellMar>
        <w:tblLook w:val="04A0" w:firstRow="1" w:lastRow="0" w:firstColumn="1" w:lastColumn="0" w:noHBand="0" w:noVBand="1"/>
      </w:tblPr>
      <w:tblGrid>
        <w:gridCol w:w="6772"/>
        <w:gridCol w:w="210"/>
        <w:gridCol w:w="255"/>
        <w:gridCol w:w="1161"/>
        <w:gridCol w:w="168"/>
        <w:gridCol w:w="73"/>
        <w:gridCol w:w="254"/>
        <w:gridCol w:w="1160"/>
        <w:gridCol w:w="167"/>
        <w:gridCol w:w="72"/>
        <w:gridCol w:w="254"/>
        <w:gridCol w:w="1164"/>
        <w:gridCol w:w="171"/>
        <w:gridCol w:w="72"/>
        <w:gridCol w:w="254"/>
        <w:gridCol w:w="1264"/>
        <w:gridCol w:w="171"/>
        <w:gridCol w:w="72"/>
        <w:gridCol w:w="254"/>
        <w:gridCol w:w="1316"/>
        <w:gridCol w:w="171"/>
        <w:gridCol w:w="72"/>
        <w:gridCol w:w="254"/>
        <w:gridCol w:w="1351"/>
        <w:gridCol w:w="171"/>
        <w:gridCol w:w="72"/>
        <w:gridCol w:w="254"/>
        <w:gridCol w:w="1164"/>
        <w:gridCol w:w="171"/>
        <w:gridCol w:w="72"/>
        <w:gridCol w:w="254"/>
        <w:gridCol w:w="1168"/>
        <w:gridCol w:w="156"/>
      </w:tblGrid>
      <w:tr w:rsidR="00141675" w:rsidRPr="00141675" w14:paraId="7D50AEAC" w14:textId="77777777" w:rsidTr="00141675">
        <w:trPr>
          <w:trHeight w:val="345"/>
        </w:trPr>
        <w:tc>
          <w:tcPr>
            <w:tcW w:w="6735" w:type="dxa"/>
            <w:shd w:val="clear" w:color="auto" w:fill="FFFFFF"/>
            <w:tcMar>
              <w:top w:w="15" w:type="dxa"/>
              <w:left w:w="0" w:type="dxa"/>
              <w:bottom w:w="0" w:type="dxa"/>
              <w:right w:w="15" w:type="dxa"/>
            </w:tcMar>
            <w:vAlign w:val="bottom"/>
            <w:hideMark/>
          </w:tcPr>
          <w:p w14:paraId="2ABDF197" w14:textId="77777777" w:rsidR="00141675" w:rsidRPr="00141675" w:rsidRDefault="00141675" w:rsidP="00141675">
            <w:pPr>
              <w:widowControl/>
              <w:jc w:val="center"/>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208" w:type="dxa"/>
            <w:shd w:val="clear" w:color="auto" w:fill="FFFFFF"/>
            <w:tcMar>
              <w:top w:w="15" w:type="dxa"/>
              <w:left w:w="0" w:type="dxa"/>
              <w:bottom w:w="0" w:type="dxa"/>
              <w:right w:w="15" w:type="dxa"/>
            </w:tcMar>
            <w:vAlign w:val="bottom"/>
            <w:hideMark/>
          </w:tcPr>
          <w:p w14:paraId="53E9FCD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399" w:type="dxa"/>
            <w:gridSpan w:val="2"/>
            <w:vMerge w:val="restart"/>
            <w:shd w:val="clear" w:color="auto" w:fill="FFFFFF"/>
            <w:tcMar>
              <w:top w:w="15" w:type="dxa"/>
              <w:left w:w="0" w:type="dxa"/>
              <w:bottom w:w="0" w:type="dxa"/>
              <w:right w:w="15" w:type="dxa"/>
            </w:tcMar>
            <w:vAlign w:val="bottom"/>
            <w:hideMark/>
          </w:tcPr>
          <w:p w14:paraId="52953C1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Accrued</w:t>
            </w:r>
          </w:p>
          <w:p w14:paraId="422F077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May 31,</w:t>
            </w:r>
          </w:p>
          <w:p w14:paraId="213F04A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r w:rsidRPr="00141675">
              <w:rPr>
                <w:rFonts w:ascii="Calibri" w:eastAsia="宋体" w:hAnsi="Calibri" w:cs="Calibri"/>
                <w:b/>
                <w:bCs/>
                <w:color w:val="000000"/>
                <w:kern w:val="0"/>
                <w:sz w:val="18"/>
                <w:szCs w:val="18"/>
                <w:vertAlign w:val="superscript"/>
              </w:rPr>
              <w:t>(2)</w:t>
            </w:r>
          </w:p>
        </w:tc>
        <w:tc>
          <w:tcPr>
            <w:tcW w:w="158" w:type="dxa"/>
            <w:shd w:val="clear" w:color="auto" w:fill="FFFFFF"/>
            <w:noWrap/>
            <w:tcMar>
              <w:top w:w="15" w:type="dxa"/>
              <w:left w:w="0" w:type="dxa"/>
              <w:bottom w:w="0" w:type="dxa"/>
              <w:right w:w="15" w:type="dxa"/>
            </w:tcMar>
            <w:vAlign w:val="bottom"/>
            <w:hideMark/>
          </w:tcPr>
          <w:p w14:paraId="09A3388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72" w:type="dxa"/>
            <w:shd w:val="clear" w:color="auto" w:fill="FFFFFF"/>
            <w:tcMar>
              <w:top w:w="15" w:type="dxa"/>
              <w:left w:w="0" w:type="dxa"/>
              <w:bottom w:w="0" w:type="dxa"/>
              <w:right w:w="15" w:type="dxa"/>
            </w:tcMar>
            <w:vAlign w:val="bottom"/>
            <w:hideMark/>
          </w:tcPr>
          <w:p w14:paraId="55BBE75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556" w:type="dxa"/>
            <w:gridSpan w:val="14"/>
            <w:tcBorders>
              <w:bottom w:val="single" w:sz="6" w:space="0" w:color="000000"/>
            </w:tcBorders>
            <w:shd w:val="clear" w:color="auto" w:fill="FFFFFF"/>
            <w:tcMar>
              <w:top w:w="15" w:type="dxa"/>
              <w:left w:w="0" w:type="dxa"/>
              <w:bottom w:w="0" w:type="dxa"/>
              <w:right w:w="15" w:type="dxa"/>
            </w:tcMar>
            <w:vAlign w:val="bottom"/>
            <w:hideMark/>
          </w:tcPr>
          <w:p w14:paraId="24A7923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 2019</w:t>
            </w:r>
          </w:p>
        </w:tc>
        <w:tc>
          <w:tcPr>
            <w:tcW w:w="162" w:type="dxa"/>
            <w:shd w:val="clear" w:color="auto" w:fill="FFFFFF"/>
            <w:noWrap/>
            <w:tcMar>
              <w:top w:w="15" w:type="dxa"/>
              <w:left w:w="0" w:type="dxa"/>
              <w:bottom w:w="0" w:type="dxa"/>
              <w:right w:w="15" w:type="dxa"/>
            </w:tcMar>
            <w:vAlign w:val="bottom"/>
            <w:hideMark/>
          </w:tcPr>
          <w:p w14:paraId="4BA1CB2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72" w:type="dxa"/>
            <w:shd w:val="clear" w:color="auto" w:fill="FFFFFF"/>
            <w:tcMar>
              <w:top w:w="15" w:type="dxa"/>
              <w:left w:w="0" w:type="dxa"/>
              <w:bottom w:w="0" w:type="dxa"/>
              <w:right w:w="15" w:type="dxa"/>
            </w:tcMar>
            <w:vAlign w:val="bottom"/>
            <w:hideMark/>
          </w:tcPr>
          <w:p w14:paraId="18FBA2B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89" w:type="dxa"/>
            <w:gridSpan w:val="2"/>
            <w:vMerge w:val="restart"/>
            <w:shd w:val="clear" w:color="auto" w:fill="FFFFFF"/>
            <w:tcMar>
              <w:top w:w="15" w:type="dxa"/>
              <w:left w:w="0" w:type="dxa"/>
              <w:bottom w:w="0" w:type="dxa"/>
              <w:right w:w="15" w:type="dxa"/>
            </w:tcMar>
            <w:vAlign w:val="bottom"/>
            <w:hideMark/>
          </w:tcPr>
          <w:p w14:paraId="089CF5A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Accrued</w:t>
            </w:r>
          </w:p>
          <w:p w14:paraId="0888FEF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p w14:paraId="0AA9B71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r w:rsidRPr="00141675">
              <w:rPr>
                <w:rFonts w:ascii="Calibri" w:eastAsia="宋体" w:hAnsi="Calibri" w:cs="Calibri"/>
                <w:b/>
                <w:bCs/>
                <w:color w:val="000000"/>
                <w:kern w:val="0"/>
                <w:sz w:val="18"/>
                <w:szCs w:val="18"/>
                <w:vertAlign w:val="superscript"/>
              </w:rPr>
              <w:t>(2)</w:t>
            </w:r>
          </w:p>
        </w:tc>
        <w:tc>
          <w:tcPr>
            <w:tcW w:w="162" w:type="dxa"/>
            <w:shd w:val="clear" w:color="auto" w:fill="FFFFFF"/>
            <w:noWrap/>
            <w:tcMar>
              <w:top w:w="15" w:type="dxa"/>
              <w:left w:w="0" w:type="dxa"/>
              <w:bottom w:w="0" w:type="dxa"/>
              <w:right w:w="15" w:type="dxa"/>
            </w:tcMar>
            <w:vAlign w:val="bottom"/>
            <w:hideMark/>
          </w:tcPr>
          <w:p w14:paraId="2BE124F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72" w:type="dxa"/>
            <w:shd w:val="clear" w:color="auto" w:fill="FFFFFF"/>
            <w:tcMar>
              <w:top w:w="15" w:type="dxa"/>
              <w:left w:w="0" w:type="dxa"/>
              <w:bottom w:w="0" w:type="dxa"/>
              <w:right w:w="15" w:type="dxa"/>
            </w:tcMar>
            <w:vAlign w:val="bottom"/>
            <w:hideMark/>
          </w:tcPr>
          <w:p w14:paraId="775452D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03" w:type="dxa"/>
            <w:gridSpan w:val="2"/>
            <w:vMerge w:val="restart"/>
            <w:shd w:val="clear" w:color="auto" w:fill="FFFFFF"/>
            <w:tcMar>
              <w:top w:w="15" w:type="dxa"/>
              <w:left w:w="0" w:type="dxa"/>
              <w:bottom w:w="0" w:type="dxa"/>
              <w:right w:w="15" w:type="dxa"/>
            </w:tcMar>
            <w:vAlign w:val="bottom"/>
            <w:hideMark/>
          </w:tcPr>
          <w:p w14:paraId="78FA57D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Total</w:t>
            </w:r>
          </w:p>
          <w:p w14:paraId="3708E89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Costs</w:t>
            </w:r>
          </w:p>
          <w:p w14:paraId="6BCFAAB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Accrued</w:t>
            </w:r>
          </w:p>
          <w:p w14:paraId="18D521B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to Date</w:t>
            </w:r>
          </w:p>
        </w:tc>
        <w:tc>
          <w:tcPr>
            <w:tcW w:w="162" w:type="dxa"/>
            <w:shd w:val="clear" w:color="auto" w:fill="FFFFFF"/>
            <w:noWrap/>
            <w:tcMar>
              <w:top w:w="15" w:type="dxa"/>
              <w:left w:w="0" w:type="dxa"/>
              <w:bottom w:w="0" w:type="dxa"/>
              <w:right w:w="15" w:type="dxa"/>
            </w:tcMar>
            <w:vAlign w:val="bottom"/>
            <w:hideMark/>
          </w:tcPr>
          <w:p w14:paraId="437B77C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72" w:type="dxa"/>
            <w:shd w:val="clear" w:color="auto" w:fill="FFFFFF"/>
            <w:tcMar>
              <w:top w:w="15" w:type="dxa"/>
              <w:left w:w="0" w:type="dxa"/>
              <w:bottom w:w="0" w:type="dxa"/>
              <w:right w:w="15" w:type="dxa"/>
            </w:tcMar>
            <w:vAlign w:val="bottom"/>
            <w:hideMark/>
          </w:tcPr>
          <w:p w14:paraId="72AE97E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07" w:type="dxa"/>
            <w:gridSpan w:val="2"/>
            <w:vMerge w:val="restart"/>
            <w:shd w:val="clear" w:color="auto" w:fill="FFFFFF"/>
            <w:tcMar>
              <w:top w:w="15" w:type="dxa"/>
              <w:left w:w="0" w:type="dxa"/>
              <w:bottom w:w="0" w:type="dxa"/>
              <w:right w:w="15" w:type="dxa"/>
            </w:tcMar>
            <w:vAlign w:val="bottom"/>
            <w:hideMark/>
          </w:tcPr>
          <w:p w14:paraId="2F077DB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Total</w:t>
            </w:r>
          </w:p>
          <w:p w14:paraId="4D6EEA3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Expected</w:t>
            </w:r>
          </w:p>
          <w:p w14:paraId="331C08D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Program</w:t>
            </w:r>
          </w:p>
          <w:p w14:paraId="558ADC5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Costs</w:t>
            </w:r>
          </w:p>
        </w:tc>
        <w:tc>
          <w:tcPr>
            <w:tcW w:w="147" w:type="dxa"/>
            <w:shd w:val="clear" w:color="auto" w:fill="FFFFFF"/>
            <w:noWrap/>
            <w:tcMar>
              <w:top w:w="15" w:type="dxa"/>
              <w:left w:w="0" w:type="dxa"/>
              <w:bottom w:w="0" w:type="dxa"/>
              <w:right w:w="15" w:type="dxa"/>
            </w:tcMar>
            <w:vAlign w:val="bottom"/>
            <w:hideMark/>
          </w:tcPr>
          <w:p w14:paraId="4B32F793" w14:textId="77777777" w:rsidR="00141675" w:rsidRPr="00141675" w:rsidRDefault="00141675" w:rsidP="00141675">
            <w:pPr>
              <w:widowControl/>
              <w:jc w:val="left"/>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 </w:t>
            </w:r>
          </w:p>
        </w:tc>
      </w:tr>
      <w:tr w:rsidR="00141675" w:rsidRPr="00141675" w14:paraId="73A0385F" w14:textId="77777777" w:rsidTr="00141675">
        <w:tc>
          <w:tcPr>
            <w:tcW w:w="6735" w:type="dxa"/>
            <w:tcBorders>
              <w:bottom w:val="single" w:sz="6" w:space="0" w:color="000000"/>
            </w:tcBorders>
            <w:shd w:val="clear" w:color="auto" w:fill="FFFFFF"/>
            <w:tcMar>
              <w:top w:w="15" w:type="dxa"/>
              <w:left w:w="0" w:type="dxa"/>
              <w:bottom w:w="0" w:type="dxa"/>
              <w:right w:w="15" w:type="dxa"/>
            </w:tcMar>
            <w:vAlign w:val="bottom"/>
            <w:hideMark/>
          </w:tcPr>
          <w:p w14:paraId="1B49E86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08" w:type="dxa"/>
            <w:shd w:val="clear" w:color="auto" w:fill="FFFFFF"/>
            <w:tcMar>
              <w:top w:w="15" w:type="dxa"/>
              <w:left w:w="0" w:type="dxa"/>
              <w:bottom w:w="0" w:type="dxa"/>
              <w:right w:w="15" w:type="dxa"/>
            </w:tcMar>
            <w:vAlign w:val="bottom"/>
            <w:hideMark/>
          </w:tcPr>
          <w:p w14:paraId="7D64C0A7" w14:textId="77777777" w:rsidR="00141675" w:rsidRPr="00141675" w:rsidRDefault="00141675" w:rsidP="00141675">
            <w:pPr>
              <w:widowControl/>
              <w:jc w:val="left"/>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 </w:t>
            </w:r>
          </w:p>
        </w:tc>
        <w:tc>
          <w:tcPr>
            <w:tcW w:w="0" w:type="auto"/>
            <w:gridSpan w:val="2"/>
            <w:vMerge/>
            <w:vAlign w:val="center"/>
            <w:hideMark/>
          </w:tcPr>
          <w:p w14:paraId="1D3FCAB2" w14:textId="77777777" w:rsidR="00141675" w:rsidRPr="00141675" w:rsidRDefault="00141675" w:rsidP="00141675">
            <w:pPr>
              <w:widowControl/>
              <w:spacing w:beforeAutospacing="1" w:afterAutospacing="1"/>
              <w:jc w:val="left"/>
              <w:rPr>
                <w:rFonts w:ascii="Calibri" w:eastAsia="宋体" w:hAnsi="Calibri" w:cs="Calibri"/>
                <w:b/>
                <w:bCs/>
                <w:color w:val="000000"/>
                <w:kern w:val="0"/>
                <w:sz w:val="15"/>
                <w:szCs w:val="15"/>
              </w:rPr>
            </w:pPr>
          </w:p>
        </w:tc>
        <w:tc>
          <w:tcPr>
            <w:tcW w:w="158" w:type="dxa"/>
            <w:shd w:val="clear" w:color="auto" w:fill="FFFFFF"/>
            <w:noWrap/>
            <w:tcMar>
              <w:top w:w="15" w:type="dxa"/>
              <w:left w:w="0" w:type="dxa"/>
              <w:bottom w:w="0" w:type="dxa"/>
              <w:right w:w="15" w:type="dxa"/>
            </w:tcMar>
            <w:vAlign w:val="bottom"/>
            <w:hideMark/>
          </w:tcPr>
          <w:p w14:paraId="334FC43D" w14:textId="77777777" w:rsidR="00141675" w:rsidRPr="00141675" w:rsidRDefault="00141675" w:rsidP="00141675">
            <w:pPr>
              <w:widowControl/>
              <w:jc w:val="left"/>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c>
        <w:tc>
          <w:tcPr>
            <w:tcW w:w="72" w:type="dxa"/>
            <w:shd w:val="clear" w:color="auto" w:fill="FFFFFF"/>
            <w:tcMar>
              <w:top w:w="15" w:type="dxa"/>
              <w:left w:w="0" w:type="dxa"/>
              <w:bottom w:w="0" w:type="dxa"/>
              <w:right w:w="15" w:type="dxa"/>
            </w:tcMar>
            <w:vAlign w:val="bottom"/>
            <w:hideMark/>
          </w:tcPr>
          <w:p w14:paraId="16282D22" w14:textId="77777777" w:rsidR="00141675" w:rsidRPr="00141675" w:rsidRDefault="00141675" w:rsidP="00141675">
            <w:pPr>
              <w:widowControl/>
              <w:jc w:val="left"/>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 </w:t>
            </w:r>
          </w:p>
        </w:tc>
        <w:tc>
          <w:tcPr>
            <w:tcW w:w="139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E58241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Initial</w:t>
            </w:r>
          </w:p>
          <w:p w14:paraId="366CEBF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Costs</w:t>
            </w:r>
            <w:r w:rsidRPr="00141675">
              <w:rPr>
                <w:rFonts w:ascii="Calibri" w:eastAsia="宋体" w:hAnsi="Calibri" w:cs="Calibri"/>
                <w:b/>
                <w:bCs/>
                <w:color w:val="000000"/>
                <w:kern w:val="0"/>
                <w:sz w:val="18"/>
                <w:szCs w:val="18"/>
                <w:vertAlign w:val="superscript"/>
              </w:rPr>
              <w:t>(3)</w:t>
            </w:r>
          </w:p>
        </w:tc>
        <w:tc>
          <w:tcPr>
            <w:tcW w:w="158" w:type="dxa"/>
            <w:shd w:val="clear" w:color="auto" w:fill="FFFFFF"/>
            <w:noWrap/>
            <w:tcMar>
              <w:top w:w="15" w:type="dxa"/>
              <w:left w:w="0" w:type="dxa"/>
              <w:bottom w:w="0" w:type="dxa"/>
              <w:right w:w="15" w:type="dxa"/>
            </w:tcMar>
            <w:vAlign w:val="bottom"/>
            <w:hideMark/>
          </w:tcPr>
          <w:p w14:paraId="0BA5D86D" w14:textId="77777777" w:rsidR="00141675" w:rsidRPr="00141675" w:rsidRDefault="00141675" w:rsidP="00141675">
            <w:pPr>
              <w:widowControl/>
              <w:jc w:val="left"/>
              <w:rPr>
                <w:rFonts w:ascii="Times New Roman" w:eastAsia="宋体" w:hAnsi="Times New Roman" w:cs="Times New Roman"/>
                <w:color w:val="000000"/>
                <w:kern w:val="0"/>
                <w:sz w:val="15"/>
                <w:szCs w:val="15"/>
              </w:rPr>
            </w:pPr>
            <w:r w:rsidRPr="00141675">
              <w:rPr>
                <w:rFonts w:ascii="Times New Roman" w:eastAsia="宋体" w:hAnsi="Times New Roman" w:cs="Times New Roman"/>
                <w:color w:val="000000"/>
                <w:kern w:val="0"/>
                <w:sz w:val="15"/>
                <w:szCs w:val="15"/>
              </w:rPr>
              <w:t> </w:t>
            </w:r>
          </w:p>
        </w:tc>
        <w:tc>
          <w:tcPr>
            <w:tcW w:w="72" w:type="dxa"/>
            <w:tcBorders>
              <w:top w:val="single" w:sz="6" w:space="0" w:color="000000"/>
            </w:tcBorders>
            <w:shd w:val="clear" w:color="auto" w:fill="FFFFFF"/>
            <w:tcMar>
              <w:top w:w="15" w:type="dxa"/>
              <w:left w:w="0" w:type="dxa"/>
              <w:bottom w:w="0" w:type="dxa"/>
              <w:right w:w="15" w:type="dxa"/>
            </w:tcMar>
            <w:vAlign w:val="bottom"/>
            <w:hideMark/>
          </w:tcPr>
          <w:p w14:paraId="746C71B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0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F53421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Adj. to</w:t>
            </w:r>
          </w:p>
          <w:p w14:paraId="381B204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Cost</w:t>
            </w:r>
            <w:r w:rsidRPr="00141675">
              <w:rPr>
                <w:rFonts w:ascii="Calibri" w:eastAsia="宋体" w:hAnsi="Calibri" w:cs="Calibri"/>
                <w:b/>
                <w:bCs/>
                <w:color w:val="000000"/>
                <w:kern w:val="0"/>
                <w:sz w:val="18"/>
                <w:szCs w:val="18"/>
                <w:vertAlign w:val="superscript"/>
              </w:rPr>
              <w:t>(4)</w:t>
            </w:r>
          </w:p>
        </w:tc>
        <w:tc>
          <w:tcPr>
            <w:tcW w:w="162" w:type="dxa"/>
            <w:shd w:val="clear" w:color="auto" w:fill="FFFFFF"/>
            <w:noWrap/>
            <w:tcMar>
              <w:top w:w="15" w:type="dxa"/>
              <w:left w:w="0" w:type="dxa"/>
              <w:bottom w:w="0" w:type="dxa"/>
              <w:right w:w="15" w:type="dxa"/>
            </w:tcMar>
            <w:vAlign w:val="bottom"/>
            <w:hideMark/>
          </w:tcPr>
          <w:p w14:paraId="03B23F5B" w14:textId="77777777" w:rsidR="00141675" w:rsidRPr="00141675" w:rsidRDefault="00141675" w:rsidP="00141675">
            <w:pPr>
              <w:widowControl/>
              <w:jc w:val="left"/>
              <w:rPr>
                <w:rFonts w:ascii="Times New Roman" w:eastAsia="宋体" w:hAnsi="Times New Roman" w:cs="Times New Roman"/>
                <w:color w:val="000000"/>
                <w:kern w:val="0"/>
                <w:sz w:val="15"/>
                <w:szCs w:val="15"/>
              </w:rPr>
            </w:pPr>
            <w:r w:rsidRPr="00141675">
              <w:rPr>
                <w:rFonts w:ascii="Times New Roman" w:eastAsia="宋体" w:hAnsi="Times New Roman" w:cs="Times New Roman"/>
                <w:color w:val="000000"/>
                <w:kern w:val="0"/>
                <w:sz w:val="15"/>
                <w:szCs w:val="15"/>
              </w:rPr>
              <w:t> </w:t>
            </w:r>
          </w:p>
        </w:tc>
        <w:tc>
          <w:tcPr>
            <w:tcW w:w="72" w:type="dxa"/>
            <w:tcBorders>
              <w:top w:val="single" w:sz="6" w:space="0" w:color="000000"/>
            </w:tcBorders>
            <w:shd w:val="clear" w:color="auto" w:fill="FFFFFF"/>
            <w:tcMar>
              <w:top w:w="15" w:type="dxa"/>
              <w:left w:w="0" w:type="dxa"/>
              <w:bottom w:w="0" w:type="dxa"/>
              <w:right w:w="15" w:type="dxa"/>
            </w:tcMar>
            <w:vAlign w:val="bottom"/>
            <w:hideMark/>
          </w:tcPr>
          <w:p w14:paraId="6835275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50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328DD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Cash</w:t>
            </w:r>
          </w:p>
          <w:p w14:paraId="60795B0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Payments</w:t>
            </w:r>
          </w:p>
        </w:tc>
        <w:tc>
          <w:tcPr>
            <w:tcW w:w="162" w:type="dxa"/>
            <w:shd w:val="clear" w:color="auto" w:fill="FFFFFF"/>
            <w:noWrap/>
            <w:tcMar>
              <w:top w:w="15" w:type="dxa"/>
              <w:left w:w="0" w:type="dxa"/>
              <w:bottom w:w="0" w:type="dxa"/>
              <w:right w:w="15" w:type="dxa"/>
            </w:tcMar>
            <w:vAlign w:val="bottom"/>
            <w:hideMark/>
          </w:tcPr>
          <w:p w14:paraId="2AA5420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72" w:type="dxa"/>
            <w:tcBorders>
              <w:top w:val="single" w:sz="6" w:space="0" w:color="000000"/>
            </w:tcBorders>
            <w:shd w:val="clear" w:color="auto" w:fill="FFFFFF"/>
            <w:tcMar>
              <w:top w:w="15" w:type="dxa"/>
              <w:left w:w="0" w:type="dxa"/>
              <w:bottom w:w="0" w:type="dxa"/>
              <w:right w:w="15" w:type="dxa"/>
            </w:tcMar>
            <w:vAlign w:val="bottom"/>
            <w:hideMark/>
          </w:tcPr>
          <w:p w14:paraId="20E1F7E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2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7EF529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Others</w:t>
            </w:r>
            <w:r w:rsidRPr="00141675">
              <w:rPr>
                <w:rFonts w:ascii="Calibri" w:eastAsia="宋体" w:hAnsi="Calibri" w:cs="Calibri"/>
                <w:b/>
                <w:bCs/>
                <w:color w:val="000000"/>
                <w:kern w:val="0"/>
                <w:sz w:val="18"/>
                <w:szCs w:val="18"/>
                <w:vertAlign w:val="superscript"/>
              </w:rPr>
              <w:t>(5)</w:t>
            </w:r>
          </w:p>
        </w:tc>
        <w:tc>
          <w:tcPr>
            <w:tcW w:w="162" w:type="dxa"/>
            <w:shd w:val="clear" w:color="auto" w:fill="FFFFFF"/>
            <w:noWrap/>
            <w:tcMar>
              <w:top w:w="15" w:type="dxa"/>
              <w:left w:w="0" w:type="dxa"/>
              <w:bottom w:w="0" w:type="dxa"/>
              <w:right w:w="15" w:type="dxa"/>
            </w:tcMar>
            <w:vAlign w:val="bottom"/>
            <w:hideMark/>
          </w:tcPr>
          <w:p w14:paraId="533F9117" w14:textId="77777777" w:rsidR="00141675" w:rsidRPr="00141675" w:rsidRDefault="00141675" w:rsidP="00141675">
            <w:pPr>
              <w:widowControl/>
              <w:jc w:val="left"/>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c>
        <w:tc>
          <w:tcPr>
            <w:tcW w:w="72" w:type="dxa"/>
            <w:shd w:val="clear" w:color="auto" w:fill="FFFFFF"/>
            <w:tcMar>
              <w:top w:w="15" w:type="dxa"/>
              <w:left w:w="0" w:type="dxa"/>
              <w:bottom w:w="0" w:type="dxa"/>
              <w:right w:w="15" w:type="dxa"/>
            </w:tcMar>
            <w:vAlign w:val="bottom"/>
            <w:hideMark/>
          </w:tcPr>
          <w:p w14:paraId="48AE0854" w14:textId="77777777" w:rsidR="00141675" w:rsidRPr="00141675" w:rsidRDefault="00141675" w:rsidP="00141675">
            <w:pPr>
              <w:widowControl/>
              <w:jc w:val="left"/>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 </w:t>
            </w:r>
          </w:p>
        </w:tc>
        <w:tc>
          <w:tcPr>
            <w:tcW w:w="0" w:type="auto"/>
            <w:gridSpan w:val="2"/>
            <w:vMerge/>
            <w:vAlign w:val="center"/>
            <w:hideMark/>
          </w:tcPr>
          <w:p w14:paraId="57826AB6" w14:textId="77777777" w:rsidR="00141675" w:rsidRPr="00141675" w:rsidRDefault="00141675" w:rsidP="00141675">
            <w:pPr>
              <w:widowControl/>
              <w:spacing w:beforeAutospacing="1" w:afterAutospacing="1"/>
              <w:jc w:val="left"/>
              <w:rPr>
                <w:rFonts w:ascii="Calibri" w:eastAsia="宋体" w:hAnsi="Calibri" w:cs="Calibri"/>
                <w:b/>
                <w:bCs/>
                <w:color w:val="000000"/>
                <w:kern w:val="0"/>
                <w:sz w:val="15"/>
                <w:szCs w:val="15"/>
              </w:rPr>
            </w:pPr>
          </w:p>
        </w:tc>
        <w:tc>
          <w:tcPr>
            <w:tcW w:w="162" w:type="dxa"/>
            <w:shd w:val="clear" w:color="auto" w:fill="FFFFFF"/>
            <w:noWrap/>
            <w:tcMar>
              <w:top w:w="15" w:type="dxa"/>
              <w:left w:w="0" w:type="dxa"/>
              <w:bottom w:w="0" w:type="dxa"/>
              <w:right w:w="15" w:type="dxa"/>
            </w:tcMar>
            <w:vAlign w:val="bottom"/>
            <w:hideMark/>
          </w:tcPr>
          <w:p w14:paraId="4144AD0C" w14:textId="77777777" w:rsidR="00141675" w:rsidRPr="00141675" w:rsidRDefault="00141675" w:rsidP="00141675">
            <w:pPr>
              <w:widowControl/>
              <w:jc w:val="left"/>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c>
        <w:tc>
          <w:tcPr>
            <w:tcW w:w="72" w:type="dxa"/>
            <w:shd w:val="clear" w:color="auto" w:fill="FFFFFF"/>
            <w:tcMar>
              <w:top w:w="15" w:type="dxa"/>
              <w:left w:w="0" w:type="dxa"/>
              <w:bottom w:w="0" w:type="dxa"/>
              <w:right w:w="15" w:type="dxa"/>
            </w:tcMar>
            <w:vAlign w:val="bottom"/>
            <w:hideMark/>
          </w:tcPr>
          <w:p w14:paraId="02AF728A" w14:textId="77777777" w:rsidR="00141675" w:rsidRPr="00141675" w:rsidRDefault="00141675" w:rsidP="00141675">
            <w:pPr>
              <w:widowControl/>
              <w:jc w:val="left"/>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 </w:t>
            </w:r>
          </w:p>
        </w:tc>
        <w:tc>
          <w:tcPr>
            <w:tcW w:w="0" w:type="auto"/>
            <w:gridSpan w:val="2"/>
            <w:vMerge/>
            <w:vAlign w:val="center"/>
            <w:hideMark/>
          </w:tcPr>
          <w:p w14:paraId="1FC9CF0F" w14:textId="77777777" w:rsidR="00141675" w:rsidRPr="00141675" w:rsidRDefault="00141675" w:rsidP="00141675">
            <w:pPr>
              <w:widowControl/>
              <w:spacing w:beforeAutospacing="1" w:afterAutospacing="1"/>
              <w:jc w:val="left"/>
              <w:rPr>
                <w:rFonts w:ascii="Calibri" w:eastAsia="宋体" w:hAnsi="Calibri" w:cs="Calibri"/>
                <w:b/>
                <w:bCs/>
                <w:color w:val="000000"/>
                <w:kern w:val="0"/>
                <w:sz w:val="15"/>
                <w:szCs w:val="15"/>
              </w:rPr>
            </w:pPr>
          </w:p>
        </w:tc>
        <w:tc>
          <w:tcPr>
            <w:tcW w:w="162" w:type="dxa"/>
            <w:shd w:val="clear" w:color="auto" w:fill="FFFFFF"/>
            <w:noWrap/>
            <w:tcMar>
              <w:top w:w="15" w:type="dxa"/>
              <w:left w:w="0" w:type="dxa"/>
              <w:bottom w:w="0" w:type="dxa"/>
              <w:right w:w="15" w:type="dxa"/>
            </w:tcMar>
            <w:vAlign w:val="bottom"/>
            <w:hideMark/>
          </w:tcPr>
          <w:p w14:paraId="1C192B66" w14:textId="77777777" w:rsidR="00141675" w:rsidRPr="00141675" w:rsidRDefault="00141675" w:rsidP="00141675">
            <w:pPr>
              <w:widowControl/>
              <w:jc w:val="left"/>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 </w:t>
            </w:r>
          </w:p>
        </w:tc>
        <w:tc>
          <w:tcPr>
            <w:tcW w:w="72" w:type="dxa"/>
            <w:shd w:val="clear" w:color="auto" w:fill="FFFFFF"/>
            <w:tcMar>
              <w:top w:w="15" w:type="dxa"/>
              <w:left w:w="0" w:type="dxa"/>
              <w:bottom w:w="0" w:type="dxa"/>
              <w:right w:w="15" w:type="dxa"/>
            </w:tcMar>
            <w:vAlign w:val="bottom"/>
            <w:hideMark/>
          </w:tcPr>
          <w:p w14:paraId="0CA2B456" w14:textId="77777777" w:rsidR="00141675" w:rsidRPr="00141675" w:rsidRDefault="00141675" w:rsidP="00141675">
            <w:pPr>
              <w:widowControl/>
              <w:jc w:val="left"/>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 </w:t>
            </w:r>
          </w:p>
        </w:tc>
        <w:tc>
          <w:tcPr>
            <w:tcW w:w="0" w:type="auto"/>
            <w:gridSpan w:val="2"/>
            <w:vMerge/>
            <w:vAlign w:val="center"/>
            <w:hideMark/>
          </w:tcPr>
          <w:p w14:paraId="58ECF745" w14:textId="77777777" w:rsidR="00141675" w:rsidRPr="00141675" w:rsidRDefault="00141675" w:rsidP="00141675">
            <w:pPr>
              <w:widowControl/>
              <w:spacing w:beforeAutospacing="1" w:afterAutospacing="1"/>
              <w:jc w:val="left"/>
              <w:rPr>
                <w:rFonts w:ascii="Calibri" w:eastAsia="宋体" w:hAnsi="Calibri" w:cs="Calibri"/>
                <w:b/>
                <w:bCs/>
                <w:color w:val="000000"/>
                <w:kern w:val="0"/>
                <w:sz w:val="15"/>
                <w:szCs w:val="15"/>
              </w:rPr>
            </w:pPr>
          </w:p>
        </w:tc>
        <w:tc>
          <w:tcPr>
            <w:tcW w:w="147" w:type="dxa"/>
            <w:shd w:val="clear" w:color="auto" w:fill="FFFFFF"/>
            <w:noWrap/>
            <w:tcMar>
              <w:top w:w="15" w:type="dxa"/>
              <w:left w:w="0" w:type="dxa"/>
              <w:bottom w:w="0" w:type="dxa"/>
              <w:right w:w="15" w:type="dxa"/>
            </w:tcMar>
            <w:vAlign w:val="bottom"/>
            <w:hideMark/>
          </w:tcPr>
          <w:p w14:paraId="15D6FC78" w14:textId="77777777" w:rsidR="00141675" w:rsidRPr="00141675" w:rsidRDefault="00141675" w:rsidP="00141675">
            <w:pPr>
              <w:widowControl/>
              <w:jc w:val="left"/>
              <w:rPr>
                <w:rFonts w:ascii="Calibri" w:eastAsia="宋体" w:hAnsi="Calibri" w:cs="Calibri"/>
                <w:b/>
                <w:bCs/>
                <w:color w:val="000000"/>
                <w:kern w:val="0"/>
                <w:sz w:val="16"/>
                <w:szCs w:val="16"/>
              </w:rPr>
            </w:pPr>
            <w:r w:rsidRPr="00141675">
              <w:rPr>
                <w:rFonts w:ascii="Calibri" w:eastAsia="宋体" w:hAnsi="Calibri" w:cs="Calibri"/>
                <w:b/>
                <w:bCs/>
                <w:color w:val="000000"/>
                <w:kern w:val="0"/>
                <w:sz w:val="16"/>
                <w:szCs w:val="16"/>
              </w:rPr>
              <w:t> </w:t>
            </w:r>
          </w:p>
        </w:tc>
      </w:tr>
      <w:tr w:rsidR="00141675" w:rsidRPr="00141675" w14:paraId="4C878BF1" w14:textId="77777777" w:rsidTr="00141675">
        <w:tc>
          <w:tcPr>
            <w:tcW w:w="6735" w:type="dxa"/>
            <w:tcBorders>
              <w:top w:val="single" w:sz="6" w:space="0" w:color="000000"/>
            </w:tcBorders>
            <w:shd w:val="clear" w:color="auto" w:fill="CFF0FC"/>
            <w:tcMar>
              <w:top w:w="15" w:type="dxa"/>
              <w:left w:w="0" w:type="dxa"/>
              <w:bottom w:w="0" w:type="dxa"/>
              <w:right w:w="15" w:type="dxa"/>
            </w:tcMar>
            <w:hideMark/>
          </w:tcPr>
          <w:p w14:paraId="649F77DD"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2019 Restructuring Plan</w:t>
            </w:r>
            <w:r w:rsidRPr="00141675">
              <w:rPr>
                <w:rFonts w:ascii="Calibri" w:eastAsia="宋体" w:hAnsi="Calibri" w:cs="Calibri"/>
                <w:b/>
                <w:bCs/>
                <w:color w:val="000000"/>
                <w:kern w:val="0"/>
                <w:sz w:val="18"/>
                <w:szCs w:val="18"/>
                <w:vertAlign w:val="superscript"/>
              </w:rPr>
              <w:t>(1)</w:t>
            </w:r>
          </w:p>
        </w:tc>
        <w:tc>
          <w:tcPr>
            <w:tcW w:w="208" w:type="dxa"/>
            <w:shd w:val="clear" w:color="auto" w:fill="CFF0FC"/>
            <w:tcMar>
              <w:top w:w="15" w:type="dxa"/>
              <w:left w:w="0" w:type="dxa"/>
              <w:bottom w:w="0" w:type="dxa"/>
              <w:right w:w="15" w:type="dxa"/>
            </w:tcMar>
            <w:vAlign w:val="bottom"/>
            <w:hideMark/>
          </w:tcPr>
          <w:p w14:paraId="54C65417"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5794EB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39" w:type="dxa"/>
            <w:tcBorders>
              <w:top w:val="single" w:sz="6" w:space="0" w:color="000000"/>
            </w:tcBorders>
            <w:shd w:val="clear" w:color="auto" w:fill="CFF0FC"/>
            <w:noWrap/>
            <w:tcMar>
              <w:top w:w="15" w:type="dxa"/>
              <w:left w:w="0" w:type="dxa"/>
              <w:bottom w:w="0" w:type="dxa"/>
              <w:right w:w="15" w:type="dxa"/>
            </w:tcMar>
            <w:vAlign w:val="bottom"/>
            <w:hideMark/>
          </w:tcPr>
          <w:p w14:paraId="071750E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8" w:type="dxa"/>
            <w:shd w:val="clear" w:color="auto" w:fill="CFF0FC"/>
            <w:noWrap/>
            <w:tcMar>
              <w:top w:w="15" w:type="dxa"/>
              <w:left w:w="0" w:type="dxa"/>
              <w:bottom w:w="0" w:type="dxa"/>
              <w:right w:w="15" w:type="dxa"/>
            </w:tcMar>
            <w:vAlign w:val="bottom"/>
            <w:hideMark/>
          </w:tcPr>
          <w:p w14:paraId="2487147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6D28162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35E7C87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39" w:type="dxa"/>
            <w:tcBorders>
              <w:top w:val="single" w:sz="6" w:space="0" w:color="000000"/>
            </w:tcBorders>
            <w:shd w:val="clear" w:color="auto" w:fill="CFF0FC"/>
            <w:noWrap/>
            <w:tcMar>
              <w:top w:w="15" w:type="dxa"/>
              <w:left w:w="0" w:type="dxa"/>
              <w:bottom w:w="0" w:type="dxa"/>
              <w:right w:w="15" w:type="dxa"/>
            </w:tcMar>
            <w:vAlign w:val="bottom"/>
            <w:hideMark/>
          </w:tcPr>
          <w:p w14:paraId="18024A7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58" w:type="dxa"/>
            <w:shd w:val="clear" w:color="auto" w:fill="CFF0FC"/>
            <w:noWrap/>
            <w:tcMar>
              <w:top w:w="15" w:type="dxa"/>
              <w:left w:w="0" w:type="dxa"/>
              <w:bottom w:w="0" w:type="dxa"/>
              <w:right w:w="15" w:type="dxa"/>
            </w:tcMar>
            <w:vAlign w:val="bottom"/>
            <w:hideMark/>
          </w:tcPr>
          <w:p w14:paraId="2AF034F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5C2BB66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14005CE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tcBorders>
              <w:top w:val="single" w:sz="6" w:space="0" w:color="000000"/>
            </w:tcBorders>
            <w:shd w:val="clear" w:color="auto" w:fill="CFF0FC"/>
            <w:noWrap/>
            <w:tcMar>
              <w:top w:w="15" w:type="dxa"/>
              <w:left w:w="0" w:type="dxa"/>
              <w:bottom w:w="0" w:type="dxa"/>
              <w:right w:w="15" w:type="dxa"/>
            </w:tcMar>
            <w:vAlign w:val="bottom"/>
            <w:hideMark/>
          </w:tcPr>
          <w:p w14:paraId="6CF84C6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2" w:type="dxa"/>
            <w:shd w:val="clear" w:color="auto" w:fill="CFF0FC"/>
            <w:noWrap/>
            <w:tcMar>
              <w:top w:w="15" w:type="dxa"/>
              <w:left w:w="0" w:type="dxa"/>
              <w:bottom w:w="0" w:type="dxa"/>
              <w:right w:w="15" w:type="dxa"/>
            </w:tcMar>
            <w:vAlign w:val="bottom"/>
            <w:hideMark/>
          </w:tcPr>
          <w:p w14:paraId="0C97E0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39880F3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33BC248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2" w:type="dxa"/>
            <w:tcBorders>
              <w:top w:val="single" w:sz="6" w:space="0" w:color="000000"/>
            </w:tcBorders>
            <w:shd w:val="clear" w:color="auto" w:fill="CFF0FC"/>
            <w:noWrap/>
            <w:tcMar>
              <w:top w:w="15" w:type="dxa"/>
              <w:left w:w="0" w:type="dxa"/>
              <w:bottom w:w="0" w:type="dxa"/>
              <w:right w:w="15" w:type="dxa"/>
            </w:tcMar>
            <w:vAlign w:val="bottom"/>
            <w:hideMark/>
          </w:tcPr>
          <w:p w14:paraId="53D2BC7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2" w:type="dxa"/>
            <w:shd w:val="clear" w:color="auto" w:fill="CFF0FC"/>
            <w:noWrap/>
            <w:tcMar>
              <w:top w:w="15" w:type="dxa"/>
              <w:left w:w="0" w:type="dxa"/>
              <w:bottom w:w="0" w:type="dxa"/>
              <w:right w:w="15" w:type="dxa"/>
            </w:tcMar>
            <w:vAlign w:val="bottom"/>
            <w:hideMark/>
          </w:tcPr>
          <w:p w14:paraId="5695F90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527E5CE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54BFC77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60" w:type="dxa"/>
            <w:tcBorders>
              <w:top w:val="single" w:sz="6" w:space="0" w:color="000000"/>
            </w:tcBorders>
            <w:shd w:val="clear" w:color="auto" w:fill="CFF0FC"/>
            <w:noWrap/>
            <w:tcMar>
              <w:top w:w="15" w:type="dxa"/>
              <w:left w:w="0" w:type="dxa"/>
              <w:bottom w:w="0" w:type="dxa"/>
              <w:right w:w="15" w:type="dxa"/>
            </w:tcMar>
            <w:vAlign w:val="bottom"/>
            <w:hideMark/>
          </w:tcPr>
          <w:p w14:paraId="5C53F22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2" w:type="dxa"/>
            <w:shd w:val="clear" w:color="auto" w:fill="CFF0FC"/>
            <w:noWrap/>
            <w:tcMar>
              <w:top w:w="15" w:type="dxa"/>
              <w:left w:w="0" w:type="dxa"/>
              <w:bottom w:w="0" w:type="dxa"/>
              <w:right w:w="15" w:type="dxa"/>
            </w:tcMar>
            <w:vAlign w:val="bottom"/>
            <w:hideMark/>
          </w:tcPr>
          <w:p w14:paraId="1B7CA3E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17A9569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566BF87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329" w:type="dxa"/>
            <w:tcBorders>
              <w:top w:val="single" w:sz="6" w:space="0" w:color="000000"/>
            </w:tcBorders>
            <w:shd w:val="clear" w:color="auto" w:fill="CFF0FC"/>
            <w:noWrap/>
            <w:tcMar>
              <w:top w:w="15" w:type="dxa"/>
              <w:left w:w="0" w:type="dxa"/>
              <w:bottom w:w="0" w:type="dxa"/>
              <w:right w:w="15" w:type="dxa"/>
            </w:tcMar>
            <w:vAlign w:val="bottom"/>
            <w:hideMark/>
          </w:tcPr>
          <w:p w14:paraId="0727884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2" w:type="dxa"/>
            <w:shd w:val="clear" w:color="auto" w:fill="CFF0FC"/>
            <w:noWrap/>
            <w:tcMar>
              <w:top w:w="15" w:type="dxa"/>
              <w:left w:w="0" w:type="dxa"/>
              <w:bottom w:w="0" w:type="dxa"/>
              <w:right w:w="15" w:type="dxa"/>
            </w:tcMar>
            <w:vAlign w:val="bottom"/>
            <w:hideMark/>
          </w:tcPr>
          <w:p w14:paraId="12A3FB9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37F783A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2D81A5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tcBorders>
              <w:top w:val="single" w:sz="6" w:space="0" w:color="000000"/>
            </w:tcBorders>
            <w:shd w:val="clear" w:color="auto" w:fill="CFF0FC"/>
            <w:noWrap/>
            <w:tcMar>
              <w:top w:w="15" w:type="dxa"/>
              <w:left w:w="0" w:type="dxa"/>
              <w:bottom w:w="0" w:type="dxa"/>
              <w:right w:w="15" w:type="dxa"/>
            </w:tcMar>
            <w:vAlign w:val="bottom"/>
            <w:hideMark/>
          </w:tcPr>
          <w:p w14:paraId="61A5132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2" w:type="dxa"/>
            <w:shd w:val="clear" w:color="auto" w:fill="CFF0FC"/>
            <w:noWrap/>
            <w:tcMar>
              <w:top w:w="15" w:type="dxa"/>
              <w:left w:w="0" w:type="dxa"/>
              <w:bottom w:w="0" w:type="dxa"/>
              <w:right w:w="15" w:type="dxa"/>
            </w:tcMar>
            <w:vAlign w:val="bottom"/>
            <w:hideMark/>
          </w:tcPr>
          <w:p w14:paraId="14DD751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0EE1179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tcBorders>
            <w:shd w:val="clear" w:color="auto" w:fill="CFF0FC"/>
            <w:noWrap/>
            <w:tcMar>
              <w:top w:w="15" w:type="dxa"/>
              <w:left w:w="0" w:type="dxa"/>
              <w:bottom w:w="0" w:type="dxa"/>
              <w:right w:w="15" w:type="dxa"/>
            </w:tcMar>
            <w:vAlign w:val="bottom"/>
            <w:hideMark/>
          </w:tcPr>
          <w:p w14:paraId="6C52025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8" w:type="dxa"/>
            <w:tcBorders>
              <w:top w:val="single" w:sz="6" w:space="0" w:color="000000"/>
            </w:tcBorders>
            <w:shd w:val="clear" w:color="auto" w:fill="CFF0FC"/>
            <w:noWrap/>
            <w:tcMar>
              <w:top w:w="15" w:type="dxa"/>
              <w:left w:w="0" w:type="dxa"/>
              <w:bottom w:w="0" w:type="dxa"/>
              <w:right w:w="15" w:type="dxa"/>
            </w:tcMar>
            <w:vAlign w:val="bottom"/>
            <w:hideMark/>
          </w:tcPr>
          <w:p w14:paraId="212FEC2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7" w:type="dxa"/>
            <w:shd w:val="clear" w:color="auto" w:fill="CFF0FC"/>
            <w:noWrap/>
            <w:tcMar>
              <w:top w:w="15" w:type="dxa"/>
              <w:left w:w="0" w:type="dxa"/>
              <w:bottom w:w="0" w:type="dxa"/>
              <w:right w:w="15" w:type="dxa"/>
            </w:tcMar>
            <w:vAlign w:val="bottom"/>
            <w:hideMark/>
          </w:tcPr>
          <w:p w14:paraId="4683E22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0ADB8BB" w14:textId="77777777" w:rsidTr="00141675">
        <w:tc>
          <w:tcPr>
            <w:tcW w:w="6735" w:type="dxa"/>
            <w:shd w:val="clear" w:color="auto" w:fill="FFFFFF"/>
            <w:tcMar>
              <w:top w:w="15" w:type="dxa"/>
              <w:left w:w="0" w:type="dxa"/>
              <w:bottom w:w="0" w:type="dxa"/>
              <w:right w:w="15" w:type="dxa"/>
            </w:tcMar>
            <w:hideMark/>
          </w:tcPr>
          <w:p w14:paraId="071088F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and license</w:t>
            </w:r>
          </w:p>
        </w:tc>
        <w:tc>
          <w:tcPr>
            <w:tcW w:w="208" w:type="dxa"/>
            <w:shd w:val="clear" w:color="auto" w:fill="FFFFFF"/>
            <w:tcMar>
              <w:top w:w="15" w:type="dxa"/>
              <w:left w:w="0" w:type="dxa"/>
              <w:bottom w:w="0" w:type="dxa"/>
              <w:right w:w="15" w:type="dxa"/>
            </w:tcMar>
            <w:vAlign w:val="bottom"/>
            <w:hideMark/>
          </w:tcPr>
          <w:p w14:paraId="20638BE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25FBEA4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39" w:type="dxa"/>
            <w:shd w:val="clear" w:color="auto" w:fill="FFFFFF"/>
            <w:noWrap/>
            <w:tcMar>
              <w:top w:w="15" w:type="dxa"/>
              <w:left w:w="0" w:type="dxa"/>
              <w:bottom w:w="0" w:type="dxa"/>
              <w:right w:w="15" w:type="dxa"/>
            </w:tcMar>
            <w:vAlign w:val="bottom"/>
            <w:hideMark/>
          </w:tcPr>
          <w:p w14:paraId="4C575DD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72</w:t>
            </w:r>
          </w:p>
        </w:tc>
        <w:tc>
          <w:tcPr>
            <w:tcW w:w="158" w:type="dxa"/>
            <w:shd w:val="clear" w:color="auto" w:fill="FFFFFF"/>
            <w:noWrap/>
            <w:tcMar>
              <w:top w:w="15" w:type="dxa"/>
              <w:left w:w="0" w:type="dxa"/>
              <w:bottom w:w="0" w:type="dxa"/>
              <w:right w:w="15" w:type="dxa"/>
            </w:tcMar>
            <w:vAlign w:val="bottom"/>
            <w:hideMark/>
          </w:tcPr>
          <w:p w14:paraId="4EB7D5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7D93D06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2AADFE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39" w:type="dxa"/>
            <w:shd w:val="clear" w:color="auto" w:fill="FFFFFF"/>
            <w:noWrap/>
            <w:tcMar>
              <w:top w:w="15" w:type="dxa"/>
              <w:left w:w="0" w:type="dxa"/>
              <w:bottom w:w="0" w:type="dxa"/>
              <w:right w:w="15" w:type="dxa"/>
            </w:tcMar>
            <w:vAlign w:val="bottom"/>
            <w:hideMark/>
          </w:tcPr>
          <w:p w14:paraId="7002449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62</w:t>
            </w:r>
          </w:p>
        </w:tc>
        <w:tc>
          <w:tcPr>
            <w:tcW w:w="158" w:type="dxa"/>
            <w:shd w:val="clear" w:color="auto" w:fill="FFFFFF"/>
            <w:noWrap/>
            <w:tcMar>
              <w:top w:w="15" w:type="dxa"/>
              <w:left w:w="0" w:type="dxa"/>
              <w:bottom w:w="0" w:type="dxa"/>
              <w:right w:w="15" w:type="dxa"/>
            </w:tcMar>
            <w:vAlign w:val="bottom"/>
            <w:hideMark/>
          </w:tcPr>
          <w:p w14:paraId="220F17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37F4034C"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272F4F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43" w:type="dxa"/>
            <w:shd w:val="clear" w:color="auto" w:fill="FFFFFF"/>
            <w:noWrap/>
            <w:tcMar>
              <w:top w:w="15" w:type="dxa"/>
              <w:left w:w="0" w:type="dxa"/>
              <w:bottom w:w="0" w:type="dxa"/>
              <w:right w:w="15" w:type="dxa"/>
            </w:tcMar>
            <w:vAlign w:val="bottom"/>
            <w:hideMark/>
          </w:tcPr>
          <w:p w14:paraId="5D0CB9D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162" w:type="dxa"/>
            <w:shd w:val="clear" w:color="auto" w:fill="FFFFFF"/>
            <w:noWrap/>
            <w:tcMar>
              <w:top w:w="15" w:type="dxa"/>
              <w:left w:w="0" w:type="dxa"/>
              <w:bottom w:w="0" w:type="dxa"/>
              <w:right w:w="15" w:type="dxa"/>
            </w:tcMar>
            <w:vAlign w:val="bottom"/>
            <w:hideMark/>
          </w:tcPr>
          <w:p w14:paraId="4C42DF4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3C7C5CAB"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09FBD6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242" w:type="dxa"/>
            <w:shd w:val="clear" w:color="auto" w:fill="FFFFFF"/>
            <w:noWrap/>
            <w:tcMar>
              <w:top w:w="15" w:type="dxa"/>
              <w:left w:w="0" w:type="dxa"/>
              <w:bottom w:w="0" w:type="dxa"/>
              <w:right w:w="15" w:type="dxa"/>
            </w:tcMar>
            <w:vAlign w:val="bottom"/>
            <w:hideMark/>
          </w:tcPr>
          <w:p w14:paraId="1D649A8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(78</w:t>
            </w:r>
          </w:p>
        </w:tc>
        <w:tc>
          <w:tcPr>
            <w:tcW w:w="162" w:type="dxa"/>
            <w:shd w:val="clear" w:color="auto" w:fill="FFFFFF"/>
            <w:noWrap/>
            <w:tcMar>
              <w:top w:w="15" w:type="dxa"/>
              <w:left w:w="0" w:type="dxa"/>
              <w:bottom w:w="0" w:type="dxa"/>
              <w:right w:w="15" w:type="dxa"/>
            </w:tcMar>
            <w:vAlign w:val="bottom"/>
            <w:hideMark/>
          </w:tcPr>
          <w:p w14:paraId="3789ED7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4166AFD7"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1B748FE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60" w:type="dxa"/>
            <w:shd w:val="clear" w:color="auto" w:fill="FFFFFF"/>
            <w:noWrap/>
            <w:tcMar>
              <w:top w:w="15" w:type="dxa"/>
              <w:left w:w="0" w:type="dxa"/>
              <w:bottom w:w="0" w:type="dxa"/>
              <w:right w:w="15" w:type="dxa"/>
            </w:tcMar>
            <w:vAlign w:val="bottom"/>
            <w:hideMark/>
          </w:tcPr>
          <w:p w14:paraId="61C0EDE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2" w:type="dxa"/>
            <w:shd w:val="clear" w:color="auto" w:fill="FFFFFF"/>
            <w:noWrap/>
            <w:tcMar>
              <w:top w:w="15" w:type="dxa"/>
              <w:left w:w="0" w:type="dxa"/>
              <w:bottom w:w="0" w:type="dxa"/>
              <w:right w:w="15" w:type="dxa"/>
            </w:tcMar>
            <w:vAlign w:val="bottom"/>
            <w:hideMark/>
          </w:tcPr>
          <w:p w14:paraId="41747D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2D037B5A"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799FEF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329" w:type="dxa"/>
            <w:shd w:val="clear" w:color="auto" w:fill="FFFFFF"/>
            <w:noWrap/>
            <w:tcMar>
              <w:top w:w="15" w:type="dxa"/>
              <w:left w:w="0" w:type="dxa"/>
              <w:bottom w:w="0" w:type="dxa"/>
              <w:right w:w="15" w:type="dxa"/>
            </w:tcMar>
            <w:vAlign w:val="bottom"/>
            <w:hideMark/>
          </w:tcPr>
          <w:p w14:paraId="07B6F05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w:t>
            </w:r>
          </w:p>
        </w:tc>
        <w:tc>
          <w:tcPr>
            <w:tcW w:w="162" w:type="dxa"/>
            <w:shd w:val="clear" w:color="auto" w:fill="FFFFFF"/>
            <w:noWrap/>
            <w:tcMar>
              <w:top w:w="15" w:type="dxa"/>
              <w:left w:w="0" w:type="dxa"/>
              <w:bottom w:w="0" w:type="dxa"/>
              <w:right w:w="15" w:type="dxa"/>
            </w:tcMar>
            <w:vAlign w:val="bottom"/>
            <w:hideMark/>
          </w:tcPr>
          <w:p w14:paraId="102ED88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703673BC"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7402DD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43" w:type="dxa"/>
            <w:shd w:val="clear" w:color="auto" w:fill="FFFFFF"/>
            <w:noWrap/>
            <w:tcMar>
              <w:top w:w="15" w:type="dxa"/>
              <w:left w:w="0" w:type="dxa"/>
              <w:bottom w:w="0" w:type="dxa"/>
              <w:right w:w="15" w:type="dxa"/>
            </w:tcMar>
            <w:vAlign w:val="bottom"/>
            <w:hideMark/>
          </w:tcPr>
          <w:p w14:paraId="2CF16D8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241</w:t>
            </w:r>
          </w:p>
        </w:tc>
        <w:tc>
          <w:tcPr>
            <w:tcW w:w="162" w:type="dxa"/>
            <w:shd w:val="clear" w:color="auto" w:fill="FFFFFF"/>
            <w:noWrap/>
            <w:tcMar>
              <w:top w:w="15" w:type="dxa"/>
              <w:left w:w="0" w:type="dxa"/>
              <w:bottom w:w="0" w:type="dxa"/>
              <w:right w:w="15" w:type="dxa"/>
            </w:tcMar>
            <w:vAlign w:val="bottom"/>
            <w:hideMark/>
          </w:tcPr>
          <w:p w14:paraId="4503ACA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39048AD8"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7E4F4F1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48" w:type="dxa"/>
            <w:shd w:val="clear" w:color="auto" w:fill="FFFFFF"/>
            <w:noWrap/>
            <w:tcMar>
              <w:top w:w="15" w:type="dxa"/>
              <w:left w:w="0" w:type="dxa"/>
              <w:bottom w:w="0" w:type="dxa"/>
              <w:right w:w="15" w:type="dxa"/>
            </w:tcMar>
            <w:vAlign w:val="bottom"/>
            <w:hideMark/>
          </w:tcPr>
          <w:p w14:paraId="43992DC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251</w:t>
            </w:r>
          </w:p>
        </w:tc>
        <w:tc>
          <w:tcPr>
            <w:tcW w:w="147" w:type="dxa"/>
            <w:shd w:val="clear" w:color="auto" w:fill="FFFFFF"/>
            <w:noWrap/>
            <w:tcMar>
              <w:top w:w="15" w:type="dxa"/>
              <w:left w:w="0" w:type="dxa"/>
              <w:bottom w:w="0" w:type="dxa"/>
              <w:right w:w="15" w:type="dxa"/>
            </w:tcMar>
            <w:vAlign w:val="bottom"/>
            <w:hideMark/>
          </w:tcPr>
          <w:p w14:paraId="667DBC4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223BCED" w14:textId="77777777" w:rsidTr="00141675">
        <w:tc>
          <w:tcPr>
            <w:tcW w:w="6735" w:type="dxa"/>
            <w:shd w:val="clear" w:color="auto" w:fill="CFF0FC"/>
            <w:tcMar>
              <w:top w:w="15" w:type="dxa"/>
              <w:left w:w="0" w:type="dxa"/>
              <w:bottom w:w="0" w:type="dxa"/>
              <w:right w:w="15" w:type="dxa"/>
            </w:tcMar>
            <w:hideMark/>
          </w:tcPr>
          <w:p w14:paraId="2394A0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Hardware</w:t>
            </w:r>
          </w:p>
        </w:tc>
        <w:tc>
          <w:tcPr>
            <w:tcW w:w="208" w:type="dxa"/>
            <w:shd w:val="clear" w:color="auto" w:fill="CFF0FC"/>
            <w:tcMar>
              <w:top w:w="15" w:type="dxa"/>
              <w:left w:w="0" w:type="dxa"/>
              <w:bottom w:w="0" w:type="dxa"/>
              <w:right w:w="15" w:type="dxa"/>
            </w:tcMar>
            <w:vAlign w:val="bottom"/>
            <w:hideMark/>
          </w:tcPr>
          <w:p w14:paraId="17EB602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CFF0FC"/>
            <w:noWrap/>
            <w:tcMar>
              <w:top w:w="15" w:type="dxa"/>
              <w:left w:w="0" w:type="dxa"/>
              <w:bottom w:w="0" w:type="dxa"/>
              <w:right w:w="15" w:type="dxa"/>
            </w:tcMar>
            <w:vAlign w:val="bottom"/>
            <w:hideMark/>
          </w:tcPr>
          <w:p w14:paraId="3BD57E4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39" w:type="dxa"/>
            <w:shd w:val="clear" w:color="auto" w:fill="CFF0FC"/>
            <w:noWrap/>
            <w:tcMar>
              <w:top w:w="15" w:type="dxa"/>
              <w:left w:w="0" w:type="dxa"/>
              <w:bottom w:w="0" w:type="dxa"/>
              <w:right w:w="15" w:type="dxa"/>
            </w:tcMar>
            <w:vAlign w:val="bottom"/>
            <w:hideMark/>
          </w:tcPr>
          <w:p w14:paraId="085AE09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w:t>
            </w:r>
          </w:p>
        </w:tc>
        <w:tc>
          <w:tcPr>
            <w:tcW w:w="158" w:type="dxa"/>
            <w:shd w:val="clear" w:color="auto" w:fill="CFF0FC"/>
            <w:noWrap/>
            <w:tcMar>
              <w:top w:w="15" w:type="dxa"/>
              <w:left w:w="0" w:type="dxa"/>
              <w:bottom w:w="0" w:type="dxa"/>
              <w:right w:w="15" w:type="dxa"/>
            </w:tcMar>
            <w:vAlign w:val="bottom"/>
            <w:hideMark/>
          </w:tcPr>
          <w:p w14:paraId="2166109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63982D20"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CFF0FC"/>
            <w:noWrap/>
            <w:tcMar>
              <w:top w:w="15" w:type="dxa"/>
              <w:left w:w="0" w:type="dxa"/>
              <w:bottom w:w="0" w:type="dxa"/>
              <w:right w:w="15" w:type="dxa"/>
            </w:tcMar>
            <w:vAlign w:val="bottom"/>
            <w:hideMark/>
          </w:tcPr>
          <w:p w14:paraId="6008198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39" w:type="dxa"/>
            <w:shd w:val="clear" w:color="auto" w:fill="CFF0FC"/>
            <w:noWrap/>
            <w:tcMar>
              <w:top w:w="15" w:type="dxa"/>
              <w:left w:w="0" w:type="dxa"/>
              <w:bottom w:w="0" w:type="dxa"/>
              <w:right w:w="15" w:type="dxa"/>
            </w:tcMar>
            <w:vAlign w:val="bottom"/>
            <w:hideMark/>
          </w:tcPr>
          <w:p w14:paraId="31C79E3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w:t>
            </w:r>
          </w:p>
        </w:tc>
        <w:tc>
          <w:tcPr>
            <w:tcW w:w="158" w:type="dxa"/>
            <w:shd w:val="clear" w:color="auto" w:fill="CFF0FC"/>
            <w:noWrap/>
            <w:tcMar>
              <w:top w:w="15" w:type="dxa"/>
              <w:left w:w="0" w:type="dxa"/>
              <w:bottom w:w="0" w:type="dxa"/>
              <w:right w:w="15" w:type="dxa"/>
            </w:tcMar>
            <w:vAlign w:val="bottom"/>
            <w:hideMark/>
          </w:tcPr>
          <w:p w14:paraId="520D85D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6BD4451F"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CFF0FC"/>
            <w:noWrap/>
            <w:tcMar>
              <w:top w:w="15" w:type="dxa"/>
              <w:left w:w="0" w:type="dxa"/>
              <w:bottom w:w="0" w:type="dxa"/>
              <w:right w:w="15" w:type="dxa"/>
            </w:tcMar>
            <w:vAlign w:val="bottom"/>
            <w:hideMark/>
          </w:tcPr>
          <w:p w14:paraId="496CA3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shd w:val="clear" w:color="auto" w:fill="CFF0FC"/>
            <w:noWrap/>
            <w:tcMar>
              <w:top w:w="15" w:type="dxa"/>
              <w:left w:w="0" w:type="dxa"/>
              <w:bottom w:w="0" w:type="dxa"/>
              <w:right w:w="15" w:type="dxa"/>
            </w:tcMar>
            <w:vAlign w:val="bottom"/>
            <w:hideMark/>
          </w:tcPr>
          <w:p w14:paraId="67B8466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162" w:type="dxa"/>
            <w:shd w:val="clear" w:color="auto" w:fill="CFF0FC"/>
            <w:noWrap/>
            <w:tcMar>
              <w:top w:w="15" w:type="dxa"/>
              <w:left w:w="0" w:type="dxa"/>
              <w:bottom w:w="0" w:type="dxa"/>
              <w:right w:w="15" w:type="dxa"/>
            </w:tcMar>
            <w:vAlign w:val="bottom"/>
            <w:hideMark/>
          </w:tcPr>
          <w:p w14:paraId="237189A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55B99F68"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CFF0FC"/>
            <w:noWrap/>
            <w:tcMar>
              <w:top w:w="15" w:type="dxa"/>
              <w:left w:w="0" w:type="dxa"/>
              <w:bottom w:w="0" w:type="dxa"/>
              <w:right w:w="15" w:type="dxa"/>
            </w:tcMar>
            <w:vAlign w:val="bottom"/>
            <w:hideMark/>
          </w:tcPr>
          <w:p w14:paraId="4D2542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2" w:type="dxa"/>
            <w:shd w:val="clear" w:color="auto" w:fill="CFF0FC"/>
            <w:noWrap/>
            <w:tcMar>
              <w:top w:w="15" w:type="dxa"/>
              <w:left w:w="0" w:type="dxa"/>
              <w:bottom w:w="0" w:type="dxa"/>
              <w:right w:w="15" w:type="dxa"/>
            </w:tcMar>
            <w:vAlign w:val="bottom"/>
            <w:hideMark/>
          </w:tcPr>
          <w:p w14:paraId="296C946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w:t>
            </w:r>
          </w:p>
        </w:tc>
        <w:tc>
          <w:tcPr>
            <w:tcW w:w="162" w:type="dxa"/>
            <w:shd w:val="clear" w:color="auto" w:fill="CFF0FC"/>
            <w:noWrap/>
            <w:tcMar>
              <w:top w:w="15" w:type="dxa"/>
              <w:left w:w="0" w:type="dxa"/>
              <w:bottom w:w="0" w:type="dxa"/>
              <w:right w:w="15" w:type="dxa"/>
            </w:tcMar>
            <w:vAlign w:val="bottom"/>
            <w:hideMark/>
          </w:tcPr>
          <w:p w14:paraId="458621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CFF0FC"/>
            <w:tcMar>
              <w:top w:w="15" w:type="dxa"/>
              <w:left w:w="0" w:type="dxa"/>
              <w:bottom w:w="0" w:type="dxa"/>
              <w:right w:w="15" w:type="dxa"/>
            </w:tcMar>
            <w:vAlign w:val="bottom"/>
            <w:hideMark/>
          </w:tcPr>
          <w:p w14:paraId="45CDEB15"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CFF0FC"/>
            <w:noWrap/>
            <w:tcMar>
              <w:top w:w="15" w:type="dxa"/>
              <w:left w:w="0" w:type="dxa"/>
              <w:bottom w:w="0" w:type="dxa"/>
              <w:right w:w="15" w:type="dxa"/>
            </w:tcMar>
            <w:vAlign w:val="bottom"/>
            <w:hideMark/>
          </w:tcPr>
          <w:p w14:paraId="07C06FA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60" w:type="dxa"/>
            <w:shd w:val="clear" w:color="auto" w:fill="CFF0FC"/>
            <w:noWrap/>
            <w:tcMar>
              <w:top w:w="15" w:type="dxa"/>
              <w:left w:w="0" w:type="dxa"/>
              <w:bottom w:w="0" w:type="dxa"/>
              <w:right w:w="15" w:type="dxa"/>
            </w:tcMar>
            <w:vAlign w:val="bottom"/>
            <w:hideMark/>
          </w:tcPr>
          <w:p w14:paraId="7C8735A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2" w:type="dxa"/>
            <w:shd w:val="clear" w:color="auto" w:fill="CFF0FC"/>
            <w:noWrap/>
            <w:tcMar>
              <w:top w:w="15" w:type="dxa"/>
              <w:left w:w="0" w:type="dxa"/>
              <w:bottom w:w="0" w:type="dxa"/>
              <w:right w:w="15" w:type="dxa"/>
            </w:tcMar>
            <w:vAlign w:val="bottom"/>
            <w:hideMark/>
          </w:tcPr>
          <w:p w14:paraId="6A220A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36E89287"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CFF0FC"/>
            <w:noWrap/>
            <w:tcMar>
              <w:top w:w="15" w:type="dxa"/>
              <w:left w:w="0" w:type="dxa"/>
              <w:bottom w:w="0" w:type="dxa"/>
              <w:right w:w="15" w:type="dxa"/>
            </w:tcMar>
            <w:vAlign w:val="bottom"/>
            <w:hideMark/>
          </w:tcPr>
          <w:p w14:paraId="134A1DE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329" w:type="dxa"/>
            <w:shd w:val="clear" w:color="auto" w:fill="CFF0FC"/>
            <w:noWrap/>
            <w:tcMar>
              <w:top w:w="15" w:type="dxa"/>
              <w:left w:w="0" w:type="dxa"/>
              <w:bottom w:w="0" w:type="dxa"/>
              <w:right w:w="15" w:type="dxa"/>
            </w:tcMar>
            <w:vAlign w:val="bottom"/>
            <w:hideMark/>
          </w:tcPr>
          <w:p w14:paraId="1D6A377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w:t>
            </w:r>
          </w:p>
        </w:tc>
        <w:tc>
          <w:tcPr>
            <w:tcW w:w="162" w:type="dxa"/>
            <w:shd w:val="clear" w:color="auto" w:fill="CFF0FC"/>
            <w:noWrap/>
            <w:tcMar>
              <w:top w:w="15" w:type="dxa"/>
              <w:left w:w="0" w:type="dxa"/>
              <w:bottom w:w="0" w:type="dxa"/>
              <w:right w:w="15" w:type="dxa"/>
            </w:tcMar>
            <w:vAlign w:val="bottom"/>
            <w:hideMark/>
          </w:tcPr>
          <w:p w14:paraId="0EDE45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00265362"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CFF0FC"/>
            <w:noWrap/>
            <w:tcMar>
              <w:top w:w="15" w:type="dxa"/>
              <w:left w:w="0" w:type="dxa"/>
              <w:bottom w:w="0" w:type="dxa"/>
              <w:right w:w="15" w:type="dxa"/>
            </w:tcMar>
            <w:vAlign w:val="bottom"/>
            <w:hideMark/>
          </w:tcPr>
          <w:p w14:paraId="595983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shd w:val="clear" w:color="auto" w:fill="CFF0FC"/>
            <w:noWrap/>
            <w:tcMar>
              <w:top w:w="15" w:type="dxa"/>
              <w:left w:w="0" w:type="dxa"/>
              <w:bottom w:w="0" w:type="dxa"/>
              <w:right w:w="15" w:type="dxa"/>
            </w:tcMar>
            <w:vAlign w:val="bottom"/>
            <w:hideMark/>
          </w:tcPr>
          <w:p w14:paraId="5A131E7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72</w:t>
            </w:r>
          </w:p>
        </w:tc>
        <w:tc>
          <w:tcPr>
            <w:tcW w:w="162" w:type="dxa"/>
            <w:shd w:val="clear" w:color="auto" w:fill="CFF0FC"/>
            <w:noWrap/>
            <w:tcMar>
              <w:top w:w="15" w:type="dxa"/>
              <w:left w:w="0" w:type="dxa"/>
              <w:bottom w:w="0" w:type="dxa"/>
              <w:right w:w="15" w:type="dxa"/>
            </w:tcMar>
            <w:vAlign w:val="bottom"/>
            <w:hideMark/>
          </w:tcPr>
          <w:p w14:paraId="2A83F8B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23E8931E"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CFF0FC"/>
            <w:noWrap/>
            <w:tcMar>
              <w:top w:w="15" w:type="dxa"/>
              <w:left w:w="0" w:type="dxa"/>
              <w:bottom w:w="0" w:type="dxa"/>
              <w:right w:w="15" w:type="dxa"/>
            </w:tcMar>
            <w:vAlign w:val="bottom"/>
            <w:hideMark/>
          </w:tcPr>
          <w:p w14:paraId="2C60A03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8" w:type="dxa"/>
            <w:shd w:val="clear" w:color="auto" w:fill="CFF0FC"/>
            <w:noWrap/>
            <w:tcMar>
              <w:top w:w="15" w:type="dxa"/>
              <w:left w:w="0" w:type="dxa"/>
              <w:bottom w:w="0" w:type="dxa"/>
              <w:right w:w="15" w:type="dxa"/>
            </w:tcMar>
            <w:vAlign w:val="bottom"/>
            <w:hideMark/>
          </w:tcPr>
          <w:p w14:paraId="11EE5DC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77</w:t>
            </w:r>
          </w:p>
        </w:tc>
        <w:tc>
          <w:tcPr>
            <w:tcW w:w="147" w:type="dxa"/>
            <w:shd w:val="clear" w:color="auto" w:fill="CFF0FC"/>
            <w:noWrap/>
            <w:tcMar>
              <w:top w:w="15" w:type="dxa"/>
              <w:left w:w="0" w:type="dxa"/>
              <w:bottom w:w="0" w:type="dxa"/>
              <w:right w:w="15" w:type="dxa"/>
            </w:tcMar>
            <w:vAlign w:val="bottom"/>
            <w:hideMark/>
          </w:tcPr>
          <w:p w14:paraId="00907D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BFD7239" w14:textId="77777777" w:rsidTr="00141675">
        <w:tc>
          <w:tcPr>
            <w:tcW w:w="6735" w:type="dxa"/>
            <w:shd w:val="clear" w:color="auto" w:fill="FFFFFF"/>
            <w:tcMar>
              <w:top w:w="15" w:type="dxa"/>
              <w:left w:w="0" w:type="dxa"/>
              <w:bottom w:w="0" w:type="dxa"/>
              <w:right w:w="15" w:type="dxa"/>
            </w:tcMar>
            <w:hideMark/>
          </w:tcPr>
          <w:p w14:paraId="7013B4A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Services</w:t>
            </w:r>
          </w:p>
        </w:tc>
        <w:tc>
          <w:tcPr>
            <w:tcW w:w="208" w:type="dxa"/>
            <w:shd w:val="clear" w:color="auto" w:fill="FFFFFF"/>
            <w:tcMar>
              <w:top w:w="15" w:type="dxa"/>
              <w:left w:w="0" w:type="dxa"/>
              <w:bottom w:w="0" w:type="dxa"/>
              <w:right w:w="15" w:type="dxa"/>
            </w:tcMar>
            <w:vAlign w:val="bottom"/>
            <w:hideMark/>
          </w:tcPr>
          <w:p w14:paraId="3F0646D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6ED81D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39" w:type="dxa"/>
            <w:shd w:val="clear" w:color="auto" w:fill="FFFFFF"/>
            <w:noWrap/>
            <w:tcMar>
              <w:top w:w="15" w:type="dxa"/>
              <w:left w:w="0" w:type="dxa"/>
              <w:bottom w:w="0" w:type="dxa"/>
              <w:right w:w="15" w:type="dxa"/>
            </w:tcMar>
            <w:vAlign w:val="bottom"/>
            <w:hideMark/>
          </w:tcPr>
          <w:p w14:paraId="73DEE34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w:t>
            </w:r>
          </w:p>
        </w:tc>
        <w:tc>
          <w:tcPr>
            <w:tcW w:w="158" w:type="dxa"/>
            <w:shd w:val="clear" w:color="auto" w:fill="FFFFFF"/>
            <w:noWrap/>
            <w:tcMar>
              <w:top w:w="15" w:type="dxa"/>
              <w:left w:w="0" w:type="dxa"/>
              <w:bottom w:w="0" w:type="dxa"/>
              <w:right w:w="15" w:type="dxa"/>
            </w:tcMar>
            <w:vAlign w:val="bottom"/>
            <w:hideMark/>
          </w:tcPr>
          <w:p w14:paraId="48C2AC5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6F5AFF7D"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110855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39" w:type="dxa"/>
            <w:shd w:val="clear" w:color="auto" w:fill="FFFFFF"/>
            <w:noWrap/>
            <w:tcMar>
              <w:top w:w="15" w:type="dxa"/>
              <w:left w:w="0" w:type="dxa"/>
              <w:bottom w:w="0" w:type="dxa"/>
              <w:right w:w="15" w:type="dxa"/>
            </w:tcMar>
            <w:vAlign w:val="bottom"/>
            <w:hideMark/>
          </w:tcPr>
          <w:p w14:paraId="07D22DF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w:t>
            </w:r>
          </w:p>
        </w:tc>
        <w:tc>
          <w:tcPr>
            <w:tcW w:w="158" w:type="dxa"/>
            <w:shd w:val="clear" w:color="auto" w:fill="FFFFFF"/>
            <w:noWrap/>
            <w:tcMar>
              <w:top w:w="15" w:type="dxa"/>
              <w:left w:w="0" w:type="dxa"/>
              <w:bottom w:w="0" w:type="dxa"/>
              <w:right w:w="15" w:type="dxa"/>
            </w:tcMar>
            <w:vAlign w:val="bottom"/>
            <w:hideMark/>
          </w:tcPr>
          <w:p w14:paraId="253B19A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6754E8B9"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3F70EA1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shd w:val="clear" w:color="auto" w:fill="FFFFFF"/>
            <w:noWrap/>
            <w:tcMar>
              <w:top w:w="15" w:type="dxa"/>
              <w:left w:w="0" w:type="dxa"/>
              <w:bottom w:w="0" w:type="dxa"/>
              <w:right w:w="15" w:type="dxa"/>
            </w:tcMar>
            <w:vAlign w:val="bottom"/>
            <w:hideMark/>
          </w:tcPr>
          <w:p w14:paraId="69D1F30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162" w:type="dxa"/>
            <w:shd w:val="clear" w:color="auto" w:fill="FFFFFF"/>
            <w:noWrap/>
            <w:tcMar>
              <w:top w:w="15" w:type="dxa"/>
              <w:left w:w="0" w:type="dxa"/>
              <w:bottom w:w="0" w:type="dxa"/>
              <w:right w:w="15" w:type="dxa"/>
            </w:tcMar>
            <w:vAlign w:val="bottom"/>
            <w:hideMark/>
          </w:tcPr>
          <w:p w14:paraId="3665895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7051DB97"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0F6210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2" w:type="dxa"/>
            <w:shd w:val="clear" w:color="auto" w:fill="FFFFFF"/>
            <w:noWrap/>
            <w:tcMar>
              <w:top w:w="15" w:type="dxa"/>
              <w:left w:w="0" w:type="dxa"/>
              <w:bottom w:w="0" w:type="dxa"/>
              <w:right w:w="15" w:type="dxa"/>
            </w:tcMar>
            <w:vAlign w:val="bottom"/>
            <w:hideMark/>
          </w:tcPr>
          <w:p w14:paraId="4026174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tc>
        <w:tc>
          <w:tcPr>
            <w:tcW w:w="162" w:type="dxa"/>
            <w:shd w:val="clear" w:color="auto" w:fill="FFFFFF"/>
            <w:noWrap/>
            <w:tcMar>
              <w:top w:w="15" w:type="dxa"/>
              <w:left w:w="0" w:type="dxa"/>
              <w:bottom w:w="0" w:type="dxa"/>
              <w:right w:w="15" w:type="dxa"/>
            </w:tcMar>
            <w:vAlign w:val="bottom"/>
            <w:hideMark/>
          </w:tcPr>
          <w:p w14:paraId="10590B7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43199EEF"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48F3145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60" w:type="dxa"/>
            <w:shd w:val="clear" w:color="auto" w:fill="FFFFFF"/>
            <w:noWrap/>
            <w:tcMar>
              <w:top w:w="15" w:type="dxa"/>
              <w:left w:w="0" w:type="dxa"/>
              <w:bottom w:w="0" w:type="dxa"/>
              <w:right w:w="15" w:type="dxa"/>
            </w:tcMar>
            <w:vAlign w:val="bottom"/>
            <w:hideMark/>
          </w:tcPr>
          <w:p w14:paraId="305FF51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2" w:type="dxa"/>
            <w:shd w:val="clear" w:color="auto" w:fill="FFFFFF"/>
            <w:noWrap/>
            <w:tcMar>
              <w:top w:w="15" w:type="dxa"/>
              <w:left w:w="0" w:type="dxa"/>
              <w:bottom w:w="0" w:type="dxa"/>
              <w:right w:w="15" w:type="dxa"/>
            </w:tcMar>
            <w:vAlign w:val="bottom"/>
            <w:hideMark/>
          </w:tcPr>
          <w:p w14:paraId="6C4A68F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7DAAB8DA"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198288A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329" w:type="dxa"/>
            <w:shd w:val="clear" w:color="auto" w:fill="FFFFFF"/>
            <w:noWrap/>
            <w:tcMar>
              <w:top w:w="15" w:type="dxa"/>
              <w:left w:w="0" w:type="dxa"/>
              <w:bottom w:w="0" w:type="dxa"/>
              <w:right w:w="15" w:type="dxa"/>
            </w:tcMar>
            <w:vAlign w:val="bottom"/>
            <w:hideMark/>
          </w:tcPr>
          <w:p w14:paraId="3FC0E8C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162" w:type="dxa"/>
            <w:shd w:val="clear" w:color="auto" w:fill="FFFFFF"/>
            <w:noWrap/>
            <w:tcMar>
              <w:top w:w="15" w:type="dxa"/>
              <w:left w:w="0" w:type="dxa"/>
              <w:bottom w:w="0" w:type="dxa"/>
              <w:right w:w="15" w:type="dxa"/>
            </w:tcMar>
            <w:vAlign w:val="bottom"/>
            <w:hideMark/>
          </w:tcPr>
          <w:p w14:paraId="66ADDA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3697D4AD"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79C6D30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shd w:val="clear" w:color="auto" w:fill="FFFFFF"/>
            <w:noWrap/>
            <w:tcMar>
              <w:top w:w="15" w:type="dxa"/>
              <w:left w:w="0" w:type="dxa"/>
              <w:bottom w:w="0" w:type="dxa"/>
              <w:right w:w="15" w:type="dxa"/>
            </w:tcMar>
            <w:vAlign w:val="bottom"/>
            <w:hideMark/>
          </w:tcPr>
          <w:p w14:paraId="5B99A54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56</w:t>
            </w:r>
          </w:p>
        </w:tc>
        <w:tc>
          <w:tcPr>
            <w:tcW w:w="162" w:type="dxa"/>
            <w:shd w:val="clear" w:color="auto" w:fill="FFFFFF"/>
            <w:noWrap/>
            <w:tcMar>
              <w:top w:w="15" w:type="dxa"/>
              <w:left w:w="0" w:type="dxa"/>
              <w:bottom w:w="0" w:type="dxa"/>
              <w:right w:w="15" w:type="dxa"/>
            </w:tcMar>
            <w:vAlign w:val="bottom"/>
            <w:hideMark/>
          </w:tcPr>
          <w:p w14:paraId="30658B0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4292576A"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033064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8" w:type="dxa"/>
            <w:shd w:val="clear" w:color="auto" w:fill="FFFFFF"/>
            <w:noWrap/>
            <w:tcMar>
              <w:top w:w="15" w:type="dxa"/>
              <w:left w:w="0" w:type="dxa"/>
              <w:bottom w:w="0" w:type="dxa"/>
              <w:right w:w="15" w:type="dxa"/>
            </w:tcMar>
            <w:vAlign w:val="bottom"/>
            <w:hideMark/>
          </w:tcPr>
          <w:p w14:paraId="72822CC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59</w:t>
            </w:r>
          </w:p>
        </w:tc>
        <w:tc>
          <w:tcPr>
            <w:tcW w:w="147" w:type="dxa"/>
            <w:shd w:val="clear" w:color="auto" w:fill="FFFFFF"/>
            <w:noWrap/>
            <w:tcMar>
              <w:top w:w="15" w:type="dxa"/>
              <w:left w:w="0" w:type="dxa"/>
              <w:bottom w:w="0" w:type="dxa"/>
              <w:right w:w="15" w:type="dxa"/>
            </w:tcMar>
            <w:vAlign w:val="bottom"/>
            <w:hideMark/>
          </w:tcPr>
          <w:p w14:paraId="06FBFB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D9F713D" w14:textId="77777777" w:rsidTr="00141675">
        <w:tc>
          <w:tcPr>
            <w:tcW w:w="6735" w:type="dxa"/>
            <w:shd w:val="clear" w:color="auto" w:fill="CFF0FC"/>
            <w:tcMar>
              <w:top w:w="15" w:type="dxa"/>
              <w:left w:w="0" w:type="dxa"/>
              <w:bottom w:w="0" w:type="dxa"/>
              <w:right w:w="15" w:type="dxa"/>
            </w:tcMar>
            <w:hideMark/>
          </w:tcPr>
          <w:p w14:paraId="1513992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Other</w:t>
            </w:r>
            <w:r w:rsidRPr="00141675">
              <w:rPr>
                <w:rFonts w:ascii="Calibri" w:eastAsia="宋体" w:hAnsi="Calibri" w:cs="Calibri"/>
                <w:color w:val="000000"/>
                <w:kern w:val="0"/>
                <w:sz w:val="18"/>
                <w:szCs w:val="18"/>
                <w:vertAlign w:val="superscript"/>
              </w:rPr>
              <w:t>(6)</w:t>
            </w:r>
          </w:p>
        </w:tc>
        <w:tc>
          <w:tcPr>
            <w:tcW w:w="208" w:type="dxa"/>
            <w:shd w:val="clear" w:color="auto" w:fill="CFF0FC"/>
            <w:tcMar>
              <w:top w:w="15" w:type="dxa"/>
              <w:left w:w="0" w:type="dxa"/>
              <w:bottom w:w="0" w:type="dxa"/>
              <w:right w:w="15" w:type="dxa"/>
            </w:tcMar>
            <w:vAlign w:val="bottom"/>
            <w:hideMark/>
          </w:tcPr>
          <w:p w14:paraId="2BE61EB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363628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39" w:type="dxa"/>
            <w:tcBorders>
              <w:bottom w:val="single" w:sz="6" w:space="0" w:color="000000"/>
            </w:tcBorders>
            <w:shd w:val="clear" w:color="auto" w:fill="CFF0FC"/>
            <w:noWrap/>
            <w:tcMar>
              <w:top w:w="15" w:type="dxa"/>
              <w:left w:w="0" w:type="dxa"/>
              <w:bottom w:w="0" w:type="dxa"/>
              <w:right w:w="15" w:type="dxa"/>
            </w:tcMar>
            <w:vAlign w:val="bottom"/>
            <w:hideMark/>
          </w:tcPr>
          <w:p w14:paraId="56C643C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108</w:t>
            </w:r>
          </w:p>
        </w:tc>
        <w:tc>
          <w:tcPr>
            <w:tcW w:w="158" w:type="dxa"/>
            <w:shd w:val="clear" w:color="auto" w:fill="CFF0FC"/>
            <w:noWrap/>
            <w:tcMar>
              <w:top w:w="15" w:type="dxa"/>
              <w:left w:w="0" w:type="dxa"/>
              <w:bottom w:w="0" w:type="dxa"/>
              <w:right w:w="15" w:type="dxa"/>
            </w:tcMar>
            <w:vAlign w:val="bottom"/>
            <w:hideMark/>
          </w:tcPr>
          <w:p w14:paraId="0F226C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36B8A453"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6484C5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39" w:type="dxa"/>
            <w:tcBorders>
              <w:bottom w:val="single" w:sz="6" w:space="0" w:color="000000"/>
            </w:tcBorders>
            <w:shd w:val="clear" w:color="auto" w:fill="CFF0FC"/>
            <w:noWrap/>
            <w:tcMar>
              <w:top w:w="15" w:type="dxa"/>
              <w:left w:w="0" w:type="dxa"/>
              <w:bottom w:w="0" w:type="dxa"/>
              <w:right w:w="15" w:type="dxa"/>
            </w:tcMar>
            <w:vAlign w:val="bottom"/>
            <w:hideMark/>
          </w:tcPr>
          <w:p w14:paraId="54A4B4B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37</w:t>
            </w:r>
          </w:p>
        </w:tc>
        <w:tc>
          <w:tcPr>
            <w:tcW w:w="158" w:type="dxa"/>
            <w:shd w:val="clear" w:color="auto" w:fill="CFF0FC"/>
            <w:noWrap/>
            <w:tcMar>
              <w:top w:w="15" w:type="dxa"/>
              <w:left w:w="0" w:type="dxa"/>
              <w:bottom w:w="0" w:type="dxa"/>
              <w:right w:w="15" w:type="dxa"/>
            </w:tcMar>
            <w:vAlign w:val="bottom"/>
            <w:hideMark/>
          </w:tcPr>
          <w:p w14:paraId="4DB5C49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5144D011"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57EF00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tcBorders>
              <w:bottom w:val="single" w:sz="6" w:space="0" w:color="000000"/>
            </w:tcBorders>
            <w:shd w:val="clear" w:color="auto" w:fill="CFF0FC"/>
            <w:noWrap/>
            <w:tcMar>
              <w:top w:w="15" w:type="dxa"/>
              <w:left w:w="0" w:type="dxa"/>
              <w:bottom w:w="0" w:type="dxa"/>
              <w:right w:w="15" w:type="dxa"/>
            </w:tcMar>
            <w:vAlign w:val="bottom"/>
            <w:hideMark/>
          </w:tcPr>
          <w:p w14:paraId="0701966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162" w:type="dxa"/>
            <w:shd w:val="clear" w:color="auto" w:fill="CFF0FC"/>
            <w:noWrap/>
            <w:tcMar>
              <w:top w:w="15" w:type="dxa"/>
              <w:left w:w="0" w:type="dxa"/>
              <w:bottom w:w="0" w:type="dxa"/>
              <w:right w:w="15" w:type="dxa"/>
            </w:tcMar>
            <w:vAlign w:val="bottom"/>
            <w:hideMark/>
          </w:tcPr>
          <w:p w14:paraId="62F2A42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11909715"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7300C07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2" w:type="dxa"/>
            <w:tcBorders>
              <w:bottom w:val="single" w:sz="6" w:space="0" w:color="000000"/>
            </w:tcBorders>
            <w:shd w:val="clear" w:color="auto" w:fill="CFF0FC"/>
            <w:noWrap/>
            <w:tcMar>
              <w:top w:w="15" w:type="dxa"/>
              <w:left w:w="0" w:type="dxa"/>
              <w:bottom w:w="0" w:type="dxa"/>
              <w:right w:w="15" w:type="dxa"/>
            </w:tcMar>
            <w:vAlign w:val="bottom"/>
            <w:hideMark/>
          </w:tcPr>
          <w:p w14:paraId="7EE48C2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w:t>
            </w:r>
          </w:p>
        </w:tc>
        <w:tc>
          <w:tcPr>
            <w:tcW w:w="162" w:type="dxa"/>
            <w:shd w:val="clear" w:color="auto" w:fill="CFF0FC"/>
            <w:noWrap/>
            <w:tcMar>
              <w:top w:w="15" w:type="dxa"/>
              <w:left w:w="0" w:type="dxa"/>
              <w:bottom w:w="0" w:type="dxa"/>
              <w:right w:w="15" w:type="dxa"/>
            </w:tcMar>
            <w:vAlign w:val="bottom"/>
            <w:hideMark/>
          </w:tcPr>
          <w:p w14:paraId="20E1251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CFF0FC"/>
            <w:tcMar>
              <w:top w:w="15" w:type="dxa"/>
              <w:left w:w="0" w:type="dxa"/>
              <w:bottom w:w="0" w:type="dxa"/>
              <w:right w:w="15" w:type="dxa"/>
            </w:tcMar>
            <w:vAlign w:val="bottom"/>
            <w:hideMark/>
          </w:tcPr>
          <w:p w14:paraId="78596987"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19324F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60" w:type="dxa"/>
            <w:tcBorders>
              <w:bottom w:val="single" w:sz="6" w:space="0" w:color="000000"/>
            </w:tcBorders>
            <w:shd w:val="clear" w:color="auto" w:fill="CFF0FC"/>
            <w:noWrap/>
            <w:tcMar>
              <w:top w:w="15" w:type="dxa"/>
              <w:left w:w="0" w:type="dxa"/>
              <w:bottom w:w="0" w:type="dxa"/>
              <w:right w:w="15" w:type="dxa"/>
            </w:tcMar>
            <w:vAlign w:val="bottom"/>
            <w:hideMark/>
          </w:tcPr>
          <w:p w14:paraId="3A1C5FC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w:t>
            </w:r>
          </w:p>
        </w:tc>
        <w:tc>
          <w:tcPr>
            <w:tcW w:w="162" w:type="dxa"/>
            <w:shd w:val="clear" w:color="auto" w:fill="CFF0FC"/>
            <w:noWrap/>
            <w:tcMar>
              <w:top w:w="15" w:type="dxa"/>
              <w:left w:w="0" w:type="dxa"/>
              <w:bottom w:w="0" w:type="dxa"/>
              <w:right w:w="15" w:type="dxa"/>
            </w:tcMar>
            <w:vAlign w:val="bottom"/>
            <w:hideMark/>
          </w:tcPr>
          <w:p w14:paraId="6D944FA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CFF0FC"/>
            <w:tcMar>
              <w:top w:w="15" w:type="dxa"/>
              <w:left w:w="0" w:type="dxa"/>
              <w:bottom w:w="0" w:type="dxa"/>
              <w:right w:w="15" w:type="dxa"/>
            </w:tcMar>
            <w:vAlign w:val="bottom"/>
            <w:hideMark/>
          </w:tcPr>
          <w:p w14:paraId="6DC1AAFD"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39C9919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329" w:type="dxa"/>
            <w:tcBorders>
              <w:bottom w:val="single" w:sz="6" w:space="0" w:color="000000"/>
            </w:tcBorders>
            <w:shd w:val="clear" w:color="auto" w:fill="CFF0FC"/>
            <w:noWrap/>
            <w:tcMar>
              <w:top w:w="15" w:type="dxa"/>
              <w:left w:w="0" w:type="dxa"/>
              <w:bottom w:w="0" w:type="dxa"/>
              <w:right w:w="15" w:type="dxa"/>
            </w:tcMar>
            <w:vAlign w:val="bottom"/>
            <w:hideMark/>
          </w:tcPr>
          <w:p w14:paraId="04E3141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w:t>
            </w:r>
          </w:p>
        </w:tc>
        <w:tc>
          <w:tcPr>
            <w:tcW w:w="162" w:type="dxa"/>
            <w:shd w:val="clear" w:color="auto" w:fill="CFF0FC"/>
            <w:noWrap/>
            <w:tcMar>
              <w:top w:w="15" w:type="dxa"/>
              <w:left w:w="0" w:type="dxa"/>
              <w:bottom w:w="0" w:type="dxa"/>
              <w:right w:w="15" w:type="dxa"/>
            </w:tcMar>
            <w:vAlign w:val="bottom"/>
            <w:hideMark/>
          </w:tcPr>
          <w:p w14:paraId="16858B3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1C3AC248"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153BFC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tcBorders>
              <w:bottom w:val="single" w:sz="6" w:space="0" w:color="000000"/>
            </w:tcBorders>
            <w:shd w:val="clear" w:color="auto" w:fill="CFF0FC"/>
            <w:noWrap/>
            <w:tcMar>
              <w:top w:w="15" w:type="dxa"/>
              <w:left w:w="0" w:type="dxa"/>
              <w:bottom w:w="0" w:type="dxa"/>
              <w:right w:w="15" w:type="dxa"/>
            </w:tcMar>
            <w:vAlign w:val="bottom"/>
            <w:hideMark/>
          </w:tcPr>
          <w:p w14:paraId="3963EA5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232</w:t>
            </w:r>
          </w:p>
        </w:tc>
        <w:tc>
          <w:tcPr>
            <w:tcW w:w="162" w:type="dxa"/>
            <w:shd w:val="clear" w:color="auto" w:fill="CFF0FC"/>
            <w:noWrap/>
            <w:tcMar>
              <w:top w:w="15" w:type="dxa"/>
              <w:left w:w="0" w:type="dxa"/>
              <w:bottom w:w="0" w:type="dxa"/>
              <w:right w:w="15" w:type="dxa"/>
            </w:tcMar>
            <w:vAlign w:val="bottom"/>
            <w:hideMark/>
          </w:tcPr>
          <w:p w14:paraId="4921F3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367FE029"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bottom w:val="single" w:sz="6" w:space="0" w:color="000000"/>
            </w:tcBorders>
            <w:shd w:val="clear" w:color="auto" w:fill="CFF0FC"/>
            <w:noWrap/>
            <w:tcMar>
              <w:top w:w="15" w:type="dxa"/>
              <w:left w:w="0" w:type="dxa"/>
              <w:bottom w:w="0" w:type="dxa"/>
              <w:right w:w="15" w:type="dxa"/>
            </w:tcMar>
            <w:vAlign w:val="bottom"/>
            <w:hideMark/>
          </w:tcPr>
          <w:p w14:paraId="62C7632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8" w:type="dxa"/>
            <w:tcBorders>
              <w:bottom w:val="single" w:sz="6" w:space="0" w:color="000000"/>
            </w:tcBorders>
            <w:shd w:val="clear" w:color="auto" w:fill="CFF0FC"/>
            <w:noWrap/>
            <w:tcMar>
              <w:top w:w="15" w:type="dxa"/>
              <w:left w:w="0" w:type="dxa"/>
              <w:bottom w:w="0" w:type="dxa"/>
              <w:right w:w="15" w:type="dxa"/>
            </w:tcMar>
            <w:vAlign w:val="bottom"/>
            <w:hideMark/>
          </w:tcPr>
          <w:p w14:paraId="1633BC5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239</w:t>
            </w:r>
          </w:p>
        </w:tc>
        <w:tc>
          <w:tcPr>
            <w:tcW w:w="147" w:type="dxa"/>
            <w:shd w:val="clear" w:color="auto" w:fill="CFF0FC"/>
            <w:noWrap/>
            <w:tcMar>
              <w:top w:w="15" w:type="dxa"/>
              <w:left w:w="0" w:type="dxa"/>
              <w:bottom w:w="0" w:type="dxa"/>
              <w:right w:w="15" w:type="dxa"/>
            </w:tcMar>
            <w:vAlign w:val="bottom"/>
            <w:hideMark/>
          </w:tcPr>
          <w:p w14:paraId="59CD220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AE94C4D" w14:textId="77777777" w:rsidTr="00141675">
        <w:tc>
          <w:tcPr>
            <w:tcW w:w="6735" w:type="dxa"/>
            <w:shd w:val="clear" w:color="auto" w:fill="FFFFFF"/>
            <w:tcMar>
              <w:top w:w="15" w:type="dxa"/>
              <w:left w:w="0" w:type="dxa"/>
              <w:bottom w:w="0" w:type="dxa"/>
              <w:right w:w="15" w:type="dxa"/>
            </w:tcMar>
            <w:hideMark/>
          </w:tcPr>
          <w:p w14:paraId="58C7ECF4"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2019 Restructuring Plan</w:t>
            </w:r>
          </w:p>
        </w:tc>
        <w:tc>
          <w:tcPr>
            <w:tcW w:w="208" w:type="dxa"/>
            <w:shd w:val="clear" w:color="auto" w:fill="FFFFFF"/>
            <w:tcMar>
              <w:top w:w="15" w:type="dxa"/>
              <w:left w:w="0" w:type="dxa"/>
              <w:bottom w:w="0" w:type="dxa"/>
              <w:right w:w="15" w:type="dxa"/>
            </w:tcMar>
            <w:vAlign w:val="bottom"/>
            <w:hideMark/>
          </w:tcPr>
          <w:p w14:paraId="08DA248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3B851B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3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23D14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213</w:t>
            </w:r>
          </w:p>
        </w:tc>
        <w:tc>
          <w:tcPr>
            <w:tcW w:w="158" w:type="dxa"/>
            <w:shd w:val="clear" w:color="auto" w:fill="FFFFFF"/>
            <w:noWrap/>
            <w:tcMar>
              <w:top w:w="15" w:type="dxa"/>
              <w:left w:w="0" w:type="dxa"/>
              <w:bottom w:w="0" w:type="dxa"/>
              <w:right w:w="15" w:type="dxa"/>
            </w:tcMar>
            <w:vAlign w:val="bottom"/>
            <w:hideMark/>
          </w:tcPr>
          <w:p w14:paraId="1620EE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0873568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CB1D4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3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A3036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132</w:t>
            </w:r>
          </w:p>
        </w:tc>
        <w:tc>
          <w:tcPr>
            <w:tcW w:w="158" w:type="dxa"/>
            <w:shd w:val="clear" w:color="auto" w:fill="FFFFFF"/>
            <w:noWrap/>
            <w:tcMar>
              <w:top w:w="15" w:type="dxa"/>
              <w:left w:w="0" w:type="dxa"/>
              <w:bottom w:w="0" w:type="dxa"/>
              <w:right w:w="15" w:type="dxa"/>
            </w:tcMar>
            <w:vAlign w:val="bottom"/>
            <w:hideMark/>
          </w:tcPr>
          <w:p w14:paraId="369DBA7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5C08690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B262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4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B74CA2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w:t>
            </w:r>
          </w:p>
        </w:tc>
        <w:tc>
          <w:tcPr>
            <w:tcW w:w="162" w:type="dxa"/>
            <w:shd w:val="clear" w:color="auto" w:fill="FFFFFF"/>
            <w:noWrap/>
            <w:tcMar>
              <w:top w:w="15" w:type="dxa"/>
              <w:left w:w="0" w:type="dxa"/>
              <w:bottom w:w="0" w:type="dxa"/>
              <w:right w:w="15" w:type="dxa"/>
            </w:tcMar>
            <w:vAlign w:val="bottom"/>
            <w:hideMark/>
          </w:tcPr>
          <w:p w14:paraId="2A7B11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4E69BFE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9F4C31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2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DEDE51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(196</w:t>
            </w:r>
          </w:p>
        </w:tc>
        <w:tc>
          <w:tcPr>
            <w:tcW w:w="162" w:type="dxa"/>
            <w:shd w:val="clear" w:color="auto" w:fill="FFFFFF"/>
            <w:noWrap/>
            <w:tcMar>
              <w:top w:w="15" w:type="dxa"/>
              <w:left w:w="0" w:type="dxa"/>
              <w:bottom w:w="0" w:type="dxa"/>
              <w:right w:w="15" w:type="dxa"/>
            </w:tcMar>
            <w:vAlign w:val="bottom"/>
            <w:hideMark/>
          </w:tcPr>
          <w:p w14:paraId="3A7B382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2425962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0FEC85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60"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58677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w:t>
            </w:r>
          </w:p>
        </w:tc>
        <w:tc>
          <w:tcPr>
            <w:tcW w:w="162" w:type="dxa"/>
            <w:shd w:val="clear" w:color="auto" w:fill="FFFFFF"/>
            <w:noWrap/>
            <w:tcMar>
              <w:top w:w="15" w:type="dxa"/>
              <w:left w:w="0" w:type="dxa"/>
              <w:bottom w:w="0" w:type="dxa"/>
              <w:right w:w="15" w:type="dxa"/>
            </w:tcMar>
            <w:vAlign w:val="bottom"/>
            <w:hideMark/>
          </w:tcPr>
          <w:p w14:paraId="2F86A4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5B54A7D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9B8A37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32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6533A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98</w:t>
            </w:r>
          </w:p>
        </w:tc>
        <w:tc>
          <w:tcPr>
            <w:tcW w:w="162" w:type="dxa"/>
            <w:shd w:val="clear" w:color="auto" w:fill="FFFFFF"/>
            <w:noWrap/>
            <w:tcMar>
              <w:top w:w="15" w:type="dxa"/>
              <w:left w:w="0" w:type="dxa"/>
              <w:bottom w:w="0" w:type="dxa"/>
              <w:right w:w="15" w:type="dxa"/>
            </w:tcMar>
            <w:vAlign w:val="bottom"/>
            <w:hideMark/>
          </w:tcPr>
          <w:p w14:paraId="147B527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5A16FC3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D790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4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ED5C82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601</w:t>
            </w:r>
          </w:p>
        </w:tc>
        <w:tc>
          <w:tcPr>
            <w:tcW w:w="162" w:type="dxa"/>
            <w:shd w:val="clear" w:color="auto" w:fill="FFFFFF"/>
            <w:noWrap/>
            <w:tcMar>
              <w:top w:w="15" w:type="dxa"/>
              <w:left w:w="0" w:type="dxa"/>
              <w:bottom w:w="0" w:type="dxa"/>
              <w:right w:w="15" w:type="dxa"/>
            </w:tcMar>
            <w:vAlign w:val="bottom"/>
            <w:hideMark/>
          </w:tcPr>
          <w:p w14:paraId="1A6CB72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57BACFC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4C298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48"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58CD7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626</w:t>
            </w:r>
          </w:p>
        </w:tc>
        <w:tc>
          <w:tcPr>
            <w:tcW w:w="147" w:type="dxa"/>
            <w:shd w:val="clear" w:color="auto" w:fill="FFFFFF"/>
            <w:noWrap/>
            <w:tcMar>
              <w:top w:w="15" w:type="dxa"/>
              <w:left w:w="0" w:type="dxa"/>
              <w:bottom w:w="0" w:type="dxa"/>
              <w:right w:w="15" w:type="dxa"/>
            </w:tcMar>
            <w:vAlign w:val="bottom"/>
            <w:hideMark/>
          </w:tcPr>
          <w:p w14:paraId="71CEF0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1E26B21" w14:textId="77777777" w:rsidTr="00141675">
        <w:tc>
          <w:tcPr>
            <w:tcW w:w="6735" w:type="dxa"/>
            <w:shd w:val="clear" w:color="auto" w:fill="CFF0FC"/>
            <w:tcMar>
              <w:top w:w="15" w:type="dxa"/>
              <w:left w:w="0" w:type="dxa"/>
              <w:bottom w:w="0" w:type="dxa"/>
              <w:right w:w="15" w:type="dxa"/>
            </w:tcMar>
            <w:hideMark/>
          </w:tcPr>
          <w:p w14:paraId="5320F851"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other restructuring plans</w:t>
            </w:r>
            <w:r w:rsidRPr="00141675">
              <w:rPr>
                <w:rFonts w:ascii="Calibri" w:eastAsia="宋体" w:hAnsi="Calibri" w:cs="Calibri"/>
                <w:color w:val="000000"/>
                <w:kern w:val="0"/>
                <w:sz w:val="18"/>
                <w:szCs w:val="18"/>
                <w:vertAlign w:val="superscript"/>
              </w:rPr>
              <w:t>(7)</w:t>
            </w:r>
          </w:p>
        </w:tc>
        <w:tc>
          <w:tcPr>
            <w:tcW w:w="208" w:type="dxa"/>
            <w:shd w:val="clear" w:color="auto" w:fill="CFF0FC"/>
            <w:tcMar>
              <w:top w:w="15" w:type="dxa"/>
              <w:left w:w="0" w:type="dxa"/>
              <w:bottom w:w="0" w:type="dxa"/>
              <w:right w:w="15" w:type="dxa"/>
            </w:tcMar>
            <w:vAlign w:val="bottom"/>
            <w:hideMark/>
          </w:tcPr>
          <w:p w14:paraId="32E32D2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0489A1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39"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C4D666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49</w:t>
            </w:r>
          </w:p>
        </w:tc>
        <w:tc>
          <w:tcPr>
            <w:tcW w:w="158" w:type="dxa"/>
            <w:shd w:val="clear" w:color="auto" w:fill="CFF0FC"/>
            <w:noWrap/>
            <w:tcMar>
              <w:top w:w="15" w:type="dxa"/>
              <w:left w:w="0" w:type="dxa"/>
              <w:bottom w:w="0" w:type="dxa"/>
              <w:right w:w="15" w:type="dxa"/>
            </w:tcMar>
            <w:vAlign w:val="bottom"/>
            <w:hideMark/>
          </w:tcPr>
          <w:p w14:paraId="105DB69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763365E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CD9F4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39"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4076CD3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58" w:type="dxa"/>
            <w:shd w:val="clear" w:color="auto" w:fill="CFF0FC"/>
            <w:noWrap/>
            <w:tcMar>
              <w:top w:w="15" w:type="dxa"/>
              <w:left w:w="0" w:type="dxa"/>
              <w:bottom w:w="0" w:type="dxa"/>
              <w:right w:w="15" w:type="dxa"/>
            </w:tcMar>
            <w:vAlign w:val="bottom"/>
            <w:hideMark/>
          </w:tcPr>
          <w:p w14:paraId="28AC425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7379479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0EBC32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43"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64F3503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162" w:type="dxa"/>
            <w:shd w:val="clear" w:color="auto" w:fill="CFF0FC"/>
            <w:noWrap/>
            <w:tcMar>
              <w:top w:w="15" w:type="dxa"/>
              <w:left w:w="0" w:type="dxa"/>
              <w:bottom w:w="0" w:type="dxa"/>
              <w:right w:w="15" w:type="dxa"/>
            </w:tcMar>
            <w:vAlign w:val="bottom"/>
            <w:hideMark/>
          </w:tcPr>
          <w:p w14:paraId="6558C9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CFF0FC"/>
            <w:tcMar>
              <w:top w:w="15" w:type="dxa"/>
              <w:left w:w="0" w:type="dxa"/>
              <w:bottom w:w="0" w:type="dxa"/>
              <w:right w:w="15" w:type="dxa"/>
            </w:tcMar>
            <w:vAlign w:val="bottom"/>
            <w:hideMark/>
          </w:tcPr>
          <w:p w14:paraId="1A25389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0F79B1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242"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604C23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c>
          <w:tcPr>
            <w:tcW w:w="162" w:type="dxa"/>
            <w:shd w:val="clear" w:color="auto" w:fill="CFF0FC"/>
            <w:noWrap/>
            <w:tcMar>
              <w:top w:w="15" w:type="dxa"/>
              <w:left w:w="0" w:type="dxa"/>
              <w:bottom w:w="0" w:type="dxa"/>
              <w:right w:w="15" w:type="dxa"/>
            </w:tcMar>
            <w:vAlign w:val="bottom"/>
            <w:hideMark/>
          </w:tcPr>
          <w:p w14:paraId="0F9B15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CFF0FC"/>
            <w:tcMar>
              <w:top w:w="15" w:type="dxa"/>
              <w:left w:w="0" w:type="dxa"/>
              <w:bottom w:w="0" w:type="dxa"/>
              <w:right w:w="15" w:type="dxa"/>
            </w:tcMar>
            <w:vAlign w:val="bottom"/>
            <w:hideMark/>
          </w:tcPr>
          <w:p w14:paraId="4B8F6DC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873085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60"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5014C3E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tc>
        <w:tc>
          <w:tcPr>
            <w:tcW w:w="162" w:type="dxa"/>
            <w:shd w:val="clear" w:color="auto" w:fill="CFF0FC"/>
            <w:noWrap/>
            <w:tcMar>
              <w:top w:w="15" w:type="dxa"/>
              <w:left w:w="0" w:type="dxa"/>
              <w:bottom w:w="0" w:type="dxa"/>
              <w:right w:w="15" w:type="dxa"/>
            </w:tcMar>
            <w:vAlign w:val="bottom"/>
            <w:hideMark/>
          </w:tcPr>
          <w:p w14:paraId="47AC793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CFF0FC"/>
            <w:tcMar>
              <w:top w:w="15" w:type="dxa"/>
              <w:left w:w="0" w:type="dxa"/>
              <w:bottom w:w="0" w:type="dxa"/>
              <w:right w:w="15" w:type="dxa"/>
            </w:tcMar>
            <w:vAlign w:val="bottom"/>
            <w:hideMark/>
          </w:tcPr>
          <w:p w14:paraId="3EB410D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1CF6253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329" w:type="dxa"/>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14:paraId="29FDF85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w:t>
            </w:r>
          </w:p>
        </w:tc>
        <w:tc>
          <w:tcPr>
            <w:tcW w:w="162" w:type="dxa"/>
            <w:shd w:val="clear" w:color="auto" w:fill="CFF0FC"/>
            <w:noWrap/>
            <w:tcMar>
              <w:top w:w="15" w:type="dxa"/>
              <w:left w:w="0" w:type="dxa"/>
              <w:bottom w:w="0" w:type="dxa"/>
              <w:right w:w="15" w:type="dxa"/>
            </w:tcMar>
            <w:vAlign w:val="bottom"/>
            <w:hideMark/>
          </w:tcPr>
          <w:p w14:paraId="0F2DAB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6611868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tcBorders>
            <w:shd w:val="clear" w:color="auto" w:fill="CFF0FC"/>
            <w:noWrap/>
            <w:tcMar>
              <w:top w:w="15" w:type="dxa"/>
              <w:left w:w="0" w:type="dxa"/>
              <w:bottom w:w="0" w:type="dxa"/>
              <w:right w:w="15" w:type="dxa"/>
            </w:tcMar>
            <w:vAlign w:val="bottom"/>
            <w:hideMark/>
          </w:tcPr>
          <w:p w14:paraId="4963F0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tcBorders>
              <w:top w:val="double" w:sz="6" w:space="0" w:color="000000"/>
            </w:tcBorders>
            <w:shd w:val="clear" w:color="auto" w:fill="CFF0FC"/>
            <w:noWrap/>
            <w:tcMar>
              <w:top w:w="15" w:type="dxa"/>
              <w:left w:w="0" w:type="dxa"/>
              <w:bottom w:w="0" w:type="dxa"/>
              <w:right w:w="15" w:type="dxa"/>
            </w:tcMar>
            <w:vAlign w:val="bottom"/>
            <w:hideMark/>
          </w:tcPr>
          <w:p w14:paraId="1A1880B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2" w:type="dxa"/>
            <w:shd w:val="clear" w:color="auto" w:fill="CFF0FC"/>
            <w:noWrap/>
            <w:tcMar>
              <w:top w:w="15" w:type="dxa"/>
              <w:left w:w="0" w:type="dxa"/>
              <w:bottom w:w="0" w:type="dxa"/>
              <w:right w:w="15" w:type="dxa"/>
            </w:tcMar>
            <w:vAlign w:val="bottom"/>
            <w:hideMark/>
          </w:tcPr>
          <w:p w14:paraId="390EF3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CFF0FC"/>
            <w:tcMar>
              <w:top w:w="15" w:type="dxa"/>
              <w:left w:w="0" w:type="dxa"/>
              <w:bottom w:w="0" w:type="dxa"/>
              <w:right w:w="15" w:type="dxa"/>
            </w:tcMar>
            <w:vAlign w:val="bottom"/>
            <w:hideMark/>
          </w:tcPr>
          <w:p w14:paraId="0DABDAF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tcBorders>
            <w:shd w:val="clear" w:color="auto" w:fill="CFF0FC"/>
            <w:noWrap/>
            <w:tcMar>
              <w:top w:w="15" w:type="dxa"/>
              <w:left w:w="0" w:type="dxa"/>
              <w:bottom w:w="0" w:type="dxa"/>
              <w:right w:w="15" w:type="dxa"/>
            </w:tcMar>
            <w:vAlign w:val="bottom"/>
            <w:hideMark/>
          </w:tcPr>
          <w:p w14:paraId="14FBE0E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8" w:type="dxa"/>
            <w:tcBorders>
              <w:top w:val="double" w:sz="6" w:space="0" w:color="000000"/>
            </w:tcBorders>
            <w:shd w:val="clear" w:color="auto" w:fill="CFF0FC"/>
            <w:noWrap/>
            <w:tcMar>
              <w:top w:w="15" w:type="dxa"/>
              <w:left w:w="0" w:type="dxa"/>
              <w:bottom w:w="0" w:type="dxa"/>
              <w:right w:w="15" w:type="dxa"/>
            </w:tcMar>
            <w:vAlign w:val="bottom"/>
            <w:hideMark/>
          </w:tcPr>
          <w:p w14:paraId="1DEF564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7" w:type="dxa"/>
            <w:shd w:val="clear" w:color="auto" w:fill="CFF0FC"/>
            <w:noWrap/>
            <w:tcMar>
              <w:top w:w="15" w:type="dxa"/>
              <w:left w:w="0" w:type="dxa"/>
              <w:bottom w:w="0" w:type="dxa"/>
              <w:right w:w="15" w:type="dxa"/>
            </w:tcMar>
            <w:vAlign w:val="bottom"/>
            <w:hideMark/>
          </w:tcPr>
          <w:p w14:paraId="01CDDEA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441F7DB" w14:textId="77777777" w:rsidTr="00141675">
        <w:tc>
          <w:tcPr>
            <w:tcW w:w="6735" w:type="dxa"/>
            <w:shd w:val="clear" w:color="auto" w:fill="FFFFFF"/>
            <w:tcMar>
              <w:top w:w="15" w:type="dxa"/>
              <w:left w:w="0" w:type="dxa"/>
              <w:bottom w:w="0" w:type="dxa"/>
              <w:right w:w="15" w:type="dxa"/>
            </w:tcMar>
            <w:hideMark/>
          </w:tcPr>
          <w:p w14:paraId="7634A402" w14:textId="77777777" w:rsidR="00141675" w:rsidRPr="00141675" w:rsidRDefault="00141675" w:rsidP="00141675">
            <w:pPr>
              <w:widowControl/>
              <w:ind w:left="684"/>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restructuring plans</w:t>
            </w:r>
          </w:p>
        </w:tc>
        <w:tc>
          <w:tcPr>
            <w:tcW w:w="208" w:type="dxa"/>
            <w:shd w:val="clear" w:color="auto" w:fill="FFFFFF"/>
            <w:tcMar>
              <w:top w:w="15" w:type="dxa"/>
              <w:left w:w="0" w:type="dxa"/>
              <w:bottom w:w="0" w:type="dxa"/>
              <w:right w:w="15" w:type="dxa"/>
            </w:tcMar>
            <w:vAlign w:val="bottom"/>
            <w:hideMark/>
          </w:tcPr>
          <w:p w14:paraId="5C84DB75"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FE405B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39"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9BC6B7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262</w:t>
            </w:r>
          </w:p>
        </w:tc>
        <w:tc>
          <w:tcPr>
            <w:tcW w:w="158" w:type="dxa"/>
            <w:shd w:val="clear" w:color="auto" w:fill="FFFFFF"/>
            <w:noWrap/>
            <w:tcMar>
              <w:top w:w="15" w:type="dxa"/>
              <w:left w:w="0" w:type="dxa"/>
              <w:bottom w:w="0" w:type="dxa"/>
              <w:right w:w="15" w:type="dxa"/>
            </w:tcMar>
            <w:vAlign w:val="bottom"/>
            <w:hideMark/>
          </w:tcPr>
          <w:p w14:paraId="6C7385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26D0A93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DF867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39"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DB47A2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132</w:t>
            </w:r>
          </w:p>
        </w:tc>
        <w:tc>
          <w:tcPr>
            <w:tcW w:w="158" w:type="dxa"/>
            <w:shd w:val="clear" w:color="auto" w:fill="FFFFFF"/>
            <w:noWrap/>
            <w:tcMar>
              <w:top w:w="15" w:type="dxa"/>
              <w:left w:w="0" w:type="dxa"/>
              <w:bottom w:w="0" w:type="dxa"/>
              <w:right w:w="15" w:type="dxa"/>
            </w:tcMar>
            <w:vAlign w:val="bottom"/>
            <w:hideMark/>
          </w:tcPr>
          <w:p w14:paraId="7FBFC6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7B2A02E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5BF24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43"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0F48DB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w:t>
            </w:r>
          </w:p>
        </w:tc>
        <w:tc>
          <w:tcPr>
            <w:tcW w:w="162" w:type="dxa"/>
            <w:shd w:val="clear" w:color="auto" w:fill="FFFFFF"/>
            <w:noWrap/>
            <w:tcMar>
              <w:top w:w="15" w:type="dxa"/>
              <w:left w:w="0" w:type="dxa"/>
              <w:bottom w:w="0" w:type="dxa"/>
              <w:right w:w="15" w:type="dxa"/>
            </w:tcMar>
            <w:vAlign w:val="bottom"/>
            <w:hideMark/>
          </w:tcPr>
          <w:p w14:paraId="20EC8D6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2DF8800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1556D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242"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354F297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(202</w:t>
            </w:r>
          </w:p>
        </w:tc>
        <w:tc>
          <w:tcPr>
            <w:tcW w:w="162" w:type="dxa"/>
            <w:shd w:val="clear" w:color="auto" w:fill="FFFFFF"/>
            <w:noWrap/>
            <w:tcMar>
              <w:top w:w="15" w:type="dxa"/>
              <w:left w:w="0" w:type="dxa"/>
              <w:bottom w:w="0" w:type="dxa"/>
              <w:right w:w="15" w:type="dxa"/>
            </w:tcMar>
            <w:vAlign w:val="bottom"/>
            <w:hideMark/>
          </w:tcPr>
          <w:p w14:paraId="38F6BC2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6C9D230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355648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60"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5DFDCC6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(60</w:t>
            </w:r>
          </w:p>
        </w:tc>
        <w:tc>
          <w:tcPr>
            <w:tcW w:w="162" w:type="dxa"/>
            <w:shd w:val="clear" w:color="auto" w:fill="FFFFFF"/>
            <w:noWrap/>
            <w:tcMar>
              <w:top w:w="15" w:type="dxa"/>
              <w:left w:w="0" w:type="dxa"/>
              <w:bottom w:w="0" w:type="dxa"/>
              <w:right w:w="15" w:type="dxa"/>
            </w:tcMar>
            <w:vAlign w:val="bottom"/>
            <w:hideMark/>
          </w:tcPr>
          <w:p w14:paraId="6C9885C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72" w:type="dxa"/>
            <w:shd w:val="clear" w:color="auto" w:fill="FFFFFF"/>
            <w:tcMar>
              <w:top w:w="15" w:type="dxa"/>
              <w:left w:w="0" w:type="dxa"/>
              <w:bottom w:w="0" w:type="dxa"/>
              <w:right w:w="15" w:type="dxa"/>
            </w:tcMar>
            <w:vAlign w:val="bottom"/>
            <w:hideMark/>
          </w:tcPr>
          <w:p w14:paraId="3252149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11EDB0B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329"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66A1229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120</w:t>
            </w:r>
          </w:p>
        </w:tc>
        <w:tc>
          <w:tcPr>
            <w:tcW w:w="162" w:type="dxa"/>
            <w:shd w:val="clear" w:color="auto" w:fill="FFFFFF"/>
            <w:noWrap/>
            <w:tcMar>
              <w:top w:w="15" w:type="dxa"/>
              <w:left w:w="0" w:type="dxa"/>
              <w:bottom w:w="0" w:type="dxa"/>
              <w:right w:w="15" w:type="dxa"/>
            </w:tcMar>
            <w:vAlign w:val="bottom"/>
            <w:hideMark/>
          </w:tcPr>
          <w:p w14:paraId="4EB9BB7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4659F40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03F2F5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3" w:type="dxa"/>
            <w:shd w:val="clear" w:color="auto" w:fill="FFFFFF"/>
            <w:noWrap/>
            <w:tcMar>
              <w:top w:w="15" w:type="dxa"/>
              <w:left w:w="0" w:type="dxa"/>
              <w:bottom w:w="0" w:type="dxa"/>
              <w:right w:w="15" w:type="dxa"/>
            </w:tcMar>
            <w:vAlign w:val="bottom"/>
            <w:hideMark/>
          </w:tcPr>
          <w:p w14:paraId="1ACF639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2" w:type="dxa"/>
            <w:shd w:val="clear" w:color="auto" w:fill="FFFFFF"/>
            <w:noWrap/>
            <w:tcMar>
              <w:top w:w="15" w:type="dxa"/>
              <w:left w:w="0" w:type="dxa"/>
              <w:bottom w:w="0" w:type="dxa"/>
              <w:right w:w="15" w:type="dxa"/>
            </w:tcMar>
            <w:vAlign w:val="bottom"/>
            <w:hideMark/>
          </w:tcPr>
          <w:p w14:paraId="212CBA8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72" w:type="dxa"/>
            <w:shd w:val="clear" w:color="auto" w:fill="FFFFFF"/>
            <w:tcMar>
              <w:top w:w="15" w:type="dxa"/>
              <w:left w:w="0" w:type="dxa"/>
              <w:bottom w:w="0" w:type="dxa"/>
              <w:right w:w="15" w:type="dxa"/>
            </w:tcMar>
            <w:vAlign w:val="bottom"/>
            <w:hideMark/>
          </w:tcPr>
          <w:p w14:paraId="4BFC8DA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45" w:type="dxa"/>
            <w:shd w:val="clear" w:color="auto" w:fill="FFFFFF"/>
            <w:noWrap/>
            <w:tcMar>
              <w:top w:w="15" w:type="dxa"/>
              <w:left w:w="0" w:type="dxa"/>
              <w:bottom w:w="0" w:type="dxa"/>
              <w:right w:w="15" w:type="dxa"/>
            </w:tcMar>
            <w:vAlign w:val="bottom"/>
            <w:hideMark/>
          </w:tcPr>
          <w:p w14:paraId="32D2495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48" w:type="dxa"/>
            <w:shd w:val="clear" w:color="auto" w:fill="FFFFFF"/>
            <w:noWrap/>
            <w:tcMar>
              <w:top w:w="15" w:type="dxa"/>
              <w:left w:w="0" w:type="dxa"/>
              <w:bottom w:w="0" w:type="dxa"/>
              <w:right w:w="15" w:type="dxa"/>
            </w:tcMar>
            <w:vAlign w:val="bottom"/>
            <w:hideMark/>
          </w:tcPr>
          <w:p w14:paraId="4855092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7" w:type="dxa"/>
            <w:shd w:val="clear" w:color="auto" w:fill="FFFFFF"/>
            <w:noWrap/>
            <w:tcMar>
              <w:top w:w="15" w:type="dxa"/>
              <w:left w:w="0" w:type="dxa"/>
              <w:bottom w:w="0" w:type="dxa"/>
              <w:right w:w="15" w:type="dxa"/>
            </w:tcMar>
            <w:vAlign w:val="bottom"/>
            <w:hideMark/>
          </w:tcPr>
          <w:p w14:paraId="014D79B0"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41CE58C3" w14:textId="77777777" w:rsidR="00141675" w:rsidRPr="00141675" w:rsidRDefault="00141675" w:rsidP="00141675">
      <w:pPr>
        <w:widowControl/>
        <w:pBdr>
          <w:bottom w:val="single" w:sz="6" w:space="1" w:color="auto"/>
        </w:pBdr>
        <w:ind w:right="18324"/>
        <w:rPr>
          <w:rFonts w:ascii="Times New Roman" w:eastAsia="宋体" w:hAnsi="Times New Roman" w:cs="Times New Roman"/>
          <w:kern w:val="0"/>
          <w:sz w:val="8"/>
          <w:szCs w:val="8"/>
        </w:rPr>
      </w:pPr>
      <w:r w:rsidRPr="00141675">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543CF4F8" w14:textId="77777777" w:rsidTr="00141675">
        <w:tc>
          <w:tcPr>
            <w:tcW w:w="794" w:type="dxa"/>
            <w:noWrap/>
            <w:hideMark/>
          </w:tcPr>
          <w:p w14:paraId="24300BC4"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624034F8"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Restructuring costs recorded for individual line items primarily related to employee severance costs.</w:t>
            </w:r>
          </w:p>
        </w:tc>
      </w:tr>
      <w:tr w:rsidR="00141675" w:rsidRPr="00141675" w14:paraId="2C6BFE8D" w14:textId="77777777" w:rsidTr="00141675">
        <w:tc>
          <w:tcPr>
            <w:tcW w:w="794" w:type="dxa"/>
            <w:noWrap/>
            <w:hideMark/>
          </w:tcPr>
          <w:p w14:paraId="418EB6FE"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lastRenderedPageBreak/>
              <w:t>(2)</w:t>
            </w:r>
          </w:p>
        </w:tc>
        <w:tc>
          <w:tcPr>
            <w:tcW w:w="0" w:type="auto"/>
            <w:hideMark/>
          </w:tcPr>
          <w:p w14:paraId="1B0F1381"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The balances at November 30, 2019 and May 31, 2019 included $119 million and $239 million, respectively, recorded in other current liabilities, and $1 million and $23 million, respectively, recorded in other non-current liabilities.</w:t>
            </w:r>
          </w:p>
        </w:tc>
      </w:tr>
    </w:tbl>
    <w:p w14:paraId="46113406" w14:textId="77777777" w:rsidR="00141675" w:rsidRPr="00141675" w:rsidRDefault="00141675" w:rsidP="00141675">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51A97DA1" w14:textId="77777777" w:rsidTr="00141675">
        <w:tc>
          <w:tcPr>
            <w:tcW w:w="794" w:type="dxa"/>
            <w:noWrap/>
            <w:hideMark/>
          </w:tcPr>
          <w:p w14:paraId="1D05AAFD"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(3)</w:t>
            </w:r>
          </w:p>
        </w:tc>
        <w:tc>
          <w:tcPr>
            <w:tcW w:w="0" w:type="auto"/>
            <w:hideMark/>
          </w:tcPr>
          <w:p w14:paraId="7D7D7975"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Costs recorded for the respective restructuring plans during the current period presented.</w:t>
            </w:r>
          </w:p>
        </w:tc>
      </w:tr>
      <w:tr w:rsidR="00141675" w:rsidRPr="00141675" w14:paraId="4A219BDD" w14:textId="77777777" w:rsidTr="00141675">
        <w:tc>
          <w:tcPr>
            <w:tcW w:w="794" w:type="dxa"/>
            <w:noWrap/>
            <w:hideMark/>
          </w:tcPr>
          <w:p w14:paraId="6E457AB4"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(4)</w:t>
            </w:r>
          </w:p>
        </w:tc>
        <w:tc>
          <w:tcPr>
            <w:tcW w:w="0" w:type="auto"/>
            <w:hideMark/>
          </w:tcPr>
          <w:p w14:paraId="7A8136D6"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All plan adjustments were changes in estimates whereby increases and decreases in costs were generally recorded to operating expenses in the period of adjustments.</w:t>
            </w:r>
          </w:p>
        </w:tc>
      </w:tr>
    </w:tbl>
    <w:p w14:paraId="06654B53" w14:textId="77777777" w:rsidR="00141675" w:rsidRPr="00141675" w:rsidRDefault="00141675" w:rsidP="00141675">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6DCA2AA7" w14:textId="77777777" w:rsidTr="00141675">
        <w:tc>
          <w:tcPr>
            <w:tcW w:w="794" w:type="dxa"/>
            <w:noWrap/>
            <w:hideMark/>
          </w:tcPr>
          <w:p w14:paraId="7707610D"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(5)</w:t>
            </w:r>
          </w:p>
        </w:tc>
        <w:tc>
          <w:tcPr>
            <w:tcW w:w="0" w:type="auto"/>
            <w:hideMark/>
          </w:tcPr>
          <w:p w14:paraId="71232EE0"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Represents foreign currency translation adjustments and certain other adjustments including those related to our adoption of Topic 842 as of June 1, 2019.</w:t>
            </w:r>
          </w:p>
        </w:tc>
      </w:tr>
      <w:tr w:rsidR="00141675" w:rsidRPr="00141675" w14:paraId="67409D0F" w14:textId="77777777" w:rsidTr="00141675">
        <w:tc>
          <w:tcPr>
            <w:tcW w:w="794" w:type="dxa"/>
            <w:noWrap/>
            <w:hideMark/>
          </w:tcPr>
          <w:p w14:paraId="7FD33C6E"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(6)</w:t>
            </w:r>
          </w:p>
        </w:tc>
        <w:tc>
          <w:tcPr>
            <w:tcW w:w="0" w:type="auto"/>
            <w:hideMark/>
          </w:tcPr>
          <w:p w14:paraId="65C23A39" w14:textId="77777777" w:rsidR="00141675" w:rsidRPr="00141675" w:rsidRDefault="00141675" w:rsidP="00141675">
            <w:pPr>
              <w:widowControl/>
              <w:spacing w:before="40"/>
              <w:rPr>
                <w:rFonts w:ascii="Times New Roman" w:eastAsia="宋体" w:hAnsi="Times New Roman" w:cs="Times New Roman"/>
                <w:kern w:val="0"/>
                <w:sz w:val="20"/>
                <w:szCs w:val="20"/>
              </w:rPr>
            </w:pPr>
            <w:r w:rsidRPr="00141675">
              <w:rPr>
                <w:rFonts w:ascii="Calibri" w:eastAsia="宋体" w:hAnsi="Calibri" w:cs="Calibri"/>
                <w:kern w:val="0"/>
                <w:sz w:val="15"/>
                <w:szCs w:val="15"/>
              </w:rPr>
              <w:t>Represents employee related severance costs for functions that are not included within our operating segments and certain other restructuring costs.</w:t>
            </w:r>
          </w:p>
        </w:tc>
      </w:tr>
    </w:tbl>
    <w:p w14:paraId="34D6280F" w14:textId="77777777" w:rsidR="00141675" w:rsidRPr="00141675" w:rsidRDefault="00141675" w:rsidP="00141675">
      <w:pPr>
        <w:widowControl/>
        <w:jc w:val="left"/>
        <w:rPr>
          <w:rFonts w:ascii="宋体" w:eastAsia="宋体" w:hAnsi="宋体" w:cs="宋体"/>
          <w:vanish/>
          <w:kern w:val="0"/>
          <w:sz w:val="24"/>
          <w:szCs w:val="24"/>
        </w:rPr>
      </w:pP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6217D6A8" w14:textId="77777777" w:rsidTr="00141675">
        <w:tc>
          <w:tcPr>
            <w:tcW w:w="794" w:type="dxa"/>
            <w:noWrap/>
            <w:hideMark/>
          </w:tcPr>
          <w:p w14:paraId="16CB9899"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(7)</w:t>
            </w:r>
          </w:p>
        </w:tc>
        <w:tc>
          <w:tcPr>
            <w:tcW w:w="0" w:type="auto"/>
            <w:hideMark/>
          </w:tcPr>
          <w:p w14:paraId="1BA9F48F"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Other restructuring plans presented in the table above included condensed information for other Oracle based plans and other plans associated with certain of our acquisitions whereby we continued to make cash outlays to settle obligations under these plans during the period presented but for which the periodic impact to our condensed consolidated statements of operations was not significant.</w:t>
            </w:r>
          </w:p>
        </w:tc>
      </w:tr>
    </w:tbl>
    <w:p w14:paraId="4792DA86" w14:textId="77777777" w:rsidR="00141675" w:rsidRPr="00141675" w:rsidRDefault="00141675" w:rsidP="00141675">
      <w:pPr>
        <w:widowControl/>
        <w:rPr>
          <w:rFonts w:ascii="宋体" w:eastAsia="宋体" w:hAnsi="宋体" w:cs="宋体"/>
          <w:kern w:val="0"/>
          <w:sz w:val="12"/>
          <w:szCs w:val="12"/>
        </w:rPr>
      </w:pPr>
      <w:r w:rsidRPr="00141675">
        <w:rPr>
          <w:rFonts w:ascii="宋体" w:eastAsia="宋体" w:hAnsi="宋体" w:cs="宋体"/>
          <w:kern w:val="0"/>
          <w:sz w:val="12"/>
          <w:szCs w:val="12"/>
        </w:rPr>
        <w:t> </w:t>
      </w:r>
    </w:p>
    <w:p w14:paraId="67D62B4E"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1E484D5E" w14:textId="77777777" w:rsidR="00141675" w:rsidRPr="00141675" w:rsidRDefault="00141675" w:rsidP="00141675">
      <w:pPr>
        <w:widowControl/>
        <w:spacing w:before="240"/>
        <w:jc w:val="center"/>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t>14</w:t>
      </w:r>
    </w:p>
    <w:p w14:paraId="56CCD68E"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09DC9791">
          <v:rect id="_x0000_i1040" style="width:0;height:1.5pt" o:hralign="center" o:hrstd="t" o:hrnoshade="t" o:hr="t" fillcolor="black" stroked="f"/>
        </w:pict>
      </w:r>
    </w:p>
    <w:p w14:paraId="0B4FE366" w14:textId="77777777" w:rsidR="00141675" w:rsidRPr="00141675" w:rsidRDefault="00141675" w:rsidP="00141675">
      <w:pPr>
        <w:widowControl/>
        <w:jc w:val="left"/>
        <w:rPr>
          <w:rFonts w:ascii="Calibri" w:eastAsia="宋体" w:hAnsi="Calibri" w:cs="Calibri"/>
          <w:b/>
          <w:bCs/>
          <w:color w:val="000000"/>
          <w:kern w:val="0"/>
          <w:sz w:val="20"/>
          <w:szCs w:val="20"/>
        </w:rPr>
      </w:pPr>
      <w:hyperlink r:id="rId37" w:anchor="TABLE_CONTENTS" w:history="1">
        <w:r w:rsidRPr="00141675">
          <w:rPr>
            <w:rFonts w:ascii="Calibri" w:eastAsia="宋体" w:hAnsi="Calibri" w:cs="Calibri"/>
            <w:b/>
            <w:bCs/>
            <w:color w:val="0000FF"/>
            <w:kern w:val="0"/>
            <w:sz w:val="20"/>
            <w:szCs w:val="20"/>
            <w:u w:val="single"/>
          </w:rPr>
          <w:t>Table of Contents</w:t>
        </w:r>
      </w:hyperlink>
    </w:p>
    <w:p w14:paraId="12D3836B"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57655EA9"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66ED5B79"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3ADB283E"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04A3B2F6"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17153214"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7DB77A17" w14:textId="77777777" w:rsidTr="00141675">
        <w:tc>
          <w:tcPr>
            <w:tcW w:w="1080" w:type="dxa"/>
            <w:noWrap/>
            <w:hideMark/>
          </w:tcPr>
          <w:p w14:paraId="232EF146"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6.</w:t>
            </w:r>
          </w:p>
        </w:tc>
        <w:tc>
          <w:tcPr>
            <w:tcW w:w="0" w:type="auto"/>
            <w:hideMark/>
          </w:tcPr>
          <w:p w14:paraId="5AEAD342"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DEFERRED REVENUES</w:t>
            </w:r>
          </w:p>
        </w:tc>
      </w:tr>
    </w:tbl>
    <w:p w14:paraId="02D3D2E0"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Deferred revenues consisted of the following:</w:t>
      </w:r>
    </w:p>
    <w:p w14:paraId="134D7B13"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bl>
      <w:tblPr>
        <w:tblW w:w="20614" w:type="dxa"/>
        <w:tblCellMar>
          <w:left w:w="0" w:type="dxa"/>
          <w:right w:w="0" w:type="dxa"/>
        </w:tblCellMar>
        <w:tblLook w:val="04A0" w:firstRow="1" w:lastRow="0" w:firstColumn="1" w:lastColumn="0" w:noHBand="0" w:noVBand="1"/>
      </w:tblPr>
      <w:tblGrid>
        <w:gridCol w:w="13841"/>
        <w:gridCol w:w="320"/>
        <w:gridCol w:w="200"/>
        <w:gridCol w:w="2666"/>
        <w:gridCol w:w="200"/>
        <w:gridCol w:w="320"/>
        <w:gridCol w:w="200"/>
        <w:gridCol w:w="2666"/>
        <w:gridCol w:w="201"/>
      </w:tblGrid>
      <w:tr w:rsidR="00141675" w:rsidRPr="00141675" w14:paraId="57EF9A90" w14:textId="77777777" w:rsidTr="00141675">
        <w:tc>
          <w:tcPr>
            <w:tcW w:w="13793" w:type="dxa"/>
            <w:tcBorders>
              <w:bottom w:val="single" w:sz="6" w:space="0" w:color="000000"/>
            </w:tcBorders>
            <w:shd w:val="clear" w:color="auto" w:fill="FFFFFF"/>
            <w:tcMar>
              <w:top w:w="15" w:type="dxa"/>
              <w:left w:w="0" w:type="dxa"/>
              <w:bottom w:w="0" w:type="dxa"/>
              <w:right w:w="15" w:type="dxa"/>
            </w:tcMar>
            <w:vAlign w:val="bottom"/>
            <w:hideMark/>
          </w:tcPr>
          <w:p w14:paraId="1E77350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319" w:type="dxa"/>
            <w:shd w:val="clear" w:color="auto" w:fill="FFFFFF"/>
            <w:tcMar>
              <w:top w:w="15" w:type="dxa"/>
              <w:left w:w="0" w:type="dxa"/>
              <w:bottom w:w="0" w:type="dxa"/>
              <w:right w:w="15" w:type="dxa"/>
            </w:tcMar>
            <w:vAlign w:val="bottom"/>
            <w:hideMark/>
          </w:tcPr>
          <w:p w14:paraId="5E398BE7"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2848" w:type="dxa"/>
            <w:gridSpan w:val="2"/>
            <w:tcBorders>
              <w:bottom w:val="single" w:sz="6" w:space="0" w:color="000000"/>
            </w:tcBorders>
            <w:shd w:val="clear" w:color="auto" w:fill="FFFFFF"/>
            <w:tcMar>
              <w:top w:w="15" w:type="dxa"/>
              <w:left w:w="0" w:type="dxa"/>
              <w:bottom w:w="0" w:type="dxa"/>
              <w:right w:w="15" w:type="dxa"/>
            </w:tcMar>
            <w:vAlign w:val="bottom"/>
            <w:hideMark/>
          </w:tcPr>
          <w:p w14:paraId="60B9189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p w14:paraId="37F287B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E4C7BC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9" w:type="dxa"/>
            <w:shd w:val="clear" w:color="auto" w:fill="FFFFFF"/>
            <w:tcMar>
              <w:top w:w="15" w:type="dxa"/>
              <w:left w:w="0" w:type="dxa"/>
              <w:bottom w:w="0" w:type="dxa"/>
              <w:right w:w="15" w:type="dxa"/>
            </w:tcMar>
            <w:vAlign w:val="bottom"/>
            <w:hideMark/>
          </w:tcPr>
          <w:p w14:paraId="0735390B"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2848" w:type="dxa"/>
            <w:gridSpan w:val="2"/>
            <w:tcBorders>
              <w:bottom w:val="single" w:sz="6" w:space="0" w:color="000000"/>
            </w:tcBorders>
            <w:shd w:val="clear" w:color="auto" w:fill="FFFFFF"/>
            <w:tcMar>
              <w:top w:w="15" w:type="dxa"/>
              <w:left w:w="0" w:type="dxa"/>
              <w:bottom w:w="0" w:type="dxa"/>
              <w:right w:w="15" w:type="dxa"/>
            </w:tcMar>
            <w:vAlign w:val="bottom"/>
            <w:hideMark/>
          </w:tcPr>
          <w:p w14:paraId="1FDA13D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May 31,</w:t>
            </w:r>
          </w:p>
          <w:p w14:paraId="0C39005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01CE070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0B7E98F" w14:textId="77777777" w:rsidTr="00141675">
        <w:tc>
          <w:tcPr>
            <w:tcW w:w="13793" w:type="dxa"/>
            <w:tcBorders>
              <w:top w:val="single" w:sz="6" w:space="0" w:color="000000"/>
            </w:tcBorders>
            <w:shd w:val="clear" w:color="auto" w:fill="CFF0FC"/>
            <w:tcMar>
              <w:top w:w="15" w:type="dxa"/>
              <w:left w:w="0" w:type="dxa"/>
              <w:bottom w:w="0" w:type="dxa"/>
              <w:right w:w="15" w:type="dxa"/>
            </w:tcMar>
            <w:hideMark/>
          </w:tcPr>
          <w:p w14:paraId="1E09610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services and license support</w:t>
            </w:r>
          </w:p>
        </w:tc>
        <w:tc>
          <w:tcPr>
            <w:tcW w:w="319" w:type="dxa"/>
            <w:shd w:val="clear" w:color="auto" w:fill="CFF0FC"/>
            <w:tcMar>
              <w:top w:w="15" w:type="dxa"/>
              <w:left w:w="0" w:type="dxa"/>
              <w:bottom w:w="0" w:type="dxa"/>
              <w:right w:w="15" w:type="dxa"/>
            </w:tcMar>
            <w:vAlign w:val="bottom"/>
            <w:hideMark/>
          </w:tcPr>
          <w:p w14:paraId="68DD1F4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60645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642" w:type="dxa"/>
            <w:tcBorders>
              <w:top w:val="single" w:sz="6" w:space="0" w:color="000000"/>
            </w:tcBorders>
            <w:shd w:val="clear" w:color="auto" w:fill="CFF0FC"/>
            <w:noWrap/>
            <w:tcMar>
              <w:top w:w="15" w:type="dxa"/>
              <w:left w:w="0" w:type="dxa"/>
              <w:bottom w:w="0" w:type="dxa"/>
              <w:right w:w="15" w:type="dxa"/>
            </w:tcMar>
            <w:vAlign w:val="bottom"/>
            <w:hideMark/>
          </w:tcPr>
          <w:p w14:paraId="39A4533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7,126</w:t>
            </w:r>
          </w:p>
        </w:tc>
        <w:tc>
          <w:tcPr>
            <w:tcW w:w="191" w:type="dxa"/>
            <w:shd w:val="clear" w:color="auto" w:fill="CFF0FC"/>
            <w:noWrap/>
            <w:tcMar>
              <w:top w:w="15" w:type="dxa"/>
              <w:left w:w="0" w:type="dxa"/>
              <w:bottom w:w="0" w:type="dxa"/>
              <w:right w:w="15" w:type="dxa"/>
            </w:tcMar>
            <w:vAlign w:val="bottom"/>
            <w:hideMark/>
          </w:tcPr>
          <w:p w14:paraId="7019C63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27D6064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8BB5A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642" w:type="dxa"/>
            <w:tcBorders>
              <w:top w:val="single" w:sz="6" w:space="0" w:color="000000"/>
            </w:tcBorders>
            <w:shd w:val="clear" w:color="auto" w:fill="CFF0FC"/>
            <w:noWrap/>
            <w:tcMar>
              <w:top w:w="15" w:type="dxa"/>
              <w:left w:w="0" w:type="dxa"/>
              <w:bottom w:w="0" w:type="dxa"/>
              <w:right w:w="15" w:type="dxa"/>
            </w:tcMar>
            <w:vAlign w:val="bottom"/>
            <w:hideMark/>
          </w:tcPr>
          <w:p w14:paraId="268283F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7,340</w:t>
            </w:r>
          </w:p>
        </w:tc>
        <w:tc>
          <w:tcPr>
            <w:tcW w:w="192" w:type="dxa"/>
            <w:shd w:val="clear" w:color="auto" w:fill="CFF0FC"/>
            <w:noWrap/>
            <w:tcMar>
              <w:top w:w="15" w:type="dxa"/>
              <w:left w:w="0" w:type="dxa"/>
              <w:bottom w:w="0" w:type="dxa"/>
              <w:right w:w="15" w:type="dxa"/>
            </w:tcMar>
            <w:vAlign w:val="bottom"/>
            <w:hideMark/>
          </w:tcPr>
          <w:p w14:paraId="780DB3C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522A71E" w14:textId="77777777" w:rsidTr="00141675">
        <w:tc>
          <w:tcPr>
            <w:tcW w:w="13793" w:type="dxa"/>
            <w:shd w:val="clear" w:color="auto" w:fill="FFFFFF"/>
            <w:tcMar>
              <w:top w:w="15" w:type="dxa"/>
              <w:left w:w="0" w:type="dxa"/>
              <w:bottom w:w="0" w:type="dxa"/>
              <w:right w:w="15" w:type="dxa"/>
            </w:tcMar>
            <w:hideMark/>
          </w:tcPr>
          <w:p w14:paraId="6A87F9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Hardware</w:t>
            </w:r>
          </w:p>
        </w:tc>
        <w:tc>
          <w:tcPr>
            <w:tcW w:w="319" w:type="dxa"/>
            <w:shd w:val="clear" w:color="auto" w:fill="FFFFFF"/>
            <w:tcMar>
              <w:top w:w="15" w:type="dxa"/>
              <w:left w:w="0" w:type="dxa"/>
              <w:bottom w:w="0" w:type="dxa"/>
              <w:right w:w="15" w:type="dxa"/>
            </w:tcMar>
            <w:vAlign w:val="bottom"/>
            <w:hideMark/>
          </w:tcPr>
          <w:p w14:paraId="7D76BD5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F4A171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shd w:val="clear" w:color="auto" w:fill="FFFFFF"/>
            <w:noWrap/>
            <w:tcMar>
              <w:top w:w="15" w:type="dxa"/>
              <w:left w:w="0" w:type="dxa"/>
              <w:bottom w:w="0" w:type="dxa"/>
              <w:right w:w="15" w:type="dxa"/>
            </w:tcMar>
            <w:vAlign w:val="bottom"/>
            <w:hideMark/>
          </w:tcPr>
          <w:p w14:paraId="68654DA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585</w:t>
            </w:r>
          </w:p>
        </w:tc>
        <w:tc>
          <w:tcPr>
            <w:tcW w:w="191" w:type="dxa"/>
            <w:shd w:val="clear" w:color="auto" w:fill="FFFFFF"/>
            <w:noWrap/>
            <w:tcMar>
              <w:top w:w="15" w:type="dxa"/>
              <w:left w:w="0" w:type="dxa"/>
              <w:bottom w:w="0" w:type="dxa"/>
              <w:right w:w="15" w:type="dxa"/>
            </w:tcMar>
            <w:vAlign w:val="bottom"/>
            <w:hideMark/>
          </w:tcPr>
          <w:p w14:paraId="11621B7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7BC4D62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959B22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shd w:val="clear" w:color="auto" w:fill="FFFFFF"/>
            <w:noWrap/>
            <w:tcMar>
              <w:top w:w="15" w:type="dxa"/>
              <w:left w:w="0" w:type="dxa"/>
              <w:bottom w:w="0" w:type="dxa"/>
              <w:right w:w="15" w:type="dxa"/>
            </w:tcMar>
            <w:vAlign w:val="bottom"/>
            <w:hideMark/>
          </w:tcPr>
          <w:p w14:paraId="1113429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635</w:t>
            </w:r>
          </w:p>
        </w:tc>
        <w:tc>
          <w:tcPr>
            <w:tcW w:w="192" w:type="dxa"/>
            <w:shd w:val="clear" w:color="auto" w:fill="FFFFFF"/>
            <w:noWrap/>
            <w:tcMar>
              <w:top w:w="15" w:type="dxa"/>
              <w:left w:w="0" w:type="dxa"/>
              <w:bottom w:w="0" w:type="dxa"/>
              <w:right w:w="15" w:type="dxa"/>
            </w:tcMar>
            <w:vAlign w:val="bottom"/>
            <w:hideMark/>
          </w:tcPr>
          <w:p w14:paraId="2AEDF0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709B71B" w14:textId="77777777" w:rsidTr="00141675">
        <w:tc>
          <w:tcPr>
            <w:tcW w:w="13793" w:type="dxa"/>
            <w:shd w:val="clear" w:color="auto" w:fill="CFF0FC"/>
            <w:tcMar>
              <w:top w:w="15" w:type="dxa"/>
              <w:left w:w="0" w:type="dxa"/>
              <w:bottom w:w="0" w:type="dxa"/>
              <w:right w:w="15" w:type="dxa"/>
            </w:tcMar>
            <w:hideMark/>
          </w:tcPr>
          <w:p w14:paraId="1D71DE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Services</w:t>
            </w:r>
          </w:p>
        </w:tc>
        <w:tc>
          <w:tcPr>
            <w:tcW w:w="319" w:type="dxa"/>
            <w:shd w:val="clear" w:color="auto" w:fill="CFF0FC"/>
            <w:tcMar>
              <w:top w:w="15" w:type="dxa"/>
              <w:left w:w="0" w:type="dxa"/>
              <w:bottom w:w="0" w:type="dxa"/>
              <w:right w:w="15" w:type="dxa"/>
            </w:tcMar>
            <w:vAlign w:val="bottom"/>
            <w:hideMark/>
          </w:tcPr>
          <w:p w14:paraId="34605C6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FC4F64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shd w:val="clear" w:color="auto" w:fill="CFF0FC"/>
            <w:noWrap/>
            <w:tcMar>
              <w:top w:w="15" w:type="dxa"/>
              <w:left w:w="0" w:type="dxa"/>
              <w:bottom w:w="0" w:type="dxa"/>
              <w:right w:w="15" w:type="dxa"/>
            </w:tcMar>
            <w:vAlign w:val="bottom"/>
            <w:hideMark/>
          </w:tcPr>
          <w:p w14:paraId="7228604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327</w:t>
            </w:r>
          </w:p>
        </w:tc>
        <w:tc>
          <w:tcPr>
            <w:tcW w:w="191" w:type="dxa"/>
            <w:shd w:val="clear" w:color="auto" w:fill="CFF0FC"/>
            <w:noWrap/>
            <w:tcMar>
              <w:top w:w="15" w:type="dxa"/>
              <w:left w:w="0" w:type="dxa"/>
              <w:bottom w:w="0" w:type="dxa"/>
              <w:right w:w="15" w:type="dxa"/>
            </w:tcMar>
            <w:vAlign w:val="bottom"/>
            <w:hideMark/>
          </w:tcPr>
          <w:p w14:paraId="12033C7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2133A0F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4B3B1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shd w:val="clear" w:color="auto" w:fill="CFF0FC"/>
            <w:noWrap/>
            <w:tcMar>
              <w:top w:w="15" w:type="dxa"/>
              <w:left w:w="0" w:type="dxa"/>
              <w:bottom w:w="0" w:type="dxa"/>
              <w:right w:w="15" w:type="dxa"/>
            </w:tcMar>
            <w:vAlign w:val="bottom"/>
            <w:hideMark/>
          </w:tcPr>
          <w:p w14:paraId="0CB7C4B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360</w:t>
            </w:r>
          </w:p>
        </w:tc>
        <w:tc>
          <w:tcPr>
            <w:tcW w:w="192" w:type="dxa"/>
            <w:shd w:val="clear" w:color="auto" w:fill="CFF0FC"/>
            <w:noWrap/>
            <w:tcMar>
              <w:top w:w="15" w:type="dxa"/>
              <w:left w:w="0" w:type="dxa"/>
              <w:bottom w:w="0" w:type="dxa"/>
              <w:right w:w="15" w:type="dxa"/>
            </w:tcMar>
            <w:vAlign w:val="bottom"/>
            <w:hideMark/>
          </w:tcPr>
          <w:p w14:paraId="0101398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DDED42F" w14:textId="77777777" w:rsidTr="00141675">
        <w:tc>
          <w:tcPr>
            <w:tcW w:w="13793" w:type="dxa"/>
            <w:shd w:val="clear" w:color="auto" w:fill="FFFFFF"/>
            <w:tcMar>
              <w:top w:w="15" w:type="dxa"/>
              <w:left w:w="0" w:type="dxa"/>
              <w:bottom w:w="0" w:type="dxa"/>
              <w:right w:w="15" w:type="dxa"/>
            </w:tcMar>
            <w:hideMark/>
          </w:tcPr>
          <w:p w14:paraId="3AC25B5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license and on-premise license</w:t>
            </w:r>
          </w:p>
        </w:tc>
        <w:tc>
          <w:tcPr>
            <w:tcW w:w="319" w:type="dxa"/>
            <w:shd w:val="clear" w:color="auto" w:fill="FFFFFF"/>
            <w:tcMar>
              <w:top w:w="15" w:type="dxa"/>
              <w:left w:w="0" w:type="dxa"/>
              <w:bottom w:w="0" w:type="dxa"/>
              <w:right w:w="15" w:type="dxa"/>
            </w:tcMar>
            <w:vAlign w:val="bottom"/>
            <w:hideMark/>
          </w:tcPr>
          <w:p w14:paraId="4D3686A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FD8DB2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tcBorders>
              <w:bottom w:val="single" w:sz="6" w:space="0" w:color="000000"/>
            </w:tcBorders>
            <w:shd w:val="clear" w:color="auto" w:fill="FFFFFF"/>
            <w:noWrap/>
            <w:tcMar>
              <w:top w:w="15" w:type="dxa"/>
              <w:left w:w="0" w:type="dxa"/>
              <w:bottom w:w="0" w:type="dxa"/>
              <w:right w:w="15" w:type="dxa"/>
            </w:tcMar>
            <w:vAlign w:val="bottom"/>
            <w:hideMark/>
          </w:tcPr>
          <w:p w14:paraId="7D5C7E9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49</w:t>
            </w:r>
          </w:p>
        </w:tc>
        <w:tc>
          <w:tcPr>
            <w:tcW w:w="191" w:type="dxa"/>
            <w:shd w:val="clear" w:color="auto" w:fill="FFFFFF"/>
            <w:noWrap/>
            <w:tcMar>
              <w:top w:w="15" w:type="dxa"/>
              <w:left w:w="0" w:type="dxa"/>
              <w:bottom w:w="0" w:type="dxa"/>
              <w:right w:w="15" w:type="dxa"/>
            </w:tcMar>
            <w:vAlign w:val="bottom"/>
            <w:hideMark/>
          </w:tcPr>
          <w:p w14:paraId="6071911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7FD8139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F7397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tcBorders>
              <w:bottom w:val="single" w:sz="6" w:space="0" w:color="000000"/>
            </w:tcBorders>
            <w:shd w:val="clear" w:color="auto" w:fill="FFFFFF"/>
            <w:noWrap/>
            <w:tcMar>
              <w:top w:w="15" w:type="dxa"/>
              <w:left w:w="0" w:type="dxa"/>
              <w:bottom w:w="0" w:type="dxa"/>
              <w:right w:w="15" w:type="dxa"/>
            </w:tcMar>
            <w:vAlign w:val="bottom"/>
            <w:hideMark/>
          </w:tcPr>
          <w:p w14:paraId="3080B8C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w:t>
            </w:r>
          </w:p>
        </w:tc>
        <w:tc>
          <w:tcPr>
            <w:tcW w:w="192" w:type="dxa"/>
            <w:shd w:val="clear" w:color="auto" w:fill="FFFFFF"/>
            <w:noWrap/>
            <w:tcMar>
              <w:top w:w="15" w:type="dxa"/>
              <w:left w:w="0" w:type="dxa"/>
              <w:bottom w:w="0" w:type="dxa"/>
              <w:right w:w="15" w:type="dxa"/>
            </w:tcMar>
            <w:vAlign w:val="bottom"/>
            <w:hideMark/>
          </w:tcPr>
          <w:p w14:paraId="553E30B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DDD48DC" w14:textId="77777777" w:rsidTr="00141675">
        <w:tc>
          <w:tcPr>
            <w:tcW w:w="13793" w:type="dxa"/>
            <w:shd w:val="clear" w:color="auto" w:fill="CFF0FC"/>
            <w:tcMar>
              <w:top w:w="15" w:type="dxa"/>
              <w:left w:w="0" w:type="dxa"/>
              <w:bottom w:w="0" w:type="dxa"/>
              <w:right w:w="15" w:type="dxa"/>
            </w:tcMar>
            <w:hideMark/>
          </w:tcPr>
          <w:p w14:paraId="787EFFC3"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Deferred revenues, current</w:t>
            </w:r>
          </w:p>
        </w:tc>
        <w:tc>
          <w:tcPr>
            <w:tcW w:w="319" w:type="dxa"/>
            <w:shd w:val="clear" w:color="auto" w:fill="CFF0FC"/>
            <w:tcMar>
              <w:top w:w="15" w:type="dxa"/>
              <w:left w:w="0" w:type="dxa"/>
              <w:bottom w:w="0" w:type="dxa"/>
              <w:right w:w="15" w:type="dxa"/>
            </w:tcMar>
            <w:vAlign w:val="bottom"/>
            <w:hideMark/>
          </w:tcPr>
          <w:p w14:paraId="3B26E33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DE857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tcBorders>
              <w:top w:val="single" w:sz="6" w:space="0" w:color="000000"/>
            </w:tcBorders>
            <w:shd w:val="clear" w:color="auto" w:fill="CFF0FC"/>
            <w:noWrap/>
            <w:tcMar>
              <w:top w:w="15" w:type="dxa"/>
              <w:left w:w="0" w:type="dxa"/>
              <w:bottom w:w="0" w:type="dxa"/>
              <w:right w:w="15" w:type="dxa"/>
            </w:tcMar>
            <w:vAlign w:val="bottom"/>
            <w:hideMark/>
          </w:tcPr>
          <w:p w14:paraId="356B05E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8,087</w:t>
            </w:r>
          </w:p>
        </w:tc>
        <w:tc>
          <w:tcPr>
            <w:tcW w:w="191" w:type="dxa"/>
            <w:shd w:val="clear" w:color="auto" w:fill="CFF0FC"/>
            <w:noWrap/>
            <w:tcMar>
              <w:top w:w="15" w:type="dxa"/>
              <w:left w:w="0" w:type="dxa"/>
              <w:bottom w:w="0" w:type="dxa"/>
              <w:right w:w="15" w:type="dxa"/>
            </w:tcMar>
            <w:vAlign w:val="bottom"/>
            <w:hideMark/>
          </w:tcPr>
          <w:p w14:paraId="65CD9D2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1C13744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161AD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tcBorders>
              <w:top w:val="single" w:sz="6" w:space="0" w:color="000000"/>
            </w:tcBorders>
            <w:shd w:val="clear" w:color="auto" w:fill="CFF0FC"/>
            <w:noWrap/>
            <w:tcMar>
              <w:top w:w="15" w:type="dxa"/>
              <w:left w:w="0" w:type="dxa"/>
              <w:bottom w:w="0" w:type="dxa"/>
              <w:right w:w="15" w:type="dxa"/>
            </w:tcMar>
            <w:vAlign w:val="bottom"/>
            <w:hideMark/>
          </w:tcPr>
          <w:p w14:paraId="0B4CC70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8,374</w:t>
            </w:r>
          </w:p>
        </w:tc>
        <w:tc>
          <w:tcPr>
            <w:tcW w:w="192" w:type="dxa"/>
            <w:shd w:val="clear" w:color="auto" w:fill="CFF0FC"/>
            <w:noWrap/>
            <w:tcMar>
              <w:top w:w="15" w:type="dxa"/>
              <w:left w:w="0" w:type="dxa"/>
              <w:bottom w:w="0" w:type="dxa"/>
              <w:right w:w="15" w:type="dxa"/>
            </w:tcMar>
            <w:vAlign w:val="bottom"/>
            <w:hideMark/>
          </w:tcPr>
          <w:p w14:paraId="1B7D381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8371E3A" w14:textId="77777777" w:rsidTr="00141675">
        <w:tc>
          <w:tcPr>
            <w:tcW w:w="13793" w:type="dxa"/>
            <w:shd w:val="clear" w:color="auto" w:fill="FFFFFF"/>
            <w:tcMar>
              <w:top w:w="15" w:type="dxa"/>
              <w:left w:w="0" w:type="dxa"/>
              <w:bottom w:w="0" w:type="dxa"/>
              <w:right w:w="15" w:type="dxa"/>
            </w:tcMar>
            <w:hideMark/>
          </w:tcPr>
          <w:p w14:paraId="1D40E17D"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Deferred revenues, non-current (in other non-current liabilities)</w:t>
            </w:r>
          </w:p>
        </w:tc>
        <w:tc>
          <w:tcPr>
            <w:tcW w:w="319" w:type="dxa"/>
            <w:shd w:val="clear" w:color="auto" w:fill="FFFFFF"/>
            <w:tcMar>
              <w:top w:w="15" w:type="dxa"/>
              <w:left w:w="0" w:type="dxa"/>
              <w:bottom w:w="0" w:type="dxa"/>
              <w:right w:w="15" w:type="dxa"/>
            </w:tcMar>
            <w:vAlign w:val="bottom"/>
            <w:hideMark/>
          </w:tcPr>
          <w:p w14:paraId="5D17296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C9C996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tcBorders>
              <w:bottom w:val="single" w:sz="6" w:space="0" w:color="000000"/>
            </w:tcBorders>
            <w:shd w:val="clear" w:color="auto" w:fill="FFFFFF"/>
            <w:noWrap/>
            <w:tcMar>
              <w:top w:w="15" w:type="dxa"/>
              <w:left w:w="0" w:type="dxa"/>
              <w:bottom w:w="0" w:type="dxa"/>
              <w:right w:w="15" w:type="dxa"/>
            </w:tcMar>
            <w:vAlign w:val="bottom"/>
            <w:hideMark/>
          </w:tcPr>
          <w:p w14:paraId="7EB5F2B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615</w:t>
            </w:r>
          </w:p>
        </w:tc>
        <w:tc>
          <w:tcPr>
            <w:tcW w:w="191" w:type="dxa"/>
            <w:shd w:val="clear" w:color="auto" w:fill="FFFFFF"/>
            <w:noWrap/>
            <w:tcMar>
              <w:top w:w="15" w:type="dxa"/>
              <w:left w:w="0" w:type="dxa"/>
              <w:bottom w:w="0" w:type="dxa"/>
              <w:right w:w="15" w:type="dxa"/>
            </w:tcMar>
            <w:vAlign w:val="bottom"/>
            <w:hideMark/>
          </w:tcPr>
          <w:p w14:paraId="252D185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9" w:type="dxa"/>
            <w:shd w:val="clear" w:color="auto" w:fill="FFFFFF"/>
            <w:tcMar>
              <w:top w:w="15" w:type="dxa"/>
              <w:left w:w="0" w:type="dxa"/>
              <w:bottom w:w="0" w:type="dxa"/>
              <w:right w:w="15" w:type="dxa"/>
            </w:tcMar>
            <w:vAlign w:val="bottom"/>
            <w:hideMark/>
          </w:tcPr>
          <w:p w14:paraId="4E0BB4E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2288A1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42" w:type="dxa"/>
            <w:tcBorders>
              <w:bottom w:val="single" w:sz="6" w:space="0" w:color="000000"/>
            </w:tcBorders>
            <w:shd w:val="clear" w:color="auto" w:fill="FFFFFF"/>
            <w:noWrap/>
            <w:tcMar>
              <w:top w:w="15" w:type="dxa"/>
              <w:left w:w="0" w:type="dxa"/>
              <w:bottom w:w="0" w:type="dxa"/>
              <w:right w:w="15" w:type="dxa"/>
            </w:tcMar>
            <w:vAlign w:val="bottom"/>
            <w:hideMark/>
          </w:tcPr>
          <w:p w14:paraId="5847663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669</w:t>
            </w:r>
          </w:p>
        </w:tc>
        <w:tc>
          <w:tcPr>
            <w:tcW w:w="192" w:type="dxa"/>
            <w:shd w:val="clear" w:color="auto" w:fill="FFFFFF"/>
            <w:noWrap/>
            <w:tcMar>
              <w:top w:w="15" w:type="dxa"/>
              <w:left w:w="0" w:type="dxa"/>
              <w:bottom w:w="0" w:type="dxa"/>
              <w:right w:w="15" w:type="dxa"/>
            </w:tcMar>
            <w:vAlign w:val="bottom"/>
            <w:hideMark/>
          </w:tcPr>
          <w:p w14:paraId="4628D9C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4DA21DC" w14:textId="77777777" w:rsidTr="00141675">
        <w:tc>
          <w:tcPr>
            <w:tcW w:w="13793" w:type="dxa"/>
            <w:shd w:val="clear" w:color="auto" w:fill="CFF0FC"/>
            <w:tcMar>
              <w:top w:w="15" w:type="dxa"/>
              <w:left w:w="0" w:type="dxa"/>
              <w:bottom w:w="0" w:type="dxa"/>
              <w:right w:w="15" w:type="dxa"/>
            </w:tcMar>
            <w:hideMark/>
          </w:tcPr>
          <w:p w14:paraId="658F71BB" w14:textId="77777777" w:rsidR="00141675" w:rsidRPr="00141675" w:rsidRDefault="00141675" w:rsidP="00141675">
            <w:pPr>
              <w:widowControl/>
              <w:ind w:left="821"/>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deferred revenues</w:t>
            </w:r>
          </w:p>
        </w:tc>
        <w:tc>
          <w:tcPr>
            <w:tcW w:w="319" w:type="dxa"/>
            <w:shd w:val="clear" w:color="auto" w:fill="CFF0FC"/>
            <w:tcMar>
              <w:top w:w="15" w:type="dxa"/>
              <w:left w:w="0" w:type="dxa"/>
              <w:bottom w:w="0" w:type="dxa"/>
              <w:right w:w="15" w:type="dxa"/>
            </w:tcMar>
            <w:vAlign w:val="bottom"/>
            <w:hideMark/>
          </w:tcPr>
          <w:p w14:paraId="4B0B0AE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ADC59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6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82EA6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8,702</w:t>
            </w:r>
          </w:p>
        </w:tc>
        <w:tc>
          <w:tcPr>
            <w:tcW w:w="191" w:type="dxa"/>
            <w:shd w:val="clear" w:color="auto" w:fill="CFF0FC"/>
            <w:noWrap/>
            <w:tcMar>
              <w:top w:w="15" w:type="dxa"/>
              <w:left w:w="0" w:type="dxa"/>
              <w:bottom w:w="0" w:type="dxa"/>
              <w:right w:w="15" w:type="dxa"/>
            </w:tcMar>
            <w:vAlign w:val="bottom"/>
            <w:hideMark/>
          </w:tcPr>
          <w:p w14:paraId="73667CF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9" w:type="dxa"/>
            <w:shd w:val="clear" w:color="auto" w:fill="CFF0FC"/>
            <w:tcMar>
              <w:top w:w="15" w:type="dxa"/>
              <w:left w:w="0" w:type="dxa"/>
              <w:bottom w:w="0" w:type="dxa"/>
              <w:right w:w="15" w:type="dxa"/>
            </w:tcMar>
            <w:vAlign w:val="bottom"/>
            <w:hideMark/>
          </w:tcPr>
          <w:p w14:paraId="3DD58FA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F5EB2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6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94A914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9,043</w:t>
            </w:r>
          </w:p>
        </w:tc>
        <w:tc>
          <w:tcPr>
            <w:tcW w:w="192" w:type="dxa"/>
            <w:shd w:val="clear" w:color="auto" w:fill="CFF0FC"/>
            <w:noWrap/>
            <w:tcMar>
              <w:top w:w="15" w:type="dxa"/>
              <w:left w:w="0" w:type="dxa"/>
              <w:bottom w:w="0" w:type="dxa"/>
              <w:right w:w="15" w:type="dxa"/>
            </w:tcMar>
            <w:vAlign w:val="bottom"/>
            <w:hideMark/>
          </w:tcPr>
          <w:p w14:paraId="2CB347E7"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6F51F6EB" w14:textId="77777777" w:rsidR="00141675" w:rsidRPr="00141675" w:rsidRDefault="00141675" w:rsidP="00141675">
      <w:pPr>
        <w:widowControl/>
        <w:jc w:val="left"/>
        <w:rPr>
          <w:rFonts w:ascii="宋体" w:eastAsia="宋体" w:hAnsi="宋体" w:cs="宋体"/>
          <w:kern w:val="0"/>
          <w:sz w:val="12"/>
          <w:szCs w:val="12"/>
        </w:rPr>
      </w:pPr>
      <w:r w:rsidRPr="00141675">
        <w:rPr>
          <w:rFonts w:ascii="宋体" w:eastAsia="宋体" w:hAnsi="宋体" w:cs="宋体"/>
          <w:kern w:val="0"/>
          <w:sz w:val="12"/>
          <w:szCs w:val="12"/>
        </w:rPr>
        <w:t> </w:t>
      </w:r>
    </w:p>
    <w:p w14:paraId="367A9B45" w14:textId="77777777" w:rsidR="00141675" w:rsidRPr="00141675" w:rsidRDefault="00141675" w:rsidP="00141675">
      <w:pPr>
        <w:widowControl/>
        <w:rPr>
          <w:rFonts w:ascii="Calibri" w:eastAsia="宋体" w:hAnsi="Calibri" w:cs="Calibri"/>
          <w:kern w:val="0"/>
          <w:sz w:val="20"/>
          <w:szCs w:val="20"/>
        </w:rPr>
      </w:pPr>
      <w:r w:rsidRPr="00141675">
        <w:rPr>
          <w:rFonts w:ascii="Calibri" w:eastAsia="宋体" w:hAnsi="Calibri" w:cs="Calibri"/>
          <w:kern w:val="0"/>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recognized ratably over the contractual periods. Deferred services revenues include prepayments for our services business and revenues for these services are generally recognized as the services are performed. Deferred cloud license and on-premise license revenues typically resulted from customer payments that related to undelivered products and services or specified enhancements.</w:t>
      </w:r>
    </w:p>
    <w:p w14:paraId="18A37053"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In connection with our acquisitions, we have estimated the fair values of the cloud services and license support performance obligations assumed from our acquired companies. We generally have estimated the fair values of these obligations assumed using a cost build-up approach. The cost build-up approach </w:t>
      </w:r>
      <w:r w:rsidRPr="00141675">
        <w:rPr>
          <w:rFonts w:ascii="Calibri" w:eastAsia="宋体" w:hAnsi="Calibri" w:cs="Calibri"/>
          <w:color w:val="000000"/>
          <w:kern w:val="0"/>
          <w:sz w:val="20"/>
          <w:szCs w:val="20"/>
        </w:rPr>
        <w:lastRenderedPageBreak/>
        <w:t>determines fair value by estimating the costs related to fulfilling the obligations plus a normal profit margin. The sum of the costs and operating profit approximates, in theory, the amount that we would be required to pay a third party to assume these acquired obligations. These aforementioned fair value adjustments recorded for obligations assumed from our acquisitions reduced the cloud services and license support deferred revenues balances that we recorded as liabilities from these acquisitions and also reduced the resulting revenues that we recognized or will recognize over the terms of the acquired obligations during the post-combination periods.</w:t>
      </w:r>
    </w:p>
    <w:p w14:paraId="5118D3DA" w14:textId="77777777" w:rsidR="00141675" w:rsidRPr="00141675" w:rsidRDefault="00141675" w:rsidP="00141675">
      <w:pPr>
        <w:widowControl/>
        <w:rPr>
          <w:rFonts w:ascii="微软雅黑" w:eastAsia="微软雅黑" w:hAnsi="微软雅黑" w:cs="宋体"/>
          <w:color w:val="000000"/>
          <w:kern w:val="0"/>
          <w:sz w:val="2"/>
          <w:szCs w:val="2"/>
        </w:rPr>
      </w:pPr>
      <w:r w:rsidRPr="00141675">
        <w:rPr>
          <w:rFonts w:ascii="微软雅黑" w:eastAsia="微软雅黑" w:hAnsi="微软雅黑" w:cs="宋体" w:hint="eastAsia"/>
          <w:color w:val="000000"/>
          <w:kern w:val="0"/>
          <w:sz w:val="2"/>
          <w:szCs w:val="2"/>
        </w:rPr>
        <w:t> </w:t>
      </w:r>
    </w:p>
    <w:p w14:paraId="408438C6" w14:textId="77777777" w:rsidR="00141675" w:rsidRPr="00141675" w:rsidRDefault="00141675" w:rsidP="00141675">
      <w:pPr>
        <w:widowControl/>
        <w:rPr>
          <w:rFonts w:ascii="微软雅黑" w:eastAsia="微软雅黑" w:hAnsi="微软雅黑" w:cs="宋体" w:hint="eastAsia"/>
          <w:color w:val="000000"/>
          <w:kern w:val="0"/>
          <w:sz w:val="18"/>
          <w:szCs w:val="18"/>
        </w:rPr>
      </w:pPr>
      <w:r w:rsidRPr="00141675">
        <w:rPr>
          <w:rFonts w:ascii="微软雅黑" w:eastAsia="微软雅黑" w:hAnsi="微软雅黑" w:cs="宋体" w:hint="eastAsia"/>
          <w:color w:val="000000"/>
          <w:kern w:val="0"/>
          <w:sz w:val="18"/>
          <w:szCs w:val="18"/>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4341623F" w14:textId="77777777" w:rsidTr="00141675">
        <w:tc>
          <w:tcPr>
            <w:tcW w:w="1080" w:type="dxa"/>
            <w:noWrap/>
            <w:hideMark/>
          </w:tcPr>
          <w:p w14:paraId="2B82D0F5" w14:textId="77777777" w:rsidR="00141675" w:rsidRPr="00141675" w:rsidRDefault="00141675" w:rsidP="00141675">
            <w:pPr>
              <w:widowControl/>
              <w:rPr>
                <w:rFonts w:ascii="Calibri" w:eastAsia="宋体" w:hAnsi="Calibri" w:cs="Calibri" w:hint="eastAsia"/>
                <w:b/>
                <w:bCs/>
                <w:kern w:val="0"/>
                <w:sz w:val="20"/>
                <w:szCs w:val="20"/>
              </w:rPr>
            </w:pPr>
            <w:r w:rsidRPr="00141675">
              <w:rPr>
                <w:rFonts w:ascii="Calibri" w:eastAsia="宋体" w:hAnsi="Calibri" w:cs="Calibri"/>
                <w:b/>
                <w:bCs/>
                <w:kern w:val="0"/>
                <w:sz w:val="20"/>
                <w:szCs w:val="20"/>
              </w:rPr>
              <w:t>7.</w:t>
            </w:r>
          </w:p>
        </w:tc>
        <w:tc>
          <w:tcPr>
            <w:tcW w:w="0" w:type="auto"/>
            <w:hideMark/>
          </w:tcPr>
          <w:p w14:paraId="5497165A"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DERIVATIVE FINANCIAL INSTRUMENTS</w:t>
            </w:r>
          </w:p>
        </w:tc>
      </w:tr>
    </w:tbl>
    <w:p w14:paraId="3E62E5C6"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held the following derivative instruments that were designated and accounted for as hedging instruments pursuant to ASC 815, </w:t>
      </w:r>
      <w:r w:rsidRPr="00141675">
        <w:rPr>
          <w:rFonts w:ascii="Calibri" w:eastAsia="宋体" w:hAnsi="Calibri" w:cs="Calibri"/>
          <w:i/>
          <w:iCs/>
          <w:kern w:val="0"/>
          <w:sz w:val="20"/>
          <w:szCs w:val="20"/>
        </w:rPr>
        <w:t>Derivatives and Hedging</w:t>
      </w:r>
      <w:r w:rsidRPr="00141675">
        <w:rPr>
          <w:rFonts w:ascii="Calibri" w:eastAsia="宋体" w:hAnsi="Calibri" w:cs="Calibri"/>
          <w:kern w:val="0"/>
          <w:sz w:val="20"/>
          <w:szCs w:val="20"/>
        </w:rPr>
        <w:t> (ASC 815) as of November 30, 2019 and May 31, 2019:</w:t>
      </w:r>
    </w:p>
    <w:tbl>
      <w:tblPr>
        <w:tblW w:w="20614" w:type="dxa"/>
        <w:tblCellMar>
          <w:left w:w="0" w:type="dxa"/>
          <w:right w:w="0" w:type="dxa"/>
        </w:tblCellMar>
        <w:tblLook w:val="04A0" w:firstRow="1" w:lastRow="0" w:firstColumn="1" w:lastColumn="0" w:noHBand="0" w:noVBand="1"/>
      </w:tblPr>
      <w:tblGrid>
        <w:gridCol w:w="1096"/>
        <w:gridCol w:w="556"/>
        <w:gridCol w:w="18962"/>
      </w:tblGrid>
      <w:tr w:rsidR="00141675" w:rsidRPr="00141675" w14:paraId="1A268797" w14:textId="77777777" w:rsidTr="00141675">
        <w:tc>
          <w:tcPr>
            <w:tcW w:w="1080" w:type="dxa"/>
            <w:noWrap/>
            <w:hideMark/>
          </w:tcPr>
          <w:p w14:paraId="7315C36E"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24F73F62"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3C476626"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interest rate swap agreements, which are used to protect us against changes in the fair values of certain of our fixed-rate borrowings attributable to the movements in benchmark interest rates. We have designated these swap agreements as qualifying hedging instruments and are accounting for them as fair value hedges pursuant to ASC 815;</w:t>
            </w:r>
          </w:p>
        </w:tc>
      </w:tr>
      <w:tr w:rsidR="00141675" w:rsidRPr="00141675" w14:paraId="435E617A" w14:textId="77777777" w:rsidTr="00141675">
        <w:tc>
          <w:tcPr>
            <w:tcW w:w="1080" w:type="dxa"/>
            <w:noWrap/>
            <w:hideMark/>
          </w:tcPr>
          <w:p w14:paraId="532C5FC8"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686350C6"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451EA2F5"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cross-currency interest rate swap agreements, which are used to protect us against changes in the fair values of certain of our fixed-rate Euro-denominated borrowings attributable to the movements in benchmark interest rates and foreign currency exchange rates by effectively converting the fixed-rate, Euro-denominated borrowings, including the annual interest payments and the payment of principal at maturity, to variable-rate, U.S. Dollar denominated debt based on LIBOR. We have designated these swap agreements as qualifying hedging instruments and are accounting for them as fair value hedges pursuant to ASC 815; and</w:t>
            </w:r>
          </w:p>
        </w:tc>
      </w:tr>
    </w:tbl>
    <w:p w14:paraId="16CE624F" w14:textId="77777777" w:rsidR="00141675" w:rsidRPr="00141675" w:rsidRDefault="00141675" w:rsidP="00141675">
      <w:pPr>
        <w:widowControl/>
        <w:ind w:left="1618" w:hanging="321"/>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p w14:paraId="069E3423"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w:t>
      </w:r>
    </w:p>
    <w:p w14:paraId="7E42E878"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6EAF46C0">
          <v:rect id="_x0000_i1041" style="width:0;height:1.5pt" o:hralign="center" o:hrstd="t" o:hrnoshade="t" o:hr="t" fillcolor="black" stroked="f"/>
        </w:pict>
      </w:r>
    </w:p>
    <w:p w14:paraId="67DD47EA" w14:textId="77777777" w:rsidR="00141675" w:rsidRPr="00141675" w:rsidRDefault="00141675" w:rsidP="00141675">
      <w:pPr>
        <w:widowControl/>
        <w:jc w:val="left"/>
        <w:rPr>
          <w:rFonts w:ascii="Calibri" w:eastAsia="宋体" w:hAnsi="Calibri" w:cs="Calibri"/>
          <w:b/>
          <w:bCs/>
          <w:color w:val="000000"/>
          <w:kern w:val="0"/>
          <w:sz w:val="20"/>
          <w:szCs w:val="20"/>
        </w:rPr>
      </w:pPr>
      <w:hyperlink r:id="rId38" w:anchor="TABLE_CONTENTS" w:history="1">
        <w:r w:rsidRPr="00141675">
          <w:rPr>
            <w:rFonts w:ascii="Calibri" w:eastAsia="宋体" w:hAnsi="Calibri" w:cs="Calibri"/>
            <w:b/>
            <w:bCs/>
            <w:color w:val="0000FF"/>
            <w:kern w:val="0"/>
            <w:sz w:val="20"/>
            <w:szCs w:val="20"/>
            <w:u w:val="single"/>
          </w:rPr>
          <w:t>Table of Contents</w:t>
        </w:r>
      </w:hyperlink>
    </w:p>
    <w:p w14:paraId="2F1CD3D2"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7FF6E3C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3D8CFD8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64E6A20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7EE27753"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51089F5E"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556"/>
        <w:gridCol w:w="18962"/>
      </w:tblGrid>
      <w:tr w:rsidR="00141675" w:rsidRPr="00141675" w14:paraId="44FF8627" w14:textId="77777777" w:rsidTr="00141675">
        <w:tc>
          <w:tcPr>
            <w:tcW w:w="1080" w:type="dxa"/>
            <w:noWrap/>
            <w:hideMark/>
          </w:tcPr>
          <w:p w14:paraId="52D6A87F" w14:textId="77777777" w:rsidR="00141675" w:rsidRPr="00141675" w:rsidRDefault="00141675" w:rsidP="00141675">
            <w:pPr>
              <w:widowControl/>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100AF7B1" w14:textId="77777777" w:rsidR="00141675" w:rsidRPr="00141675" w:rsidRDefault="00141675" w:rsidP="00141675">
            <w:pPr>
              <w:widowControl/>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0FCCF5D4" w14:textId="77777777" w:rsidR="00141675" w:rsidRPr="00141675" w:rsidRDefault="00141675" w:rsidP="00141675">
            <w:pPr>
              <w:widowControl/>
              <w:rPr>
                <w:rFonts w:ascii="Times New Roman" w:eastAsia="宋体" w:hAnsi="Times New Roman" w:cs="Times New Roman"/>
                <w:kern w:val="0"/>
                <w:sz w:val="20"/>
                <w:szCs w:val="20"/>
              </w:rPr>
            </w:pPr>
            <w:r w:rsidRPr="00141675">
              <w:rPr>
                <w:rFonts w:ascii="Calibri" w:eastAsia="宋体" w:hAnsi="Calibri" w:cs="Calibri"/>
                <w:kern w:val="0"/>
                <w:sz w:val="20"/>
                <w:szCs w:val="20"/>
              </w:rPr>
              <w:t>cross-currency swap agreements, which are used to manage foreign currency exchange risk by converting certain of our fixed-rate Euro-denominated borrowings including periodic interest payments and the payment of principal at maturity to fixed-rate U.S. Dollar denominated debt and are accounted for as cash flow hedges pursuant to ASC 815.</w:t>
            </w:r>
          </w:p>
        </w:tc>
      </w:tr>
    </w:tbl>
    <w:p w14:paraId="19CA7298"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also held certain foreign currency contracts that were not designated as hedges pursuant to ASC 815. As of November 30, 2019 and May 31, 2019, the notional amounts of such forward contracts we held to purchase U.S. Dollars in exchange for other major international currencies were $3.9 billion and $3.8 billion, respectively, and the notional amount of forward contracts we held to sell U.S. Dollars in exchange for other major international currencies were $3.8 billion and $3.3 billion, respectively. The fair values of our outstanding foreign currency forward contracts were nominal as of November 30, 2019 and May 31, 2019. Net gains or losses related to these forward contracts are included in non-operating income, net.</w:t>
      </w:r>
    </w:p>
    <w:p w14:paraId="069ADE54"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 xml:space="preserve">See Note 10 of Notes to Consolidated Financial Statements included in our Annual Report on Form 10-K for the fiscal year ended May 31, 2019 for additional information regarding the purpose, accounting and classification of our derivative instruments. None of our derivative instruments are used for trading purposes. The effects of derivative instruments designated as hedges on certain of our condensed </w:t>
      </w:r>
      <w:r w:rsidRPr="00141675">
        <w:rPr>
          <w:rFonts w:ascii="Calibri" w:eastAsia="宋体" w:hAnsi="Calibri" w:cs="Calibri"/>
          <w:kern w:val="0"/>
          <w:sz w:val="20"/>
          <w:szCs w:val="20"/>
        </w:rPr>
        <w:lastRenderedPageBreak/>
        <w:t>consolidated financial statements were as follows as of or for each of the respective periods presented below (amounts presented exclude any income tax effects):</w:t>
      </w:r>
    </w:p>
    <w:p w14:paraId="7E4FFD53"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Fair Values of Derivative Instruments Designated as Hedges in Condensed Consolidated Balance Sheets</w:t>
      </w:r>
    </w:p>
    <w:p w14:paraId="5DB65DEC" w14:textId="77777777" w:rsidR="00141675" w:rsidRPr="00141675" w:rsidRDefault="00141675" w:rsidP="00141675">
      <w:pPr>
        <w:widowControl/>
        <w:jc w:val="left"/>
        <w:rPr>
          <w:rFonts w:ascii="Times New Roman" w:eastAsia="宋体" w:hAnsi="Times New Roman" w:cs="Times New Roman"/>
          <w:kern w:val="0"/>
          <w:sz w:val="16"/>
          <w:szCs w:val="16"/>
        </w:rPr>
      </w:pPr>
      <w:r w:rsidRPr="00141675">
        <w:rPr>
          <w:rFonts w:ascii="Times New Roman" w:eastAsia="宋体" w:hAnsi="Times New Roman" w:cs="Times New Roman"/>
          <w:kern w:val="0"/>
          <w:sz w:val="16"/>
          <w:szCs w:val="16"/>
        </w:rPr>
        <w:t> </w:t>
      </w:r>
    </w:p>
    <w:tbl>
      <w:tblPr>
        <w:tblW w:w="20614" w:type="dxa"/>
        <w:tblCellMar>
          <w:left w:w="0" w:type="dxa"/>
          <w:right w:w="0" w:type="dxa"/>
        </w:tblCellMar>
        <w:tblLook w:val="04A0" w:firstRow="1" w:lastRow="0" w:firstColumn="1" w:lastColumn="0" w:noHBand="0" w:noVBand="1"/>
      </w:tblPr>
      <w:tblGrid>
        <w:gridCol w:w="10978"/>
        <w:gridCol w:w="297"/>
        <w:gridCol w:w="4148"/>
        <w:gridCol w:w="297"/>
        <w:gridCol w:w="201"/>
        <w:gridCol w:w="1873"/>
        <w:gridCol w:w="201"/>
        <w:gridCol w:w="297"/>
        <w:gridCol w:w="201"/>
        <w:gridCol w:w="1919"/>
        <w:gridCol w:w="202"/>
      </w:tblGrid>
      <w:tr w:rsidR="00141675" w:rsidRPr="00141675" w14:paraId="72B7AB0C" w14:textId="77777777" w:rsidTr="00141675">
        <w:tc>
          <w:tcPr>
            <w:tcW w:w="10948" w:type="dxa"/>
            <w:shd w:val="clear" w:color="auto" w:fill="FFFFFF"/>
            <w:tcMar>
              <w:top w:w="15" w:type="dxa"/>
              <w:left w:w="0" w:type="dxa"/>
              <w:bottom w:w="0" w:type="dxa"/>
              <w:right w:w="15" w:type="dxa"/>
            </w:tcMar>
            <w:vAlign w:val="bottom"/>
            <w:hideMark/>
          </w:tcPr>
          <w:p w14:paraId="383E21D8" w14:textId="77777777" w:rsidR="00141675" w:rsidRPr="00141675" w:rsidRDefault="00141675" w:rsidP="00141675">
            <w:pPr>
              <w:widowControl/>
              <w:jc w:val="left"/>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296" w:type="dxa"/>
            <w:shd w:val="clear" w:color="auto" w:fill="FFFFFF"/>
            <w:tcMar>
              <w:top w:w="15" w:type="dxa"/>
              <w:left w:w="0" w:type="dxa"/>
              <w:bottom w:w="0" w:type="dxa"/>
              <w:right w:w="15" w:type="dxa"/>
            </w:tcMar>
            <w:vAlign w:val="bottom"/>
            <w:hideMark/>
          </w:tcPr>
          <w:p w14:paraId="42A51FA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4136" w:type="dxa"/>
            <w:shd w:val="clear" w:color="auto" w:fill="FFFFFF"/>
            <w:tcMar>
              <w:top w:w="15" w:type="dxa"/>
              <w:left w:w="0" w:type="dxa"/>
              <w:bottom w:w="0" w:type="dxa"/>
              <w:right w:w="15" w:type="dxa"/>
            </w:tcMar>
            <w:vAlign w:val="bottom"/>
            <w:hideMark/>
          </w:tcPr>
          <w:p w14:paraId="53BC2EB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96" w:type="dxa"/>
            <w:shd w:val="clear" w:color="auto" w:fill="FFFFFF"/>
            <w:tcMar>
              <w:top w:w="15" w:type="dxa"/>
              <w:left w:w="0" w:type="dxa"/>
              <w:bottom w:w="0" w:type="dxa"/>
              <w:right w:w="15" w:type="dxa"/>
            </w:tcMar>
            <w:vAlign w:val="bottom"/>
            <w:hideMark/>
          </w:tcPr>
          <w:p w14:paraId="755A307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4654" w:type="dxa"/>
            <w:gridSpan w:val="6"/>
            <w:tcBorders>
              <w:bottom w:val="single" w:sz="6" w:space="0" w:color="000000"/>
            </w:tcBorders>
            <w:shd w:val="clear" w:color="auto" w:fill="FFFFFF"/>
            <w:tcMar>
              <w:top w:w="15" w:type="dxa"/>
              <w:left w:w="0" w:type="dxa"/>
              <w:bottom w:w="0" w:type="dxa"/>
              <w:right w:w="15" w:type="dxa"/>
            </w:tcMar>
            <w:vAlign w:val="bottom"/>
            <w:hideMark/>
          </w:tcPr>
          <w:p w14:paraId="2003738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Fair Value as of</w:t>
            </w:r>
          </w:p>
        </w:tc>
        <w:tc>
          <w:tcPr>
            <w:tcW w:w="193" w:type="dxa"/>
            <w:shd w:val="clear" w:color="auto" w:fill="FFFFFF"/>
            <w:noWrap/>
            <w:tcMar>
              <w:top w:w="15" w:type="dxa"/>
              <w:left w:w="0" w:type="dxa"/>
              <w:bottom w:w="0" w:type="dxa"/>
              <w:right w:w="15" w:type="dxa"/>
            </w:tcMar>
            <w:vAlign w:val="bottom"/>
            <w:hideMark/>
          </w:tcPr>
          <w:p w14:paraId="3F747BA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40BB075" w14:textId="77777777" w:rsidTr="00141675">
        <w:tc>
          <w:tcPr>
            <w:tcW w:w="10948" w:type="dxa"/>
            <w:tcBorders>
              <w:bottom w:val="single" w:sz="6" w:space="0" w:color="000000"/>
            </w:tcBorders>
            <w:shd w:val="clear" w:color="auto" w:fill="FFFFFF"/>
            <w:tcMar>
              <w:top w:w="15" w:type="dxa"/>
              <w:left w:w="0" w:type="dxa"/>
              <w:bottom w:w="0" w:type="dxa"/>
              <w:right w:w="15" w:type="dxa"/>
            </w:tcMar>
            <w:vAlign w:val="bottom"/>
            <w:hideMark/>
          </w:tcPr>
          <w:p w14:paraId="0B29EA3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96" w:type="dxa"/>
            <w:shd w:val="clear" w:color="auto" w:fill="FFFFFF"/>
            <w:tcMar>
              <w:top w:w="15" w:type="dxa"/>
              <w:left w:w="0" w:type="dxa"/>
              <w:bottom w:w="0" w:type="dxa"/>
              <w:right w:w="15" w:type="dxa"/>
            </w:tcMar>
            <w:vAlign w:val="bottom"/>
            <w:hideMark/>
          </w:tcPr>
          <w:p w14:paraId="620B076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4136" w:type="dxa"/>
            <w:tcBorders>
              <w:bottom w:val="single" w:sz="6" w:space="0" w:color="000000"/>
            </w:tcBorders>
            <w:shd w:val="clear" w:color="auto" w:fill="FFFFFF"/>
            <w:tcMar>
              <w:top w:w="15" w:type="dxa"/>
              <w:left w:w="0" w:type="dxa"/>
              <w:bottom w:w="0" w:type="dxa"/>
              <w:right w:w="15" w:type="dxa"/>
            </w:tcMar>
            <w:vAlign w:val="bottom"/>
            <w:hideMark/>
          </w:tcPr>
          <w:p w14:paraId="5C273EC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Balance Sheet Location</w:t>
            </w:r>
          </w:p>
        </w:tc>
        <w:tc>
          <w:tcPr>
            <w:tcW w:w="296" w:type="dxa"/>
            <w:shd w:val="clear" w:color="auto" w:fill="FFFFFF"/>
            <w:tcMar>
              <w:top w:w="15" w:type="dxa"/>
              <w:left w:w="0" w:type="dxa"/>
              <w:bottom w:w="0" w:type="dxa"/>
              <w:right w:w="15" w:type="dxa"/>
            </w:tcMar>
            <w:vAlign w:val="bottom"/>
            <w:hideMark/>
          </w:tcPr>
          <w:p w14:paraId="68A01BA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6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151BAD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p w14:paraId="1778EC5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1510C97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96" w:type="dxa"/>
            <w:tcBorders>
              <w:top w:val="single" w:sz="6" w:space="0" w:color="000000"/>
            </w:tcBorders>
            <w:shd w:val="clear" w:color="auto" w:fill="FFFFFF"/>
            <w:tcMar>
              <w:top w:w="15" w:type="dxa"/>
              <w:left w:w="0" w:type="dxa"/>
              <w:bottom w:w="0" w:type="dxa"/>
              <w:right w:w="15" w:type="dxa"/>
            </w:tcMar>
            <w:vAlign w:val="bottom"/>
            <w:hideMark/>
          </w:tcPr>
          <w:p w14:paraId="400C87C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60"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BC0EE8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May 31,</w:t>
            </w:r>
          </w:p>
          <w:p w14:paraId="738C5F3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3" w:type="dxa"/>
            <w:shd w:val="clear" w:color="auto" w:fill="FFFFFF"/>
            <w:noWrap/>
            <w:tcMar>
              <w:top w:w="15" w:type="dxa"/>
              <w:left w:w="0" w:type="dxa"/>
              <w:bottom w:w="0" w:type="dxa"/>
              <w:right w:w="15" w:type="dxa"/>
            </w:tcMar>
            <w:vAlign w:val="bottom"/>
            <w:hideMark/>
          </w:tcPr>
          <w:p w14:paraId="6B2E234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2AAAFFA2" w14:textId="77777777" w:rsidTr="00141675">
        <w:tc>
          <w:tcPr>
            <w:tcW w:w="10948" w:type="dxa"/>
            <w:tcBorders>
              <w:top w:val="single" w:sz="6" w:space="0" w:color="000000"/>
            </w:tcBorders>
            <w:shd w:val="clear" w:color="auto" w:fill="CFF0FC"/>
            <w:tcMar>
              <w:top w:w="15" w:type="dxa"/>
              <w:left w:w="0" w:type="dxa"/>
              <w:bottom w:w="0" w:type="dxa"/>
              <w:right w:w="15" w:type="dxa"/>
            </w:tcMar>
            <w:vAlign w:val="bottom"/>
            <w:hideMark/>
          </w:tcPr>
          <w:p w14:paraId="2F7D60B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Derivative assets:</w:t>
            </w:r>
          </w:p>
        </w:tc>
        <w:tc>
          <w:tcPr>
            <w:tcW w:w="296" w:type="dxa"/>
            <w:shd w:val="clear" w:color="auto" w:fill="CFF0FC"/>
            <w:tcMar>
              <w:top w:w="15" w:type="dxa"/>
              <w:left w:w="0" w:type="dxa"/>
              <w:bottom w:w="0" w:type="dxa"/>
              <w:right w:w="15" w:type="dxa"/>
            </w:tcMar>
            <w:vAlign w:val="bottom"/>
            <w:hideMark/>
          </w:tcPr>
          <w:p w14:paraId="77F4B2C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4136" w:type="dxa"/>
            <w:tcBorders>
              <w:top w:val="single" w:sz="6" w:space="0" w:color="000000"/>
            </w:tcBorders>
            <w:shd w:val="clear" w:color="auto" w:fill="CFF0FC"/>
            <w:tcMar>
              <w:top w:w="15" w:type="dxa"/>
              <w:left w:w="0" w:type="dxa"/>
              <w:bottom w:w="0" w:type="dxa"/>
              <w:right w:w="15" w:type="dxa"/>
            </w:tcMar>
            <w:vAlign w:val="bottom"/>
            <w:hideMark/>
          </w:tcPr>
          <w:p w14:paraId="017C96F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CFF0FC"/>
            <w:tcMar>
              <w:top w:w="15" w:type="dxa"/>
              <w:left w:w="0" w:type="dxa"/>
              <w:bottom w:w="0" w:type="dxa"/>
              <w:right w:w="15" w:type="dxa"/>
            </w:tcMar>
            <w:vAlign w:val="bottom"/>
            <w:hideMark/>
          </w:tcPr>
          <w:p w14:paraId="23B8BE5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016A574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853" w:type="dxa"/>
            <w:tcBorders>
              <w:top w:val="single" w:sz="6" w:space="0" w:color="000000"/>
            </w:tcBorders>
            <w:shd w:val="clear" w:color="auto" w:fill="CFF0FC"/>
            <w:noWrap/>
            <w:tcMar>
              <w:top w:w="15" w:type="dxa"/>
              <w:left w:w="0" w:type="dxa"/>
              <w:bottom w:w="0" w:type="dxa"/>
              <w:right w:w="15" w:type="dxa"/>
            </w:tcMar>
            <w:vAlign w:val="bottom"/>
            <w:hideMark/>
          </w:tcPr>
          <w:p w14:paraId="67A273E6"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CFF0FC"/>
            <w:noWrap/>
            <w:tcMar>
              <w:top w:w="15" w:type="dxa"/>
              <w:left w:w="0" w:type="dxa"/>
              <w:bottom w:w="0" w:type="dxa"/>
              <w:right w:w="15" w:type="dxa"/>
            </w:tcMar>
            <w:vAlign w:val="bottom"/>
            <w:hideMark/>
          </w:tcPr>
          <w:p w14:paraId="5E453CD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CFF0FC"/>
            <w:tcMar>
              <w:top w:w="15" w:type="dxa"/>
              <w:left w:w="0" w:type="dxa"/>
              <w:bottom w:w="0" w:type="dxa"/>
              <w:right w:w="15" w:type="dxa"/>
            </w:tcMar>
            <w:vAlign w:val="bottom"/>
            <w:hideMark/>
          </w:tcPr>
          <w:p w14:paraId="213C28F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1BFBBD2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853" w:type="dxa"/>
            <w:tcBorders>
              <w:top w:val="single" w:sz="6" w:space="0" w:color="000000"/>
            </w:tcBorders>
            <w:shd w:val="clear" w:color="auto" w:fill="CFF0FC"/>
            <w:noWrap/>
            <w:tcMar>
              <w:top w:w="15" w:type="dxa"/>
              <w:left w:w="0" w:type="dxa"/>
              <w:bottom w:w="0" w:type="dxa"/>
              <w:right w:w="15" w:type="dxa"/>
            </w:tcMar>
            <w:vAlign w:val="bottom"/>
            <w:hideMark/>
          </w:tcPr>
          <w:p w14:paraId="23938670"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3" w:type="dxa"/>
            <w:shd w:val="clear" w:color="auto" w:fill="CFF0FC"/>
            <w:noWrap/>
            <w:tcMar>
              <w:top w:w="15" w:type="dxa"/>
              <w:left w:w="0" w:type="dxa"/>
              <w:bottom w:w="0" w:type="dxa"/>
              <w:right w:w="15" w:type="dxa"/>
            </w:tcMar>
            <w:vAlign w:val="bottom"/>
            <w:hideMark/>
          </w:tcPr>
          <w:p w14:paraId="6D993C4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50FB89D" w14:textId="77777777" w:rsidTr="00141675">
        <w:tc>
          <w:tcPr>
            <w:tcW w:w="10948" w:type="dxa"/>
            <w:shd w:val="clear" w:color="auto" w:fill="FFFFFF"/>
            <w:tcMar>
              <w:top w:w="15" w:type="dxa"/>
              <w:left w:w="0" w:type="dxa"/>
              <w:bottom w:w="0" w:type="dxa"/>
              <w:right w:w="15" w:type="dxa"/>
            </w:tcMar>
            <w:vAlign w:val="bottom"/>
            <w:hideMark/>
          </w:tcPr>
          <w:p w14:paraId="7D1DC363" w14:textId="77777777" w:rsidR="00141675" w:rsidRPr="00141675" w:rsidRDefault="00141675" w:rsidP="00141675">
            <w:pPr>
              <w:widowControl/>
              <w:ind w:left="27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Interest rate swap agreements designated as fair value hedges</w:t>
            </w:r>
          </w:p>
        </w:tc>
        <w:tc>
          <w:tcPr>
            <w:tcW w:w="296" w:type="dxa"/>
            <w:shd w:val="clear" w:color="auto" w:fill="FFFFFF"/>
            <w:tcMar>
              <w:top w:w="15" w:type="dxa"/>
              <w:left w:w="0" w:type="dxa"/>
              <w:bottom w:w="0" w:type="dxa"/>
              <w:right w:w="15" w:type="dxa"/>
            </w:tcMar>
            <w:vAlign w:val="bottom"/>
            <w:hideMark/>
          </w:tcPr>
          <w:p w14:paraId="79DDAF7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4136" w:type="dxa"/>
            <w:shd w:val="clear" w:color="auto" w:fill="FFFFFF"/>
            <w:tcMar>
              <w:top w:w="15" w:type="dxa"/>
              <w:left w:w="0" w:type="dxa"/>
              <w:bottom w:w="0" w:type="dxa"/>
              <w:right w:w="15" w:type="dxa"/>
            </w:tcMar>
            <w:vAlign w:val="bottom"/>
            <w:hideMark/>
          </w:tcPr>
          <w:p w14:paraId="48A2386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Other non-current assets</w:t>
            </w:r>
          </w:p>
        </w:tc>
        <w:tc>
          <w:tcPr>
            <w:tcW w:w="296" w:type="dxa"/>
            <w:shd w:val="clear" w:color="auto" w:fill="FFFFFF"/>
            <w:tcMar>
              <w:top w:w="15" w:type="dxa"/>
              <w:left w:w="0" w:type="dxa"/>
              <w:bottom w:w="0" w:type="dxa"/>
              <w:right w:w="15" w:type="dxa"/>
            </w:tcMar>
            <w:vAlign w:val="bottom"/>
            <w:hideMark/>
          </w:tcPr>
          <w:p w14:paraId="125BD51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68099F6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853" w:type="dxa"/>
            <w:tcBorders>
              <w:bottom w:val="single" w:sz="6" w:space="0" w:color="000000"/>
            </w:tcBorders>
            <w:shd w:val="clear" w:color="auto" w:fill="FFFFFF"/>
            <w:noWrap/>
            <w:tcMar>
              <w:top w:w="15" w:type="dxa"/>
              <w:left w:w="0" w:type="dxa"/>
              <w:bottom w:w="0" w:type="dxa"/>
              <w:right w:w="15" w:type="dxa"/>
            </w:tcMar>
            <w:vAlign w:val="bottom"/>
            <w:hideMark/>
          </w:tcPr>
          <w:p w14:paraId="54341A8A"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12</w:t>
            </w:r>
          </w:p>
        </w:tc>
        <w:tc>
          <w:tcPr>
            <w:tcW w:w="192" w:type="dxa"/>
            <w:shd w:val="clear" w:color="auto" w:fill="FFFFFF"/>
            <w:noWrap/>
            <w:tcMar>
              <w:top w:w="15" w:type="dxa"/>
              <w:left w:w="0" w:type="dxa"/>
              <w:bottom w:w="0" w:type="dxa"/>
              <w:right w:w="15" w:type="dxa"/>
            </w:tcMar>
            <w:vAlign w:val="bottom"/>
            <w:hideMark/>
          </w:tcPr>
          <w:p w14:paraId="6DEAF2DA"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FFFFFF"/>
            <w:tcMar>
              <w:top w:w="15" w:type="dxa"/>
              <w:left w:w="0" w:type="dxa"/>
              <w:bottom w:w="0" w:type="dxa"/>
              <w:right w:w="15" w:type="dxa"/>
            </w:tcMar>
            <w:vAlign w:val="bottom"/>
            <w:hideMark/>
          </w:tcPr>
          <w:p w14:paraId="6973836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0F855AD8"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853" w:type="dxa"/>
            <w:tcBorders>
              <w:bottom w:val="single" w:sz="6" w:space="0" w:color="000000"/>
            </w:tcBorders>
            <w:shd w:val="clear" w:color="auto" w:fill="FFFFFF"/>
            <w:noWrap/>
            <w:tcMar>
              <w:top w:w="15" w:type="dxa"/>
              <w:left w:w="0" w:type="dxa"/>
              <w:bottom w:w="0" w:type="dxa"/>
              <w:right w:w="15" w:type="dxa"/>
            </w:tcMar>
            <w:vAlign w:val="bottom"/>
            <w:hideMark/>
          </w:tcPr>
          <w:p w14:paraId="09FAC213"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w:t>
            </w:r>
          </w:p>
        </w:tc>
        <w:tc>
          <w:tcPr>
            <w:tcW w:w="193" w:type="dxa"/>
            <w:shd w:val="clear" w:color="auto" w:fill="FFFFFF"/>
            <w:noWrap/>
            <w:tcMar>
              <w:top w:w="15" w:type="dxa"/>
              <w:left w:w="0" w:type="dxa"/>
              <w:bottom w:w="0" w:type="dxa"/>
              <w:right w:w="15" w:type="dxa"/>
            </w:tcMar>
            <w:vAlign w:val="bottom"/>
            <w:hideMark/>
          </w:tcPr>
          <w:p w14:paraId="73F40FD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1EF42F7" w14:textId="77777777" w:rsidTr="00141675">
        <w:tc>
          <w:tcPr>
            <w:tcW w:w="10948" w:type="dxa"/>
            <w:shd w:val="clear" w:color="auto" w:fill="CFF0FC"/>
            <w:tcMar>
              <w:top w:w="15" w:type="dxa"/>
              <w:left w:w="0" w:type="dxa"/>
              <w:bottom w:w="0" w:type="dxa"/>
              <w:right w:w="15" w:type="dxa"/>
            </w:tcMar>
            <w:vAlign w:val="bottom"/>
            <w:hideMark/>
          </w:tcPr>
          <w:p w14:paraId="772A4A41" w14:textId="77777777" w:rsidR="00141675" w:rsidRPr="00141675" w:rsidRDefault="00141675" w:rsidP="00141675">
            <w:pPr>
              <w:widowControl/>
              <w:ind w:left="547"/>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derivative assets</w:t>
            </w:r>
          </w:p>
        </w:tc>
        <w:tc>
          <w:tcPr>
            <w:tcW w:w="296" w:type="dxa"/>
            <w:shd w:val="clear" w:color="auto" w:fill="CFF0FC"/>
            <w:tcMar>
              <w:top w:w="15" w:type="dxa"/>
              <w:left w:w="0" w:type="dxa"/>
              <w:bottom w:w="0" w:type="dxa"/>
              <w:right w:w="15" w:type="dxa"/>
            </w:tcMar>
            <w:vAlign w:val="bottom"/>
            <w:hideMark/>
          </w:tcPr>
          <w:p w14:paraId="2C6F9D1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4136" w:type="dxa"/>
            <w:shd w:val="clear" w:color="auto" w:fill="CFF0FC"/>
            <w:tcMar>
              <w:top w:w="15" w:type="dxa"/>
              <w:left w:w="0" w:type="dxa"/>
              <w:bottom w:w="0" w:type="dxa"/>
              <w:right w:w="15" w:type="dxa"/>
            </w:tcMar>
            <w:vAlign w:val="bottom"/>
            <w:hideMark/>
          </w:tcPr>
          <w:p w14:paraId="50EB6B5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CFF0FC"/>
            <w:tcMar>
              <w:top w:w="15" w:type="dxa"/>
              <w:left w:w="0" w:type="dxa"/>
              <w:bottom w:w="0" w:type="dxa"/>
              <w:right w:w="15" w:type="dxa"/>
            </w:tcMar>
            <w:vAlign w:val="bottom"/>
            <w:hideMark/>
          </w:tcPr>
          <w:p w14:paraId="728150C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04C545"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85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10E652"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12</w:t>
            </w:r>
          </w:p>
        </w:tc>
        <w:tc>
          <w:tcPr>
            <w:tcW w:w="192" w:type="dxa"/>
            <w:shd w:val="clear" w:color="auto" w:fill="CFF0FC"/>
            <w:noWrap/>
            <w:tcMar>
              <w:top w:w="15" w:type="dxa"/>
              <w:left w:w="0" w:type="dxa"/>
              <w:bottom w:w="0" w:type="dxa"/>
              <w:right w:w="15" w:type="dxa"/>
            </w:tcMar>
            <w:vAlign w:val="bottom"/>
            <w:hideMark/>
          </w:tcPr>
          <w:p w14:paraId="0360B41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CFF0FC"/>
            <w:tcMar>
              <w:top w:w="15" w:type="dxa"/>
              <w:left w:w="0" w:type="dxa"/>
              <w:bottom w:w="0" w:type="dxa"/>
              <w:right w:w="15" w:type="dxa"/>
            </w:tcMar>
            <w:vAlign w:val="bottom"/>
            <w:hideMark/>
          </w:tcPr>
          <w:p w14:paraId="2FEA1AE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31687A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85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5FD26F"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w:t>
            </w:r>
          </w:p>
        </w:tc>
        <w:tc>
          <w:tcPr>
            <w:tcW w:w="193" w:type="dxa"/>
            <w:shd w:val="clear" w:color="auto" w:fill="CFF0FC"/>
            <w:noWrap/>
            <w:tcMar>
              <w:top w:w="15" w:type="dxa"/>
              <w:left w:w="0" w:type="dxa"/>
              <w:bottom w:w="0" w:type="dxa"/>
              <w:right w:w="15" w:type="dxa"/>
            </w:tcMar>
            <w:vAlign w:val="bottom"/>
            <w:hideMark/>
          </w:tcPr>
          <w:p w14:paraId="4118DD5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5A549F8D" w14:textId="77777777" w:rsidTr="00141675">
        <w:tc>
          <w:tcPr>
            <w:tcW w:w="10948" w:type="dxa"/>
            <w:shd w:val="clear" w:color="auto" w:fill="FFFFFF"/>
            <w:tcMar>
              <w:top w:w="15" w:type="dxa"/>
              <w:left w:w="0" w:type="dxa"/>
              <w:bottom w:w="0" w:type="dxa"/>
              <w:right w:w="15" w:type="dxa"/>
            </w:tcMar>
            <w:vAlign w:val="bottom"/>
            <w:hideMark/>
          </w:tcPr>
          <w:p w14:paraId="02E8F61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Derivative liabilities:</w:t>
            </w:r>
          </w:p>
        </w:tc>
        <w:tc>
          <w:tcPr>
            <w:tcW w:w="296" w:type="dxa"/>
            <w:shd w:val="clear" w:color="auto" w:fill="FFFFFF"/>
            <w:tcMar>
              <w:top w:w="15" w:type="dxa"/>
              <w:left w:w="0" w:type="dxa"/>
              <w:bottom w:w="0" w:type="dxa"/>
              <w:right w:w="15" w:type="dxa"/>
            </w:tcMar>
            <w:vAlign w:val="bottom"/>
            <w:hideMark/>
          </w:tcPr>
          <w:p w14:paraId="3E34B93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4136" w:type="dxa"/>
            <w:shd w:val="clear" w:color="auto" w:fill="FFFFFF"/>
            <w:tcMar>
              <w:top w:w="15" w:type="dxa"/>
              <w:left w:w="0" w:type="dxa"/>
              <w:bottom w:w="0" w:type="dxa"/>
              <w:right w:w="15" w:type="dxa"/>
            </w:tcMar>
            <w:vAlign w:val="bottom"/>
            <w:hideMark/>
          </w:tcPr>
          <w:p w14:paraId="07B2B1C1"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FFFFFF"/>
            <w:tcMar>
              <w:top w:w="15" w:type="dxa"/>
              <w:left w:w="0" w:type="dxa"/>
              <w:bottom w:w="0" w:type="dxa"/>
              <w:right w:w="15" w:type="dxa"/>
            </w:tcMar>
            <w:vAlign w:val="bottom"/>
            <w:hideMark/>
          </w:tcPr>
          <w:p w14:paraId="6D59EEC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double" w:sz="6" w:space="0" w:color="000000"/>
            </w:tcBorders>
            <w:shd w:val="clear" w:color="auto" w:fill="FFFFFF"/>
            <w:noWrap/>
            <w:tcMar>
              <w:top w:w="15" w:type="dxa"/>
              <w:left w:w="0" w:type="dxa"/>
              <w:bottom w:w="0" w:type="dxa"/>
              <w:right w:w="15" w:type="dxa"/>
            </w:tcMar>
            <w:vAlign w:val="bottom"/>
            <w:hideMark/>
          </w:tcPr>
          <w:p w14:paraId="2E298AC7"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853" w:type="dxa"/>
            <w:tcBorders>
              <w:top w:val="double" w:sz="6" w:space="0" w:color="000000"/>
            </w:tcBorders>
            <w:shd w:val="clear" w:color="auto" w:fill="FFFFFF"/>
            <w:noWrap/>
            <w:tcMar>
              <w:top w:w="15" w:type="dxa"/>
              <w:left w:w="0" w:type="dxa"/>
              <w:bottom w:w="0" w:type="dxa"/>
              <w:right w:w="15" w:type="dxa"/>
            </w:tcMar>
            <w:vAlign w:val="bottom"/>
            <w:hideMark/>
          </w:tcPr>
          <w:p w14:paraId="0ABDC957"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2" w:type="dxa"/>
            <w:shd w:val="clear" w:color="auto" w:fill="FFFFFF"/>
            <w:noWrap/>
            <w:tcMar>
              <w:top w:w="15" w:type="dxa"/>
              <w:left w:w="0" w:type="dxa"/>
              <w:bottom w:w="0" w:type="dxa"/>
              <w:right w:w="15" w:type="dxa"/>
            </w:tcMar>
            <w:vAlign w:val="bottom"/>
            <w:hideMark/>
          </w:tcPr>
          <w:p w14:paraId="2DE1C84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FFFFFF"/>
            <w:tcMar>
              <w:top w:w="15" w:type="dxa"/>
              <w:left w:w="0" w:type="dxa"/>
              <w:bottom w:w="0" w:type="dxa"/>
              <w:right w:w="15" w:type="dxa"/>
            </w:tcMar>
            <w:vAlign w:val="bottom"/>
            <w:hideMark/>
          </w:tcPr>
          <w:p w14:paraId="49CE069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double" w:sz="6" w:space="0" w:color="000000"/>
            </w:tcBorders>
            <w:shd w:val="clear" w:color="auto" w:fill="FFFFFF"/>
            <w:noWrap/>
            <w:tcMar>
              <w:top w:w="15" w:type="dxa"/>
              <w:left w:w="0" w:type="dxa"/>
              <w:bottom w:w="0" w:type="dxa"/>
              <w:right w:w="15" w:type="dxa"/>
            </w:tcMar>
            <w:vAlign w:val="bottom"/>
            <w:hideMark/>
          </w:tcPr>
          <w:p w14:paraId="7FDEC54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853" w:type="dxa"/>
            <w:tcBorders>
              <w:top w:val="double" w:sz="6" w:space="0" w:color="000000"/>
            </w:tcBorders>
            <w:shd w:val="clear" w:color="auto" w:fill="FFFFFF"/>
            <w:noWrap/>
            <w:tcMar>
              <w:top w:w="15" w:type="dxa"/>
              <w:left w:w="0" w:type="dxa"/>
              <w:bottom w:w="0" w:type="dxa"/>
              <w:right w:w="15" w:type="dxa"/>
            </w:tcMar>
            <w:vAlign w:val="bottom"/>
            <w:hideMark/>
          </w:tcPr>
          <w:p w14:paraId="20436ED8"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93" w:type="dxa"/>
            <w:shd w:val="clear" w:color="auto" w:fill="FFFFFF"/>
            <w:noWrap/>
            <w:tcMar>
              <w:top w:w="15" w:type="dxa"/>
              <w:left w:w="0" w:type="dxa"/>
              <w:bottom w:w="0" w:type="dxa"/>
              <w:right w:w="15" w:type="dxa"/>
            </w:tcMar>
            <w:vAlign w:val="bottom"/>
            <w:hideMark/>
          </w:tcPr>
          <w:p w14:paraId="5600088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20BA9DC1" w14:textId="77777777" w:rsidTr="00141675">
        <w:tc>
          <w:tcPr>
            <w:tcW w:w="10948" w:type="dxa"/>
            <w:shd w:val="clear" w:color="auto" w:fill="CFF0FC"/>
            <w:tcMar>
              <w:top w:w="15" w:type="dxa"/>
              <w:left w:w="0" w:type="dxa"/>
              <w:bottom w:w="0" w:type="dxa"/>
              <w:right w:w="15" w:type="dxa"/>
            </w:tcMar>
            <w:vAlign w:val="bottom"/>
            <w:hideMark/>
          </w:tcPr>
          <w:p w14:paraId="7B79C301" w14:textId="77777777" w:rsidR="00141675" w:rsidRPr="00141675" w:rsidRDefault="00141675" w:rsidP="00141675">
            <w:pPr>
              <w:widowControl/>
              <w:ind w:left="27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Interest rate swap agreements designated as fair value hedges</w:t>
            </w:r>
          </w:p>
        </w:tc>
        <w:tc>
          <w:tcPr>
            <w:tcW w:w="296" w:type="dxa"/>
            <w:shd w:val="clear" w:color="auto" w:fill="CFF0FC"/>
            <w:tcMar>
              <w:top w:w="15" w:type="dxa"/>
              <w:left w:w="0" w:type="dxa"/>
              <w:bottom w:w="0" w:type="dxa"/>
              <w:right w:w="15" w:type="dxa"/>
            </w:tcMar>
            <w:vAlign w:val="bottom"/>
            <w:hideMark/>
          </w:tcPr>
          <w:p w14:paraId="093AF4F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4136" w:type="dxa"/>
            <w:shd w:val="clear" w:color="auto" w:fill="CFF0FC"/>
            <w:tcMar>
              <w:top w:w="15" w:type="dxa"/>
              <w:left w:w="0" w:type="dxa"/>
              <w:bottom w:w="0" w:type="dxa"/>
              <w:right w:w="15" w:type="dxa"/>
            </w:tcMar>
            <w:vAlign w:val="bottom"/>
            <w:hideMark/>
          </w:tcPr>
          <w:p w14:paraId="35D3E439"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Other current liabilities</w:t>
            </w:r>
          </w:p>
        </w:tc>
        <w:tc>
          <w:tcPr>
            <w:tcW w:w="296" w:type="dxa"/>
            <w:shd w:val="clear" w:color="auto" w:fill="CFF0FC"/>
            <w:tcMar>
              <w:top w:w="15" w:type="dxa"/>
              <w:left w:w="0" w:type="dxa"/>
              <w:bottom w:w="0" w:type="dxa"/>
              <w:right w:w="15" w:type="dxa"/>
            </w:tcMar>
            <w:vAlign w:val="bottom"/>
            <w:hideMark/>
          </w:tcPr>
          <w:p w14:paraId="1CE71F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69A8701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853" w:type="dxa"/>
            <w:shd w:val="clear" w:color="auto" w:fill="CFF0FC"/>
            <w:noWrap/>
            <w:tcMar>
              <w:top w:w="15" w:type="dxa"/>
              <w:left w:w="0" w:type="dxa"/>
              <w:bottom w:w="0" w:type="dxa"/>
              <w:right w:w="15" w:type="dxa"/>
            </w:tcMar>
            <w:vAlign w:val="bottom"/>
            <w:hideMark/>
          </w:tcPr>
          <w:p w14:paraId="7DE1E9A4"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92" w:type="dxa"/>
            <w:shd w:val="clear" w:color="auto" w:fill="CFF0FC"/>
            <w:noWrap/>
            <w:tcMar>
              <w:top w:w="15" w:type="dxa"/>
              <w:left w:w="0" w:type="dxa"/>
              <w:bottom w:w="0" w:type="dxa"/>
              <w:right w:w="15" w:type="dxa"/>
            </w:tcMar>
            <w:vAlign w:val="bottom"/>
            <w:hideMark/>
          </w:tcPr>
          <w:p w14:paraId="5ECD220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CFF0FC"/>
            <w:tcMar>
              <w:top w:w="15" w:type="dxa"/>
              <w:left w:w="0" w:type="dxa"/>
              <w:bottom w:w="0" w:type="dxa"/>
              <w:right w:w="15" w:type="dxa"/>
            </w:tcMar>
            <w:vAlign w:val="bottom"/>
            <w:hideMark/>
          </w:tcPr>
          <w:p w14:paraId="7E9E49B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197EEB0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853" w:type="dxa"/>
            <w:shd w:val="clear" w:color="auto" w:fill="CFF0FC"/>
            <w:noWrap/>
            <w:tcMar>
              <w:top w:w="15" w:type="dxa"/>
              <w:left w:w="0" w:type="dxa"/>
              <w:bottom w:w="0" w:type="dxa"/>
              <w:right w:w="15" w:type="dxa"/>
            </w:tcMar>
            <w:vAlign w:val="bottom"/>
            <w:hideMark/>
          </w:tcPr>
          <w:p w14:paraId="350AC3E8"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5</w:t>
            </w:r>
          </w:p>
        </w:tc>
        <w:tc>
          <w:tcPr>
            <w:tcW w:w="193" w:type="dxa"/>
            <w:shd w:val="clear" w:color="auto" w:fill="CFF0FC"/>
            <w:noWrap/>
            <w:tcMar>
              <w:top w:w="15" w:type="dxa"/>
              <w:left w:w="0" w:type="dxa"/>
              <w:bottom w:w="0" w:type="dxa"/>
              <w:right w:w="15" w:type="dxa"/>
            </w:tcMar>
            <w:vAlign w:val="bottom"/>
            <w:hideMark/>
          </w:tcPr>
          <w:p w14:paraId="790A71B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03528211" w14:textId="77777777" w:rsidTr="00141675">
        <w:tc>
          <w:tcPr>
            <w:tcW w:w="10948" w:type="dxa"/>
            <w:shd w:val="clear" w:color="auto" w:fill="FFFFFF"/>
            <w:tcMar>
              <w:top w:w="15" w:type="dxa"/>
              <w:left w:w="0" w:type="dxa"/>
              <w:bottom w:w="0" w:type="dxa"/>
              <w:right w:w="15" w:type="dxa"/>
            </w:tcMar>
            <w:vAlign w:val="bottom"/>
            <w:hideMark/>
          </w:tcPr>
          <w:p w14:paraId="3242C836" w14:textId="77777777" w:rsidR="00141675" w:rsidRPr="00141675" w:rsidRDefault="00141675" w:rsidP="00141675">
            <w:pPr>
              <w:widowControl/>
              <w:ind w:left="418" w:hanging="14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Cross-currency interest rate swap agreements designated as fair value hedges</w:t>
            </w:r>
          </w:p>
        </w:tc>
        <w:tc>
          <w:tcPr>
            <w:tcW w:w="296" w:type="dxa"/>
            <w:shd w:val="clear" w:color="auto" w:fill="FFFFFF"/>
            <w:tcMar>
              <w:top w:w="15" w:type="dxa"/>
              <w:left w:w="0" w:type="dxa"/>
              <w:bottom w:w="0" w:type="dxa"/>
              <w:right w:w="15" w:type="dxa"/>
            </w:tcMar>
            <w:vAlign w:val="bottom"/>
            <w:hideMark/>
          </w:tcPr>
          <w:p w14:paraId="470783F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4136" w:type="dxa"/>
            <w:shd w:val="clear" w:color="auto" w:fill="FFFFFF"/>
            <w:tcMar>
              <w:top w:w="15" w:type="dxa"/>
              <w:left w:w="0" w:type="dxa"/>
              <w:bottom w:w="0" w:type="dxa"/>
              <w:right w:w="15" w:type="dxa"/>
            </w:tcMar>
            <w:vAlign w:val="bottom"/>
            <w:hideMark/>
          </w:tcPr>
          <w:p w14:paraId="065DF44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Other non-current liabilities</w:t>
            </w:r>
          </w:p>
        </w:tc>
        <w:tc>
          <w:tcPr>
            <w:tcW w:w="296" w:type="dxa"/>
            <w:shd w:val="clear" w:color="auto" w:fill="FFFFFF"/>
            <w:tcMar>
              <w:top w:w="15" w:type="dxa"/>
              <w:left w:w="0" w:type="dxa"/>
              <w:bottom w:w="0" w:type="dxa"/>
              <w:right w:w="15" w:type="dxa"/>
            </w:tcMar>
            <w:vAlign w:val="bottom"/>
            <w:hideMark/>
          </w:tcPr>
          <w:p w14:paraId="5D71B41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6E17B8B0"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853" w:type="dxa"/>
            <w:shd w:val="clear" w:color="auto" w:fill="FFFFFF"/>
            <w:noWrap/>
            <w:tcMar>
              <w:top w:w="15" w:type="dxa"/>
              <w:left w:w="0" w:type="dxa"/>
              <w:bottom w:w="0" w:type="dxa"/>
              <w:right w:w="15" w:type="dxa"/>
            </w:tcMar>
            <w:vAlign w:val="bottom"/>
            <w:hideMark/>
          </w:tcPr>
          <w:p w14:paraId="1F153751"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27</w:t>
            </w:r>
          </w:p>
        </w:tc>
        <w:tc>
          <w:tcPr>
            <w:tcW w:w="192" w:type="dxa"/>
            <w:shd w:val="clear" w:color="auto" w:fill="FFFFFF"/>
            <w:noWrap/>
            <w:tcMar>
              <w:top w:w="15" w:type="dxa"/>
              <w:left w:w="0" w:type="dxa"/>
              <w:bottom w:w="0" w:type="dxa"/>
              <w:right w:w="15" w:type="dxa"/>
            </w:tcMar>
            <w:vAlign w:val="bottom"/>
            <w:hideMark/>
          </w:tcPr>
          <w:p w14:paraId="0BF7F02D"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FFFFFF"/>
            <w:tcMar>
              <w:top w:w="15" w:type="dxa"/>
              <w:left w:w="0" w:type="dxa"/>
              <w:bottom w:w="0" w:type="dxa"/>
              <w:right w:w="15" w:type="dxa"/>
            </w:tcMar>
            <w:vAlign w:val="bottom"/>
            <w:hideMark/>
          </w:tcPr>
          <w:p w14:paraId="41C5A85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56D8021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853" w:type="dxa"/>
            <w:shd w:val="clear" w:color="auto" w:fill="FFFFFF"/>
            <w:noWrap/>
            <w:tcMar>
              <w:top w:w="15" w:type="dxa"/>
              <w:left w:w="0" w:type="dxa"/>
              <w:bottom w:w="0" w:type="dxa"/>
              <w:right w:w="15" w:type="dxa"/>
            </w:tcMar>
            <w:vAlign w:val="bottom"/>
            <w:hideMark/>
          </w:tcPr>
          <w:p w14:paraId="37D45F08"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17</w:t>
            </w:r>
          </w:p>
        </w:tc>
        <w:tc>
          <w:tcPr>
            <w:tcW w:w="193" w:type="dxa"/>
            <w:shd w:val="clear" w:color="auto" w:fill="FFFFFF"/>
            <w:noWrap/>
            <w:tcMar>
              <w:top w:w="15" w:type="dxa"/>
              <w:left w:w="0" w:type="dxa"/>
              <w:bottom w:w="0" w:type="dxa"/>
              <w:right w:w="15" w:type="dxa"/>
            </w:tcMar>
            <w:vAlign w:val="bottom"/>
            <w:hideMark/>
          </w:tcPr>
          <w:p w14:paraId="694E7E5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701123C4" w14:textId="77777777" w:rsidTr="00141675">
        <w:tc>
          <w:tcPr>
            <w:tcW w:w="10948" w:type="dxa"/>
            <w:shd w:val="clear" w:color="auto" w:fill="CFF0FC"/>
            <w:tcMar>
              <w:top w:w="15" w:type="dxa"/>
              <w:left w:w="0" w:type="dxa"/>
              <w:bottom w:w="0" w:type="dxa"/>
              <w:right w:w="15" w:type="dxa"/>
            </w:tcMar>
            <w:vAlign w:val="bottom"/>
            <w:hideMark/>
          </w:tcPr>
          <w:p w14:paraId="0F547635" w14:textId="77777777" w:rsidR="00141675" w:rsidRPr="00141675" w:rsidRDefault="00141675" w:rsidP="00141675">
            <w:pPr>
              <w:widowControl/>
              <w:ind w:left="274"/>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Cross-currency swap agreements designated as cash flow hedges</w:t>
            </w:r>
          </w:p>
        </w:tc>
        <w:tc>
          <w:tcPr>
            <w:tcW w:w="296" w:type="dxa"/>
            <w:shd w:val="clear" w:color="auto" w:fill="CFF0FC"/>
            <w:tcMar>
              <w:top w:w="15" w:type="dxa"/>
              <w:left w:w="0" w:type="dxa"/>
              <w:bottom w:w="0" w:type="dxa"/>
              <w:right w:w="15" w:type="dxa"/>
            </w:tcMar>
            <w:vAlign w:val="bottom"/>
            <w:hideMark/>
          </w:tcPr>
          <w:p w14:paraId="3647934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4136" w:type="dxa"/>
            <w:shd w:val="clear" w:color="auto" w:fill="CFF0FC"/>
            <w:tcMar>
              <w:top w:w="15" w:type="dxa"/>
              <w:left w:w="0" w:type="dxa"/>
              <w:bottom w:w="0" w:type="dxa"/>
              <w:right w:w="15" w:type="dxa"/>
            </w:tcMar>
            <w:vAlign w:val="bottom"/>
            <w:hideMark/>
          </w:tcPr>
          <w:p w14:paraId="72EA6C06"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Other non-current liabilities</w:t>
            </w:r>
          </w:p>
        </w:tc>
        <w:tc>
          <w:tcPr>
            <w:tcW w:w="296" w:type="dxa"/>
            <w:shd w:val="clear" w:color="auto" w:fill="CFF0FC"/>
            <w:tcMar>
              <w:top w:w="15" w:type="dxa"/>
              <w:left w:w="0" w:type="dxa"/>
              <w:bottom w:w="0" w:type="dxa"/>
              <w:right w:w="15" w:type="dxa"/>
            </w:tcMar>
            <w:vAlign w:val="bottom"/>
            <w:hideMark/>
          </w:tcPr>
          <w:p w14:paraId="263F22D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5F281A92"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853" w:type="dxa"/>
            <w:tcBorders>
              <w:bottom w:val="single" w:sz="6" w:space="0" w:color="000000"/>
            </w:tcBorders>
            <w:shd w:val="clear" w:color="auto" w:fill="CFF0FC"/>
            <w:noWrap/>
            <w:tcMar>
              <w:top w:w="15" w:type="dxa"/>
              <w:left w:w="0" w:type="dxa"/>
              <w:bottom w:w="0" w:type="dxa"/>
              <w:right w:w="15" w:type="dxa"/>
            </w:tcMar>
            <w:vAlign w:val="bottom"/>
            <w:hideMark/>
          </w:tcPr>
          <w:p w14:paraId="20904109"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242</w:t>
            </w:r>
          </w:p>
        </w:tc>
        <w:tc>
          <w:tcPr>
            <w:tcW w:w="192" w:type="dxa"/>
            <w:shd w:val="clear" w:color="auto" w:fill="CFF0FC"/>
            <w:noWrap/>
            <w:tcMar>
              <w:top w:w="15" w:type="dxa"/>
              <w:left w:w="0" w:type="dxa"/>
              <w:bottom w:w="0" w:type="dxa"/>
              <w:right w:w="15" w:type="dxa"/>
            </w:tcMar>
            <w:vAlign w:val="bottom"/>
            <w:hideMark/>
          </w:tcPr>
          <w:p w14:paraId="591BC29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CFF0FC"/>
            <w:tcMar>
              <w:top w:w="15" w:type="dxa"/>
              <w:left w:w="0" w:type="dxa"/>
              <w:bottom w:w="0" w:type="dxa"/>
              <w:right w:w="15" w:type="dxa"/>
            </w:tcMar>
            <w:vAlign w:val="bottom"/>
            <w:hideMark/>
          </w:tcPr>
          <w:p w14:paraId="19062B2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1CB12A8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1853" w:type="dxa"/>
            <w:tcBorders>
              <w:bottom w:val="single" w:sz="6" w:space="0" w:color="000000"/>
            </w:tcBorders>
            <w:shd w:val="clear" w:color="auto" w:fill="CFF0FC"/>
            <w:noWrap/>
            <w:tcMar>
              <w:top w:w="15" w:type="dxa"/>
              <w:left w:w="0" w:type="dxa"/>
              <w:bottom w:w="0" w:type="dxa"/>
              <w:right w:w="15" w:type="dxa"/>
            </w:tcMar>
            <w:vAlign w:val="bottom"/>
            <w:hideMark/>
          </w:tcPr>
          <w:p w14:paraId="53B9C7A6"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208</w:t>
            </w:r>
          </w:p>
        </w:tc>
        <w:tc>
          <w:tcPr>
            <w:tcW w:w="193" w:type="dxa"/>
            <w:shd w:val="clear" w:color="auto" w:fill="CFF0FC"/>
            <w:noWrap/>
            <w:tcMar>
              <w:top w:w="15" w:type="dxa"/>
              <w:left w:w="0" w:type="dxa"/>
              <w:bottom w:w="0" w:type="dxa"/>
              <w:right w:w="15" w:type="dxa"/>
            </w:tcMar>
            <w:vAlign w:val="bottom"/>
            <w:hideMark/>
          </w:tcPr>
          <w:p w14:paraId="192D0B2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r>
      <w:tr w:rsidR="00141675" w:rsidRPr="00141675" w14:paraId="40BDFA2F" w14:textId="77777777" w:rsidTr="00141675">
        <w:tc>
          <w:tcPr>
            <w:tcW w:w="10948" w:type="dxa"/>
            <w:shd w:val="clear" w:color="auto" w:fill="FFFFFF"/>
            <w:tcMar>
              <w:top w:w="15" w:type="dxa"/>
              <w:left w:w="0" w:type="dxa"/>
              <w:bottom w:w="0" w:type="dxa"/>
              <w:right w:w="15" w:type="dxa"/>
            </w:tcMar>
            <w:vAlign w:val="bottom"/>
            <w:hideMark/>
          </w:tcPr>
          <w:p w14:paraId="5C95FF2D" w14:textId="77777777" w:rsidR="00141675" w:rsidRPr="00141675" w:rsidRDefault="00141675" w:rsidP="00141675">
            <w:pPr>
              <w:widowControl/>
              <w:ind w:left="547"/>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Total derivative liabilities</w:t>
            </w:r>
          </w:p>
        </w:tc>
        <w:tc>
          <w:tcPr>
            <w:tcW w:w="296" w:type="dxa"/>
            <w:shd w:val="clear" w:color="auto" w:fill="FFFFFF"/>
            <w:tcMar>
              <w:top w:w="15" w:type="dxa"/>
              <w:left w:w="0" w:type="dxa"/>
              <w:bottom w:w="0" w:type="dxa"/>
              <w:right w:w="15" w:type="dxa"/>
            </w:tcMar>
            <w:vAlign w:val="bottom"/>
            <w:hideMark/>
          </w:tcPr>
          <w:p w14:paraId="016B4DA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4136" w:type="dxa"/>
            <w:shd w:val="clear" w:color="auto" w:fill="FFFFFF"/>
            <w:tcMar>
              <w:top w:w="15" w:type="dxa"/>
              <w:left w:w="0" w:type="dxa"/>
              <w:bottom w:w="0" w:type="dxa"/>
              <w:right w:w="15" w:type="dxa"/>
            </w:tcMar>
            <w:vAlign w:val="bottom"/>
            <w:hideMark/>
          </w:tcPr>
          <w:p w14:paraId="0C8D924C"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FFFFFF"/>
            <w:tcMar>
              <w:top w:w="15" w:type="dxa"/>
              <w:left w:w="0" w:type="dxa"/>
              <w:bottom w:w="0" w:type="dxa"/>
              <w:right w:w="15" w:type="dxa"/>
            </w:tcMar>
            <w:vAlign w:val="bottom"/>
            <w:hideMark/>
          </w:tcPr>
          <w:p w14:paraId="2E3236A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76800EB"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85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BF821CE"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269</w:t>
            </w:r>
          </w:p>
        </w:tc>
        <w:tc>
          <w:tcPr>
            <w:tcW w:w="192" w:type="dxa"/>
            <w:shd w:val="clear" w:color="auto" w:fill="FFFFFF"/>
            <w:noWrap/>
            <w:tcMar>
              <w:top w:w="15" w:type="dxa"/>
              <w:left w:w="0" w:type="dxa"/>
              <w:bottom w:w="0" w:type="dxa"/>
              <w:right w:w="15" w:type="dxa"/>
            </w:tcMar>
            <w:vAlign w:val="bottom"/>
            <w:hideMark/>
          </w:tcPr>
          <w:p w14:paraId="0935C9A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c>
        <w:tc>
          <w:tcPr>
            <w:tcW w:w="296" w:type="dxa"/>
            <w:shd w:val="clear" w:color="auto" w:fill="FFFFFF"/>
            <w:tcMar>
              <w:top w:w="15" w:type="dxa"/>
              <w:left w:w="0" w:type="dxa"/>
              <w:bottom w:w="0" w:type="dxa"/>
              <w:right w:w="15" w:type="dxa"/>
            </w:tcMar>
            <w:vAlign w:val="bottom"/>
            <w:hideMark/>
          </w:tcPr>
          <w:p w14:paraId="6F86FC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A45B84"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w:t>
            </w:r>
          </w:p>
        </w:tc>
        <w:tc>
          <w:tcPr>
            <w:tcW w:w="185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457961E" w14:textId="77777777" w:rsidR="00141675" w:rsidRPr="00141675" w:rsidRDefault="00141675" w:rsidP="00141675">
            <w:pPr>
              <w:widowControl/>
              <w:jc w:val="righ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230</w:t>
            </w:r>
          </w:p>
        </w:tc>
        <w:tc>
          <w:tcPr>
            <w:tcW w:w="193" w:type="dxa"/>
            <w:shd w:val="clear" w:color="auto" w:fill="FFFFFF"/>
            <w:noWrap/>
            <w:tcMar>
              <w:top w:w="15" w:type="dxa"/>
              <w:left w:w="0" w:type="dxa"/>
              <w:bottom w:w="0" w:type="dxa"/>
              <w:right w:w="15" w:type="dxa"/>
            </w:tcMar>
            <w:vAlign w:val="bottom"/>
            <w:hideMark/>
          </w:tcPr>
          <w:p w14:paraId="6F26DB75"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5333BF74"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Effects of Fair Value Hedging Relationships on Hedged Items in Condensed Consolidated Balance Sheet</w:t>
      </w:r>
    </w:p>
    <w:p w14:paraId="0344B1F1" w14:textId="77777777" w:rsidR="00141675" w:rsidRPr="00141675" w:rsidRDefault="00141675" w:rsidP="00141675">
      <w:pPr>
        <w:widowControl/>
        <w:rPr>
          <w:rFonts w:ascii="Times New Roman" w:eastAsia="宋体" w:hAnsi="Times New Roman" w:cs="Times New Roman"/>
          <w:b/>
          <w:bCs/>
          <w:kern w:val="0"/>
          <w:sz w:val="16"/>
          <w:szCs w:val="16"/>
        </w:rPr>
      </w:pPr>
      <w:r w:rsidRPr="00141675">
        <w:rPr>
          <w:rFonts w:ascii="Times New Roman" w:eastAsia="宋体" w:hAnsi="Times New Roman" w:cs="Times New Roman"/>
          <w:b/>
          <w:bCs/>
          <w:kern w:val="0"/>
          <w:sz w:val="16"/>
          <w:szCs w:val="16"/>
        </w:rPr>
        <w:t> </w:t>
      </w:r>
    </w:p>
    <w:tbl>
      <w:tblPr>
        <w:tblW w:w="20614" w:type="dxa"/>
        <w:tblCellMar>
          <w:left w:w="0" w:type="dxa"/>
          <w:right w:w="0" w:type="dxa"/>
        </w:tblCellMar>
        <w:tblLook w:val="04A0" w:firstRow="1" w:lastRow="0" w:firstColumn="1" w:lastColumn="0" w:noHBand="0" w:noVBand="1"/>
      </w:tblPr>
      <w:tblGrid>
        <w:gridCol w:w="15413"/>
        <w:gridCol w:w="374"/>
        <w:gridCol w:w="217"/>
        <w:gridCol w:w="1792"/>
        <w:gridCol w:w="217"/>
        <w:gridCol w:w="374"/>
        <w:gridCol w:w="217"/>
        <w:gridCol w:w="1792"/>
        <w:gridCol w:w="218"/>
      </w:tblGrid>
      <w:tr w:rsidR="00141675" w:rsidRPr="00141675" w14:paraId="239A2D8C" w14:textId="77777777" w:rsidTr="00141675">
        <w:tc>
          <w:tcPr>
            <w:tcW w:w="15358" w:type="dxa"/>
            <w:tcBorders>
              <w:bottom w:val="single" w:sz="6" w:space="0" w:color="000000"/>
            </w:tcBorders>
            <w:shd w:val="clear" w:color="auto" w:fill="FFFFFF"/>
            <w:tcMar>
              <w:top w:w="15" w:type="dxa"/>
              <w:left w:w="0" w:type="dxa"/>
              <w:bottom w:w="0" w:type="dxa"/>
              <w:right w:w="15" w:type="dxa"/>
            </w:tcMar>
            <w:vAlign w:val="bottom"/>
            <w:hideMark/>
          </w:tcPr>
          <w:p w14:paraId="7D6B142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373" w:type="dxa"/>
            <w:shd w:val="clear" w:color="auto" w:fill="FFFFFF"/>
            <w:tcMar>
              <w:top w:w="15" w:type="dxa"/>
              <w:left w:w="0" w:type="dxa"/>
              <w:bottom w:w="0" w:type="dxa"/>
              <w:right w:w="15" w:type="dxa"/>
            </w:tcMar>
            <w:vAlign w:val="bottom"/>
            <w:hideMark/>
          </w:tcPr>
          <w:p w14:paraId="0FF0554B"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1994" w:type="dxa"/>
            <w:gridSpan w:val="2"/>
            <w:tcBorders>
              <w:bottom w:val="single" w:sz="6" w:space="0" w:color="000000"/>
            </w:tcBorders>
            <w:shd w:val="clear" w:color="auto" w:fill="FFFFFF"/>
            <w:tcMar>
              <w:top w:w="15" w:type="dxa"/>
              <w:left w:w="0" w:type="dxa"/>
              <w:bottom w:w="0" w:type="dxa"/>
              <w:right w:w="15" w:type="dxa"/>
            </w:tcMar>
            <w:vAlign w:val="bottom"/>
            <w:hideMark/>
          </w:tcPr>
          <w:p w14:paraId="1204C8E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p w14:paraId="5C9B472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208" w:type="dxa"/>
            <w:shd w:val="clear" w:color="auto" w:fill="FFFFFF"/>
            <w:noWrap/>
            <w:tcMar>
              <w:top w:w="15" w:type="dxa"/>
              <w:left w:w="0" w:type="dxa"/>
              <w:bottom w:w="0" w:type="dxa"/>
              <w:right w:w="15" w:type="dxa"/>
            </w:tcMar>
            <w:vAlign w:val="bottom"/>
            <w:hideMark/>
          </w:tcPr>
          <w:p w14:paraId="4C04FD0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 w:type="dxa"/>
            <w:shd w:val="clear" w:color="auto" w:fill="FFFFFF"/>
            <w:tcMar>
              <w:top w:w="15" w:type="dxa"/>
              <w:left w:w="0" w:type="dxa"/>
              <w:bottom w:w="0" w:type="dxa"/>
              <w:right w:w="15" w:type="dxa"/>
            </w:tcMar>
            <w:vAlign w:val="bottom"/>
            <w:hideMark/>
          </w:tcPr>
          <w:p w14:paraId="766BE449"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1994" w:type="dxa"/>
            <w:gridSpan w:val="2"/>
            <w:tcBorders>
              <w:bottom w:val="single" w:sz="6" w:space="0" w:color="000000"/>
            </w:tcBorders>
            <w:shd w:val="clear" w:color="auto" w:fill="FFFFFF"/>
            <w:tcMar>
              <w:top w:w="15" w:type="dxa"/>
              <w:left w:w="0" w:type="dxa"/>
              <w:bottom w:w="0" w:type="dxa"/>
              <w:right w:w="15" w:type="dxa"/>
            </w:tcMar>
            <w:vAlign w:val="bottom"/>
            <w:hideMark/>
          </w:tcPr>
          <w:p w14:paraId="2421B03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May 31,</w:t>
            </w:r>
          </w:p>
          <w:p w14:paraId="3B71226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209" w:type="dxa"/>
            <w:shd w:val="clear" w:color="auto" w:fill="FFFFFF"/>
            <w:noWrap/>
            <w:tcMar>
              <w:top w:w="15" w:type="dxa"/>
              <w:left w:w="0" w:type="dxa"/>
              <w:bottom w:w="0" w:type="dxa"/>
              <w:right w:w="15" w:type="dxa"/>
            </w:tcMar>
            <w:vAlign w:val="bottom"/>
            <w:hideMark/>
          </w:tcPr>
          <w:p w14:paraId="7E4120F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8A643DE" w14:textId="77777777" w:rsidTr="00141675">
        <w:tc>
          <w:tcPr>
            <w:tcW w:w="15358" w:type="dxa"/>
            <w:tcBorders>
              <w:top w:val="single" w:sz="6" w:space="0" w:color="000000"/>
            </w:tcBorders>
            <w:shd w:val="clear" w:color="auto" w:fill="CFF0FC"/>
            <w:tcMar>
              <w:top w:w="15" w:type="dxa"/>
              <w:left w:w="0" w:type="dxa"/>
              <w:bottom w:w="0" w:type="dxa"/>
              <w:right w:w="15" w:type="dxa"/>
            </w:tcMar>
            <w:vAlign w:val="bottom"/>
            <w:hideMark/>
          </w:tcPr>
          <w:p w14:paraId="6CD225E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Notes payable, current:</w:t>
            </w:r>
          </w:p>
        </w:tc>
        <w:tc>
          <w:tcPr>
            <w:tcW w:w="373" w:type="dxa"/>
            <w:shd w:val="clear" w:color="auto" w:fill="CFF0FC"/>
            <w:tcMar>
              <w:top w:w="15" w:type="dxa"/>
              <w:left w:w="0" w:type="dxa"/>
              <w:bottom w:w="0" w:type="dxa"/>
              <w:right w:w="15" w:type="dxa"/>
            </w:tcMar>
            <w:vAlign w:val="bottom"/>
            <w:hideMark/>
          </w:tcPr>
          <w:p w14:paraId="55050B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tcBorders>
              <w:top w:val="single" w:sz="6" w:space="0" w:color="000000"/>
            </w:tcBorders>
            <w:shd w:val="clear" w:color="auto" w:fill="CFF0FC"/>
            <w:noWrap/>
            <w:tcMar>
              <w:top w:w="15" w:type="dxa"/>
              <w:left w:w="0" w:type="dxa"/>
              <w:bottom w:w="0" w:type="dxa"/>
              <w:right w:w="15" w:type="dxa"/>
            </w:tcMar>
            <w:vAlign w:val="bottom"/>
            <w:hideMark/>
          </w:tcPr>
          <w:p w14:paraId="3D8990F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618A22C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08" w:type="dxa"/>
            <w:shd w:val="clear" w:color="auto" w:fill="CFF0FC"/>
            <w:noWrap/>
            <w:tcMar>
              <w:top w:w="15" w:type="dxa"/>
              <w:left w:w="0" w:type="dxa"/>
              <w:bottom w:w="0" w:type="dxa"/>
              <w:right w:w="15" w:type="dxa"/>
            </w:tcMar>
            <w:vAlign w:val="bottom"/>
            <w:hideMark/>
          </w:tcPr>
          <w:p w14:paraId="0B63F83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73" w:type="dxa"/>
            <w:shd w:val="clear" w:color="auto" w:fill="CFF0FC"/>
            <w:tcMar>
              <w:top w:w="15" w:type="dxa"/>
              <w:left w:w="0" w:type="dxa"/>
              <w:bottom w:w="0" w:type="dxa"/>
              <w:right w:w="15" w:type="dxa"/>
            </w:tcMar>
            <w:vAlign w:val="bottom"/>
            <w:hideMark/>
          </w:tcPr>
          <w:p w14:paraId="153729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tcBorders>
              <w:top w:val="single" w:sz="6" w:space="0" w:color="000000"/>
            </w:tcBorders>
            <w:shd w:val="clear" w:color="auto" w:fill="CFF0FC"/>
            <w:noWrap/>
            <w:tcMar>
              <w:top w:w="15" w:type="dxa"/>
              <w:left w:w="0" w:type="dxa"/>
              <w:bottom w:w="0" w:type="dxa"/>
              <w:right w:w="15" w:type="dxa"/>
            </w:tcMar>
            <w:vAlign w:val="bottom"/>
            <w:hideMark/>
          </w:tcPr>
          <w:p w14:paraId="004D8D6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tcBorders>
              <w:top w:val="single" w:sz="6" w:space="0" w:color="000000"/>
            </w:tcBorders>
            <w:shd w:val="clear" w:color="auto" w:fill="CFF0FC"/>
            <w:noWrap/>
            <w:tcMar>
              <w:top w:w="15" w:type="dxa"/>
              <w:left w:w="0" w:type="dxa"/>
              <w:bottom w:w="0" w:type="dxa"/>
              <w:right w:w="15" w:type="dxa"/>
            </w:tcMar>
            <w:vAlign w:val="bottom"/>
            <w:hideMark/>
          </w:tcPr>
          <w:p w14:paraId="3A366FE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09" w:type="dxa"/>
            <w:shd w:val="clear" w:color="auto" w:fill="CFF0FC"/>
            <w:noWrap/>
            <w:tcMar>
              <w:top w:w="15" w:type="dxa"/>
              <w:left w:w="0" w:type="dxa"/>
              <w:bottom w:w="0" w:type="dxa"/>
              <w:right w:w="15" w:type="dxa"/>
            </w:tcMar>
            <w:vAlign w:val="bottom"/>
            <w:hideMark/>
          </w:tcPr>
          <w:p w14:paraId="556FAF5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10A46674" w14:textId="77777777" w:rsidTr="00141675">
        <w:tc>
          <w:tcPr>
            <w:tcW w:w="15358" w:type="dxa"/>
            <w:shd w:val="clear" w:color="auto" w:fill="FFFFFF"/>
            <w:tcMar>
              <w:top w:w="15" w:type="dxa"/>
              <w:left w:w="0" w:type="dxa"/>
              <w:bottom w:w="0" w:type="dxa"/>
              <w:right w:w="15" w:type="dxa"/>
            </w:tcMar>
            <w:vAlign w:val="bottom"/>
            <w:hideMark/>
          </w:tcPr>
          <w:p w14:paraId="5D867C61" w14:textId="77777777" w:rsidR="00141675" w:rsidRPr="00141675" w:rsidRDefault="00141675" w:rsidP="00141675">
            <w:pPr>
              <w:widowControl/>
              <w:ind w:left="27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Carrying amount of hedged item</w:t>
            </w:r>
          </w:p>
        </w:tc>
        <w:tc>
          <w:tcPr>
            <w:tcW w:w="373" w:type="dxa"/>
            <w:shd w:val="clear" w:color="auto" w:fill="FFFFFF"/>
            <w:tcMar>
              <w:top w:w="15" w:type="dxa"/>
              <w:left w:w="0" w:type="dxa"/>
              <w:bottom w:w="0" w:type="dxa"/>
              <w:right w:w="15" w:type="dxa"/>
            </w:tcMar>
            <w:vAlign w:val="bottom"/>
            <w:hideMark/>
          </w:tcPr>
          <w:p w14:paraId="0B5E82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FFFFFF"/>
            <w:noWrap/>
            <w:tcMar>
              <w:top w:w="15" w:type="dxa"/>
              <w:left w:w="0" w:type="dxa"/>
              <w:bottom w:w="0" w:type="dxa"/>
              <w:right w:w="15" w:type="dxa"/>
            </w:tcMar>
            <w:vAlign w:val="bottom"/>
            <w:hideMark/>
          </w:tcPr>
          <w:p w14:paraId="43B522F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771" w:type="dxa"/>
            <w:shd w:val="clear" w:color="auto" w:fill="FFFFFF"/>
            <w:noWrap/>
            <w:tcMar>
              <w:top w:w="15" w:type="dxa"/>
              <w:left w:w="0" w:type="dxa"/>
              <w:bottom w:w="0" w:type="dxa"/>
              <w:right w:w="15" w:type="dxa"/>
            </w:tcMar>
            <w:vAlign w:val="bottom"/>
            <w:hideMark/>
          </w:tcPr>
          <w:p w14:paraId="170B01B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08" w:type="dxa"/>
            <w:shd w:val="clear" w:color="auto" w:fill="FFFFFF"/>
            <w:noWrap/>
            <w:tcMar>
              <w:top w:w="15" w:type="dxa"/>
              <w:left w:w="0" w:type="dxa"/>
              <w:bottom w:w="0" w:type="dxa"/>
              <w:right w:w="15" w:type="dxa"/>
            </w:tcMar>
            <w:vAlign w:val="bottom"/>
            <w:hideMark/>
          </w:tcPr>
          <w:p w14:paraId="1C4CEAB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73" w:type="dxa"/>
            <w:shd w:val="clear" w:color="auto" w:fill="FFFFFF"/>
            <w:tcMar>
              <w:top w:w="15" w:type="dxa"/>
              <w:left w:w="0" w:type="dxa"/>
              <w:bottom w:w="0" w:type="dxa"/>
              <w:right w:w="15" w:type="dxa"/>
            </w:tcMar>
            <w:vAlign w:val="bottom"/>
            <w:hideMark/>
          </w:tcPr>
          <w:p w14:paraId="4DD4911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FFFFFF"/>
            <w:noWrap/>
            <w:tcMar>
              <w:top w:w="15" w:type="dxa"/>
              <w:left w:w="0" w:type="dxa"/>
              <w:bottom w:w="0" w:type="dxa"/>
              <w:right w:w="15" w:type="dxa"/>
            </w:tcMar>
            <w:vAlign w:val="bottom"/>
            <w:hideMark/>
          </w:tcPr>
          <w:p w14:paraId="6ED01FA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771" w:type="dxa"/>
            <w:shd w:val="clear" w:color="auto" w:fill="FFFFFF"/>
            <w:noWrap/>
            <w:tcMar>
              <w:top w:w="15" w:type="dxa"/>
              <w:left w:w="0" w:type="dxa"/>
              <w:bottom w:w="0" w:type="dxa"/>
              <w:right w:w="15" w:type="dxa"/>
            </w:tcMar>
            <w:vAlign w:val="bottom"/>
            <w:hideMark/>
          </w:tcPr>
          <w:p w14:paraId="415B889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1,994</w:t>
            </w:r>
          </w:p>
        </w:tc>
        <w:tc>
          <w:tcPr>
            <w:tcW w:w="209" w:type="dxa"/>
            <w:shd w:val="clear" w:color="auto" w:fill="FFFFFF"/>
            <w:noWrap/>
            <w:tcMar>
              <w:top w:w="15" w:type="dxa"/>
              <w:left w:w="0" w:type="dxa"/>
              <w:bottom w:w="0" w:type="dxa"/>
              <w:right w:w="15" w:type="dxa"/>
            </w:tcMar>
            <w:vAlign w:val="bottom"/>
            <w:hideMark/>
          </w:tcPr>
          <w:p w14:paraId="6F93B56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41F958F" w14:textId="77777777" w:rsidTr="00141675">
        <w:tc>
          <w:tcPr>
            <w:tcW w:w="15358" w:type="dxa"/>
            <w:shd w:val="clear" w:color="auto" w:fill="CFF0FC"/>
            <w:tcMar>
              <w:top w:w="15" w:type="dxa"/>
              <w:left w:w="0" w:type="dxa"/>
              <w:bottom w:w="0" w:type="dxa"/>
              <w:right w:w="15" w:type="dxa"/>
            </w:tcMar>
            <w:vAlign w:val="bottom"/>
            <w:hideMark/>
          </w:tcPr>
          <w:p w14:paraId="0DFB1ED3" w14:textId="77777777" w:rsidR="00141675" w:rsidRPr="00141675" w:rsidRDefault="00141675" w:rsidP="00141675">
            <w:pPr>
              <w:widowControl/>
              <w:ind w:left="27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Cumulative hedging adjustments included in the carrying amount</w:t>
            </w:r>
          </w:p>
        </w:tc>
        <w:tc>
          <w:tcPr>
            <w:tcW w:w="373" w:type="dxa"/>
            <w:shd w:val="clear" w:color="auto" w:fill="CFF0FC"/>
            <w:tcMar>
              <w:top w:w="15" w:type="dxa"/>
              <w:left w:w="0" w:type="dxa"/>
              <w:bottom w:w="0" w:type="dxa"/>
              <w:right w:w="15" w:type="dxa"/>
            </w:tcMar>
            <w:vAlign w:val="bottom"/>
            <w:hideMark/>
          </w:tcPr>
          <w:p w14:paraId="75DA3E5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CFF0FC"/>
            <w:noWrap/>
            <w:tcMar>
              <w:top w:w="15" w:type="dxa"/>
              <w:left w:w="0" w:type="dxa"/>
              <w:bottom w:w="0" w:type="dxa"/>
              <w:right w:w="15" w:type="dxa"/>
            </w:tcMar>
            <w:vAlign w:val="bottom"/>
            <w:hideMark/>
          </w:tcPr>
          <w:p w14:paraId="5096B0E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shd w:val="clear" w:color="auto" w:fill="CFF0FC"/>
            <w:noWrap/>
            <w:tcMar>
              <w:top w:w="15" w:type="dxa"/>
              <w:left w:w="0" w:type="dxa"/>
              <w:bottom w:w="0" w:type="dxa"/>
              <w:right w:w="15" w:type="dxa"/>
            </w:tcMar>
            <w:vAlign w:val="bottom"/>
            <w:hideMark/>
          </w:tcPr>
          <w:p w14:paraId="400E50C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08" w:type="dxa"/>
            <w:shd w:val="clear" w:color="auto" w:fill="CFF0FC"/>
            <w:noWrap/>
            <w:tcMar>
              <w:top w:w="15" w:type="dxa"/>
              <w:left w:w="0" w:type="dxa"/>
              <w:bottom w:w="0" w:type="dxa"/>
              <w:right w:w="15" w:type="dxa"/>
            </w:tcMar>
            <w:vAlign w:val="bottom"/>
            <w:hideMark/>
          </w:tcPr>
          <w:p w14:paraId="003DFCF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73" w:type="dxa"/>
            <w:shd w:val="clear" w:color="auto" w:fill="CFF0FC"/>
            <w:tcMar>
              <w:top w:w="15" w:type="dxa"/>
              <w:left w:w="0" w:type="dxa"/>
              <w:bottom w:w="0" w:type="dxa"/>
              <w:right w:w="15" w:type="dxa"/>
            </w:tcMar>
            <w:vAlign w:val="bottom"/>
            <w:hideMark/>
          </w:tcPr>
          <w:p w14:paraId="651DA62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CFF0FC"/>
            <w:noWrap/>
            <w:tcMar>
              <w:top w:w="15" w:type="dxa"/>
              <w:left w:w="0" w:type="dxa"/>
              <w:bottom w:w="0" w:type="dxa"/>
              <w:right w:w="15" w:type="dxa"/>
            </w:tcMar>
            <w:vAlign w:val="bottom"/>
            <w:hideMark/>
          </w:tcPr>
          <w:p w14:paraId="3D7C28F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shd w:val="clear" w:color="auto" w:fill="CFF0FC"/>
            <w:noWrap/>
            <w:tcMar>
              <w:top w:w="15" w:type="dxa"/>
              <w:left w:w="0" w:type="dxa"/>
              <w:bottom w:w="0" w:type="dxa"/>
              <w:right w:w="15" w:type="dxa"/>
            </w:tcMar>
            <w:vAlign w:val="bottom"/>
            <w:hideMark/>
          </w:tcPr>
          <w:p w14:paraId="5F3D860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w:t>
            </w:r>
          </w:p>
        </w:tc>
        <w:tc>
          <w:tcPr>
            <w:tcW w:w="209" w:type="dxa"/>
            <w:shd w:val="clear" w:color="auto" w:fill="CFF0FC"/>
            <w:noWrap/>
            <w:tcMar>
              <w:top w:w="15" w:type="dxa"/>
              <w:left w:w="0" w:type="dxa"/>
              <w:bottom w:w="0" w:type="dxa"/>
              <w:right w:w="15" w:type="dxa"/>
            </w:tcMar>
            <w:vAlign w:val="bottom"/>
            <w:hideMark/>
          </w:tcPr>
          <w:p w14:paraId="564C31C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39B20B3F" w14:textId="77777777" w:rsidTr="00141675">
        <w:tc>
          <w:tcPr>
            <w:tcW w:w="15358" w:type="dxa"/>
            <w:shd w:val="clear" w:color="auto" w:fill="FFFFFF"/>
            <w:tcMar>
              <w:top w:w="15" w:type="dxa"/>
              <w:left w:w="0" w:type="dxa"/>
              <w:bottom w:w="0" w:type="dxa"/>
              <w:right w:w="15" w:type="dxa"/>
            </w:tcMar>
            <w:vAlign w:val="bottom"/>
            <w:hideMark/>
          </w:tcPr>
          <w:p w14:paraId="0AB9741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Notes payable and other borrowings, non-current:</w:t>
            </w:r>
          </w:p>
        </w:tc>
        <w:tc>
          <w:tcPr>
            <w:tcW w:w="373" w:type="dxa"/>
            <w:shd w:val="clear" w:color="auto" w:fill="FFFFFF"/>
            <w:tcMar>
              <w:top w:w="15" w:type="dxa"/>
              <w:left w:w="0" w:type="dxa"/>
              <w:bottom w:w="0" w:type="dxa"/>
              <w:right w:w="15" w:type="dxa"/>
            </w:tcMar>
            <w:vAlign w:val="bottom"/>
            <w:hideMark/>
          </w:tcPr>
          <w:p w14:paraId="07A7EB8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FFFFFF"/>
            <w:noWrap/>
            <w:tcMar>
              <w:top w:w="15" w:type="dxa"/>
              <w:left w:w="0" w:type="dxa"/>
              <w:bottom w:w="0" w:type="dxa"/>
              <w:right w:w="15" w:type="dxa"/>
            </w:tcMar>
            <w:vAlign w:val="bottom"/>
            <w:hideMark/>
          </w:tcPr>
          <w:p w14:paraId="50036A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shd w:val="clear" w:color="auto" w:fill="FFFFFF"/>
            <w:noWrap/>
            <w:tcMar>
              <w:top w:w="15" w:type="dxa"/>
              <w:left w:w="0" w:type="dxa"/>
              <w:bottom w:w="0" w:type="dxa"/>
              <w:right w:w="15" w:type="dxa"/>
            </w:tcMar>
            <w:vAlign w:val="bottom"/>
            <w:hideMark/>
          </w:tcPr>
          <w:p w14:paraId="2E2B662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08" w:type="dxa"/>
            <w:shd w:val="clear" w:color="auto" w:fill="FFFFFF"/>
            <w:noWrap/>
            <w:tcMar>
              <w:top w:w="15" w:type="dxa"/>
              <w:left w:w="0" w:type="dxa"/>
              <w:bottom w:w="0" w:type="dxa"/>
              <w:right w:w="15" w:type="dxa"/>
            </w:tcMar>
            <w:vAlign w:val="bottom"/>
            <w:hideMark/>
          </w:tcPr>
          <w:p w14:paraId="51FB2A5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73" w:type="dxa"/>
            <w:shd w:val="clear" w:color="auto" w:fill="FFFFFF"/>
            <w:tcMar>
              <w:top w:w="15" w:type="dxa"/>
              <w:left w:w="0" w:type="dxa"/>
              <w:bottom w:w="0" w:type="dxa"/>
              <w:right w:w="15" w:type="dxa"/>
            </w:tcMar>
            <w:vAlign w:val="bottom"/>
            <w:hideMark/>
          </w:tcPr>
          <w:p w14:paraId="2B93C6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FFFFFF"/>
            <w:noWrap/>
            <w:tcMar>
              <w:top w:w="15" w:type="dxa"/>
              <w:left w:w="0" w:type="dxa"/>
              <w:bottom w:w="0" w:type="dxa"/>
              <w:right w:w="15" w:type="dxa"/>
            </w:tcMar>
            <w:vAlign w:val="bottom"/>
            <w:hideMark/>
          </w:tcPr>
          <w:p w14:paraId="5F41BB4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shd w:val="clear" w:color="auto" w:fill="FFFFFF"/>
            <w:noWrap/>
            <w:tcMar>
              <w:top w:w="15" w:type="dxa"/>
              <w:left w:w="0" w:type="dxa"/>
              <w:bottom w:w="0" w:type="dxa"/>
              <w:right w:w="15" w:type="dxa"/>
            </w:tcMar>
            <w:vAlign w:val="bottom"/>
            <w:hideMark/>
          </w:tcPr>
          <w:p w14:paraId="77BB1B5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09" w:type="dxa"/>
            <w:shd w:val="clear" w:color="auto" w:fill="FFFFFF"/>
            <w:noWrap/>
            <w:tcMar>
              <w:top w:w="15" w:type="dxa"/>
              <w:left w:w="0" w:type="dxa"/>
              <w:bottom w:w="0" w:type="dxa"/>
              <w:right w:w="15" w:type="dxa"/>
            </w:tcMar>
            <w:vAlign w:val="bottom"/>
            <w:hideMark/>
          </w:tcPr>
          <w:p w14:paraId="6015A6E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65698D02" w14:textId="77777777" w:rsidTr="00141675">
        <w:tc>
          <w:tcPr>
            <w:tcW w:w="15358" w:type="dxa"/>
            <w:shd w:val="clear" w:color="auto" w:fill="CFF0FC"/>
            <w:tcMar>
              <w:top w:w="15" w:type="dxa"/>
              <w:left w:w="0" w:type="dxa"/>
              <w:bottom w:w="0" w:type="dxa"/>
              <w:right w:w="15" w:type="dxa"/>
            </w:tcMar>
            <w:vAlign w:val="bottom"/>
            <w:hideMark/>
          </w:tcPr>
          <w:p w14:paraId="7E66435A" w14:textId="77777777" w:rsidR="00141675" w:rsidRPr="00141675" w:rsidRDefault="00141675" w:rsidP="00141675">
            <w:pPr>
              <w:widowControl/>
              <w:ind w:left="27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Carrying amounts of hedged items</w:t>
            </w:r>
          </w:p>
        </w:tc>
        <w:tc>
          <w:tcPr>
            <w:tcW w:w="373" w:type="dxa"/>
            <w:shd w:val="clear" w:color="auto" w:fill="CFF0FC"/>
            <w:tcMar>
              <w:top w:w="15" w:type="dxa"/>
              <w:left w:w="0" w:type="dxa"/>
              <w:bottom w:w="0" w:type="dxa"/>
              <w:right w:w="15" w:type="dxa"/>
            </w:tcMar>
            <w:vAlign w:val="bottom"/>
            <w:hideMark/>
          </w:tcPr>
          <w:p w14:paraId="3432E13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CFF0FC"/>
            <w:noWrap/>
            <w:tcMar>
              <w:top w:w="15" w:type="dxa"/>
              <w:left w:w="0" w:type="dxa"/>
              <w:bottom w:w="0" w:type="dxa"/>
              <w:right w:w="15" w:type="dxa"/>
            </w:tcMar>
            <w:vAlign w:val="bottom"/>
            <w:hideMark/>
          </w:tcPr>
          <w:p w14:paraId="1EF7994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shd w:val="clear" w:color="auto" w:fill="CFF0FC"/>
            <w:noWrap/>
            <w:tcMar>
              <w:top w:w="15" w:type="dxa"/>
              <w:left w:w="0" w:type="dxa"/>
              <w:bottom w:w="0" w:type="dxa"/>
              <w:right w:w="15" w:type="dxa"/>
            </w:tcMar>
            <w:vAlign w:val="bottom"/>
            <w:hideMark/>
          </w:tcPr>
          <w:p w14:paraId="1BC03AD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3,653</w:t>
            </w:r>
          </w:p>
        </w:tc>
        <w:tc>
          <w:tcPr>
            <w:tcW w:w="208" w:type="dxa"/>
            <w:shd w:val="clear" w:color="auto" w:fill="CFF0FC"/>
            <w:noWrap/>
            <w:tcMar>
              <w:top w:w="15" w:type="dxa"/>
              <w:left w:w="0" w:type="dxa"/>
              <w:bottom w:w="0" w:type="dxa"/>
              <w:right w:w="15" w:type="dxa"/>
            </w:tcMar>
            <w:vAlign w:val="bottom"/>
            <w:hideMark/>
          </w:tcPr>
          <w:p w14:paraId="389F3D1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73" w:type="dxa"/>
            <w:shd w:val="clear" w:color="auto" w:fill="CFF0FC"/>
            <w:tcMar>
              <w:top w:w="15" w:type="dxa"/>
              <w:left w:w="0" w:type="dxa"/>
              <w:bottom w:w="0" w:type="dxa"/>
              <w:right w:w="15" w:type="dxa"/>
            </w:tcMar>
            <w:vAlign w:val="bottom"/>
            <w:hideMark/>
          </w:tcPr>
          <w:p w14:paraId="4FF6E75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CFF0FC"/>
            <w:noWrap/>
            <w:tcMar>
              <w:top w:w="15" w:type="dxa"/>
              <w:left w:w="0" w:type="dxa"/>
              <w:bottom w:w="0" w:type="dxa"/>
              <w:right w:w="15" w:type="dxa"/>
            </w:tcMar>
            <w:vAlign w:val="bottom"/>
            <w:hideMark/>
          </w:tcPr>
          <w:p w14:paraId="4E1665A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shd w:val="clear" w:color="auto" w:fill="CFF0FC"/>
            <w:noWrap/>
            <w:tcMar>
              <w:top w:w="15" w:type="dxa"/>
              <w:left w:w="0" w:type="dxa"/>
              <w:bottom w:w="0" w:type="dxa"/>
              <w:right w:w="15" w:type="dxa"/>
            </w:tcMar>
            <w:vAlign w:val="bottom"/>
            <w:hideMark/>
          </w:tcPr>
          <w:p w14:paraId="4C46781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3,652</w:t>
            </w:r>
          </w:p>
        </w:tc>
        <w:tc>
          <w:tcPr>
            <w:tcW w:w="209" w:type="dxa"/>
            <w:shd w:val="clear" w:color="auto" w:fill="CFF0FC"/>
            <w:noWrap/>
            <w:tcMar>
              <w:top w:w="15" w:type="dxa"/>
              <w:left w:w="0" w:type="dxa"/>
              <w:bottom w:w="0" w:type="dxa"/>
              <w:right w:w="15" w:type="dxa"/>
            </w:tcMar>
            <w:vAlign w:val="bottom"/>
            <w:hideMark/>
          </w:tcPr>
          <w:p w14:paraId="467A85B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50FFB4E7" w14:textId="77777777" w:rsidTr="00141675">
        <w:tc>
          <w:tcPr>
            <w:tcW w:w="15358" w:type="dxa"/>
            <w:shd w:val="clear" w:color="auto" w:fill="FFFFFF"/>
            <w:tcMar>
              <w:top w:w="15" w:type="dxa"/>
              <w:left w:w="0" w:type="dxa"/>
              <w:bottom w:w="0" w:type="dxa"/>
              <w:right w:w="15" w:type="dxa"/>
            </w:tcMar>
            <w:vAlign w:val="bottom"/>
            <w:hideMark/>
          </w:tcPr>
          <w:p w14:paraId="1D536E67" w14:textId="77777777" w:rsidR="00141675" w:rsidRPr="00141675" w:rsidRDefault="00141675" w:rsidP="00141675">
            <w:pPr>
              <w:widowControl/>
              <w:ind w:left="27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Cumulative hedging adjustments included in the carrying amount</w:t>
            </w:r>
          </w:p>
        </w:tc>
        <w:tc>
          <w:tcPr>
            <w:tcW w:w="373" w:type="dxa"/>
            <w:shd w:val="clear" w:color="auto" w:fill="FFFFFF"/>
            <w:tcMar>
              <w:top w:w="15" w:type="dxa"/>
              <w:left w:w="0" w:type="dxa"/>
              <w:bottom w:w="0" w:type="dxa"/>
              <w:right w:w="15" w:type="dxa"/>
            </w:tcMar>
            <w:vAlign w:val="bottom"/>
            <w:hideMark/>
          </w:tcPr>
          <w:p w14:paraId="24BF35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FFFFFF"/>
            <w:noWrap/>
            <w:tcMar>
              <w:top w:w="15" w:type="dxa"/>
              <w:left w:w="0" w:type="dxa"/>
              <w:bottom w:w="0" w:type="dxa"/>
              <w:right w:w="15" w:type="dxa"/>
            </w:tcMar>
            <w:vAlign w:val="bottom"/>
            <w:hideMark/>
          </w:tcPr>
          <w:p w14:paraId="567D891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shd w:val="clear" w:color="auto" w:fill="FFFFFF"/>
            <w:noWrap/>
            <w:tcMar>
              <w:top w:w="15" w:type="dxa"/>
              <w:left w:w="0" w:type="dxa"/>
              <w:bottom w:w="0" w:type="dxa"/>
              <w:right w:w="15" w:type="dxa"/>
            </w:tcMar>
            <w:vAlign w:val="bottom"/>
            <w:hideMark/>
          </w:tcPr>
          <w:p w14:paraId="2900699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44</w:t>
            </w:r>
          </w:p>
        </w:tc>
        <w:tc>
          <w:tcPr>
            <w:tcW w:w="208" w:type="dxa"/>
            <w:shd w:val="clear" w:color="auto" w:fill="FFFFFF"/>
            <w:noWrap/>
            <w:tcMar>
              <w:top w:w="15" w:type="dxa"/>
              <w:left w:w="0" w:type="dxa"/>
              <w:bottom w:w="0" w:type="dxa"/>
              <w:right w:w="15" w:type="dxa"/>
            </w:tcMar>
            <w:vAlign w:val="bottom"/>
            <w:hideMark/>
          </w:tcPr>
          <w:p w14:paraId="0FDF3E2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73" w:type="dxa"/>
            <w:shd w:val="clear" w:color="auto" w:fill="FFFFFF"/>
            <w:tcMar>
              <w:top w:w="15" w:type="dxa"/>
              <w:left w:w="0" w:type="dxa"/>
              <w:bottom w:w="0" w:type="dxa"/>
              <w:right w:w="15" w:type="dxa"/>
            </w:tcMar>
            <w:vAlign w:val="bottom"/>
            <w:hideMark/>
          </w:tcPr>
          <w:p w14:paraId="025FA9B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08" w:type="dxa"/>
            <w:shd w:val="clear" w:color="auto" w:fill="FFFFFF"/>
            <w:noWrap/>
            <w:tcMar>
              <w:top w:w="15" w:type="dxa"/>
              <w:left w:w="0" w:type="dxa"/>
              <w:bottom w:w="0" w:type="dxa"/>
              <w:right w:w="15" w:type="dxa"/>
            </w:tcMar>
            <w:vAlign w:val="bottom"/>
            <w:hideMark/>
          </w:tcPr>
          <w:p w14:paraId="2AFECB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771" w:type="dxa"/>
            <w:shd w:val="clear" w:color="auto" w:fill="FFFFFF"/>
            <w:noWrap/>
            <w:tcMar>
              <w:top w:w="15" w:type="dxa"/>
              <w:left w:w="0" w:type="dxa"/>
              <w:bottom w:w="0" w:type="dxa"/>
              <w:right w:w="15" w:type="dxa"/>
            </w:tcMar>
            <w:vAlign w:val="bottom"/>
            <w:hideMark/>
          </w:tcPr>
          <w:p w14:paraId="0BE4821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44</w:t>
            </w:r>
          </w:p>
        </w:tc>
        <w:tc>
          <w:tcPr>
            <w:tcW w:w="209" w:type="dxa"/>
            <w:shd w:val="clear" w:color="auto" w:fill="FFFFFF"/>
            <w:noWrap/>
            <w:tcMar>
              <w:top w:w="15" w:type="dxa"/>
              <w:left w:w="0" w:type="dxa"/>
              <w:bottom w:w="0" w:type="dxa"/>
              <w:right w:w="15" w:type="dxa"/>
            </w:tcMar>
            <w:vAlign w:val="bottom"/>
            <w:hideMark/>
          </w:tcPr>
          <w:p w14:paraId="585F0996"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7CCBF3F5" w14:textId="77777777" w:rsidR="00141675" w:rsidRPr="00141675" w:rsidRDefault="00141675" w:rsidP="00141675">
      <w:pPr>
        <w:widowControl/>
        <w:rPr>
          <w:rFonts w:ascii="Times New Roman" w:eastAsia="宋体" w:hAnsi="Times New Roman" w:cs="Times New Roman"/>
          <w:b/>
          <w:bCs/>
          <w:kern w:val="0"/>
          <w:sz w:val="24"/>
          <w:szCs w:val="24"/>
        </w:rPr>
      </w:pPr>
      <w:r w:rsidRPr="00141675">
        <w:rPr>
          <w:rFonts w:ascii="Times New Roman" w:eastAsia="宋体" w:hAnsi="Times New Roman" w:cs="Times New Roman"/>
          <w:b/>
          <w:bCs/>
          <w:kern w:val="0"/>
          <w:sz w:val="24"/>
          <w:szCs w:val="24"/>
        </w:rPr>
        <w:t> </w:t>
      </w:r>
    </w:p>
    <w:p w14:paraId="375AE961"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p w14:paraId="35B7ECF4"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553A32FA">
          <v:rect id="_x0000_i1042" style="width:0;height:1.5pt" o:hralign="center" o:hrstd="t" o:hrnoshade="t" o:hr="t" fillcolor="black" stroked="f"/>
        </w:pict>
      </w:r>
    </w:p>
    <w:p w14:paraId="6C0A27C0" w14:textId="77777777" w:rsidR="00141675" w:rsidRPr="00141675" w:rsidRDefault="00141675" w:rsidP="00141675">
      <w:pPr>
        <w:widowControl/>
        <w:jc w:val="left"/>
        <w:rPr>
          <w:rFonts w:ascii="Calibri" w:eastAsia="宋体" w:hAnsi="Calibri" w:cs="Calibri"/>
          <w:b/>
          <w:bCs/>
          <w:color w:val="000000"/>
          <w:kern w:val="0"/>
          <w:sz w:val="20"/>
          <w:szCs w:val="20"/>
        </w:rPr>
      </w:pPr>
      <w:hyperlink r:id="rId39" w:anchor="TABLE_CONTENTS" w:history="1">
        <w:r w:rsidRPr="00141675">
          <w:rPr>
            <w:rFonts w:ascii="Calibri" w:eastAsia="宋体" w:hAnsi="Calibri" w:cs="Calibri"/>
            <w:b/>
            <w:bCs/>
            <w:color w:val="0000FF"/>
            <w:kern w:val="0"/>
            <w:sz w:val="20"/>
            <w:szCs w:val="20"/>
            <w:u w:val="single"/>
          </w:rPr>
          <w:t>Table of Contents</w:t>
        </w:r>
      </w:hyperlink>
    </w:p>
    <w:p w14:paraId="5CA3EC28"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17A79AAB"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13E54753"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5DEDED47"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0BB4AA7E"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2CFD5441"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0D960919" w14:textId="77777777" w:rsidR="00141675" w:rsidRPr="00141675" w:rsidRDefault="00141675" w:rsidP="00141675">
      <w:pPr>
        <w:widowControl/>
        <w:spacing w:before="40"/>
        <w:rPr>
          <w:rFonts w:ascii="Calibri" w:eastAsia="宋体" w:hAnsi="Calibri" w:cs="Calibri"/>
          <w:b/>
          <w:bCs/>
          <w:kern w:val="0"/>
          <w:sz w:val="20"/>
          <w:szCs w:val="20"/>
        </w:rPr>
      </w:pPr>
      <w:r w:rsidRPr="00141675">
        <w:rPr>
          <w:rFonts w:ascii="Calibri" w:eastAsia="宋体" w:hAnsi="Calibri" w:cs="Calibri"/>
          <w:b/>
          <w:bCs/>
          <w:kern w:val="0"/>
          <w:sz w:val="20"/>
          <w:szCs w:val="20"/>
        </w:rPr>
        <w:t>Effects of Derivative Instruments Designated as Hedges on Income</w:t>
      </w:r>
    </w:p>
    <w:p w14:paraId="4FE7C27F" w14:textId="77777777" w:rsidR="00141675" w:rsidRPr="00141675" w:rsidRDefault="00141675" w:rsidP="00141675">
      <w:pPr>
        <w:widowControl/>
        <w:rPr>
          <w:rFonts w:ascii="Times New Roman" w:eastAsia="宋体" w:hAnsi="Times New Roman" w:cs="Times New Roman"/>
          <w:b/>
          <w:bCs/>
          <w:kern w:val="0"/>
          <w:sz w:val="16"/>
          <w:szCs w:val="16"/>
        </w:rPr>
      </w:pPr>
      <w:r w:rsidRPr="00141675">
        <w:rPr>
          <w:rFonts w:ascii="Times New Roman" w:eastAsia="宋体" w:hAnsi="Times New Roman" w:cs="Times New Roman"/>
          <w:b/>
          <w:bCs/>
          <w:kern w:val="0"/>
          <w:sz w:val="16"/>
          <w:szCs w:val="16"/>
        </w:rPr>
        <w:t> </w:t>
      </w:r>
    </w:p>
    <w:tbl>
      <w:tblPr>
        <w:tblW w:w="20614" w:type="dxa"/>
        <w:tblCellMar>
          <w:left w:w="0" w:type="dxa"/>
          <w:right w:w="0" w:type="dxa"/>
        </w:tblCellMar>
        <w:tblLook w:val="04A0" w:firstRow="1" w:lastRow="0" w:firstColumn="1" w:lastColumn="0" w:noHBand="0" w:noVBand="1"/>
      </w:tblPr>
      <w:tblGrid>
        <w:gridCol w:w="9799"/>
        <w:gridCol w:w="134"/>
        <w:gridCol w:w="199"/>
        <w:gridCol w:w="2274"/>
        <w:gridCol w:w="199"/>
        <w:gridCol w:w="134"/>
        <w:gridCol w:w="199"/>
        <w:gridCol w:w="2047"/>
        <w:gridCol w:w="199"/>
        <w:gridCol w:w="134"/>
        <w:gridCol w:w="199"/>
        <w:gridCol w:w="2274"/>
        <w:gridCol w:w="199"/>
        <w:gridCol w:w="134"/>
        <w:gridCol w:w="199"/>
        <w:gridCol w:w="2091"/>
        <w:gridCol w:w="200"/>
      </w:tblGrid>
      <w:tr w:rsidR="00141675" w:rsidRPr="00141675" w14:paraId="5E3210BB" w14:textId="77777777" w:rsidTr="00141675">
        <w:tc>
          <w:tcPr>
            <w:tcW w:w="9803" w:type="dxa"/>
            <w:shd w:val="clear" w:color="auto" w:fill="FFFFFF"/>
            <w:tcMar>
              <w:top w:w="15" w:type="dxa"/>
              <w:left w:w="0" w:type="dxa"/>
              <w:bottom w:w="0" w:type="dxa"/>
              <w:right w:w="15" w:type="dxa"/>
            </w:tcMar>
            <w:vAlign w:val="bottom"/>
            <w:hideMark/>
          </w:tcPr>
          <w:p w14:paraId="091D67BE"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134" w:type="dxa"/>
            <w:shd w:val="clear" w:color="auto" w:fill="FFFFFF"/>
            <w:tcMar>
              <w:top w:w="15" w:type="dxa"/>
              <w:left w:w="0" w:type="dxa"/>
              <w:bottom w:w="0" w:type="dxa"/>
              <w:right w:w="15" w:type="dxa"/>
            </w:tcMar>
            <w:vAlign w:val="bottom"/>
            <w:hideMark/>
          </w:tcPr>
          <w:p w14:paraId="4821A330"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10425" w:type="dxa"/>
            <w:gridSpan w:val="14"/>
            <w:tcBorders>
              <w:bottom w:val="single" w:sz="6" w:space="0" w:color="000000"/>
            </w:tcBorders>
            <w:shd w:val="clear" w:color="auto" w:fill="FFFFFF"/>
            <w:tcMar>
              <w:top w:w="15" w:type="dxa"/>
              <w:left w:w="0" w:type="dxa"/>
              <w:bottom w:w="0" w:type="dxa"/>
              <w:right w:w="15" w:type="dxa"/>
            </w:tcMar>
            <w:vAlign w:val="bottom"/>
            <w:hideMark/>
          </w:tcPr>
          <w:p w14:paraId="4D7E46F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2" w:type="dxa"/>
            <w:shd w:val="clear" w:color="auto" w:fill="FFFFFF"/>
            <w:noWrap/>
            <w:tcMar>
              <w:top w:w="15" w:type="dxa"/>
              <w:left w:w="0" w:type="dxa"/>
              <w:bottom w:w="0" w:type="dxa"/>
              <w:right w:w="15" w:type="dxa"/>
            </w:tcMar>
            <w:vAlign w:val="bottom"/>
            <w:hideMark/>
          </w:tcPr>
          <w:p w14:paraId="0076875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E879DFA" w14:textId="77777777" w:rsidTr="00141675">
        <w:tc>
          <w:tcPr>
            <w:tcW w:w="9803" w:type="dxa"/>
            <w:shd w:val="clear" w:color="auto" w:fill="FFFFFF"/>
            <w:tcMar>
              <w:top w:w="15" w:type="dxa"/>
              <w:left w:w="0" w:type="dxa"/>
              <w:bottom w:w="0" w:type="dxa"/>
              <w:right w:w="15" w:type="dxa"/>
            </w:tcMar>
            <w:vAlign w:val="bottom"/>
            <w:hideMark/>
          </w:tcPr>
          <w:p w14:paraId="41B8BBC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lastRenderedPageBreak/>
              <w:t> </w:t>
            </w:r>
          </w:p>
        </w:tc>
        <w:tc>
          <w:tcPr>
            <w:tcW w:w="134" w:type="dxa"/>
            <w:shd w:val="clear" w:color="auto" w:fill="FFFFFF"/>
            <w:tcMar>
              <w:top w:w="15" w:type="dxa"/>
              <w:left w:w="0" w:type="dxa"/>
              <w:bottom w:w="0" w:type="dxa"/>
              <w:right w:w="15" w:type="dxa"/>
            </w:tcMar>
            <w:vAlign w:val="bottom"/>
            <w:hideMark/>
          </w:tcPr>
          <w:p w14:paraId="6708075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5028"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0FB80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814C42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34" w:type="dxa"/>
            <w:tcBorders>
              <w:top w:val="single" w:sz="6" w:space="0" w:color="000000"/>
            </w:tcBorders>
            <w:shd w:val="clear" w:color="auto" w:fill="FFFFFF"/>
            <w:tcMar>
              <w:top w:w="15" w:type="dxa"/>
              <w:left w:w="0" w:type="dxa"/>
              <w:bottom w:w="0" w:type="dxa"/>
              <w:right w:w="15" w:type="dxa"/>
            </w:tcMar>
            <w:vAlign w:val="bottom"/>
            <w:hideMark/>
          </w:tcPr>
          <w:p w14:paraId="1FB7036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5028"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B0A9FC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1A127F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2E4ADAF5" w14:textId="77777777" w:rsidTr="00141675">
        <w:tc>
          <w:tcPr>
            <w:tcW w:w="9803" w:type="dxa"/>
            <w:tcBorders>
              <w:bottom w:val="single" w:sz="6" w:space="0" w:color="000000"/>
            </w:tcBorders>
            <w:shd w:val="clear" w:color="auto" w:fill="FFFFFF"/>
            <w:tcMar>
              <w:top w:w="15" w:type="dxa"/>
              <w:left w:w="0" w:type="dxa"/>
              <w:bottom w:w="0" w:type="dxa"/>
              <w:right w:w="15" w:type="dxa"/>
            </w:tcMar>
            <w:vAlign w:val="bottom"/>
            <w:hideMark/>
          </w:tcPr>
          <w:p w14:paraId="43C458E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134" w:type="dxa"/>
            <w:shd w:val="clear" w:color="auto" w:fill="FFFFFF"/>
            <w:tcMar>
              <w:top w:w="15" w:type="dxa"/>
              <w:left w:w="0" w:type="dxa"/>
              <w:bottom w:w="0" w:type="dxa"/>
              <w:right w:w="15" w:type="dxa"/>
            </w:tcMar>
            <w:vAlign w:val="bottom"/>
            <w:hideMark/>
          </w:tcPr>
          <w:p w14:paraId="5E93BB5C"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246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8794A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Non-operating</w:t>
            </w:r>
          </w:p>
          <w:p w14:paraId="405EE1E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income, net</w:t>
            </w:r>
          </w:p>
        </w:tc>
        <w:tc>
          <w:tcPr>
            <w:tcW w:w="191" w:type="dxa"/>
            <w:shd w:val="clear" w:color="auto" w:fill="FFFFFF"/>
            <w:noWrap/>
            <w:tcMar>
              <w:top w:w="15" w:type="dxa"/>
              <w:left w:w="0" w:type="dxa"/>
              <w:bottom w:w="0" w:type="dxa"/>
              <w:right w:w="15" w:type="dxa"/>
            </w:tcMar>
            <w:vAlign w:val="bottom"/>
            <w:hideMark/>
          </w:tcPr>
          <w:p w14:paraId="130C16F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34" w:type="dxa"/>
            <w:tcBorders>
              <w:top w:val="single" w:sz="6" w:space="0" w:color="000000"/>
            </w:tcBorders>
            <w:shd w:val="clear" w:color="auto" w:fill="FFFFFF"/>
            <w:tcMar>
              <w:top w:w="15" w:type="dxa"/>
              <w:left w:w="0" w:type="dxa"/>
              <w:bottom w:w="0" w:type="dxa"/>
              <w:right w:w="15" w:type="dxa"/>
            </w:tcMar>
            <w:vAlign w:val="bottom"/>
            <w:hideMark/>
          </w:tcPr>
          <w:p w14:paraId="51DA7566"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219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D6983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Interest</w:t>
            </w:r>
          </w:p>
          <w:p w14:paraId="7799EE0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expense</w:t>
            </w:r>
          </w:p>
        </w:tc>
        <w:tc>
          <w:tcPr>
            <w:tcW w:w="191" w:type="dxa"/>
            <w:shd w:val="clear" w:color="auto" w:fill="FFFFFF"/>
            <w:noWrap/>
            <w:tcMar>
              <w:top w:w="15" w:type="dxa"/>
              <w:left w:w="0" w:type="dxa"/>
              <w:bottom w:w="0" w:type="dxa"/>
              <w:right w:w="15" w:type="dxa"/>
            </w:tcMar>
            <w:vAlign w:val="bottom"/>
            <w:hideMark/>
          </w:tcPr>
          <w:p w14:paraId="674DC5B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34" w:type="dxa"/>
            <w:shd w:val="clear" w:color="auto" w:fill="FFFFFF"/>
            <w:tcMar>
              <w:top w:w="15" w:type="dxa"/>
              <w:left w:w="0" w:type="dxa"/>
              <w:bottom w:w="0" w:type="dxa"/>
              <w:right w:w="15" w:type="dxa"/>
            </w:tcMar>
            <w:vAlign w:val="bottom"/>
            <w:hideMark/>
          </w:tcPr>
          <w:p w14:paraId="2DA77785"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246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A0E1F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Non-operating</w:t>
            </w:r>
          </w:p>
          <w:p w14:paraId="1309807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income, net</w:t>
            </w:r>
          </w:p>
        </w:tc>
        <w:tc>
          <w:tcPr>
            <w:tcW w:w="191" w:type="dxa"/>
            <w:shd w:val="clear" w:color="auto" w:fill="FFFFFF"/>
            <w:noWrap/>
            <w:tcMar>
              <w:top w:w="15" w:type="dxa"/>
              <w:left w:w="0" w:type="dxa"/>
              <w:bottom w:w="0" w:type="dxa"/>
              <w:right w:w="15" w:type="dxa"/>
            </w:tcMar>
            <w:vAlign w:val="bottom"/>
            <w:hideMark/>
          </w:tcPr>
          <w:p w14:paraId="6E9351B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34" w:type="dxa"/>
            <w:tcBorders>
              <w:top w:val="single" w:sz="6" w:space="0" w:color="000000"/>
            </w:tcBorders>
            <w:shd w:val="clear" w:color="auto" w:fill="FFFFFF"/>
            <w:tcMar>
              <w:top w:w="15" w:type="dxa"/>
              <w:left w:w="0" w:type="dxa"/>
              <w:bottom w:w="0" w:type="dxa"/>
              <w:right w:w="15" w:type="dxa"/>
            </w:tcMar>
            <w:vAlign w:val="bottom"/>
            <w:hideMark/>
          </w:tcPr>
          <w:p w14:paraId="24B2C18F"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219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B849F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Interest</w:t>
            </w:r>
          </w:p>
          <w:p w14:paraId="50FA595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expense</w:t>
            </w:r>
          </w:p>
        </w:tc>
        <w:tc>
          <w:tcPr>
            <w:tcW w:w="192" w:type="dxa"/>
            <w:shd w:val="clear" w:color="auto" w:fill="FFFFFF"/>
            <w:noWrap/>
            <w:tcMar>
              <w:top w:w="15" w:type="dxa"/>
              <w:left w:w="0" w:type="dxa"/>
              <w:bottom w:w="0" w:type="dxa"/>
              <w:right w:w="15" w:type="dxa"/>
            </w:tcMar>
            <w:vAlign w:val="bottom"/>
            <w:hideMark/>
          </w:tcPr>
          <w:p w14:paraId="2F42BC9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5534A3D3" w14:textId="77777777" w:rsidTr="00141675">
        <w:tc>
          <w:tcPr>
            <w:tcW w:w="9803" w:type="dxa"/>
            <w:tcBorders>
              <w:top w:val="single" w:sz="6" w:space="0" w:color="000000"/>
            </w:tcBorders>
            <w:shd w:val="clear" w:color="auto" w:fill="CFF0FC"/>
            <w:tcMar>
              <w:top w:w="15" w:type="dxa"/>
              <w:left w:w="0" w:type="dxa"/>
              <w:bottom w:w="0" w:type="dxa"/>
              <w:right w:w="15" w:type="dxa"/>
            </w:tcMar>
            <w:vAlign w:val="bottom"/>
            <w:hideMark/>
          </w:tcPr>
          <w:p w14:paraId="08BEAF84" w14:textId="77777777" w:rsidR="00141675" w:rsidRPr="00141675" w:rsidRDefault="00141675" w:rsidP="00141675">
            <w:pPr>
              <w:widowControl/>
              <w:ind w:left="144"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Condensed consolidated statements of operations line amounts in which the hedge effects were recorded</w:t>
            </w:r>
          </w:p>
        </w:tc>
        <w:tc>
          <w:tcPr>
            <w:tcW w:w="134" w:type="dxa"/>
            <w:shd w:val="clear" w:color="auto" w:fill="CFF0FC"/>
            <w:tcMar>
              <w:top w:w="15" w:type="dxa"/>
              <w:left w:w="0" w:type="dxa"/>
              <w:bottom w:w="0" w:type="dxa"/>
              <w:right w:w="15" w:type="dxa"/>
            </w:tcMar>
            <w:vAlign w:val="bottom"/>
            <w:hideMark/>
          </w:tcPr>
          <w:p w14:paraId="16600B8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DA648A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3EF58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92</w:t>
            </w:r>
          </w:p>
        </w:tc>
        <w:tc>
          <w:tcPr>
            <w:tcW w:w="191" w:type="dxa"/>
            <w:shd w:val="clear" w:color="auto" w:fill="CFF0FC"/>
            <w:noWrap/>
            <w:tcMar>
              <w:top w:w="15" w:type="dxa"/>
              <w:left w:w="0" w:type="dxa"/>
              <w:bottom w:w="0" w:type="dxa"/>
              <w:right w:w="15" w:type="dxa"/>
            </w:tcMar>
            <w:vAlign w:val="bottom"/>
            <w:hideMark/>
          </w:tcPr>
          <w:p w14:paraId="5D5D3B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5CD348E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A19B2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2C9954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(465</w:t>
            </w:r>
          </w:p>
        </w:tc>
        <w:tc>
          <w:tcPr>
            <w:tcW w:w="191" w:type="dxa"/>
            <w:shd w:val="clear" w:color="auto" w:fill="CFF0FC"/>
            <w:noWrap/>
            <w:tcMar>
              <w:top w:w="15" w:type="dxa"/>
              <w:left w:w="0" w:type="dxa"/>
              <w:bottom w:w="0" w:type="dxa"/>
              <w:right w:w="15" w:type="dxa"/>
            </w:tcMar>
            <w:vAlign w:val="bottom"/>
            <w:hideMark/>
          </w:tcPr>
          <w:p w14:paraId="4A6FF55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442502A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AE44D0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6D2AB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192</w:t>
            </w:r>
          </w:p>
        </w:tc>
        <w:tc>
          <w:tcPr>
            <w:tcW w:w="191" w:type="dxa"/>
            <w:shd w:val="clear" w:color="auto" w:fill="CFF0FC"/>
            <w:noWrap/>
            <w:tcMar>
              <w:top w:w="15" w:type="dxa"/>
              <w:left w:w="0" w:type="dxa"/>
              <w:bottom w:w="0" w:type="dxa"/>
              <w:right w:w="15" w:type="dxa"/>
            </w:tcMar>
            <w:vAlign w:val="bottom"/>
            <w:hideMark/>
          </w:tcPr>
          <w:p w14:paraId="0E0C886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11D9635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C4892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CE456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(519</w:t>
            </w:r>
          </w:p>
        </w:tc>
        <w:tc>
          <w:tcPr>
            <w:tcW w:w="192" w:type="dxa"/>
            <w:shd w:val="clear" w:color="auto" w:fill="CFF0FC"/>
            <w:noWrap/>
            <w:tcMar>
              <w:top w:w="15" w:type="dxa"/>
              <w:left w:w="0" w:type="dxa"/>
              <w:bottom w:w="0" w:type="dxa"/>
              <w:right w:w="15" w:type="dxa"/>
            </w:tcMar>
            <w:vAlign w:val="bottom"/>
            <w:hideMark/>
          </w:tcPr>
          <w:p w14:paraId="0D496F0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65251720" w14:textId="77777777" w:rsidTr="00141675">
        <w:tc>
          <w:tcPr>
            <w:tcW w:w="9803" w:type="dxa"/>
            <w:shd w:val="clear" w:color="auto" w:fill="FFFFFF"/>
            <w:tcMar>
              <w:top w:w="15" w:type="dxa"/>
              <w:left w:w="0" w:type="dxa"/>
              <w:bottom w:w="0" w:type="dxa"/>
              <w:right w:w="15" w:type="dxa"/>
            </w:tcMar>
            <w:vAlign w:val="bottom"/>
            <w:hideMark/>
          </w:tcPr>
          <w:p w14:paraId="5F7DB86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Gain (loss) on hedges recognized in income:</w:t>
            </w:r>
          </w:p>
        </w:tc>
        <w:tc>
          <w:tcPr>
            <w:tcW w:w="134" w:type="dxa"/>
            <w:shd w:val="clear" w:color="auto" w:fill="FFFFFF"/>
            <w:tcMar>
              <w:top w:w="15" w:type="dxa"/>
              <w:left w:w="0" w:type="dxa"/>
              <w:bottom w:w="0" w:type="dxa"/>
              <w:right w:w="15" w:type="dxa"/>
            </w:tcMar>
            <w:vAlign w:val="bottom"/>
            <w:hideMark/>
          </w:tcPr>
          <w:p w14:paraId="751857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41D095C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tcBorders>
              <w:top w:val="double" w:sz="6" w:space="0" w:color="000000"/>
            </w:tcBorders>
            <w:shd w:val="clear" w:color="auto" w:fill="FFFFFF"/>
            <w:noWrap/>
            <w:tcMar>
              <w:top w:w="15" w:type="dxa"/>
              <w:left w:w="0" w:type="dxa"/>
              <w:bottom w:w="0" w:type="dxa"/>
              <w:right w:w="15" w:type="dxa"/>
            </w:tcMar>
            <w:vAlign w:val="bottom"/>
            <w:hideMark/>
          </w:tcPr>
          <w:p w14:paraId="7A0F613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B10637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7EC50EA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68D09DA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tcBorders>
              <w:top w:val="double" w:sz="6" w:space="0" w:color="000000"/>
            </w:tcBorders>
            <w:shd w:val="clear" w:color="auto" w:fill="FFFFFF"/>
            <w:noWrap/>
            <w:tcMar>
              <w:top w:w="15" w:type="dxa"/>
              <w:left w:w="0" w:type="dxa"/>
              <w:bottom w:w="0" w:type="dxa"/>
              <w:right w:w="15" w:type="dxa"/>
            </w:tcMar>
            <w:vAlign w:val="bottom"/>
            <w:hideMark/>
          </w:tcPr>
          <w:p w14:paraId="263DAA8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6C3A4C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3A94644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69D8657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tcBorders>
              <w:top w:val="double" w:sz="6" w:space="0" w:color="000000"/>
            </w:tcBorders>
            <w:shd w:val="clear" w:color="auto" w:fill="FFFFFF"/>
            <w:noWrap/>
            <w:tcMar>
              <w:top w:w="15" w:type="dxa"/>
              <w:left w:w="0" w:type="dxa"/>
              <w:bottom w:w="0" w:type="dxa"/>
              <w:right w:w="15" w:type="dxa"/>
            </w:tcMar>
            <w:vAlign w:val="bottom"/>
            <w:hideMark/>
          </w:tcPr>
          <w:p w14:paraId="2DB9665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C98D95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4ED703D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29BA7CF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tcBorders>
              <w:top w:val="double" w:sz="6" w:space="0" w:color="000000"/>
            </w:tcBorders>
            <w:shd w:val="clear" w:color="auto" w:fill="FFFFFF"/>
            <w:noWrap/>
            <w:tcMar>
              <w:top w:w="15" w:type="dxa"/>
              <w:left w:w="0" w:type="dxa"/>
              <w:bottom w:w="0" w:type="dxa"/>
              <w:right w:w="15" w:type="dxa"/>
            </w:tcMar>
            <w:vAlign w:val="bottom"/>
            <w:hideMark/>
          </w:tcPr>
          <w:p w14:paraId="7259A66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745111C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662D7EED" w14:textId="77777777" w:rsidTr="00141675">
        <w:tc>
          <w:tcPr>
            <w:tcW w:w="9803" w:type="dxa"/>
            <w:shd w:val="clear" w:color="auto" w:fill="CFF0FC"/>
            <w:tcMar>
              <w:top w:w="15" w:type="dxa"/>
              <w:left w:w="0" w:type="dxa"/>
              <w:bottom w:w="0" w:type="dxa"/>
              <w:right w:w="15" w:type="dxa"/>
            </w:tcMar>
            <w:vAlign w:val="bottom"/>
            <w:hideMark/>
          </w:tcPr>
          <w:p w14:paraId="5AF51A3D" w14:textId="77777777" w:rsidR="00141675" w:rsidRPr="00141675" w:rsidRDefault="00141675" w:rsidP="00141675">
            <w:pPr>
              <w:widowControl/>
              <w:ind w:left="27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Interest rate swaps designated as fair value hedges:</w:t>
            </w:r>
          </w:p>
        </w:tc>
        <w:tc>
          <w:tcPr>
            <w:tcW w:w="134" w:type="dxa"/>
            <w:shd w:val="clear" w:color="auto" w:fill="CFF0FC"/>
            <w:tcMar>
              <w:top w:w="15" w:type="dxa"/>
              <w:left w:w="0" w:type="dxa"/>
              <w:bottom w:w="0" w:type="dxa"/>
              <w:right w:w="15" w:type="dxa"/>
            </w:tcMar>
            <w:vAlign w:val="bottom"/>
            <w:hideMark/>
          </w:tcPr>
          <w:p w14:paraId="07FC7A6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BF10FB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69F3FBA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00AF7C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4FD0AEF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3D5F90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12BE4D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9B841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1CBDFA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F390AC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0A5E8EB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894EA7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33F328E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275DC3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4E8D4AA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1D76808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7DF12EE4" w14:textId="77777777" w:rsidTr="00141675">
        <w:tc>
          <w:tcPr>
            <w:tcW w:w="9803" w:type="dxa"/>
            <w:shd w:val="clear" w:color="auto" w:fill="FFFFFF"/>
            <w:tcMar>
              <w:top w:w="15" w:type="dxa"/>
              <w:left w:w="0" w:type="dxa"/>
              <w:bottom w:w="0" w:type="dxa"/>
              <w:right w:w="15" w:type="dxa"/>
            </w:tcMar>
            <w:vAlign w:val="bottom"/>
            <w:hideMark/>
          </w:tcPr>
          <w:p w14:paraId="7A6B39AA" w14:textId="77777777" w:rsidR="00141675" w:rsidRPr="00141675" w:rsidRDefault="00141675" w:rsidP="00141675">
            <w:pPr>
              <w:widowControl/>
              <w:ind w:left="547"/>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Derivative instruments</w:t>
            </w:r>
          </w:p>
        </w:tc>
        <w:tc>
          <w:tcPr>
            <w:tcW w:w="134" w:type="dxa"/>
            <w:shd w:val="clear" w:color="auto" w:fill="FFFFFF"/>
            <w:tcMar>
              <w:top w:w="15" w:type="dxa"/>
              <w:left w:w="0" w:type="dxa"/>
              <w:bottom w:w="0" w:type="dxa"/>
              <w:right w:w="15" w:type="dxa"/>
            </w:tcMar>
            <w:vAlign w:val="bottom"/>
            <w:hideMark/>
          </w:tcPr>
          <w:p w14:paraId="7E901A5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94FE89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shd w:val="clear" w:color="auto" w:fill="FFFFFF"/>
            <w:noWrap/>
            <w:tcMar>
              <w:top w:w="15" w:type="dxa"/>
              <w:left w:w="0" w:type="dxa"/>
              <w:bottom w:w="0" w:type="dxa"/>
              <w:right w:w="15" w:type="dxa"/>
            </w:tcMar>
            <w:vAlign w:val="bottom"/>
            <w:hideMark/>
          </w:tcPr>
          <w:p w14:paraId="099B4A2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25790E9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30318ED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840F19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shd w:val="clear" w:color="auto" w:fill="FFFFFF"/>
            <w:noWrap/>
            <w:tcMar>
              <w:top w:w="15" w:type="dxa"/>
              <w:left w:w="0" w:type="dxa"/>
              <w:bottom w:w="0" w:type="dxa"/>
              <w:right w:w="15" w:type="dxa"/>
            </w:tcMar>
            <w:vAlign w:val="bottom"/>
            <w:hideMark/>
          </w:tcPr>
          <w:p w14:paraId="6E803B5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191" w:type="dxa"/>
            <w:shd w:val="clear" w:color="auto" w:fill="FFFFFF"/>
            <w:noWrap/>
            <w:tcMar>
              <w:top w:w="15" w:type="dxa"/>
              <w:left w:w="0" w:type="dxa"/>
              <w:bottom w:w="0" w:type="dxa"/>
              <w:right w:w="15" w:type="dxa"/>
            </w:tcMar>
            <w:vAlign w:val="bottom"/>
            <w:hideMark/>
          </w:tcPr>
          <w:p w14:paraId="48724A0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FFFFFF"/>
            <w:tcMar>
              <w:top w:w="15" w:type="dxa"/>
              <w:left w:w="0" w:type="dxa"/>
              <w:bottom w:w="0" w:type="dxa"/>
              <w:right w:w="15" w:type="dxa"/>
            </w:tcMar>
            <w:vAlign w:val="bottom"/>
            <w:hideMark/>
          </w:tcPr>
          <w:p w14:paraId="638E05D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A83F90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shd w:val="clear" w:color="auto" w:fill="FFFFFF"/>
            <w:noWrap/>
            <w:tcMar>
              <w:top w:w="15" w:type="dxa"/>
              <w:left w:w="0" w:type="dxa"/>
              <w:bottom w:w="0" w:type="dxa"/>
              <w:right w:w="15" w:type="dxa"/>
            </w:tcMar>
            <w:vAlign w:val="bottom"/>
            <w:hideMark/>
          </w:tcPr>
          <w:p w14:paraId="13F46FA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236C672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10BD5AC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B50F69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shd w:val="clear" w:color="auto" w:fill="FFFFFF"/>
            <w:noWrap/>
            <w:tcMar>
              <w:top w:w="15" w:type="dxa"/>
              <w:left w:w="0" w:type="dxa"/>
              <w:bottom w:w="0" w:type="dxa"/>
              <w:right w:w="15" w:type="dxa"/>
            </w:tcMar>
            <w:vAlign w:val="bottom"/>
            <w:hideMark/>
          </w:tcPr>
          <w:p w14:paraId="7C11A8D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(31</w:t>
            </w:r>
          </w:p>
        </w:tc>
        <w:tc>
          <w:tcPr>
            <w:tcW w:w="192" w:type="dxa"/>
            <w:shd w:val="clear" w:color="auto" w:fill="FFFFFF"/>
            <w:noWrap/>
            <w:tcMar>
              <w:top w:w="15" w:type="dxa"/>
              <w:left w:w="0" w:type="dxa"/>
              <w:bottom w:w="0" w:type="dxa"/>
              <w:right w:w="15" w:type="dxa"/>
            </w:tcMar>
            <w:vAlign w:val="bottom"/>
            <w:hideMark/>
          </w:tcPr>
          <w:p w14:paraId="4C874F1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5067D17F" w14:textId="77777777" w:rsidTr="00141675">
        <w:tc>
          <w:tcPr>
            <w:tcW w:w="9803" w:type="dxa"/>
            <w:shd w:val="clear" w:color="auto" w:fill="CFF0FC"/>
            <w:tcMar>
              <w:top w:w="15" w:type="dxa"/>
              <w:left w:w="0" w:type="dxa"/>
              <w:bottom w:w="0" w:type="dxa"/>
              <w:right w:w="15" w:type="dxa"/>
            </w:tcMar>
            <w:vAlign w:val="bottom"/>
            <w:hideMark/>
          </w:tcPr>
          <w:p w14:paraId="28A0DA5D" w14:textId="77777777" w:rsidR="00141675" w:rsidRPr="00141675" w:rsidRDefault="00141675" w:rsidP="00141675">
            <w:pPr>
              <w:widowControl/>
              <w:ind w:left="547"/>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Hedged items</w:t>
            </w:r>
          </w:p>
        </w:tc>
        <w:tc>
          <w:tcPr>
            <w:tcW w:w="134" w:type="dxa"/>
            <w:shd w:val="clear" w:color="auto" w:fill="CFF0FC"/>
            <w:tcMar>
              <w:top w:w="15" w:type="dxa"/>
              <w:left w:w="0" w:type="dxa"/>
              <w:bottom w:w="0" w:type="dxa"/>
              <w:right w:w="15" w:type="dxa"/>
            </w:tcMar>
            <w:vAlign w:val="bottom"/>
            <w:hideMark/>
          </w:tcPr>
          <w:p w14:paraId="3DE5ED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8CB13A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61BCD27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23E3FEC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7CB2957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A1D3A1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7E4A7D5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191" w:type="dxa"/>
            <w:shd w:val="clear" w:color="auto" w:fill="CFF0FC"/>
            <w:noWrap/>
            <w:tcMar>
              <w:top w:w="15" w:type="dxa"/>
              <w:left w:w="0" w:type="dxa"/>
              <w:bottom w:w="0" w:type="dxa"/>
              <w:right w:w="15" w:type="dxa"/>
            </w:tcMar>
            <w:vAlign w:val="bottom"/>
            <w:hideMark/>
          </w:tcPr>
          <w:p w14:paraId="0AB8400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597D7EC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E7636A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581C20C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4A233AC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4492CA1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E60DB5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74CB1E1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31</w:t>
            </w:r>
          </w:p>
        </w:tc>
        <w:tc>
          <w:tcPr>
            <w:tcW w:w="192" w:type="dxa"/>
            <w:shd w:val="clear" w:color="auto" w:fill="CFF0FC"/>
            <w:noWrap/>
            <w:tcMar>
              <w:top w:w="15" w:type="dxa"/>
              <w:left w:w="0" w:type="dxa"/>
              <w:bottom w:w="0" w:type="dxa"/>
              <w:right w:w="15" w:type="dxa"/>
            </w:tcMar>
            <w:vAlign w:val="bottom"/>
            <w:hideMark/>
          </w:tcPr>
          <w:p w14:paraId="2F4DA2B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597E2204" w14:textId="77777777" w:rsidTr="00141675">
        <w:tc>
          <w:tcPr>
            <w:tcW w:w="9803" w:type="dxa"/>
            <w:shd w:val="clear" w:color="auto" w:fill="FFFFFF"/>
            <w:tcMar>
              <w:top w:w="15" w:type="dxa"/>
              <w:left w:w="0" w:type="dxa"/>
              <w:bottom w:w="0" w:type="dxa"/>
              <w:right w:w="15" w:type="dxa"/>
            </w:tcMar>
            <w:vAlign w:val="bottom"/>
            <w:hideMark/>
          </w:tcPr>
          <w:p w14:paraId="39DCC383" w14:textId="77777777" w:rsidR="00141675" w:rsidRPr="00141675" w:rsidRDefault="00141675" w:rsidP="00141675">
            <w:pPr>
              <w:widowControl/>
              <w:ind w:left="418"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Cross-currency interest rate swaps designated as fair value hedges:</w:t>
            </w:r>
          </w:p>
        </w:tc>
        <w:tc>
          <w:tcPr>
            <w:tcW w:w="134" w:type="dxa"/>
            <w:shd w:val="clear" w:color="auto" w:fill="FFFFFF"/>
            <w:tcMar>
              <w:top w:w="15" w:type="dxa"/>
              <w:left w:w="0" w:type="dxa"/>
              <w:bottom w:w="0" w:type="dxa"/>
              <w:right w:w="15" w:type="dxa"/>
            </w:tcMar>
            <w:vAlign w:val="bottom"/>
            <w:hideMark/>
          </w:tcPr>
          <w:p w14:paraId="6545524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F7257E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FFFFFF"/>
            <w:noWrap/>
            <w:tcMar>
              <w:top w:w="15" w:type="dxa"/>
              <w:left w:w="0" w:type="dxa"/>
              <w:bottom w:w="0" w:type="dxa"/>
              <w:right w:w="15" w:type="dxa"/>
            </w:tcMar>
            <w:vAlign w:val="bottom"/>
            <w:hideMark/>
          </w:tcPr>
          <w:p w14:paraId="50A2A77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AFF275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79952DC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B09870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FFFFFF"/>
            <w:noWrap/>
            <w:tcMar>
              <w:top w:w="15" w:type="dxa"/>
              <w:left w:w="0" w:type="dxa"/>
              <w:bottom w:w="0" w:type="dxa"/>
              <w:right w:w="15" w:type="dxa"/>
            </w:tcMar>
            <w:vAlign w:val="bottom"/>
            <w:hideMark/>
          </w:tcPr>
          <w:p w14:paraId="678DF4A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BF088A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65B77F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BB1B55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FFFFFF"/>
            <w:noWrap/>
            <w:tcMar>
              <w:top w:w="15" w:type="dxa"/>
              <w:left w:w="0" w:type="dxa"/>
              <w:bottom w:w="0" w:type="dxa"/>
              <w:right w:w="15" w:type="dxa"/>
            </w:tcMar>
            <w:vAlign w:val="bottom"/>
            <w:hideMark/>
          </w:tcPr>
          <w:p w14:paraId="7B86222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3D8BBF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0CB0849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ADB911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FFFFFF"/>
            <w:noWrap/>
            <w:tcMar>
              <w:top w:w="15" w:type="dxa"/>
              <w:left w:w="0" w:type="dxa"/>
              <w:bottom w:w="0" w:type="dxa"/>
              <w:right w:w="15" w:type="dxa"/>
            </w:tcMar>
            <w:vAlign w:val="bottom"/>
            <w:hideMark/>
          </w:tcPr>
          <w:p w14:paraId="0459D8F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05E5BC8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DD0D6EA" w14:textId="77777777" w:rsidTr="00141675">
        <w:tc>
          <w:tcPr>
            <w:tcW w:w="9803" w:type="dxa"/>
            <w:shd w:val="clear" w:color="auto" w:fill="CFF0FC"/>
            <w:tcMar>
              <w:top w:w="15" w:type="dxa"/>
              <w:left w:w="0" w:type="dxa"/>
              <w:bottom w:w="0" w:type="dxa"/>
              <w:right w:w="15" w:type="dxa"/>
            </w:tcMar>
            <w:vAlign w:val="bottom"/>
            <w:hideMark/>
          </w:tcPr>
          <w:p w14:paraId="56EBDC47" w14:textId="77777777" w:rsidR="00141675" w:rsidRPr="00141675" w:rsidRDefault="00141675" w:rsidP="00141675">
            <w:pPr>
              <w:widowControl/>
              <w:ind w:left="547"/>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Derivative instruments</w:t>
            </w:r>
          </w:p>
        </w:tc>
        <w:tc>
          <w:tcPr>
            <w:tcW w:w="134" w:type="dxa"/>
            <w:shd w:val="clear" w:color="auto" w:fill="CFF0FC"/>
            <w:tcMar>
              <w:top w:w="15" w:type="dxa"/>
              <w:left w:w="0" w:type="dxa"/>
              <w:bottom w:w="0" w:type="dxa"/>
              <w:right w:w="15" w:type="dxa"/>
            </w:tcMar>
            <w:vAlign w:val="bottom"/>
            <w:hideMark/>
          </w:tcPr>
          <w:p w14:paraId="316E6E0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480D5E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0D9A7E9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w:t>
            </w:r>
          </w:p>
        </w:tc>
        <w:tc>
          <w:tcPr>
            <w:tcW w:w="191" w:type="dxa"/>
            <w:shd w:val="clear" w:color="auto" w:fill="CFF0FC"/>
            <w:noWrap/>
            <w:tcMar>
              <w:top w:w="15" w:type="dxa"/>
              <w:left w:w="0" w:type="dxa"/>
              <w:bottom w:w="0" w:type="dxa"/>
              <w:right w:w="15" w:type="dxa"/>
            </w:tcMar>
            <w:vAlign w:val="bottom"/>
            <w:hideMark/>
          </w:tcPr>
          <w:p w14:paraId="7AF857B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244A5CB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3D4239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0C6701E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w:t>
            </w:r>
          </w:p>
        </w:tc>
        <w:tc>
          <w:tcPr>
            <w:tcW w:w="191" w:type="dxa"/>
            <w:shd w:val="clear" w:color="auto" w:fill="CFF0FC"/>
            <w:noWrap/>
            <w:tcMar>
              <w:top w:w="15" w:type="dxa"/>
              <w:left w:w="0" w:type="dxa"/>
              <w:bottom w:w="0" w:type="dxa"/>
              <w:right w:w="15" w:type="dxa"/>
            </w:tcMar>
            <w:vAlign w:val="bottom"/>
            <w:hideMark/>
          </w:tcPr>
          <w:p w14:paraId="66C183F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28EF79C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61FE79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11036D7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(24</w:t>
            </w:r>
          </w:p>
        </w:tc>
        <w:tc>
          <w:tcPr>
            <w:tcW w:w="191" w:type="dxa"/>
            <w:shd w:val="clear" w:color="auto" w:fill="CFF0FC"/>
            <w:noWrap/>
            <w:tcMar>
              <w:top w:w="15" w:type="dxa"/>
              <w:left w:w="0" w:type="dxa"/>
              <w:bottom w:w="0" w:type="dxa"/>
              <w:right w:w="15" w:type="dxa"/>
            </w:tcMar>
            <w:vAlign w:val="bottom"/>
            <w:hideMark/>
          </w:tcPr>
          <w:p w14:paraId="4B8AFBC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2DEA6FD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5D2585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4192C58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192" w:type="dxa"/>
            <w:shd w:val="clear" w:color="auto" w:fill="CFF0FC"/>
            <w:noWrap/>
            <w:tcMar>
              <w:top w:w="15" w:type="dxa"/>
              <w:left w:w="0" w:type="dxa"/>
              <w:bottom w:w="0" w:type="dxa"/>
              <w:right w:w="15" w:type="dxa"/>
            </w:tcMar>
            <w:vAlign w:val="bottom"/>
            <w:hideMark/>
          </w:tcPr>
          <w:p w14:paraId="36B0F5C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52FDC608" w14:textId="77777777" w:rsidTr="00141675">
        <w:tc>
          <w:tcPr>
            <w:tcW w:w="9803" w:type="dxa"/>
            <w:shd w:val="clear" w:color="auto" w:fill="FFFFFF"/>
            <w:tcMar>
              <w:top w:w="15" w:type="dxa"/>
              <w:left w:w="0" w:type="dxa"/>
              <w:bottom w:w="0" w:type="dxa"/>
              <w:right w:w="15" w:type="dxa"/>
            </w:tcMar>
            <w:vAlign w:val="bottom"/>
            <w:hideMark/>
          </w:tcPr>
          <w:p w14:paraId="0FD194C5" w14:textId="77777777" w:rsidR="00141675" w:rsidRPr="00141675" w:rsidRDefault="00141675" w:rsidP="00141675">
            <w:pPr>
              <w:widowControl/>
              <w:ind w:left="547"/>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Hedged items</w:t>
            </w:r>
          </w:p>
        </w:tc>
        <w:tc>
          <w:tcPr>
            <w:tcW w:w="134" w:type="dxa"/>
            <w:shd w:val="clear" w:color="auto" w:fill="FFFFFF"/>
            <w:tcMar>
              <w:top w:w="15" w:type="dxa"/>
              <w:left w:w="0" w:type="dxa"/>
              <w:bottom w:w="0" w:type="dxa"/>
              <w:right w:w="15" w:type="dxa"/>
            </w:tcMar>
            <w:vAlign w:val="bottom"/>
            <w:hideMark/>
          </w:tcPr>
          <w:p w14:paraId="7645012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04A798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FFFFFF"/>
            <w:noWrap/>
            <w:tcMar>
              <w:top w:w="15" w:type="dxa"/>
              <w:left w:w="0" w:type="dxa"/>
              <w:bottom w:w="0" w:type="dxa"/>
              <w:right w:w="15" w:type="dxa"/>
            </w:tcMar>
            <w:vAlign w:val="bottom"/>
            <w:hideMark/>
          </w:tcPr>
          <w:p w14:paraId="5426199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191" w:type="dxa"/>
            <w:shd w:val="clear" w:color="auto" w:fill="FFFFFF"/>
            <w:noWrap/>
            <w:tcMar>
              <w:top w:w="15" w:type="dxa"/>
              <w:left w:w="0" w:type="dxa"/>
              <w:bottom w:w="0" w:type="dxa"/>
              <w:right w:w="15" w:type="dxa"/>
            </w:tcMar>
            <w:vAlign w:val="bottom"/>
            <w:hideMark/>
          </w:tcPr>
          <w:p w14:paraId="54AFDFD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FFFFFF"/>
            <w:tcMar>
              <w:top w:w="15" w:type="dxa"/>
              <w:left w:w="0" w:type="dxa"/>
              <w:bottom w:w="0" w:type="dxa"/>
              <w:right w:w="15" w:type="dxa"/>
            </w:tcMar>
            <w:vAlign w:val="bottom"/>
            <w:hideMark/>
          </w:tcPr>
          <w:p w14:paraId="7A2B00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ECCFC3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FFFFFF"/>
            <w:noWrap/>
            <w:tcMar>
              <w:top w:w="15" w:type="dxa"/>
              <w:left w:w="0" w:type="dxa"/>
              <w:bottom w:w="0" w:type="dxa"/>
              <w:right w:w="15" w:type="dxa"/>
            </w:tcMar>
            <w:vAlign w:val="bottom"/>
            <w:hideMark/>
          </w:tcPr>
          <w:p w14:paraId="78F5CE5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w:t>
            </w:r>
          </w:p>
        </w:tc>
        <w:tc>
          <w:tcPr>
            <w:tcW w:w="191" w:type="dxa"/>
            <w:shd w:val="clear" w:color="auto" w:fill="FFFFFF"/>
            <w:noWrap/>
            <w:tcMar>
              <w:top w:w="15" w:type="dxa"/>
              <w:left w:w="0" w:type="dxa"/>
              <w:bottom w:w="0" w:type="dxa"/>
              <w:right w:w="15" w:type="dxa"/>
            </w:tcMar>
            <w:vAlign w:val="bottom"/>
            <w:hideMark/>
          </w:tcPr>
          <w:p w14:paraId="08F97DB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665923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4AC664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FFFFFF"/>
            <w:noWrap/>
            <w:tcMar>
              <w:top w:w="15" w:type="dxa"/>
              <w:left w:w="0" w:type="dxa"/>
              <w:bottom w:w="0" w:type="dxa"/>
              <w:right w:w="15" w:type="dxa"/>
            </w:tcMar>
            <w:vAlign w:val="bottom"/>
            <w:hideMark/>
          </w:tcPr>
          <w:p w14:paraId="64DC0D0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21</w:t>
            </w:r>
          </w:p>
        </w:tc>
        <w:tc>
          <w:tcPr>
            <w:tcW w:w="191" w:type="dxa"/>
            <w:shd w:val="clear" w:color="auto" w:fill="FFFFFF"/>
            <w:noWrap/>
            <w:tcMar>
              <w:top w:w="15" w:type="dxa"/>
              <w:left w:w="0" w:type="dxa"/>
              <w:bottom w:w="0" w:type="dxa"/>
              <w:right w:w="15" w:type="dxa"/>
            </w:tcMar>
            <w:vAlign w:val="bottom"/>
            <w:hideMark/>
          </w:tcPr>
          <w:p w14:paraId="68EBB21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351BBD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44F0F1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FFFFFF"/>
            <w:noWrap/>
            <w:tcMar>
              <w:top w:w="15" w:type="dxa"/>
              <w:left w:w="0" w:type="dxa"/>
              <w:bottom w:w="0" w:type="dxa"/>
              <w:right w:w="15" w:type="dxa"/>
            </w:tcMar>
            <w:vAlign w:val="bottom"/>
            <w:hideMark/>
          </w:tcPr>
          <w:p w14:paraId="6802B65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192" w:type="dxa"/>
            <w:shd w:val="clear" w:color="auto" w:fill="FFFFFF"/>
            <w:noWrap/>
            <w:tcMar>
              <w:top w:w="15" w:type="dxa"/>
              <w:left w:w="0" w:type="dxa"/>
              <w:bottom w:w="0" w:type="dxa"/>
              <w:right w:w="15" w:type="dxa"/>
            </w:tcMar>
            <w:vAlign w:val="bottom"/>
            <w:hideMark/>
          </w:tcPr>
          <w:p w14:paraId="4B1A821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6150D6DE" w14:textId="77777777" w:rsidTr="00141675">
        <w:tc>
          <w:tcPr>
            <w:tcW w:w="9803" w:type="dxa"/>
            <w:shd w:val="clear" w:color="auto" w:fill="CFF0FC"/>
            <w:tcMar>
              <w:top w:w="15" w:type="dxa"/>
              <w:left w:w="0" w:type="dxa"/>
              <w:bottom w:w="0" w:type="dxa"/>
              <w:right w:w="15" w:type="dxa"/>
            </w:tcMar>
            <w:vAlign w:val="bottom"/>
            <w:hideMark/>
          </w:tcPr>
          <w:p w14:paraId="6CA30FA6" w14:textId="77777777" w:rsidR="00141675" w:rsidRPr="00141675" w:rsidRDefault="00141675" w:rsidP="00141675">
            <w:pPr>
              <w:widowControl/>
              <w:ind w:left="418"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Cross-currency swap agreements designated as cash flow hedges:</w:t>
            </w:r>
          </w:p>
        </w:tc>
        <w:tc>
          <w:tcPr>
            <w:tcW w:w="134" w:type="dxa"/>
            <w:shd w:val="clear" w:color="auto" w:fill="CFF0FC"/>
            <w:tcMar>
              <w:top w:w="15" w:type="dxa"/>
              <w:left w:w="0" w:type="dxa"/>
              <w:bottom w:w="0" w:type="dxa"/>
              <w:right w:w="15" w:type="dxa"/>
            </w:tcMar>
            <w:vAlign w:val="bottom"/>
            <w:hideMark/>
          </w:tcPr>
          <w:p w14:paraId="469C3EF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328D76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00DCA1C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B36FF7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77F396E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6F202D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1D64A4C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9129E5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1A50677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99DF22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5B5EDB2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109D74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5194D1E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5446D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3D32028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429821A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227F418C" w14:textId="77777777" w:rsidTr="00141675">
        <w:tc>
          <w:tcPr>
            <w:tcW w:w="9803" w:type="dxa"/>
            <w:shd w:val="clear" w:color="auto" w:fill="FFFFFF"/>
            <w:tcMar>
              <w:top w:w="15" w:type="dxa"/>
              <w:left w:w="0" w:type="dxa"/>
              <w:bottom w:w="0" w:type="dxa"/>
              <w:right w:w="15" w:type="dxa"/>
            </w:tcMar>
            <w:vAlign w:val="bottom"/>
            <w:hideMark/>
          </w:tcPr>
          <w:p w14:paraId="754FE780" w14:textId="77777777" w:rsidR="00141675" w:rsidRPr="00141675" w:rsidRDefault="00141675" w:rsidP="00141675">
            <w:pPr>
              <w:widowControl/>
              <w:ind w:left="691"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Amount of gain (loss) reclassified from accumulated OCI or OCL</w:t>
            </w:r>
          </w:p>
        </w:tc>
        <w:tc>
          <w:tcPr>
            <w:tcW w:w="134" w:type="dxa"/>
            <w:shd w:val="clear" w:color="auto" w:fill="FFFFFF"/>
            <w:tcMar>
              <w:top w:w="15" w:type="dxa"/>
              <w:left w:w="0" w:type="dxa"/>
              <w:bottom w:w="0" w:type="dxa"/>
              <w:right w:w="15" w:type="dxa"/>
            </w:tcMar>
            <w:vAlign w:val="bottom"/>
            <w:hideMark/>
          </w:tcPr>
          <w:p w14:paraId="1571061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C02C20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tcBorders>
              <w:bottom w:val="single" w:sz="6" w:space="0" w:color="000000"/>
            </w:tcBorders>
            <w:shd w:val="clear" w:color="auto" w:fill="FFFFFF"/>
            <w:noWrap/>
            <w:tcMar>
              <w:top w:w="15" w:type="dxa"/>
              <w:left w:w="0" w:type="dxa"/>
              <w:bottom w:w="0" w:type="dxa"/>
              <w:right w:w="15" w:type="dxa"/>
            </w:tcMar>
            <w:vAlign w:val="bottom"/>
            <w:hideMark/>
          </w:tcPr>
          <w:p w14:paraId="00DA1FB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w:t>
            </w:r>
          </w:p>
        </w:tc>
        <w:tc>
          <w:tcPr>
            <w:tcW w:w="191" w:type="dxa"/>
            <w:shd w:val="clear" w:color="auto" w:fill="FFFFFF"/>
            <w:noWrap/>
            <w:tcMar>
              <w:top w:w="15" w:type="dxa"/>
              <w:left w:w="0" w:type="dxa"/>
              <w:bottom w:w="0" w:type="dxa"/>
              <w:right w:w="15" w:type="dxa"/>
            </w:tcMar>
            <w:vAlign w:val="bottom"/>
            <w:hideMark/>
          </w:tcPr>
          <w:p w14:paraId="4AFFB0E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FFFFFF"/>
            <w:tcMar>
              <w:top w:w="15" w:type="dxa"/>
              <w:left w:w="0" w:type="dxa"/>
              <w:bottom w:w="0" w:type="dxa"/>
              <w:right w:w="15" w:type="dxa"/>
            </w:tcMar>
            <w:vAlign w:val="bottom"/>
            <w:hideMark/>
          </w:tcPr>
          <w:p w14:paraId="4E319C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04159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tcBorders>
              <w:bottom w:val="single" w:sz="6" w:space="0" w:color="000000"/>
            </w:tcBorders>
            <w:shd w:val="clear" w:color="auto" w:fill="FFFFFF"/>
            <w:noWrap/>
            <w:tcMar>
              <w:top w:w="15" w:type="dxa"/>
              <w:left w:w="0" w:type="dxa"/>
              <w:bottom w:w="0" w:type="dxa"/>
              <w:right w:w="15" w:type="dxa"/>
            </w:tcMar>
            <w:vAlign w:val="bottom"/>
            <w:hideMark/>
          </w:tcPr>
          <w:p w14:paraId="4626317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4244E4B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68083B8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EE11A4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tcBorders>
              <w:bottom w:val="single" w:sz="6" w:space="0" w:color="000000"/>
            </w:tcBorders>
            <w:shd w:val="clear" w:color="auto" w:fill="FFFFFF"/>
            <w:noWrap/>
            <w:tcMar>
              <w:top w:w="15" w:type="dxa"/>
              <w:left w:w="0" w:type="dxa"/>
              <w:bottom w:w="0" w:type="dxa"/>
              <w:right w:w="15" w:type="dxa"/>
            </w:tcMar>
            <w:vAlign w:val="bottom"/>
            <w:hideMark/>
          </w:tcPr>
          <w:p w14:paraId="3CB9633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(49</w:t>
            </w:r>
          </w:p>
        </w:tc>
        <w:tc>
          <w:tcPr>
            <w:tcW w:w="191" w:type="dxa"/>
            <w:shd w:val="clear" w:color="auto" w:fill="FFFFFF"/>
            <w:noWrap/>
            <w:tcMar>
              <w:top w:w="15" w:type="dxa"/>
              <w:left w:w="0" w:type="dxa"/>
              <w:bottom w:w="0" w:type="dxa"/>
              <w:right w:w="15" w:type="dxa"/>
            </w:tcMar>
            <w:vAlign w:val="bottom"/>
            <w:hideMark/>
          </w:tcPr>
          <w:p w14:paraId="2F201DE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FFFFFF"/>
            <w:tcMar>
              <w:top w:w="15" w:type="dxa"/>
              <w:left w:w="0" w:type="dxa"/>
              <w:bottom w:w="0" w:type="dxa"/>
              <w:right w:w="15" w:type="dxa"/>
            </w:tcMar>
            <w:vAlign w:val="bottom"/>
            <w:hideMark/>
          </w:tcPr>
          <w:p w14:paraId="7E2725F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EE85DC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tcBorders>
              <w:bottom w:val="single" w:sz="6" w:space="0" w:color="000000"/>
            </w:tcBorders>
            <w:shd w:val="clear" w:color="auto" w:fill="FFFFFF"/>
            <w:noWrap/>
            <w:tcMar>
              <w:top w:w="15" w:type="dxa"/>
              <w:left w:w="0" w:type="dxa"/>
              <w:bottom w:w="0" w:type="dxa"/>
              <w:right w:w="15" w:type="dxa"/>
            </w:tcMar>
            <w:vAlign w:val="bottom"/>
            <w:hideMark/>
          </w:tcPr>
          <w:p w14:paraId="73628E9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2" w:type="dxa"/>
            <w:shd w:val="clear" w:color="auto" w:fill="FFFFFF"/>
            <w:noWrap/>
            <w:tcMar>
              <w:top w:w="15" w:type="dxa"/>
              <w:left w:w="0" w:type="dxa"/>
              <w:bottom w:w="0" w:type="dxa"/>
              <w:right w:w="15" w:type="dxa"/>
            </w:tcMar>
            <w:vAlign w:val="bottom"/>
            <w:hideMark/>
          </w:tcPr>
          <w:p w14:paraId="2705BF0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4C072D9" w14:textId="77777777" w:rsidTr="00141675">
        <w:tc>
          <w:tcPr>
            <w:tcW w:w="9803" w:type="dxa"/>
            <w:shd w:val="clear" w:color="auto" w:fill="CFF0FC"/>
            <w:tcMar>
              <w:top w:w="15" w:type="dxa"/>
              <w:left w:w="0" w:type="dxa"/>
              <w:bottom w:w="0" w:type="dxa"/>
              <w:right w:w="15" w:type="dxa"/>
            </w:tcMar>
            <w:vAlign w:val="bottom"/>
            <w:hideMark/>
          </w:tcPr>
          <w:p w14:paraId="070259F3" w14:textId="77777777" w:rsidR="00141675" w:rsidRPr="00141675" w:rsidRDefault="00141675" w:rsidP="00141675">
            <w:pPr>
              <w:widowControl/>
              <w:ind w:left="821"/>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gain (loss) on hedges recognized in income</w:t>
            </w:r>
          </w:p>
        </w:tc>
        <w:tc>
          <w:tcPr>
            <w:tcW w:w="134" w:type="dxa"/>
            <w:shd w:val="clear" w:color="auto" w:fill="CFF0FC"/>
            <w:tcMar>
              <w:top w:w="15" w:type="dxa"/>
              <w:left w:w="0" w:type="dxa"/>
              <w:bottom w:w="0" w:type="dxa"/>
              <w:right w:w="15" w:type="dxa"/>
            </w:tcMar>
            <w:vAlign w:val="bottom"/>
            <w:hideMark/>
          </w:tcPr>
          <w:p w14:paraId="00417AB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0CDA1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716FBD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w:t>
            </w:r>
          </w:p>
        </w:tc>
        <w:tc>
          <w:tcPr>
            <w:tcW w:w="191" w:type="dxa"/>
            <w:shd w:val="clear" w:color="auto" w:fill="CFF0FC"/>
            <w:noWrap/>
            <w:tcMar>
              <w:top w:w="15" w:type="dxa"/>
              <w:left w:w="0" w:type="dxa"/>
              <w:bottom w:w="0" w:type="dxa"/>
              <w:right w:w="15" w:type="dxa"/>
            </w:tcMar>
            <w:vAlign w:val="bottom"/>
            <w:hideMark/>
          </w:tcPr>
          <w:p w14:paraId="77C7855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3C52996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7D476D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CDED45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4B84F21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4647FFB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32A2BD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3E14D9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(52</w:t>
            </w:r>
          </w:p>
        </w:tc>
        <w:tc>
          <w:tcPr>
            <w:tcW w:w="191" w:type="dxa"/>
            <w:shd w:val="clear" w:color="auto" w:fill="CFF0FC"/>
            <w:noWrap/>
            <w:tcMar>
              <w:top w:w="15" w:type="dxa"/>
              <w:left w:w="0" w:type="dxa"/>
              <w:bottom w:w="0" w:type="dxa"/>
              <w:right w:w="15" w:type="dxa"/>
            </w:tcMar>
            <w:vAlign w:val="bottom"/>
            <w:hideMark/>
          </w:tcPr>
          <w:p w14:paraId="456B972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4B930E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396D84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F542D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2" w:type="dxa"/>
            <w:shd w:val="clear" w:color="auto" w:fill="CFF0FC"/>
            <w:noWrap/>
            <w:tcMar>
              <w:top w:w="15" w:type="dxa"/>
              <w:left w:w="0" w:type="dxa"/>
              <w:bottom w:w="0" w:type="dxa"/>
              <w:right w:w="15" w:type="dxa"/>
            </w:tcMar>
            <w:vAlign w:val="bottom"/>
            <w:hideMark/>
          </w:tcPr>
          <w:p w14:paraId="5811FA69"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2602CD78" w14:textId="77777777" w:rsidR="00141675" w:rsidRPr="00141675" w:rsidRDefault="00141675" w:rsidP="00141675">
      <w:pPr>
        <w:widowControl/>
        <w:rPr>
          <w:rFonts w:ascii="Times New Roman" w:eastAsia="宋体" w:hAnsi="Times New Roman" w:cs="Times New Roman"/>
          <w:b/>
          <w:bCs/>
          <w:kern w:val="0"/>
          <w:sz w:val="8"/>
          <w:szCs w:val="8"/>
        </w:rPr>
      </w:pPr>
      <w:r w:rsidRPr="00141675">
        <w:rPr>
          <w:rFonts w:ascii="Times New Roman" w:eastAsia="宋体" w:hAnsi="Times New Roman" w:cs="Times New Roman"/>
          <w:b/>
          <w:bCs/>
          <w:kern w:val="0"/>
          <w:sz w:val="8"/>
          <w:szCs w:val="8"/>
        </w:rPr>
        <w:t> </w:t>
      </w:r>
    </w:p>
    <w:p w14:paraId="549137E1"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p w14:paraId="621990EC"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bl>
      <w:tblPr>
        <w:tblW w:w="20614" w:type="dxa"/>
        <w:tblCellMar>
          <w:left w:w="0" w:type="dxa"/>
          <w:right w:w="0" w:type="dxa"/>
        </w:tblCellMar>
        <w:tblLook w:val="04A0" w:firstRow="1" w:lastRow="0" w:firstColumn="1" w:lastColumn="0" w:noHBand="0" w:noVBand="1"/>
      </w:tblPr>
      <w:tblGrid>
        <w:gridCol w:w="9799"/>
        <w:gridCol w:w="134"/>
        <w:gridCol w:w="199"/>
        <w:gridCol w:w="2274"/>
        <w:gridCol w:w="199"/>
        <w:gridCol w:w="134"/>
        <w:gridCol w:w="199"/>
        <w:gridCol w:w="2047"/>
        <w:gridCol w:w="199"/>
        <w:gridCol w:w="134"/>
        <w:gridCol w:w="199"/>
        <w:gridCol w:w="2274"/>
        <w:gridCol w:w="199"/>
        <w:gridCol w:w="134"/>
        <w:gridCol w:w="199"/>
        <w:gridCol w:w="2091"/>
        <w:gridCol w:w="200"/>
      </w:tblGrid>
      <w:tr w:rsidR="00141675" w:rsidRPr="00141675" w14:paraId="7A08B255" w14:textId="77777777" w:rsidTr="00141675">
        <w:tc>
          <w:tcPr>
            <w:tcW w:w="9803" w:type="dxa"/>
            <w:shd w:val="clear" w:color="auto" w:fill="FFFFFF"/>
            <w:tcMar>
              <w:top w:w="15" w:type="dxa"/>
              <w:left w:w="0" w:type="dxa"/>
              <w:bottom w:w="0" w:type="dxa"/>
              <w:right w:w="15" w:type="dxa"/>
            </w:tcMar>
            <w:vAlign w:val="bottom"/>
            <w:hideMark/>
          </w:tcPr>
          <w:p w14:paraId="09D993F1"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134" w:type="dxa"/>
            <w:shd w:val="clear" w:color="auto" w:fill="FFFFFF"/>
            <w:tcMar>
              <w:top w:w="15" w:type="dxa"/>
              <w:left w:w="0" w:type="dxa"/>
              <w:bottom w:w="0" w:type="dxa"/>
              <w:right w:w="15" w:type="dxa"/>
            </w:tcMar>
            <w:vAlign w:val="bottom"/>
            <w:hideMark/>
          </w:tcPr>
          <w:p w14:paraId="7B0D2EBB"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10425" w:type="dxa"/>
            <w:gridSpan w:val="14"/>
            <w:tcBorders>
              <w:bottom w:val="single" w:sz="6" w:space="0" w:color="000000"/>
            </w:tcBorders>
            <w:shd w:val="clear" w:color="auto" w:fill="FFFFFF"/>
            <w:tcMar>
              <w:top w:w="15" w:type="dxa"/>
              <w:left w:w="0" w:type="dxa"/>
              <w:bottom w:w="0" w:type="dxa"/>
              <w:right w:w="15" w:type="dxa"/>
            </w:tcMar>
            <w:vAlign w:val="bottom"/>
            <w:hideMark/>
          </w:tcPr>
          <w:p w14:paraId="43C6C64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2" w:type="dxa"/>
            <w:shd w:val="clear" w:color="auto" w:fill="FFFFFF"/>
            <w:noWrap/>
            <w:tcMar>
              <w:top w:w="15" w:type="dxa"/>
              <w:left w:w="0" w:type="dxa"/>
              <w:bottom w:w="0" w:type="dxa"/>
              <w:right w:w="15" w:type="dxa"/>
            </w:tcMar>
            <w:vAlign w:val="bottom"/>
            <w:hideMark/>
          </w:tcPr>
          <w:p w14:paraId="3BB06B1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7666D6FE" w14:textId="77777777" w:rsidTr="00141675">
        <w:tc>
          <w:tcPr>
            <w:tcW w:w="9803" w:type="dxa"/>
            <w:shd w:val="clear" w:color="auto" w:fill="FFFFFF"/>
            <w:tcMar>
              <w:top w:w="15" w:type="dxa"/>
              <w:left w:w="0" w:type="dxa"/>
              <w:bottom w:w="0" w:type="dxa"/>
              <w:right w:w="15" w:type="dxa"/>
            </w:tcMar>
            <w:vAlign w:val="bottom"/>
            <w:hideMark/>
          </w:tcPr>
          <w:p w14:paraId="3AAE5F7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34" w:type="dxa"/>
            <w:shd w:val="clear" w:color="auto" w:fill="FFFFFF"/>
            <w:tcMar>
              <w:top w:w="15" w:type="dxa"/>
              <w:left w:w="0" w:type="dxa"/>
              <w:bottom w:w="0" w:type="dxa"/>
              <w:right w:w="15" w:type="dxa"/>
            </w:tcMar>
            <w:vAlign w:val="bottom"/>
            <w:hideMark/>
          </w:tcPr>
          <w:p w14:paraId="4E902F9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5028"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7DAC6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C4B1C3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34" w:type="dxa"/>
            <w:tcBorders>
              <w:top w:val="single" w:sz="6" w:space="0" w:color="000000"/>
            </w:tcBorders>
            <w:shd w:val="clear" w:color="auto" w:fill="FFFFFF"/>
            <w:tcMar>
              <w:top w:w="15" w:type="dxa"/>
              <w:left w:w="0" w:type="dxa"/>
              <w:bottom w:w="0" w:type="dxa"/>
              <w:right w:w="15" w:type="dxa"/>
            </w:tcMar>
            <w:vAlign w:val="bottom"/>
            <w:hideMark/>
          </w:tcPr>
          <w:p w14:paraId="78866A6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5028" w:type="dxa"/>
            <w:gridSpan w:val="6"/>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7ACFE5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22A6DC8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7835488D" w14:textId="77777777" w:rsidTr="00141675">
        <w:tc>
          <w:tcPr>
            <w:tcW w:w="9803" w:type="dxa"/>
            <w:tcBorders>
              <w:bottom w:val="single" w:sz="6" w:space="0" w:color="000000"/>
            </w:tcBorders>
            <w:shd w:val="clear" w:color="auto" w:fill="FFFFFF"/>
            <w:tcMar>
              <w:top w:w="15" w:type="dxa"/>
              <w:left w:w="0" w:type="dxa"/>
              <w:bottom w:w="0" w:type="dxa"/>
              <w:right w:w="15" w:type="dxa"/>
            </w:tcMar>
            <w:vAlign w:val="bottom"/>
            <w:hideMark/>
          </w:tcPr>
          <w:p w14:paraId="6252D81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134" w:type="dxa"/>
            <w:shd w:val="clear" w:color="auto" w:fill="FFFFFF"/>
            <w:tcMar>
              <w:top w:w="15" w:type="dxa"/>
              <w:left w:w="0" w:type="dxa"/>
              <w:bottom w:w="0" w:type="dxa"/>
              <w:right w:w="15" w:type="dxa"/>
            </w:tcMar>
            <w:vAlign w:val="bottom"/>
            <w:hideMark/>
          </w:tcPr>
          <w:p w14:paraId="1F37DF84"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246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D868E8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Non-operating income, net</w:t>
            </w:r>
          </w:p>
        </w:tc>
        <w:tc>
          <w:tcPr>
            <w:tcW w:w="191" w:type="dxa"/>
            <w:shd w:val="clear" w:color="auto" w:fill="FFFFFF"/>
            <w:noWrap/>
            <w:tcMar>
              <w:top w:w="15" w:type="dxa"/>
              <w:left w:w="0" w:type="dxa"/>
              <w:bottom w:w="0" w:type="dxa"/>
              <w:right w:w="15" w:type="dxa"/>
            </w:tcMar>
            <w:vAlign w:val="bottom"/>
            <w:hideMark/>
          </w:tcPr>
          <w:p w14:paraId="6E1717D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34" w:type="dxa"/>
            <w:tcBorders>
              <w:top w:val="single" w:sz="6" w:space="0" w:color="000000"/>
            </w:tcBorders>
            <w:shd w:val="clear" w:color="auto" w:fill="FFFFFF"/>
            <w:tcMar>
              <w:top w:w="15" w:type="dxa"/>
              <w:left w:w="0" w:type="dxa"/>
              <w:bottom w:w="0" w:type="dxa"/>
              <w:right w:w="15" w:type="dxa"/>
            </w:tcMar>
            <w:vAlign w:val="bottom"/>
            <w:hideMark/>
          </w:tcPr>
          <w:p w14:paraId="06F9F5BD"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219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E54FF5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Interest</w:t>
            </w:r>
          </w:p>
          <w:p w14:paraId="5DD4A8D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expense</w:t>
            </w:r>
          </w:p>
        </w:tc>
        <w:tc>
          <w:tcPr>
            <w:tcW w:w="191" w:type="dxa"/>
            <w:shd w:val="clear" w:color="auto" w:fill="FFFFFF"/>
            <w:noWrap/>
            <w:tcMar>
              <w:top w:w="15" w:type="dxa"/>
              <w:left w:w="0" w:type="dxa"/>
              <w:bottom w:w="0" w:type="dxa"/>
              <w:right w:w="15" w:type="dxa"/>
            </w:tcMar>
            <w:vAlign w:val="bottom"/>
            <w:hideMark/>
          </w:tcPr>
          <w:p w14:paraId="425DF9B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34" w:type="dxa"/>
            <w:shd w:val="clear" w:color="auto" w:fill="FFFFFF"/>
            <w:tcMar>
              <w:top w:w="15" w:type="dxa"/>
              <w:left w:w="0" w:type="dxa"/>
              <w:bottom w:w="0" w:type="dxa"/>
              <w:right w:w="15" w:type="dxa"/>
            </w:tcMar>
            <w:vAlign w:val="bottom"/>
            <w:hideMark/>
          </w:tcPr>
          <w:p w14:paraId="2A422233"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246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26B8E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Non-operating income, net</w:t>
            </w:r>
          </w:p>
        </w:tc>
        <w:tc>
          <w:tcPr>
            <w:tcW w:w="191" w:type="dxa"/>
            <w:shd w:val="clear" w:color="auto" w:fill="FFFFFF"/>
            <w:noWrap/>
            <w:tcMar>
              <w:top w:w="15" w:type="dxa"/>
              <w:left w:w="0" w:type="dxa"/>
              <w:bottom w:w="0" w:type="dxa"/>
              <w:right w:w="15" w:type="dxa"/>
            </w:tcMar>
            <w:vAlign w:val="bottom"/>
            <w:hideMark/>
          </w:tcPr>
          <w:p w14:paraId="5690162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34" w:type="dxa"/>
            <w:tcBorders>
              <w:top w:val="single" w:sz="6" w:space="0" w:color="000000"/>
            </w:tcBorders>
            <w:shd w:val="clear" w:color="auto" w:fill="FFFFFF"/>
            <w:tcMar>
              <w:top w:w="15" w:type="dxa"/>
              <w:left w:w="0" w:type="dxa"/>
              <w:bottom w:w="0" w:type="dxa"/>
              <w:right w:w="15" w:type="dxa"/>
            </w:tcMar>
            <w:vAlign w:val="bottom"/>
            <w:hideMark/>
          </w:tcPr>
          <w:p w14:paraId="70AE1A99" w14:textId="77777777" w:rsidR="00141675" w:rsidRPr="00141675" w:rsidRDefault="00141675" w:rsidP="00141675">
            <w:pPr>
              <w:widowControl/>
              <w:jc w:val="left"/>
              <w:rPr>
                <w:rFonts w:ascii="Calibri" w:eastAsia="宋体" w:hAnsi="Calibri" w:cs="Calibri"/>
                <w:color w:val="000000"/>
                <w:kern w:val="0"/>
                <w:sz w:val="24"/>
                <w:szCs w:val="24"/>
              </w:rPr>
            </w:pPr>
            <w:r w:rsidRPr="00141675">
              <w:rPr>
                <w:rFonts w:ascii="Calibri" w:eastAsia="宋体" w:hAnsi="Calibri" w:cs="Calibri"/>
                <w:color w:val="000000"/>
                <w:kern w:val="0"/>
                <w:sz w:val="24"/>
                <w:szCs w:val="24"/>
              </w:rPr>
              <w:t> </w:t>
            </w:r>
          </w:p>
        </w:tc>
        <w:tc>
          <w:tcPr>
            <w:tcW w:w="219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23F504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Interest</w:t>
            </w:r>
          </w:p>
          <w:p w14:paraId="31F76E7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expense</w:t>
            </w:r>
          </w:p>
        </w:tc>
        <w:tc>
          <w:tcPr>
            <w:tcW w:w="192" w:type="dxa"/>
            <w:shd w:val="clear" w:color="auto" w:fill="FFFFFF"/>
            <w:noWrap/>
            <w:tcMar>
              <w:top w:w="15" w:type="dxa"/>
              <w:left w:w="0" w:type="dxa"/>
              <w:bottom w:w="0" w:type="dxa"/>
              <w:right w:w="15" w:type="dxa"/>
            </w:tcMar>
            <w:vAlign w:val="bottom"/>
            <w:hideMark/>
          </w:tcPr>
          <w:p w14:paraId="7C55875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23DC294E" w14:textId="77777777" w:rsidTr="00141675">
        <w:tc>
          <w:tcPr>
            <w:tcW w:w="9803" w:type="dxa"/>
            <w:tcBorders>
              <w:top w:val="single" w:sz="6" w:space="0" w:color="000000"/>
            </w:tcBorders>
            <w:shd w:val="clear" w:color="auto" w:fill="CFF0FC"/>
            <w:tcMar>
              <w:top w:w="15" w:type="dxa"/>
              <w:left w:w="0" w:type="dxa"/>
              <w:bottom w:w="0" w:type="dxa"/>
              <w:right w:w="15" w:type="dxa"/>
            </w:tcMar>
            <w:vAlign w:val="bottom"/>
            <w:hideMark/>
          </w:tcPr>
          <w:p w14:paraId="2F2D3B7D" w14:textId="77777777" w:rsidR="00141675" w:rsidRPr="00141675" w:rsidRDefault="00141675" w:rsidP="00141675">
            <w:pPr>
              <w:widowControl/>
              <w:ind w:left="144"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Condensed consolidated statements of operations line amounts in which the hedge effects were recorded</w:t>
            </w:r>
          </w:p>
        </w:tc>
        <w:tc>
          <w:tcPr>
            <w:tcW w:w="134" w:type="dxa"/>
            <w:shd w:val="clear" w:color="auto" w:fill="CFF0FC"/>
            <w:tcMar>
              <w:top w:w="15" w:type="dxa"/>
              <w:left w:w="0" w:type="dxa"/>
              <w:bottom w:w="0" w:type="dxa"/>
              <w:right w:w="15" w:type="dxa"/>
            </w:tcMar>
            <w:vAlign w:val="bottom"/>
            <w:hideMark/>
          </w:tcPr>
          <w:p w14:paraId="755004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9C59CA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D17F6E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191</w:t>
            </w:r>
          </w:p>
        </w:tc>
        <w:tc>
          <w:tcPr>
            <w:tcW w:w="191" w:type="dxa"/>
            <w:shd w:val="clear" w:color="auto" w:fill="CFF0FC"/>
            <w:noWrap/>
            <w:tcMar>
              <w:top w:w="15" w:type="dxa"/>
              <w:left w:w="0" w:type="dxa"/>
              <w:bottom w:w="0" w:type="dxa"/>
              <w:right w:w="15" w:type="dxa"/>
            </w:tcMar>
            <w:vAlign w:val="bottom"/>
            <w:hideMark/>
          </w:tcPr>
          <w:p w14:paraId="2B67F14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4D9F35A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DB6A1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80F2C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(959</w:t>
            </w:r>
          </w:p>
        </w:tc>
        <w:tc>
          <w:tcPr>
            <w:tcW w:w="191" w:type="dxa"/>
            <w:shd w:val="clear" w:color="auto" w:fill="CFF0FC"/>
            <w:noWrap/>
            <w:tcMar>
              <w:top w:w="15" w:type="dxa"/>
              <w:left w:w="0" w:type="dxa"/>
              <w:bottom w:w="0" w:type="dxa"/>
              <w:right w:w="15" w:type="dxa"/>
            </w:tcMar>
            <w:vAlign w:val="bottom"/>
            <w:hideMark/>
          </w:tcPr>
          <w:p w14:paraId="20EFA09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23F01C2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D746AC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30CB4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484</w:t>
            </w:r>
          </w:p>
        </w:tc>
        <w:tc>
          <w:tcPr>
            <w:tcW w:w="191" w:type="dxa"/>
            <w:shd w:val="clear" w:color="auto" w:fill="CFF0FC"/>
            <w:noWrap/>
            <w:tcMar>
              <w:top w:w="15" w:type="dxa"/>
              <w:left w:w="0" w:type="dxa"/>
              <w:bottom w:w="0" w:type="dxa"/>
              <w:right w:w="15" w:type="dxa"/>
            </w:tcMar>
            <w:vAlign w:val="bottom"/>
            <w:hideMark/>
          </w:tcPr>
          <w:p w14:paraId="18F42A9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6A1349C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0276D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94FEC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(1,048</w:t>
            </w:r>
          </w:p>
        </w:tc>
        <w:tc>
          <w:tcPr>
            <w:tcW w:w="192" w:type="dxa"/>
            <w:shd w:val="clear" w:color="auto" w:fill="CFF0FC"/>
            <w:noWrap/>
            <w:tcMar>
              <w:top w:w="15" w:type="dxa"/>
              <w:left w:w="0" w:type="dxa"/>
              <w:bottom w:w="0" w:type="dxa"/>
              <w:right w:w="15" w:type="dxa"/>
            </w:tcMar>
            <w:vAlign w:val="bottom"/>
            <w:hideMark/>
          </w:tcPr>
          <w:p w14:paraId="2CFDE8E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3F52BE49" w14:textId="77777777" w:rsidTr="00141675">
        <w:tc>
          <w:tcPr>
            <w:tcW w:w="9803" w:type="dxa"/>
            <w:shd w:val="clear" w:color="auto" w:fill="FFFFFF"/>
            <w:tcMar>
              <w:top w:w="15" w:type="dxa"/>
              <w:left w:w="0" w:type="dxa"/>
              <w:bottom w:w="0" w:type="dxa"/>
              <w:right w:w="15" w:type="dxa"/>
            </w:tcMar>
            <w:vAlign w:val="bottom"/>
            <w:hideMark/>
          </w:tcPr>
          <w:p w14:paraId="50294AD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Gain (loss) on hedges recognized in income:</w:t>
            </w:r>
          </w:p>
        </w:tc>
        <w:tc>
          <w:tcPr>
            <w:tcW w:w="134" w:type="dxa"/>
            <w:shd w:val="clear" w:color="auto" w:fill="FFFFFF"/>
            <w:tcMar>
              <w:top w:w="15" w:type="dxa"/>
              <w:left w:w="0" w:type="dxa"/>
              <w:bottom w:w="0" w:type="dxa"/>
              <w:right w:w="15" w:type="dxa"/>
            </w:tcMar>
            <w:vAlign w:val="bottom"/>
            <w:hideMark/>
          </w:tcPr>
          <w:p w14:paraId="5B28C1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459D733C"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2259" w:type="dxa"/>
            <w:tcBorders>
              <w:top w:val="double" w:sz="6" w:space="0" w:color="000000"/>
            </w:tcBorders>
            <w:shd w:val="clear" w:color="auto" w:fill="FFFFFF"/>
            <w:noWrap/>
            <w:tcMar>
              <w:top w:w="15" w:type="dxa"/>
              <w:left w:w="0" w:type="dxa"/>
              <w:bottom w:w="0" w:type="dxa"/>
              <w:right w:w="15" w:type="dxa"/>
            </w:tcMar>
            <w:vAlign w:val="bottom"/>
            <w:hideMark/>
          </w:tcPr>
          <w:p w14:paraId="445A9D23"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1" w:type="dxa"/>
            <w:shd w:val="clear" w:color="auto" w:fill="FFFFFF"/>
            <w:noWrap/>
            <w:tcMar>
              <w:top w:w="15" w:type="dxa"/>
              <w:left w:w="0" w:type="dxa"/>
              <w:bottom w:w="0" w:type="dxa"/>
              <w:right w:w="15" w:type="dxa"/>
            </w:tcMar>
            <w:vAlign w:val="bottom"/>
            <w:hideMark/>
          </w:tcPr>
          <w:p w14:paraId="634B2779"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34" w:type="dxa"/>
            <w:shd w:val="clear" w:color="auto" w:fill="FFFFFF"/>
            <w:tcMar>
              <w:top w:w="15" w:type="dxa"/>
              <w:left w:w="0" w:type="dxa"/>
              <w:bottom w:w="0" w:type="dxa"/>
              <w:right w:w="15" w:type="dxa"/>
            </w:tcMar>
            <w:vAlign w:val="bottom"/>
            <w:hideMark/>
          </w:tcPr>
          <w:p w14:paraId="55362C0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A4468BB"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87" w:type="dxa"/>
            <w:tcBorders>
              <w:top w:val="double" w:sz="6" w:space="0" w:color="000000"/>
            </w:tcBorders>
            <w:shd w:val="clear" w:color="auto" w:fill="FFFFFF"/>
            <w:noWrap/>
            <w:tcMar>
              <w:top w:w="15" w:type="dxa"/>
              <w:left w:w="0" w:type="dxa"/>
              <w:bottom w:w="0" w:type="dxa"/>
              <w:right w:w="15" w:type="dxa"/>
            </w:tcMar>
            <w:vAlign w:val="bottom"/>
            <w:hideMark/>
          </w:tcPr>
          <w:p w14:paraId="4D729364"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1" w:type="dxa"/>
            <w:shd w:val="clear" w:color="auto" w:fill="FFFFFF"/>
            <w:noWrap/>
            <w:tcMar>
              <w:top w:w="15" w:type="dxa"/>
              <w:left w:w="0" w:type="dxa"/>
              <w:bottom w:w="0" w:type="dxa"/>
              <w:right w:w="15" w:type="dxa"/>
            </w:tcMar>
            <w:vAlign w:val="bottom"/>
            <w:hideMark/>
          </w:tcPr>
          <w:p w14:paraId="3F8D4BC7"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34" w:type="dxa"/>
            <w:shd w:val="clear" w:color="auto" w:fill="FFFFFF"/>
            <w:tcMar>
              <w:top w:w="15" w:type="dxa"/>
              <w:left w:w="0" w:type="dxa"/>
              <w:bottom w:w="0" w:type="dxa"/>
              <w:right w:w="15" w:type="dxa"/>
            </w:tcMar>
            <w:vAlign w:val="bottom"/>
            <w:hideMark/>
          </w:tcPr>
          <w:p w14:paraId="2AA0F31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7B99FB50"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2259" w:type="dxa"/>
            <w:tcBorders>
              <w:top w:val="double" w:sz="6" w:space="0" w:color="000000"/>
            </w:tcBorders>
            <w:shd w:val="clear" w:color="auto" w:fill="FFFFFF"/>
            <w:noWrap/>
            <w:tcMar>
              <w:top w:w="15" w:type="dxa"/>
              <w:left w:w="0" w:type="dxa"/>
              <w:bottom w:w="0" w:type="dxa"/>
              <w:right w:w="15" w:type="dxa"/>
            </w:tcMar>
            <w:vAlign w:val="bottom"/>
            <w:hideMark/>
          </w:tcPr>
          <w:p w14:paraId="5D4B1CFA"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1" w:type="dxa"/>
            <w:shd w:val="clear" w:color="auto" w:fill="FFFFFF"/>
            <w:noWrap/>
            <w:tcMar>
              <w:top w:w="15" w:type="dxa"/>
              <w:left w:w="0" w:type="dxa"/>
              <w:bottom w:w="0" w:type="dxa"/>
              <w:right w:w="15" w:type="dxa"/>
            </w:tcMar>
            <w:vAlign w:val="bottom"/>
            <w:hideMark/>
          </w:tcPr>
          <w:p w14:paraId="25A398D6"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34" w:type="dxa"/>
            <w:shd w:val="clear" w:color="auto" w:fill="FFFFFF"/>
            <w:tcMar>
              <w:top w:w="15" w:type="dxa"/>
              <w:left w:w="0" w:type="dxa"/>
              <w:bottom w:w="0" w:type="dxa"/>
              <w:right w:w="15" w:type="dxa"/>
            </w:tcMar>
            <w:vAlign w:val="bottom"/>
            <w:hideMark/>
          </w:tcPr>
          <w:p w14:paraId="102B007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5CBCB974"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87" w:type="dxa"/>
            <w:tcBorders>
              <w:top w:val="double" w:sz="6" w:space="0" w:color="000000"/>
            </w:tcBorders>
            <w:shd w:val="clear" w:color="auto" w:fill="FFFFFF"/>
            <w:noWrap/>
            <w:tcMar>
              <w:top w:w="15" w:type="dxa"/>
              <w:left w:w="0" w:type="dxa"/>
              <w:bottom w:w="0" w:type="dxa"/>
              <w:right w:w="15" w:type="dxa"/>
            </w:tcMar>
            <w:vAlign w:val="bottom"/>
            <w:hideMark/>
          </w:tcPr>
          <w:p w14:paraId="4F237F24"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2" w:type="dxa"/>
            <w:shd w:val="clear" w:color="auto" w:fill="FFFFFF"/>
            <w:noWrap/>
            <w:tcMar>
              <w:top w:w="15" w:type="dxa"/>
              <w:left w:w="0" w:type="dxa"/>
              <w:bottom w:w="0" w:type="dxa"/>
              <w:right w:w="15" w:type="dxa"/>
            </w:tcMar>
            <w:vAlign w:val="bottom"/>
            <w:hideMark/>
          </w:tcPr>
          <w:p w14:paraId="1FD1666A"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r>
      <w:tr w:rsidR="00141675" w:rsidRPr="00141675" w14:paraId="3950FF08" w14:textId="77777777" w:rsidTr="00141675">
        <w:tc>
          <w:tcPr>
            <w:tcW w:w="9803" w:type="dxa"/>
            <w:shd w:val="clear" w:color="auto" w:fill="CFF0FC"/>
            <w:tcMar>
              <w:top w:w="15" w:type="dxa"/>
              <w:left w:w="0" w:type="dxa"/>
              <w:bottom w:w="0" w:type="dxa"/>
              <w:right w:w="15" w:type="dxa"/>
            </w:tcMar>
            <w:vAlign w:val="bottom"/>
            <w:hideMark/>
          </w:tcPr>
          <w:p w14:paraId="645ABED3" w14:textId="77777777" w:rsidR="00141675" w:rsidRPr="00141675" w:rsidRDefault="00141675" w:rsidP="00141675">
            <w:pPr>
              <w:widowControl/>
              <w:ind w:left="27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Interest rate swaps designated as fair value hedges:</w:t>
            </w:r>
          </w:p>
        </w:tc>
        <w:tc>
          <w:tcPr>
            <w:tcW w:w="134" w:type="dxa"/>
            <w:shd w:val="clear" w:color="auto" w:fill="CFF0FC"/>
            <w:tcMar>
              <w:top w:w="15" w:type="dxa"/>
              <w:left w:w="0" w:type="dxa"/>
              <w:bottom w:w="0" w:type="dxa"/>
              <w:right w:w="15" w:type="dxa"/>
            </w:tcMar>
            <w:vAlign w:val="bottom"/>
            <w:hideMark/>
          </w:tcPr>
          <w:p w14:paraId="085789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13D46B2"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2259" w:type="dxa"/>
            <w:shd w:val="clear" w:color="auto" w:fill="CFF0FC"/>
            <w:noWrap/>
            <w:tcMar>
              <w:top w:w="15" w:type="dxa"/>
              <w:left w:w="0" w:type="dxa"/>
              <w:bottom w:w="0" w:type="dxa"/>
              <w:right w:w="15" w:type="dxa"/>
            </w:tcMar>
            <w:vAlign w:val="bottom"/>
            <w:hideMark/>
          </w:tcPr>
          <w:p w14:paraId="46CDDDF3"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1" w:type="dxa"/>
            <w:shd w:val="clear" w:color="auto" w:fill="CFF0FC"/>
            <w:noWrap/>
            <w:tcMar>
              <w:top w:w="15" w:type="dxa"/>
              <w:left w:w="0" w:type="dxa"/>
              <w:bottom w:w="0" w:type="dxa"/>
              <w:right w:w="15" w:type="dxa"/>
            </w:tcMar>
            <w:vAlign w:val="bottom"/>
            <w:hideMark/>
          </w:tcPr>
          <w:p w14:paraId="62C89176"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34" w:type="dxa"/>
            <w:shd w:val="clear" w:color="auto" w:fill="CFF0FC"/>
            <w:tcMar>
              <w:top w:w="15" w:type="dxa"/>
              <w:left w:w="0" w:type="dxa"/>
              <w:bottom w:w="0" w:type="dxa"/>
              <w:right w:w="15" w:type="dxa"/>
            </w:tcMar>
            <w:vAlign w:val="bottom"/>
            <w:hideMark/>
          </w:tcPr>
          <w:p w14:paraId="4381421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0D07D16"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87" w:type="dxa"/>
            <w:shd w:val="clear" w:color="auto" w:fill="CFF0FC"/>
            <w:noWrap/>
            <w:tcMar>
              <w:top w:w="15" w:type="dxa"/>
              <w:left w:w="0" w:type="dxa"/>
              <w:bottom w:w="0" w:type="dxa"/>
              <w:right w:w="15" w:type="dxa"/>
            </w:tcMar>
            <w:vAlign w:val="bottom"/>
            <w:hideMark/>
          </w:tcPr>
          <w:p w14:paraId="695B98F2"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1" w:type="dxa"/>
            <w:shd w:val="clear" w:color="auto" w:fill="CFF0FC"/>
            <w:noWrap/>
            <w:tcMar>
              <w:top w:w="15" w:type="dxa"/>
              <w:left w:w="0" w:type="dxa"/>
              <w:bottom w:w="0" w:type="dxa"/>
              <w:right w:w="15" w:type="dxa"/>
            </w:tcMar>
            <w:vAlign w:val="bottom"/>
            <w:hideMark/>
          </w:tcPr>
          <w:p w14:paraId="7A076197"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34" w:type="dxa"/>
            <w:shd w:val="clear" w:color="auto" w:fill="CFF0FC"/>
            <w:tcMar>
              <w:top w:w="15" w:type="dxa"/>
              <w:left w:w="0" w:type="dxa"/>
              <w:bottom w:w="0" w:type="dxa"/>
              <w:right w:w="15" w:type="dxa"/>
            </w:tcMar>
            <w:vAlign w:val="bottom"/>
            <w:hideMark/>
          </w:tcPr>
          <w:p w14:paraId="0837CA5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F5AB922"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2259" w:type="dxa"/>
            <w:shd w:val="clear" w:color="auto" w:fill="CFF0FC"/>
            <w:noWrap/>
            <w:tcMar>
              <w:top w:w="15" w:type="dxa"/>
              <w:left w:w="0" w:type="dxa"/>
              <w:bottom w:w="0" w:type="dxa"/>
              <w:right w:w="15" w:type="dxa"/>
            </w:tcMar>
            <w:vAlign w:val="bottom"/>
            <w:hideMark/>
          </w:tcPr>
          <w:p w14:paraId="367D3068"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1" w:type="dxa"/>
            <w:shd w:val="clear" w:color="auto" w:fill="CFF0FC"/>
            <w:noWrap/>
            <w:tcMar>
              <w:top w:w="15" w:type="dxa"/>
              <w:left w:w="0" w:type="dxa"/>
              <w:bottom w:w="0" w:type="dxa"/>
              <w:right w:w="15" w:type="dxa"/>
            </w:tcMar>
            <w:vAlign w:val="bottom"/>
            <w:hideMark/>
          </w:tcPr>
          <w:p w14:paraId="7BB6E490"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34" w:type="dxa"/>
            <w:shd w:val="clear" w:color="auto" w:fill="CFF0FC"/>
            <w:tcMar>
              <w:top w:w="15" w:type="dxa"/>
              <w:left w:w="0" w:type="dxa"/>
              <w:bottom w:w="0" w:type="dxa"/>
              <w:right w:w="15" w:type="dxa"/>
            </w:tcMar>
            <w:vAlign w:val="bottom"/>
            <w:hideMark/>
          </w:tcPr>
          <w:p w14:paraId="326B5FE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C4AD07F"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87" w:type="dxa"/>
            <w:shd w:val="clear" w:color="auto" w:fill="CFF0FC"/>
            <w:noWrap/>
            <w:tcMar>
              <w:top w:w="15" w:type="dxa"/>
              <w:left w:w="0" w:type="dxa"/>
              <w:bottom w:w="0" w:type="dxa"/>
              <w:right w:w="15" w:type="dxa"/>
            </w:tcMar>
            <w:vAlign w:val="bottom"/>
            <w:hideMark/>
          </w:tcPr>
          <w:p w14:paraId="3D2D7F17"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c>
          <w:tcPr>
            <w:tcW w:w="192" w:type="dxa"/>
            <w:shd w:val="clear" w:color="auto" w:fill="CFF0FC"/>
            <w:noWrap/>
            <w:tcMar>
              <w:top w:w="15" w:type="dxa"/>
              <w:left w:w="0" w:type="dxa"/>
              <w:bottom w:w="0" w:type="dxa"/>
              <w:right w:w="15" w:type="dxa"/>
            </w:tcMar>
            <w:vAlign w:val="bottom"/>
            <w:hideMark/>
          </w:tcPr>
          <w:p w14:paraId="15715EDD" w14:textId="77777777" w:rsidR="00141675" w:rsidRPr="00141675" w:rsidRDefault="00141675" w:rsidP="00141675">
            <w:pPr>
              <w:widowControl/>
              <w:jc w:val="left"/>
              <w:rPr>
                <w:rFonts w:ascii="Calibri" w:eastAsia="宋体" w:hAnsi="Calibri" w:cs="Calibri"/>
                <w:color w:val="000000"/>
                <w:kern w:val="0"/>
                <w:sz w:val="14"/>
                <w:szCs w:val="14"/>
              </w:rPr>
            </w:pPr>
            <w:r w:rsidRPr="00141675">
              <w:rPr>
                <w:rFonts w:ascii="Calibri" w:eastAsia="宋体" w:hAnsi="Calibri" w:cs="Calibri"/>
                <w:color w:val="000000"/>
                <w:kern w:val="0"/>
                <w:sz w:val="14"/>
                <w:szCs w:val="14"/>
              </w:rPr>
              <w:t> </w:t>
            </w:r>
          </w:p>
        </w:tc>
      </w:tr>
      <w:tr w:rsidR="00141675" w:rsidRPr="00141675" w14:paraId="6E72E489" w14:textId="77777777" w:rsidTr="00141675">
        <w:tc>
          <w:tcPr>
            <w:tcW w:w="9803" w:type="dxa"/>
            <w:shd w:val="clear" w:color="auto" w:fill="FFFFFF"/>
            <w:tcMar>
              <w:top w:w="15" w:type="dxa"/>
              <w:left w:w="0" w:type="dxa"/>
              <w:bottom w:w="0" w:type="dxa"/>
              <w:right w:w="15" w:type="dxa"/>
            </w:tcMar>
            <w:vAlign w:val="bottom"/>
            <w:hideMark/>
          </w:tcPr>
          <w:p w14:paraId="735498F7" w14:textId="77777777" w:rsidR="00141675" w:rsidRPr="00141675" w:rsidRDefault="00141675" w:rsidP="00141675">
            <w:pPr>
              <w:widowControl/>
              <w:ind w:left="547"/>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Derivative instruments</w:t>
            </w:r>
          </w:p>
        </w:tc>
        <w:tc>
          <w:tcPr>
            <w:tcW w:w="134" w:type="dxa"/>
            <w:shd w:val="clear" w:color="auto" w:fill="FFFFFF"/>
            <w:tcMar>
              <w:top w:w="15" w:type="dxa"/>
              <w:left w:w="0" w:type="dxa"/>
              <w:bottom w:w="0" w:type="dxa"/>
              <w:right w:w="15" w:type="dxa"/>
            </w:tcMar>
            <w:vAlign w:val="bottom"/>
            <w:hideMark/>
          </w:tcPr>
          <w:p w14:paraId="0F7D2B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FF5CE3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shd w:val="clear" w:color="auto" w:fill="FFFFFF"/>
            <w:noWrap/>
            <w:tcMar>
              <w:top w:w="15" w:type="dxa"/>
              <w:left w:w="0" w:type="dxa"/>
              <w:bottom w:w="0" w:type="dxa"/>
              <w:right w:w="15" w:type="dxa"/>
            </w:tcMar>
            <w:vAlign w:val="bottom"/>
            <w:hideMark/>
          </w:tcPr>
          <w:p w14:paraId="23F5646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181AB63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53CE19A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4BBE1A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shd w:val="clear" w:color="auto" w:fill="FFFFFF"/>
            <w:noWrap/>
            <w:tcMar>
              <w:top w:w="15" w:type="dxa"/>
              <w:left w:w="0" w:type="dxa"/>
              <w:bottom w:w="0" w:type="dxa"/>
              <w:right w:w="15" w:type="dxa"/>
            </w:tcMar>
            <w:vAlign w:val="bottom"/>
            <w:hideMark/>
          </w:tcPr>
          <w:p w14:paraId="56CDB64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w:t>
            </w:r>
          </w:p>
        </w:tc>
        <w:tc>
          <w:tcPr>
            <w:tcW w:w="191" w:type="dxa"/>
            <w:shd w:val="clear" w:color="auto" w:fill="FFFFFF"/>
            <w:noWrap/>
            <w:tcMar>
              <w:top w:w="15" w:type="dxa"/>
              <w:left w:w="0" w:type="dxa"/>
              <w:bottom w:w="0" w:type="dxa"/>
              <w:right w:w="15" w:type="dxa"/>
            </w:tcMar>
            <w:vAlign w:val="bottom"/>
            <w:hideMark/>
          </w:tcPr>
          <w:p w14:paraId="2CD6115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2B63164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359C6E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shd w:val="clear" w:color="auto" w:fill="FFFFFF"/>
            <w:noWrap/>
            <w:tcMar>
              <w:top w:w="15" w:type="dxa"/>
              <w:left w:w="0" w:type="dxa"/>
              <w:bottom w:w="0" w:type="dxa"/>
              <w:right w:w="15" w:type="dxa"/>
            </w:tcMar>
            <w:vAlign w:val="bottom"/>
            <w:hideMark/>
          </w:tcPr>
          <w:p w14:paraId="76307F7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3D9688C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530A8CC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6C71DC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shd w:val="clear" w:color="auto" w:fill="FFFFFF"/>
            <w:noWrap/>
            <w:tcMar>
              <w:top w:w="15" w:type="dxa"/>
              <w:left w:w="0" w:type="dxa"/>
              <w:bottom w:w="0" w:type="dxa"/>
              <w:right w:w="15" w:type="dxa"/>
            </w:tcMar>
            <w:vAlign w:val="bottom"/>
            <w:hideMark/>
          </w:tcPr>
          <w:p w14:paraId="2FCF698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(38</w:t>
            </w:r>
          </w:p>
        </w:tc>
        <w:tc>
          <w:tcPr>
            <w:tcW w:w="192" w:type="dxa"/>
            <w:shd w:val="clear" w:color="auto" w:fill="FFFFFF"/>
            <w:noWrap/>
            <w:tcMar>
              <w:top w:w="15" w:type="dxa"/>
              <w:left w:w="0" w:type="dxa"/>
              <w:bottom w:w="0" w:type="dxa"/>
              <w:right w:w="15" w:type="dxa"/>
            </w:tcMar>
            <w:vAlign w:val="bottom"/>
            <w:hideMark/>
          </w:tcPr>
          <w:p w14:paraId="431096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7DD17E9E" w14:textId="77777777" w:rsidTr="00141675">
        <w:tc>
          <w:tcPr>
            <w:tcW w:w="9803" w:type="dxa"/>
            <w:shd w:val="clear" w:color="auto" w:fill="CFF0FC"/>
            <w:tcMar>
              <w:top w:w="15" w:type="dxa"/>
              <w:left w:w="0" w:type="dxa"/>
              <w:bottom w:w="0" w:type="dxa"/>
              <w:right w:w="15" w:type="dxa"/>
            </w:tcMar>
            <w:vAlign w:val="bottom"/>
            <w:hideMark/>
          </w:tcPr>
          <w:p w14:paraId="48B657DA" w14:textId="77777777" w:rsidR="00141675" w:rsidRPr="00141675" w:rsidRDefault="00141675" w:rsidP="00141675">
            <w:pPr>
              <w:widowControl/>
              <w:ind w:left="547"/>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Hedged items</w:t>
            </w:r>
          </w:p>
        </w:tc>
        <w:tc>
          <w:tcPr>
            <w:tcW w:w="134" w:type="dxa"/>
            <w:shd w:val="clear" w:color="auto" w:fill="CFF0FC"/>
            <w:tcMar>
              <w:top w:w="15" w:type="dxa"/>
              <w:left w:w="0" w:type="dxa"/>
              <w:bottom w:w="0" w:type="dxa"/>
              <w:right w:w="15" w:type="dxa"/>
            </w:tcMar>
            <w:vAlign w:val="bottom"/>
            <w:hideMark/>
          </w:tcPr>
          <w:p w14:paraId="1655183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98FD86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7E6D544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43484EB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47FF96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3440B1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5469690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w:t>
            </w:r>
          </w:p>
        </w:tc>
        <w:tc>
          <w:tcPr>
            <w:tcW w:w="191" w:type="dxa"/>
            <w:shd w:val="clear" w:color="auto" w:fill="CFF0FC"/>
            <w:noWrap/>
            <w:tcMar>
              <w:top w:w="15" w:type="dxa"/>
              <w:left w:w="0" w:type="dxa"/>
              <w:bottom w:w="0" w:type="dxa"/>
              <w:right w:w="15" w:type="dxa"/>
            </w:tcMar>
            <w:vAlign w:val="bottom"/>
            <w:hideMark/>
          </w:tcPr>
          <w:p w14:paraId="6AF0552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20FF27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78C3FB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5A74B0C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49ADF0B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30F7BDE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B3DD7B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7E8A085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38</w:t>
            </w:r>
          </w:p>
        </w:tc>
        <w:tc>
          <w:tcPr>
            <w:tcW w:w="192" w:type="dxa"/>
            <w:shd w:val="clear" w:color="auto" w:fill="CFF0FC"/>
            <w:noWrap/>
            <w:tcMar>
              <w:top w:w="15" w:type="dxa"/>
              <w:left w:w="0" w:type="dxa"/>
              <w:bottom w:w="0" w:type="dxa"/>
              <w:right w:w="15" w:type="dxa"/>
            </w:tcMar>
            <w:vAlign w:val="bottom"/>
            <w:hideMark/>
          </w:tcPr>
          <w:p w14:paraId="106E98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090DC88A" w14:textId="77777777" w:rsidTr="00141675">
        <w:tc>
          <w:tcPr>
            <w:tcW w:w="9803" w:type="dxa"/>
            <w:shd w:val="clear" w:color="auto" w:fill="FFFFFF"/>
            <w:tcMar>
              <w:top w:w="15" w:type="dxa"/>
              <w:left w:w="0" w:type="dxa"/>
              <w:bottom w:w="0" w:type="dxa"/>
              <w:right w:w="15" w:type="dxa"/>
            </w:tcMar>
            <w:vAlign w:val="bottom"/>
            <w:hideMark/>
          </w:tcPr>
          <w:p w14:paraId="68F36609" w14:textId="77777777" w:rsidR="00141675" w:rsidRPr="00141675" w:rsidRDefault="00141675" w:rsidP="00141675">
            <w:pPr>
              <w:widowControl/>
              <w:ind w:left="418"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Cross-currency interest rate swaps designated as fair value hedges:</w:t>
            </w:r>
          </w:p>
        </w:tc>
        <w:tc>
          <w:tcPr>
            <w:tcW w:w="134" w:type="dxa"/>
            <w:shd w:val="clear" w:color="auto" w:fill="FFFFFF"/>
            <w:tcMar>
              <w:top w:w="15" w:type="dxa"/>
              <w:left w:w="0" w:type="dxa"/>
              <w:bottom w:w="0" w:type="dxa"/>
              <w:right w:w="15" w:type="dxa"/>
            </w:tcMar>
            <w:vAlign w:val="bottom"/>
            <w:hideMark/>
          </w:tcPr>
          <w:p w14:paraId="5C9E642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375E45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FFFFFF"/>
            <w:noWrap/>
            <w:tcMar>
              <w:top w:w="15" w:type="dxa"/>
              <w:left w:w="0" w:type="dxa"/>
              <w:bottom w:w="0" w:type="dxa"/>
              <w:right w:w="15" w:type="dxa"/>
            </w:tcMar>
            <w:vAlign w:val="bottom"/>
            <w:hideMark/>
          </w:tcPr>
          <w:p w14:paraId="1CC4ECB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9B900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5943733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BA91C2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FFFFFF"/>
            <w:noWrap/>
            <w:tcMar>
              <w:top w:w="15" w:type="dxa"/>
              <w:left w:w="0" w:type="dxa"/>
              <w:bottom w:w="0" w:type="dxa"/>
              <w:right w:w="15" w:type="dxa"/>
            </w:tcMar>
            <w:vAlign w:val="bottom"/>
            <w:hideMark/>
          </w:tcPr>
          <w:p w14:paraId="71A96C4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BAB48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4511706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9128DD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FFFFFF"/>
            <w:noWrap/>
            <w:tcMar>
              <w:top w:w="15" w:type="dxa"/>
              <w:left w:w="0" w:type="dxa"/>
              <w:bottom w:w="0" w:type="dxa"/>
              <w:right w:w="15" w:type="dxa"/>
            </w:tcMar>
            <w:vAlign w:val="bottom"/>
            <w:hideMark/>
          </w:tcPr>
          <w:p w14:paraId="67D84A3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FA338E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63C9EBF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46EA05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FFFFFF"/>
            <w:noWrap/>
            <w:tcMar>
              <w:top w:w="15" w:type="dxa"/>
              <w:left w:w="0" w:type="dxa"/>
              <w:bottom w:w="0" w:type="dxa"/>
              <w:right w:w="15" w:type="dxa"/>
            </w:tcMar>
            <w:vAlign w:val="bottom"/>
            <w:hideMark/>
          </w:tcPr>
          <w:p w14:paraId="330B527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5466DBD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F2F1F2D" w14:textId="77777777" w:rsidTr="00141675">
        <w:tc>
          <w:tcPr>
            <w:tcW w:w="9803" w:type="dxa"/>
            <w:shd w:val="clear" w:color="auto" w:fill="CFF0FC"/>
            <w:tcMar>
              <w:top w:w="15" w:type="dxa"/>
              <w:left w:w="0" w:type="dxa"/>
              <w:bottom w:w="0" w:type="dxa"/>
              <w:right w:w="15" w:type="dxa"/>
            </w:tcMar>
            <w:vAlign w:val="bottom"/>
            <w:hideMark/>
          </w:tcPr>
          <w:p w14:paraId="70D31765" w14:textId="77777777" w:rsidR="00141675" w:rsidRPr="00141675" w:rsidRDefault="00141675" w:rsidP="00141675">
            <w:pPr>
              <w:widowControl/>
              <w:ind w:left="547"/>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Derivative instruments</w:t>
            </w:r>
          </w:p>
        </w:tc>
        <w:tc>
          <w:tcPr>
            <w:tcW w:w="134" w:type="dxa"/>
            <w:shd w:val="clear" w:color="auto" w:fill="CFF0FC"/>
            <w:tcMar>
              <w:top w:w="15" w:type="dxa"/>
              <w:left w:w="0" w:type="dxa"/>
              <w:bottom w:w="0" w:type="dxa"/>
              <w:right w:w="15" w:type="dxa"/>
            </w:tcMar>
            <w:vAlign w:val="bottom"/>
            <w:hideMark/>
          </w:tcPr>
          <w:p w14:paraId="6D355F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39F606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0441B0C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(13</w:t>
            </w:r>
          </w:p>
        </w:tc>
        <w:tc>
          <w:tcPr>
            <w:tcW w:w="191" w:type="dxa"/>
            <w:shd w:val="clear" w:color="auto" w:fill="CFF0FC"/>
            <w:noWrap/>
            <w:tcMar>
              <w:top w:w="15" w:type="dxa"/>
              <w:left w:w="0" w:type="dxa"/>
              <w:bottom w:w="0" w:type="dxa"/>
              <w:right w:w="15" w:type="dxa"/>
            </w:tcMar>
            <w:vAlign w:val="bottom"/>
            <w:hideMark/>
          </w:tcPr>
          <w:p w14:paraId="67276A9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6E318B8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DC1D3D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0FE8C23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191" w:type="dxa"/>
            <w:shd w:val="clear" w:color="auto" w:fill="CFF0FC"/>
            <w:noWrap/>
            <w:tcMar>
              <w:top w:w="15" w:type="dxa"/>
              <w:left w:w="0" w:type="dxa"/>
              <w:bottom w:w="0" w:type="dxa"/>
              <w:right w:w="15" w:type="dxa"/>
            </w:tcMar>
            <w:vAlign w:val="bottom"/>
            <w:hideMark/>
          </w:tcPr>
          <w:p w14:paraId="6F705D9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44C4973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4E92B8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40370BF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w:t>
            </w:r>
          </w:p>
        </w:tc>
        <w:tc>
          <w:tcPr>
            <w:tcW w:w="191" w:type="dxa"/>
            <w:shd w:val="clear" w:color="auto" w:fill="CFF0FC"/>
            <w:noWrap/>
            <w:tcMar>
              <w:top w:w="15" w:type="dxa"/>
              <w:left w:w="0" w:type="dxa"/>
              <w:bottom w:w="0" w:type="dxa"/>
              <w:right w:w="15" w:type="dxa"/>
            </w:tcMar>
            <w:vAlign w:val="bottom"/>
            <w:hideMark/>
          </w:tcPr>
          <w:p w14:paraId="1AD2F89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2A97AE5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808389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0E70C64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192" w:type="dxa"/>
            <w:shd w:val="clear" w:color="auto" w:fill="CFF0FC"/>
            <w:noWrap/>
            <w:tcMar>
              <w:top w:w="15" w:type="dxa"/>
              <w:left w:w="0" w:type="dxa"/>
              <w:bottom w:w="0" w:type="dxa"/>
              <w:right w:w="15" w:type="dxa"/>
            </w:tcMar>
            <w:vAlign w:val="bottom"/>
            <w:hideMark/>
          </w:tcPr>
          <w:p w14:paraId="1773C3E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090230C1" w14:textId="77777777" w:rsidTr="00141675">
        <w:tc>
          <w:tcPr>
            <w:tcW w:w="9803" w:type="dxa"/>
            <w:shd w:val="clear" w:color="auto" w:fill="FFFFFF"/>
            <w:tcMar>
              <w:top w:w="15" w:type="dxa"/>
              <w:left w:w="0" w:type="dxa"/>
              <w:bottom w:w="0" w:type="dxa"/>
              <w:right w:w="15" w:type="dxa"/>
            </w:tcMar>
            <w:vAlign w:val="bottom"/>
            <w:hideMark/>
          </w:tcPr>
          <w:p w14:paraId="5DCBEC45" w14:textId="77777777" w:rsidR="00141675" w:rsidRPr="00141675" w:rsidRDefault="00141675" w:rsidP="00141675">
            <w:pPr>
              <w:widowControl/>
              <w:ind w:left="547"/>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Hedged items</w:t>
            </w:r>
          </w:p>
        </w:tc>
        <w:tc>
          <w:tcPr>
            <w:tcW w:w="134" w:type="dxa"/>
            <w:shd w:val="clear" w:color="auto" w:fill="FFFFFF"/>
            <w:tcMar>
              <w:top w:w="15" w:type="dxa"/>
              <w:left w:w="0" w:type="dxa"/>
              <w:bottom w:w="0" w:type="dxa"/>
              <w:right w:w="15" w:type="dxa"/>
            </w:tcMar>
            <w:vAlign w:val="bottom"/>
            <w:hideMark/>
          </w:tcPr>
          <w:p w14:paraId="7333F49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B3C64A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FFFFFF"/>
            <w:noWrap/>
            <w:tcMar>
              <w:top w:w="15" w:type="dxa"/>
              <w:left w:w="0" w:type="dxa"/>
              <w:bottom w:w="0" w:type="dxa"/>
              <w:right w:w="15" w:type="dxa"/>
            </w:tcMar>
            <w:vAlign w:val="bottom"/>
            <w:hideMark/>
          </w:tcPr>
          <w:p w14:paraId="46ED71D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w:t>
            </w:r>
          </w:p>
        </w:tc>
        <w:tc>
          <w:tcPr>
            <w:tcW w:w="191" w:type="dxa"/>
            <w:shd w:val="clear" w:color="auto" w:fill="FFFFFF"/>
            <w:noWrap/>
            <w:tcMar>
              <w:top w:w="15" w:type="dxa"/>
              <w:left w:w="0" w:type="dxa"/>
              <w:bottom w:w="0" w:type="dxa"/>
              <w:right w:w="15" w:type="dxa"/>
            </w:tcMar>
            <w:vAlign w:val="bottom"/>
            <w:hideMark/>
          </w:tcPr>
          <w:p w14:paraId="1E3540E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7C0720F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889E35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FFFFFF"/>
            <w:noWrap/>
            <w:tcMar>
              <w:top w:w="15" w:type="dxa"/>
              <w:left w:w="0" w:type="dxa"/>
              <w:bottom w:w="0" w:type="dxa"/>
              <w:right w:w="15" w:type="dxa"/>
            </w:tcMar>
            <w:vAlign w:val="bottom"/>
            <w:hideMark/>
          </w:tcPr>
          <w:p w14:paraId="1CE3D25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191" w:type="dxa"/>
            <w:shd w:val="clear" w:color="auto" w:fill="FFFFFF"/>
            <w:noWrap/>
            <w:tcMar>
              <w:top w:w="15" w:type="dxa"/>
              <w:left w:w="0" w:type="dxa"/>
              <w:bottom w:w="0" w:type="dxa"/>
              <w:right w:w="15" w:type="dxa"/>
            </w:tcMar>
            <w:vAlign w:val="bottom"/>
            <w:hideMark/>
          </w:tcPr>
          <w:p w14:paraId="6B08CA2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FFFFFF"/>
            <w:tcMar>
              <w:top w:w="15" w:type="dxa"/>
              <w:left w:w="0" w:type="dxa"/>
              <w:bottom w:w="0" w:type="dxa"/>
              <w:right w:w="15" w:type="dxa"/>
            </w:tcMar>
            <w:vAlign w:val="bottom"/>
            <w:hideMark/>
          </w:tcPr>
          <w:p w14:paraId="4B408B7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632545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FFFFFF"/>
            <w:noWrap/>
            <w:tcMar>
              <w:top w:w="15" w:type="dxa"/>
              <w:left w:w="0" w:type="dxa"/>
              <w:bottom w:w="0" w:type="dxa"/>
              <w:right w:w="15" w:type="dxa"/>
            </w:tcMar>
            <w:vAlign w:val="bottom"/>
            <w:hideMark/>
          </w:tcPr>
          <w:p w14:paraId="53D9F20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26</w:t>
            </w:r>
          </w:p>
        </w:tc>
        <w:tc>
          <w:tcPr>
            <w:tcW w:w="191" w:type="dxa"/>
            <w:shd w:val="clear" w:color="auto" w:fill="FFFFFF"/>
            <w:noWrap/>
            <w:tcMar>
              <w:top w:w="15" w:type="dxa"/>
              <w:left w:w="0" w:type="dxa"/>
              <w:bottom w:w="0" w:type="dxa"/>
              <w:right w:w="15" w:type="dxa"/>
            </w:tcMar>
            <w:vAlign w:val="bottom"/>
            <w:hideMark/>
          </w:tcPr>
          <w:p w14:paraId="6B26FCB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51BAC4B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519633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FFFFFF"/>
            <w:noWrap/>
            <w:tcMar>
              <w:top w:w="15" w:type="dxa"/>
              <w:left w:w="0" w:type="dxa"/>
              <w:bottom w:w="0" w:type="dxa"/>
              <w:right w:w="15" w:type="dxa"/>
            </w:tcMar>
            <w:vAlign w:val="bottom"/>
            <w:hideMark/>
          </w:tcPr>
          <w:p w14:paraId="3A01154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192" w:type="dxa"/>
            <w:shd w:val="clear" w:color="auto" w:fill="FFFFFF"/>
            <w:noWrap/>
            <w:tcMar>
              <w:top w:w="15" w:type="dxa"/>
              <w:left w:w="0" w:type="dxa"/>
              <w:bottom w:w="0" w:type="dxa"/>
              <w:right w:w="15" w:type="dxa"/>
            </w:tcMar>
            <w:vAlign w:val="bottom"/>
            <w:hideMark/>
          </w:tcPr>
          <w:p w14:paraId="569ABAE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r w:rsidR="00141675" w:rsidRPr="00141675" w14:paraId="1CCA3913" w14:textId="77777777" w:rsidTr="00141675">
        <w:tc>
          <w:tcPr>
            <w:tcW w:w="9803" w:type="dxa"/>
            <w:shd w:val="clear" w:color="auto" w:fill="CFF0FC"/>
            <w:tcMar>
              <w:top w:w="15" w:type="dxa"/>
              <w:left w:w="0" w:type="dxa"/>
              <w:bottom w:w="0" w:type="dxa"/>
              <w:right w:w="15" w:type="dxa"/>
            </w:tcMar>
            <w:vAlign w:val="bottom"/>
            <w:hideMark/>
          </w:tcPr>
          <w:p w14:paraId="34150BFE" w14:textId="77777777" w:rsidR="00141675" w:rsidRPr="00141675" w:rsidRDefault="00141675" w:rsidP="00141675">
            <w:pPr>
              <w:widowControl/>
              <w:ind w:left="418"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Cross-currency swap agreements designated as cash flow hedges:</w:t>
            </w:r>
          </w:p>
        </w:tc>
        <w:tc>
          <w:tcPr>
            <w:tcW w:w="134" w:type="dxa"/>
            <w:shd w:val="clear" w:color="auto" w:fill="CFF0FC"/>
            <w:tcMar>
              <w:top w:w="15" w:type="dxa"/>
              <w:left w:w="0" w:type="dxa"/>
              <w:bottom w:w="0" w:type="dxa"/>
              <w:right w:w="15" w:type="dxa"/>
            </w:tcMar>
            <w:vAlign w:val="bottom"/>
            <w:hideMark/>
          </w:tcPr>
          <w:p w14:paraId="2679EBB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E556AA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1DEA77D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703684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68C3BC4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81B369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0709A17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784E41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602F429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01A547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shd w:val="clear" w:color="auto" w:fill="CFF0FC"/>
            <w:noWrap/>
            <w:tcMar>
              <w:top w:w="15" w:type="dxa"/>
              <w:left w:w="0" w:type="dxa"/>
              <w:bottom w:w="0" w:type="dxa"/>
              <w:right w:w="15" w:type="dxa"/>
            </w:tcMar>
            <w:vAlign w:val="bottom"/>
            <w:hideMark/>
          </w:tcPr>
          <w:p w14:paraId="5D2799F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349B9A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4E63DB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7F7715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shd w:val="clear" w:color="auto" w:fill="CFF0FC"/>
            <w:noWrap/>
            <w:tcMar>
              <w:top w:w="15" w:type="dxa"/>
              <w:left w:w="0" w:type="dxa"/>
              <w:bottom w:w="0" w:type="dxa"/>
              <w:right w:w="15" w:type="dxa"/>
            </w:tcMar>
            <w:vAlign w:val="bottom"/>
            <w:hideMark/>
          </w:tcPr>
          <w:p w14:paraId="1AC4540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78D84B3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BA65FDD" w14:textId="77777777" w:rsidTr="00141675">
        <w:tc>
          <w:tcPr>
            <w:tcW w:w="9803" w:type="dxa"/>
            <w:shd w:val="clear" w:color="auto" w:fill="FFFFFF"/>
            <w:tcMar>
              <w:top w:w="15" w:type="dxa"/>
              <w:left w:w="0" w:type="dxa"/>
              <w:bottom w:w="0" w:type="dxa"/>
              <w:right w:w="15" w:type="dxa"/>
            </w:tcMar>
            <w:vAlign w:val="bottom"/>
            <w:hideMark/>
          </w:tcPr>
          <w:p w14:paraId="14FC5B75" w14:textId="77777777" w:rsidR="00141675" w:rsidRPr="00141675" w:rsidRDefault="00141675" w:rsidP="00141675">
            <w:pPr>
              <w:widowControl/>
              <w:ind w:left="691"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Amount of gain (loss) reclassified from accumulated OCI or OCL</w:t>
            </w:r>
          </w:p>
        </w:tc>
        <w:tc>
          <w:tcPr>
            <w:tcW w:w="134" w:type="dxa"/>
            <w:shd w:val="clear" w:color="auto" w:fill="FFFFFF"/>
            <w:tcMar>
              <w:top w:w="15" w:type="dxa"/>
              <w:left w:w="0" w:type="dxa"/>
              <w:bottom w:w="0" w:type="dxa"/>
              <w:right w:w="15" w:type="dxa"/>
            </w:tcMar>
            <w:vAlign w:val="bottom"/>
            <w:hideMark/>
          </w:tcPr>
          <w:p w14:paraId="304D4AE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03F70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tcBorders>
              <w:bottom w:val="single" w:sz="6" w:space="0" w:color="000000"/>
            </w:tcBorders>
            <w:shd w:val="clear" w:color="auto" w:fill="FFFFFF"/>
            <w:noWrap/>
            <w:tcMar>
              <w:top w:w="15" w:type="dxa"/>
              <w:left w:w="0" w:type="dxa"/>
              <w:bottom w:w="0" w:type="dxa"/>
              <w:right w:w="15" w:type="dxa"/>
            </w:tcMar>
            <w:vAlign w:val="bottom"/>
            <w:hideMark/>
          </w:tcPr>
          <w:p w14:paraId="3CDE510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(18</w:t>
            </w:r>
          </w:p>
        </w:tc>
        <w:tc>
          <w:tcPr>
            <w:tcW w:w="191" w:type="dxa"/>
            <w:shd w:val="clear" w:color="auto" w:fill="FFFFFF"/>
            <w:noWrap/>
            <w:tcMar>
              <w:top w:w="15" w:type="dxa"/>
              <w:left w:w="0" w:type="dxa"/>
              <w:bottom w:w="0" w:type="dxa"/>
              <w:right w:w="15" w:type="dxa"/>
            </w:tcMar>
            <w:vAlign w:val="bottom"/>
            <w:hideMark/>
          </w:tcPr>
          <w:p w14:paraId="37D87A4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FFFFFF"/>
            <w:tcMar>
              <w:top w:w="15" w:type="dxa"/>
              <w:left w:w="0" w:type="dxa"/>
              <w:bottom w:w="0" w:type="dxa"/>
              <w:right w:w="15" w:type="dxa"/>
            </w:tcMar>
            <w:vAlign w:val="bottom"/>
            <w:hideMark/>
          </w:tcPr>
          <w:p w14:paraId="06D8AB4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12E707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tcBorders>
              <w:bottom w:val="single" w:sz="6" w:space="0" w:color="000000"/>
            </w:tcBorders>
            <w:shd w:val="clear" w:color="auto" w:fill="FFFFFF"/>
            <w:noWrap/>
            <w:tcMar>
              <w:top w:w="15" w:type="dxa"/>
              <w:left w:w="0" w:type="dxa"/>
              <w:bottom w:w="0" w:type="dxa"/>
              <w:right w:w="15" w:type="dxa"/>
            </w:tcMar>
            <w:vAlign w:val="bottom"/>
            <w:hideMark/>
          </w:tcPr>
          <w:p w14:paraId="2D9D8A9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FFFFFF"/>
            <w:noWrap/>
            <w:tcMar>
              <w:top w:w="15" w:type="dxa"/>
              <w:left w:w="0" w:type="dxa"/>
              <w:bottom w:w="0" w:type="dxa"/>
              <w:right w:w="15" w:type="dxa"/>
            </w:tcMar>
            <w:vAlign w:val="bottom"/>
            <w:hideMark/>
          </w:tcPr>
          <w:p w14:paraId="0FDB1C1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FFFFFF"/>
            <w:tcMar>
              <w:top w:w="15" w:type="dxa"/>
              <w:left w:w="0" w:type="dxa"/>
              <w:bottom w:w="0" w:type="dxa"/>
              <w:right w:w="15" w:type="dxa"/>
            </w:tcMar>
            <w:vAlign w:val="bottom"/>
            <w:hideMark/>
          </w:tcPr>
          <w:p w14:paraId="63D0CE7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C8E2CC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59" w:type="dxa"/>
            <w:tcBorders>
              <w:bottom w:val="single" w:sz="6" w:space="0" w:color="000000"/>
            </w:tcBorders>
            <w:shd w:val="clear" w:color="auto" w:fill="FFFFFF"/>
            <w:noWrap/>
            <w:tcMar>
              <w:top w:w="15" w:type="dxa"/>
              <w:left w:w="0" w:type="dxa"/>
              <w:bottom w:w="0" w:type="dxa"/>
              <w:right w:w="15" w:type="dxa"/>
            </w:tcMar>
            <w:vAlign w:val="bottom"/>
            <w:hideMark/>
          </w:tcPr>
          <w:p w14:paraId="5557F3C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(37</w:t>
            </w:r>
          </w:p>
        </w:tc>
        <w:tc>
          <w:tcPr>
            <w:tcW w:w="191" w:type="dxa"/>
            <w:shd w:val="clear" w:color="auto" w:fill="FFFFFF"/>
            <w:noWrap/>
            <w:tcMar>
              <w:top w:w="15" w:type="dxa"/>
              <w:left w:w="0" w:type="dxa"/>
              <w:bottom w:w="0" w:type="dxa"/>
              <w:right w:w="15" w:type="dxa"/>
            </w:tcMar>
            <w:vAlign w:val="bottom"/>
            <w:hideMark/>
          </w:tcPr>
          <w:p w14:paraId="2A30095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FFFFFF"/>
            <w:tcMar>
              <w:top w:w="15" w:type="dxa"/>
              <w:left w:w="0" w:type="dxa"/>
              <w:bottom w:w="0" w:type="dxa"/>
              <w:right w:w="15" w:type="dxa"/>
            </w:tcMar>
            <w:vAlign w:val="bottom"/>
            <w:hideMark/>
          </w:tcPr>
          <w:p w14:paraId="0FE20AB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DC2FC3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87" w:type="dxa"/>
            <w:tcBorders>
              <w:bottom w:val="single" w:sz="6" w:space="0" w:color="000000"/>
            </w:tcBorders>
            <w:shd w:val="clear" w:color="auto" w:fill="FFFFFF"/>
            <w:noWrap/>
            <w:tcMar>
              <w:top w:w="15" w:type="dxa"/>
              <w:left w:w="0" w:type="dxa"/>
              <w:bottom w:w="0" w:type="dxa"/>
              <w:right w:w="15" w:type="dxa"/>
            </w:tcMar>
            <w:vAlign w:val="bottom"/>
            <w:hideMark/>
          </w:tcPr>
          <w:p w14:paraId="6C52474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2" w:type="dxa"/>
            <w:shd w:val="clear" w:color="auto" w:fill="FFFFFF"/>
            <w:noWrap/>
            <w:tcMar>
              <w:top w:w="15" w:type="dxa"/>
              <w:left w:w="0" w:type="dxa"/>
              <w:bottom w:w="0" w:type="dxa"/>
              <w:right w:w="15" w:type="dxa"/>
            </w:tcMar>
            <w:vAlign w:val="bottom"/>
            <w:hideMark/>
          </w:tcPr>
          <w:p w14:paraId="2B8580A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1859F6EE" w14:textId="77777777" w:rsidTr="00141675">
        <w:tc>
          <w:tcPr>
            <w:tcW w:w="9803" w:type="dxa"/>
            <w:shd w:val="clear" w:color="auto" w:fill="CFF0FC"/>
            <w:tcMar>
              <w:top w:w="15" w:type="dxa"/>
              <w:left w:w="0" w:type="dxa"/>
              <w:bottom w:w="0" w:type="dxa"/>
              <w:right w:w="15" w:type="dxa"/>
            </w:tcMar>
            <w:vAlign w:val="bottom"/>
            <w:hideMark/>
          </w:tcPr>
          <w:p w14:paraId="78B87427" w14:textId="77777777" w:rsidR="00141675" w:rsidRPr="00141675" w:rsidRDefault="00141675" w:rsidP="00141675">
            <w:pPr>
              <w:widowControl/>
              <w:ind w:left="821"/>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gain (loss) on hedges recognized in income</w:t>
            </w:r>
          </w:p>
        </w:tc>
        <w:tc>
          <w:tcPr>
            <w:tcW w:w="134" w:type="dxa"/>
            <w:shd w:val="clear" w:color="auto" w:fill="CFF0FC"/>
            <w:tcMar>
              <w:top w:w="15" w:type="dxa"/>
              <w:left w:w="0" w:type="dxa"/>
              <w:bottom w:w="0" w:type="dxa"/>
              <w:right w:w="15" w:type="dxa"/>
            </w:tcMar>
            <w:vAlign w:val="bottom"/>
            <w:hideMark/>
          </w:tcPr>
          <w:p w14:paraId="574CF8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DF613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AA2603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w:t>
            </w:r>
          </w:p>
        </w:tc>
        <w:tc>
          <w:tcPr>
            <w:tcW w:w="191" w:type="dxa"/>
            <w:shd w:val="clear" w:color="auto" w:fill="CFF0FC"/>
            <w:noWrap/>
            <w:tcMar>
              <w:top w:w="15" w:type="dxa"/>
              <w:left w:w="0" w:type="dxa"/>
              <w:bottom w:w="0" w:type="dxa"/>
              <w:right w:w="15" w:type="dxa"/>
            </w:tcMar>
            <w:vAlign w:val="bottom"/>
            <w:hideMark/>
          </w:tcPr>
          <w:p w14:paraId="6252E06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2077738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98176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C5981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1" w:type="dxa"/>
            <w:shd w:val="clear" w:color="auto" w:fill="CFF0FC"/>
            <w:noWrap/>
            <w:tcMar>
              <w:top w:w="15" w:type="dxa"/>
              <w:left w:w="0" w:type="dxa"/>
              <w:bottom w:w="0" w:type="dxa"/>
              <w:right w:w="15" w:type="dxa"/>
            </w:tcMar>
            <w:vAlign w:val="bottom"/>
            <w:hideMark/>
          </w:tcPr>
          <w:p w14:paraId="5168788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34" w:type="dxa"/>
            <w:shd w:val="clear" w:color="auto" w:fill="CFF0FC"/>
            <w:tcMar>
              <w:top w:w="15" w:type="dxa"/>
              <w:left w:w="0" w:type="dxa"/>
              <w:bottom w:w="0" w:type="dxa"/>
              <w:right w:w="15" w:type="dxa"/>
            </w:tcMar>
            <w:vAlign w:val="bottom"/>
            <w:hideMark/>
          </w:tcPr>
          <w:p w14:paraId="2FE3D80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E2BB3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5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3400F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(39</w:t>
            </w:r>
          </w:p>
        </w:tc>
        <w:tc>
          <w:tcPr>
            <w:tcW w:w="191" w:type="dxa"/>
            <w:shd w:val="clear" w:color="auto" w:fill="CFF0FC"/>
            <w:noWrap/>
            <w:tcMar>
              <w:top w:w="15" w:type="dxa"/>
              <w:left w:w="0" w:type="dxa"/>
              <w:bottom w:w="0" w:type="dxa"/>
              <w:right w:w="15" w:type="dxa"/>
            </w:tcMar>
            <w:vAlign w:val="bottom"/>
            <w:hideMark/>
          </w:tcPr>
          <w:p w14:paraId="69151BF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34" w:type="dxa"/>
            <w:shd w:val="clear" w:color="auto" w:fill="CFF0FC"/>
            <w:tcMar>
              <w:top w:w="15" w:type="dxa"/>
              <w:left w:w="0" w:type="dxa"/>
              <w:bottom w:w="0" w:type="dxa"/>
              <w:right w:w="15" w:type="dxa"/>
            </w:tcMar>
            <w:vAlign w:val="bottom"/>
            <w:hideMark/>
          </w:tcPr>
          <w:p w14:paraId="69DE49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FC5790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8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5C1138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92" w:type="dxa"/>
            <w:shd w:val="clear" w:color="auto" w:fill="CFF0FC"/>
            <w:noWrap/>
            <w:tcMar>
              <w:top w:w="15" w:type="dxa"/>
              <w:left w:w="0" w:type="dxa"/>
              <w:bottom w:w="0" w:type="dxa"/>
              <w:right w:w="15" w:type="dxa"/>
            </w:tcMar>
            <w:vAlign w:val="bottom"/>
            <w:hideMark/>
          </w:tcPr>
          <w:p w14:paraId="7B160F68"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4E62BC89"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w:t>
      </w:r>
    </w:p>
    <w:p w14:paraId="3CE7B6D3"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34C28B25">
          <v:rect id="_x0000_i1043" style="width:0;height:1.5pt" o:hralign="center" o:hrstd="t" o:hrnoshade="t" o:hr="t" fillcolor="black" stroked="f"/>
        </w:pict>
      </w:r>
    </w:p>
    <w:p w14:paraId="205D9B70" w14:textId="77777777" w:rsidR="00141675" w:rsidRPr="00141675" w:rsidRDefault="00141675" w:rsidP="00141675">
      <w:pPr>
        <w:widowControl/>
        <w:jc w:val="left"/>
        <w:rPr>
          <w:rFonts w:ascii="Calibri" w:eastAsia="宋体" w:hAnsi="Calibri" w:cs="Calibri"/>
          <w:b/>
          <w:bCs/>
          <w:color w:val="000000"/>
          <w:kern w:val="0"/>
          <w:sz w:val="20"/>
          <w:szCs w:val="20"/>
        </w:rPr>
      </w:pPr>
      <w:hyperlink r:id="rId40" w:anchor="TABLE_CONTENTS" w:history="1">
        <w:r w:rsidRPr="00141675">
          <w:rPr>
            <w:rFonts w:ascii="Calibri" w:eastAsia="宋体" w:hAnsi="Calibri" w:cs="Calibri"/>
            <w:b/>
            <w:bCs/>
            <w:color w:val="0000FF"/>
            <w:kern w:val="0"/>
            <w:sz w:val="20"/>
            <w:szCs w:val="20"/>
            <w:u w:val="single"/>
          </w:rPr>
          <w:t>Table of Contents</w:t>
        </w:r>
      </w:hyperlink>
    </w:p>
    <w:p w14:paraId="4220E8E9"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3940897"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611A4971"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488063EB"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00860F7B"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320CA4BF"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2A18FCAB"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lastRenderedPageBreak/>
        <w:t> </w:t>
      </w:r>
    </w:p>
    <w:p w14:paraId="1BA203D4" w14:textId="77777777" w:rsidR="00141675" w:rsidRPr="00141675" w:rsidRDefault="00141675" w:rsidP="00141675">
      <w:pPr>
        <w:widowControl/>
        <w:spacing w:before="40"/>
        <w:rPr>
          <w:rFonts w:ascii="Calibri" w:eastAsia="宋体" w:hAnsi="Calibri" w:cs="Calibri"/>
          <w:b/>
          <w:bCs/>
          <w:kern w:val="0"/>
          <w:sz w:val="20"/>
          <w:szCs w:val="20"/>
        </w:rPr>
      </w:pPr>
      <w:r w:rsidRPr="00141675">
        <w:rPr>
          <w:rFonts w:ascii="Calibri" w:eastAsia="宋体" w:hAnsi="Calibri" w:cs="Calibri"/>
          <w:b/>
          <w:bCs/>
          <w:kern w:val="0"/>
          <w:sz w:val="20"/>
          <w:szCs w:val="20"/>
        </w:rPr>
        <w:t>Gain (Loss) on Derivative Instruments Designated as Hedges included in Other Comprehensive Income (OCI) or Loss (OCL)</w:t>
      </w:r>
    </w:p>
    <w:p w14:paraId="317993BA" w14:textId="77777777" w:rsidR="00141675" w:rsidRPr="00141675" w:rsidRDefault="00141675" w:rsidP="00141675">
      <w:pPr>
        <w:widowControl/>
        <w:rPr>
          <w:rFonts w:ascii="Times New Roman" w:eastAsia="宋体" w:hAnsi="Times New Roman" w:cs="Times New Roman"/>
          <w:b/>
          <w:bCs/>
          <w:kern w:val="0"/>
          <w:sz w:val="16"/>
          <w:szCs w:val="16"/>
        </w:rPr>
      </w:pPr>
      <w:r w:rsidRPr="00141675">
        <w:rPr>
          <w:rFonts w:ascii="Times New Roman" w:eastAsia="宋体" w:hAnsi="Times New Roman" w:cs="Times New Roman"/>
          <w:b/>
          <w:bCs/>
          <w:kern w:val="0"/>
          <w:sz w:val="16"/>
          <w:szCs w:val="16"/>
        </w:rPr>
        <w:t> </w:t>
      </w:r>
    </w:p>
    <w:tbl>
      <w:tblPr>
        <w:tblW w:w="20614" w:type="dxa"/>
        <w:tblCellMar>
          <w:left w:w="0" w:type="dxa"/>
          <w:right w:w="0" w:type="dxa"/>
        </w:tblCellMar>
        <w:tblLook w:val="04A0" w:firstRow="1" w:lastRow="0" w:firstColumn="1" w:lastColumn="0" w:noHBand="0" w:noVBand="1"/>
      </w:tblPr>
      <w:tblGrid>
        <w:gridCol w:w="11850"/>
        <w:gridCol w:w="205"/>
        <w:gridCol w:w="200"/>
        <w:gridCol w:w="1630"/>
        <w:gridCol w:w="200"/>
        <w:gridCol w:w="204"/>
        <w:gridCol w:w="199"/>
        <w:gridCol w:w="1575"/>
        <w:gridCol w:w="199"/>
        <w:gridCol w:w="204"/>
        <w:gridCol w:w="199"/>
        <w:gridCol w:w="1551"/>
        <w:gridCol w:w="199"/>
        <w:gridCol w:w="204"/>
        <w:gridCol w:w="199"/>
        <w:gridCol w:w="1595"/>
        <w:gridCol w:w="201"/>
      </w:tblGrid>
      <w:tr w:rsidR="00141675" w:rsidRPr="00141675" w14:paraId="3A81A497" w14:textId="77777777" w:rsidTr="00141675">
        <w:tc>
          <w:tcPr>
            <w:tcW w:w="11826" w:type="dxa"/>
            <w:shd w:val="clear" w:color="auto" w:fill="FFFFFF"/>
            <w:tcMar>
              <w:top w:w="15" w:type="dxa"/>
              <w:left w:w="0" w:type="dxa"/>
              <w:bottom w:w="0" w:type="dxa"/>
              <w:right w:w="15" w:type="dxa"/>
            </w:tcMar>
            <w:vAlign w:val="bottom"/>
            <w:hideMark/>
          </w:tcPr>
          <w:p w14:paraId="20250F24"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04" w:type="dxa"/>
            <w:shd w:val="clear" w:color="auto" w:fill="FFFFFF"/>
            <w:tcMar>
              <w:top w:w="15" w:type="dxa"/>
              <w:left w:w="0" w:type="dxa"/>
              <w:bottom w:w="0" w:type="dxa"/>
              <w:right w:w="15" w:type="dxa"/>
            </w:tcMar>
            <w:vAlign w:val="bottom"/>
            <w:hideMark/>
          </w:tcPr>
          <w:p w14:paraId="48C29BA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3975" w:type="dxa"/>
            <w:gridSpan w:val="6"/>
            <w:tcBorders>
              <w:bottom w:val="single" w:sz="6" w:space="0" w:color="000000"/>
            </w:tcBorders>
            <w:shd w:val="clear" w:color="auto" w:fill="FFFFFF"/>
            <w:tcMar>
              <w:top w:w="15" w:type="dxa"/>
              <w:left w:w="0" w:type="dxa"/>
              <w:bottom w:w="0" w:type="dxa"/>
              <w:right w:w="15" w:type="dxa"/>
            </w:tcMar>
            <w:vAlign w:val="bottom"/>
            <w:hideMark/>
          </w:tcPr>
          <w:p w14:paraId="6CD92C8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628DAEF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707D88C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4" w:type="dxa"/>
            <w:shd w:val="clear" w:color="auto" w:fill="FFFFFF"/>
            <w:tcMar>
              <w:top w:w="15" w:type="dxa"/>
              <w:left w:w="0" w:type="dxa"/>
              <w:bottom w:w="0" w:type="dxa"/>
              <w:right w:w="15" w:type="dxa"/>
            </w:tcMar>
            <w:vAlign w:val="bottom"/>
            <w:hideMark/>
          </w:tcPr>
          <w:p w14:paraId="1AF6093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3917" w:type="dxa"/>
            <w:gridSpan w:val="6"/>
            <w:tcBorders>
              <w:bottom w:val="single" w:sz="6" w:space="0" w:color="000000"/>
            </w:tcBorders>
            <w:shd w:val="clear" w:color="auto" w:fill="FFFFFF"/>
            <w:tcMar>
              <w:top w:w="15" w:type="dxa"/>
              <w:left w:w="0" w:type="dxa"/>
              <w:bottom w:w="0" w:type="dxa"/>
              <w:right w:w="15" w:type="dxa"/>
            </w:tcMar>
            <w:vAlign w:val="bottom"/>
            <w:hideMark/>
          </w:tcPr>
          <w:p w14:paraId="6BCCA72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253535A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3" w:type="dxa"/>
            <w:shd w:val="clear" w:color="auto" w:fill="FFFFFF"/>
            <w:noWrap/>
            <w:tcMar>
              <w:top w:w="15" w:type="dxa"/>
              <w:left w:w="0" w:type="dxa"/>
              <w:bottom w:w="0" w:type="dxa"/>
              <w:right w:w="15" w:type="dxa"/>
            </w:tcMar>
            <w:vAlign w:val="bottom"/>
            <w:hideMark/>
          </w:tcPr>
          <w:p w14:paraId="0558CB7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D5671D1" w14:textId="77777777" w:rsidTr="00141675">
        <w:tc>
          <w:tcPr>
            <w:tcW w:w="11826" w:type="dxa"/>
            <w:tcBorders>
              <w:bottom w:val="single" w:sz="6" w:space="0" w:color="000000"/>
            </w:tcBorders>
            <w:shd w:val="clear" w:color="auto" w:fill="FFFFFF"/>
            <w:tcMar>
              <w:top w:w="15" w:type="dxa"/>
              <w:left w:w="0" w:type="dxa"/>
              <w:bottom w:w="0" w:type="dxa"/>
              <w:right w:w="15" w:type="dxa"/>
            </w:tcMar>
            <w:vAlign w:val="bottom"/>
            <w:hideMark/>
          </w:tcPr>
          <w:p w14:paraId="1A93F5F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04" w:type="dxa"/>
            <w:shd w:val="clear" w:color="auto" w:fill="FFFFFF"/>
            <w:tcMar>
              <w:top w:w="15" w:type="dxa"/>
              <w:left w:w="0" w:type="dxa"/>
              <w:bottom w:w="0" w:type="dxa"/>
              <w:right w:w="15" w:type="dxa"/>
            </w:tcMar>
            <w:vAlign w:val="bottom"/>
            <w:hideMark/>
          </w:tcPr>
          <w:p w14:paraId="394FFF0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817"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F700B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AE3322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4" w:type="dxa"/>
            <w:tcBorders>
              <w:top w:val="single" w:sz="6" w:space="0" w:color="000000"/>
            </w:tcBorders>
            <w:shd w:val="clear" w:color="auto" w:fill="FFFFFF"/>
            <w:tcMar>
              <w:top w:w="15" w:type="dxa"/>
              <w:left w:w="0" w:type="dxa"/>
              <w:bottom w:w="0" w:type="dxa"/>
              <w:right w:w="15" w:type="dxa"/>
            </w:tcMar>
            <w:vAlign w:val="bottom"/>
            <w:hideMark/>
          </w:tcPr>
          <w:p w14:paraId="39084C4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718"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E6208A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61F364A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4" w:type="dxa"/>
            <w:shd w:val="clear" w:color="auto" w:fill="FFFFFF"/>
            <w:tcMar>
              <w:top w:w="15" w:type="dxa"/>
              <w:left w:w="0" w:type="dxa"/>
              <w:bottom w:w="0" w:type="dxa"/>
              <w:right w:w="15" w:type="dxa"/>
            </w:tcMar>
            <w:vAlign w:val="bottom"/>
            <w:hideMark/>
          </w:tcPr>
          <w:p w14:paraId="5169676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73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AFF91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20F39CB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4" w:type="dxa"/>
            <w:tcBorders>
              <w:top w:val="single" w:sz="6" w:space="0" w:color="000000"/>
            </w:tcBorders>
            <w:shd w:val="clear" w:color="auto" w:fill="FFFFFF"/>
            <w:tcMar>
              <w:top w:w="15" w:type="dxa"/>
              <w:left w:w="0" w:type="dxa"/>
              <w:bottom w:w="0" w:type="dxa"/>
              <w:right w:w="15" w:type="dxa"/>
            </w:tcMar>
            <w:vAlign w:val="bottom"/>
            <w:hideMark/>
          </w:tcPr>
          <w:p w14:paraId="3CCF8BD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739"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133B66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37E87ED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9125FC4" w14:textId="77777777" w:rsidTr="00141675">
        <w:tc>
          <w:tcPr>
            <w:tcW w:w="11826" w:type="dxa"/>
            <w:tcBorders>
              <w:top w:val="single" w:sz="6" w:space="0" w:color="000000"/>
            </w:tcBorders>
            <w:shd w:val="clear" w:color="auto" w:fill="CFF0FC"/>
            <w:tcMar>
              <w:top w:w="15" w:type="dxa"/>
              <w:left w:w="0" w:type="dxa"/>
              <w:bottom w:w="0" w:type="dxa"/>
              <w:right w:w="15" w:type="dxa"/>
            </w:tcMar>
            <w:vAlign w:val="bottom"/>
            <w:hideMark/>
          </w:tcPr>
          <w:p w14:paraId="28594C5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Cross-currency swap agreements designated as cash flow hedges</w:t>
            </w:r>
          </w:p>
        </w:tc>
        <w:tc>
          <w:tcPr>
            <w:tcW w:w="204" w:type="dxa"/>
            <w:shd w:val="clear" w:color="auto" w:fill="CFF0FC"/>
            <w:tcMar>
              <w:top w:w="15" w:type="dxa"/>
              <w:left w:w="0" w:type="dxa"/>
              <w:bottom w:w="0" w:type="dxa"/>
              <w:right w:w="15" w:type="dxa"/>
            </w:tcMar>
            <w:vAlign w:val="bottom"/>
            <w:hideMark/>
          </w:tcPr>
          <w:p w14:paraId="04D1C72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ED0C83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611" w:type="dxa"/>
            <w:tcBorders>
              <w:top w:val="single" w:sz="6" w:space="0" w:color="000000"/>
            </w:tcBorders>
            <w:shd w:val="clear" w:color="auto" w:fill="CFF0FC"/>
            <w:noWrap/>
            <w:tcMar>
              <w:top w:w="15" w:type="dxa"/>
              <w:left w:w="0" w:type="dxa"/>
              <w:bottom w:w="0" w:type="dxa"/>
              <w:right w:w="15" w:type="dxa"/>
            </w:tcMar>
            <w:vAlign w:val="bottom"/>
            <w:hideMark/>
          </w:tcPr>
          <w:p w14:paraId="2A9E3C5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191" w:type="dxa"/>
            <w:shd w:val="clear" w:color="auto" w:fill="CFF0FC"/>
            <w:noWrap/>
            <w:tcMar>
              <w:top w:w="15" w:type="dxa"/>
              <w:left w:w="0" w:type="dxa"/>
              <w:bottom w:w="0" w:type="dxa"/>
              <w:right w:w="15" w:type="dxa"/>
            </w:tcMar>
            <w:vAlign w:val="bottom"/>
            <w:hideMark/>
          </w:tcPr>
          <w:p w14:paraId="137E161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04" w:type="dxa"/>
            <w:shd w:val="clear" w:color="auto" w:fill="CFF0FC"/>
            <w:tcMar>
              <w:top w:w="15" w:type="dxa"/>
              <w:left w:w="0" w:type="dxa"/>
              <w:bottom w:w="0" w:type="dxa"/>
              <w:right w:w="15" w:type="dxa"/>
            </w:tcMar>
            <w:vAlign w:val="bottom"/>
            <w:hideMark/>
          </w:tcPr>
          <w:p w14:paraId="672288E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2EB259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512" w:type="dxa"/>
            <w:tcBorders>
              <w:top w:val="single" w:sz="6" w:space="0" w:color="000000"/>
            </w:tcBorders>
            <w:shd w:val="clear" w:color="auto" w:fill="CFF0FC"/>
            <w:noWrap/>
            <w:tcMar>
              <w:top w:w="15" w:type="dxa"/>
              <w:left w:w="0" w:type="dxa"/>
              <w:bottom w:w="0" w:type="dxa"/>
              <w:right w:w="15" w:type="dxa"/>
            </w:tcMar>
            <w:vAlign w:val="bottom"/>
            <w:hideMark/>
          </w:tcPr>
          <w:p w14:paraId="020DEE9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(41</w:t>
            </w:r>
          </w:p>
        </w:tc>
        <w:tc>
          <w:tcPr>
            <w:tcW w:w="191" w:type="dxa"/>
            <w:shd w:val="clear" w:color="auto" w:fill="CFF0FC"/>
            <w:noWrap/>
            <w:tcMar>
              <w:top w:w="15" w:type="dxa"/>
              <w:left w:w="0" w:type="dxa"/>
              <w:bottom w:w="0" w:type="dxa"/>
              <w:right w:w="15" w:type="dxa"/>
            </w:tcMar>
            <w:vAlign w:val="bottom"/>
            <w:hideMark/>
          </w:tcPr>
          <w:p w14:paraId="6B87F84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04" w:type="dxa"/>
            <w:shd w:val="clear" w:color="auto" w:fill="CFF0FC"/>
            <w:tcMar>
              <w:top w:w="15" w:type="dxa"/>
              <w:left w:w="0" w:type="dxa"/>
              <w:bottom w:w="0" w:type="dxa"/>
              <w:right w:w="15" w:type="dxa"/>
            </w:tcMar>
            <w:vAlign w:val="bottom"/>
            <w:hideMark/>
          </w:tcPr>
          <w:p w14:paraId="5A4D27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CEC351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533" w:type="dxa"/>
            <w:tcBorders>
              <w:top w:val="single" w:sz="6" w:space="0" w:color="000000"/>
            </w:tcBorders>
            <w:shd w:val="clear" w:color="auto" w:fill="CFF0FC"/>
            <w:noWrap/>
            <w:tcMar>
              <w:top w:w="15" w:type="dxa"/>
              <w:left w:w="0" w:type="dxa"/>
              <w:bottom w:w="0" w:type="dxa"/>
              <w:right w:w="15" w:type="dxa"/>
            </w:tcMar>
            <w:vAlign w:val="bottom"/>
            <w:hideMark/>
          </w:tcPr>
          <w:p w14:paraId="6CBC809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(34</w:t>
            </w:r>
          </w:p>
        </w:tc>
        <w:tc>
          <w:tcPr>
            <w:tcW w:w="191" w:type="dxa"/>
            <w:shd w:val="clear" w:color="auto" w:fill="CFF0FC"/>
            <w:noWrap/>
            <w:tcMar>
              <w:top w:w="15" w:type="dxa"/>
              <w:left w:w="0" w:type="dxa"/>
              <w:bottom w:w="0" w:type="dxa"/>
              <w:right w:w="15" w:type="dxa"/>
            </w:tcMar>
            <w:vAlign w:val="bottom"/>
            <w:hideMark/>
          </w:tcPr>
          <w:p w14:paraId="169D787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04" w:type="dxa"/>
            <w:shd w:val="clear" w:color="auto" w:fill="CFF0FC"/>
            <w:tcMar>
              <w:top w:w="15" w:type="dxa"/>
              <w:left w:w="0" w:type="dxa"/>
              <w:bottom w:w="0" w:type="dxa"/>
              <w:right w:w="15" w:type="dxa"/>
            </w:tcMar>
            <w:vAlign w:val="bottom"/>
            <w:hideMark/>
          </w:tcPr>
          <w:p w14:paraId="3223712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4B9C68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533" w:type="dxa"/>
            <w:tcBorders>
              <w:top w:val="single" w:sz="6" w:space="0" w:color="000000"/>
            </w:tcBorders>
            <w:shd w:val="clear" w:color="auto" w:fill="CFF0FC"/>
            <w:noWrap/>
            <w:tcMar>
              <w:top w:w="15" w:type="dxa"/>
              <w:left w:w="0" w:type="dxa"/>
              <w:bottom w:w="0" w:type="dxa"/>
              <w:right w:w="15" w:type="dxa"/>
            </w:tcMar>
            <w:vAlign w:val="bottom"/>
            <w:hideMark/>
          </w:tcPr>
          <w:p w14:paraId="36021A8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(55</w:t>
            </w:r>
          </w:p>
        </w:tc>
        <w:tc>
          <w:tcPr>
            <w:tcW w:w="193" w:type="dxa"/>
            <w:shd w:val="clear" w:color="auto" w:fill="CFF0FC"/>
            <w:noWrap/>
            <w:tcMar>
              <w:top w:w="15" w:type="dxa"/>
              <w:left w:w="0" w:type="dxa"/>
              <w:bottom w:w="0" w:type="dxa"/>
              <w:right w:w="15" w:type="dxa"/>
            </w:tcMar>
            <w:vAlign w:val="bottom"/>
            <w:hideMark/>
          </w:tcPr>
          <w:p w14:paraId="09C1C0E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r>
    </w:tbl>
    <w:p w14:paraId="00F0DA18" w14:textId="77777777" w:rsidR="00141675" w:rsidRPr="00141675" w:rsidRDefault="00141675" w:rsidP="00141675">
      <w:pPr>
        <w:widowControl/>
        <w:rPr>
          <w:rFonts w:ascii="Times New Roman" w:eastAsia="宋体" w:hAnsi="Times New Roman" w:cs="Times New Roman"/>
          <w:b/>
          <w:bCs/>
          <w:kern w:val="0"/>
          <w:sz w:val="6"/>
          <w:szCs w:val="6"/>
        </w:rPr>
      </w:pPr>
      <w:r w:rsidRPr="00141675">
        <w:rPr>
          <w:rFonts w:ascii="Times New Roman" w:eastAsia="宋体" w:hAnsi="Times New Roman" w:cs="Times New Roman"/>
          <w:b/>
          <w:bCs/>
          <w:kern w:val="0"/>
          <w:sz w:val="6"/>
          <w:szCs w:val="6"/>
        </w:rPr>
        <w:t> </w:t>
      </w:r>
    </w:p>
    <w:p w14:paraId="32EB6FCF" w14:textId="77777777" w:rsidR="00141675" w:rsidRPr="00141675" w:rsidRDefault="00141675" w:rsidP="00141675">
      <w:pPr>
        <w:widowControl/>
        <w:rPr>
          <w:rFonts w:ascii="宋体" w:eastAsia="宋体" w:hAnsi="宋体" w:cs="宋体"/>
          <w:kern w:val="0"/>
          <w:sz w:val="6"/>
          <w:szCs w:val="6"/>
        </w:rPr>
      </w:pPr>
      <w:r w:rsidRPr="00141675">
        <w:rPr>
          <w:rFonts w:ascii="宋体" w:eastAsia="宋体" w:hAnsi="宋体" w:cs="宋体"/>
          <w:kern w:val="0"/>
          <w:sz w:val="6"/>
          <w:szCs w:val="6"/>
        </w:rPr>
        <w:t> </w:t>
      </w:r>
    </w:p>
    <w:p w14:paraId="0D2D2EAC"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28336AE4" w14:textId="77777777" w:rsidTr="00141675">
        <w:tc>
          <w:tcPr>
            <w:tcW w:w="1080" w:type="dxa"/>
            <w:noWrap/>
            <w:hideMark/>
          </w:tcPr>
          <w:p w14:paraId="19642CA1" w14:textId="77777777" w:rsidR="00141675" w:rsidRPr="00141675" w:rsidRDefault="00141675" w:rsidP="00141675">
            <w:pPr>
              <w:widowControl/>
              <w:rPr>
                <w:rFonts w:ascii="Calibri" w:eastAsia="宋体" w:hAnsi="Calibri" w:cs="Calibri" w:hint="eastAsia"/>
                <w:b/>
                <w:bCs/>
                <w:kern w:val="0"/>
                <w:sz w:val="20"/>
                <w:szCs w:val="20"/>
              </w:rPr>
            </w:pPr>
            <w:r w:rsidRPr="00141675">
              <w:rPr>
                <w:rFonts w:ascii="Calibri" w:eastAsia="宋体" w:hAnsi="Calibri" w:cs="Calibri"/>
                <w:b/>
                <w:bCs/>
                <w:kern w:val="0"/>
                <w:sz w:val="20"/>
                <w:szCs w:val="20"/>
              </w:rPr>
              <w:t>8.</w:t>
            </w:r>
          </w:p>
        </w:tc>
        <w:tc>
          <w:tcPr>
            <w:tcW w:w="0" w:type="auto"/>
            <w:hideMark/>
          </w:tcPr>
          <w:p w14:paraId="3310D7CC"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STOCKHOLDERS’ EQUITY</w:t>
            </w:r>
          </w:p>
        </w:tc>
      </w:tr>
    </w:tbl>
    <w:p w14:paraId="57986A61"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Common Stock Repurchases</w:t>
      </w:r>
    </w:p>
    <w:p w14:paraId="0D36009E"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Our Board of Directors has approved a program for us to repurchase shares of our common stock. On September 11, 2019, we announced that our Board of Directors approved an expansion of our stock repurchase program by an additional $15.0 billion. As of November 30, 2019, approximately $10.8 billion remained available for stock repurchases pursuant to our stock repurchase program. We repurchased 181.0 million shares for $10.0 billion during the six months ended November 30, 2019 (including 0.8 million shares for $44 million that were repurchased but not settled) and 415.3 million shares for $20.0 billion during the six months ended November 30, 2018 under the stock repurchase program.</w:t>
      </w:r>
    </w:p>
    <w:p w14:paraId="6BC26272"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Our stock repurchase authorization does not have an expiration date and the pace of our repurchase activity will depend on factors such as our working capital needs, our cash requirements for acquisitions and dividend payments, our debt repayment obligations or repurchases of our debt, our stock price, and economic and market conditions. Our stock repurchases may be effected from time to time through open market purchases or pursuant to a Rule 10b5-1 plan. Our stock repurchase program may be accelerated, suspended, delayed or discontinued at any time.</w:t>
      </w:r>
    </w:p>
    <w:p w14:paraId="1B47A055"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Dividends on Common Stock</w:t>
      </w:r>
    </w:p>
    <w:p w14:paraId="25DEAC88"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In December 2019, our Board of Directors declared a quarterly cash dividend of $0.24 per share of our outstanding common stock. The dividend is payable on January 23, 2020 to stockholders of record as of the close of business on January 9, 2020. Future declarations of dividends and the establishment of future record and payment dates are subject to the final determination of our Board of Directors.</w:t>
      </w:r>
    </w:p>
    <w:p w14:paraId="6A8D941A"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Fiscal 2020 Stock</w:t>
      </w:r>
      <w:r w:rsidRPr="00141675">
        <w:rPr>
          <w:rFonts w:ascii="Calibri" w:eastAsia="宋体" w:hAnsi="Calibri" w:cs="Calibri"/>
          <w:b/>
          <w:bCs/>
          <w:kern w:val="0"/>
          <w:sz w:val="20"/>
          <w:szCs w:val="20"/>
        </w:rPr>
        <w:noBreakHyphen/>
        <w:t>Based Awards Activity and Compensation Expense</w:t>
      </w:r>
    </w:p>
    <w:p w14:paraId="54779A36"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During the first half of fiscal 2020, we issued 41 million restricted stock-based units (RSUs), substantially all of which were issued as a part of our annual stock-based award process and are subject to service</w:t>
      </w:r>
      <w:r w:rsidRPr="00141675">
        <w:rPr>
          <w:rFonts w:ascii="Calibri" w:eastAsia="宋体" w:hAnsi="Calibri" w:cs="Calibri"/>
          <w:kern w:val="0"/>
          <w:sz w:val="20"/>
          <w:szCs w:val="20"/>
        </w:rPr>
        <w:noBreakHyphen/>
        <w:t>based vesting restrictions. These fiscal 2020 stock-based awards issuances were partially offset by stock-based award forfeitures and cancellations of 11 million shares during the first half of fiscal 2020.</w:t>
      </w:r>
    </w:p>
    <w:p w14:paraId="0B63F19F"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 xml:space="preserve">The RSUs that were granted during the six months ended November 30, 2019 have vesting restrictions, valuations and contractual lives of a similar nature to those described in Note 13 of Notes to </w:t>
      </w:r>
      <w:r w:rsidRPr="00141675">
        <w:rPr>
          <w:rFonts w:ascii="Calibri" w:eastAsia="宋体" w:hAnsi="Calibri" w:cs="Calibri"/>
          <w:kern w:val="0"/>
          <w:sz w:val="20"/>
          <w:szCs w:val="20"/>
        </w:rPr>
        <w:lastRenderedPageBreak/>
        <w:t>Consolidated Financial Statements included in our Annual Report on Form 10-K for the fiscal year ended May 31, 2019.</w:t>
      </w:r>
    </w:p>
    <w:p w14:paraId="143918BC"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w:t>
      </w:r>
    </w:p>
    <w:p w14:paraId="6D76B212"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2660DA9E">
          <v:rect id="_x0000_i1044" style="width:0;height:1.5pt" o:hralign="center" o:hrstd="t" o:hrnoshade="t" o:hr="t" fillcolor="black" stroked="f"/>
        </w:pict>
      </w:r>
    </w:p>
    <w:p w14:paraId="7D9A4B34" w14:textId="77777777" w:rsidR="00141675" w:rsidRPr="00141675" w:rsidRDefault="00141675" w:rsidP="00141675">
      <w:pPr>
        <w:widowControl/>
        <w:jc w:val="left"/>
        <w:rPr>
          <w:rFonts w:ascii="Calibri" w:eastAsia="宋体" w:hAnsi="Calibri" w:cs="Calibri"/>
          <w:b/>
          <w:bCs/>
          <w:color w:val="000000"/>
          <w:kern w:val="0"/>
          <w:sz w:val="20"/>
          <w:szCs w:val="20"/>
        </w:rPr>
      </w:pPr>
      <w:hyperlink r:id="rId41" w:anchor="TABLE_CONTENTS" w:history="1">
        <w:r w:rsidRPr="00141675">
          <w:rPr>
            <w:rFonts w:ascii="Calibri" w:eastAsia="宋体" w:hAnsi="Calibri" w:cs="Calibri"/>
            <w:b/>
            <w:bCs/>
            <w:color w:val="0000FF"/>
            <w:kern w:val="0"/>
            <w:sz w:val="20"/>
            <w:szCs w:val="20"/>
            <w:u w:val="single"/>
          </w:rPr>
          <w:t>Table of Contents</w:t>
        </w:r>
      </w:hyperlink>
    </w:p>
    <w:p w14:paraId="23441509"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5E7B996"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25C775A1"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6FF85590"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24F7585F"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4005ED15"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3E651DCA"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Stock</w:t>
      </w:r>
      <w:r w:rsidRPr="00141675">
        <w:rPr>
          <w:rFonts w:ascii="Calibri" w:eastAsia="宋体" w:hAnsi="Calibri" w:cs="Calibri"/>
          <w:kern w:val="0"/>
          <w:sz w:val="20"/>
          <w:szCs w:val="20"/>
        </w:rPr>
        <w:noBreakHyphen/>
        <w:t>based compensation expense is included in the following operating expense line items in our condensed consolidated statements of operations:</w:t>
      </w:r>
    </w:p>
    <w:p w14:paraId="48349C15" w14:textId="77777777" w:rsidR="00141675" w:rsidRPr="00141675" w:rsidRDefault="00141675" w:rsidP="00141675">
      <w:pPr>
        <w:widowControl/>
        <w:jc w:val="left"/>
        <w:rPr>
          <w:rFonts w:ascii="Calibri" w:eastAsia="宋体" w:hAnsi="Calibri" w:cs="Calibri"/>
          <w:kern w:val="0"/>
          <w:sz w:val="16"/>
          <w:szCs w:val="16"/>
        </w:rPr>
      </w:pPr>
      <w:r w:rsidRPr="00141675">
        <w:rPr>
          <w:rFonts w:ascii="Calibri" w:eastAsia="宋体" w:hAnsi="Calibri" w:cs="Calibri"/>
          <w:kern w:val="0"/>
          <w:sz w:val="16"/>
          <w:szCs w:val="16"/>
        </w:rPr>
        <w:t> </w:t>
      </w:r>
    </w:p>
    <w:tbl>
      <w:tblPr>
        <w:tblW w:w="20614" w:type="dxa"/>
        <w:tblCellMar>
          <w:left w:w="0" w:type="dxa"/>
          <w:right w:w="0" w:type="dxa"/>
        </w:tblCellMar>
        <w:tblLook w:val="04A0" w:firstRow="1" w:lastRow="0" w:firstColumn="1" w:lastColumn="0" w:noHBand="0" w:noVBand="1"/>
      </w:tblPr>
      <w:tblGrid>
        <w:gridCol w:w="12123"/>
        <w:gridCol w:w="279"/>
        <w:gridCol w:w="199"/>
        <w:gridCol w:w="1423"/>
        <w:gridCol w:w="199"/>
        <w:gridCol w:w="279"/>
        <w:gridCol w:w="199"/>
        <w:gridCol w:w="1468"/>
        <w:gridCol w:w="199"/>
        <w:gridCol w:w="279"/>
        <w:gridCol w:w="199"/>
        <w:gridCol w:w="1423"/>
        <w:gridCol w:w="199"/>
        <w:gridCol w:w="279"/>
        <w:gridCol w:w="199"/>
        <w:gridCol w:w="1468"/>
        <w:gridCol w:w="200"/>
      </w:tblGrid>
      <w:tr w:rsidR="00141675" w:rsidRPr="00141675" w14:paraId="24D0E601" w14:textId="77777777" w:rsidTr="00141675">
        <w:tc>
          <w:tcPr>
            <w:tcW w:w="12098" w:type="dxa"/>
            <w:shd w:val="clear" w:color="auto" w:fill="FFFFFF"/>
            <w:tcMar>
              <w:top w:w="15" w:type="dxa"/>
              <w:left w:w="0" w:type="dxa"/>
              <w:bottom w:w="0" w:type="dxa"/>
              <w:right w:w="15" w:type="dxa"/>
            </w:tcMar>
            <w:vAlign w:val="bottom"/>
            <w:hideMark/>
          </w:tcPr>
          <w:p w14:paraId="2554B955" w14:textId="77777777" w:rsidR="00141675" w:rsidRPr="00141675" w:rsidRDefault="00141675" w:rsidP="00141675">
            <w:pPr>
              <w:widowControl/>
              <w:jc w:val="center"/>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78" w:type="dxa"/>
            <w:shd w:val="clear" w:color="auto" w:fill="FFFFFF"/>
            <w:tcMar>
              <w:top w:w="15" w:type="dxa"/>
              <w:left w:w="0" w:type="dxa"/>
              <w:bottom w:w="0" w:type="dxa"/>
              <w:right w:w="15" w:type="dxa"/>
            </w:tcMar>
            <w:vAlign w:val="bottom"/>
            <w:hideMark/>
          </w:tcPr>
          <w:p w14:paraId="3E56B45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6" w:type="dxa"/>
            <w:gridSpan w:val="6"/>
            <w:tcBorders>
              <w:bottom w:val="single" w:sz="6" w:space="0" w:color="000000"/>
            </w:tcBorders>
            <w:shd w:val="clear" w:color="auto" w:fill="FFFFFF"/>
            <w:tcMar>
              <w:top w:w="15" w:type="dxa"/>
              <w:left w:w="0" w:type="dxa"/>
              <w:bottom w:w="0" w:type="dxa"/>
              <w:right w:w="15" w:type="dxa"/>
            </w:tcMar>
            <w:vAlign w:val="bottom"/>
            <w:hideMark/>
          </w:tcPr>
          <w:p w14:paraId="1F514BD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0CD84A7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60AD36E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70212CC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6" w:type="dxa"/>
            <w:gridSpan w:val="6"/>
            <w:tcBorders>
              <w:bottom w:val="single" w:sz="6" w:space="0" w:color="000000"/>
            </w:tcBorders>
            <w:shd w:val="clear" w:color="auto" w:fill="FFFFFF"/>
            <w:tcMar>
              <w:top w:w="15" w:type="dxa"/>
              <w:left w:w="0" w:type="dxa"/>
              <w:bottom w:w="0" w:type="dxa"/>
              <w:right w:w="15" w:type="dxa"/>
            </w:tcMar>
            <w:vAlign w:val="bottom"/>
            <w:hideMark/>
          </w:tcPr>
          <w:p w14:paraId="43C0238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3D203D2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2" w:type="dxa"/>
            <w:shd w:val="clear" w:color="auto" w:fill="FFFFFF"/>
            <w:noWrap/>
            <w:tcMar>
              <w:top w:w="15" w:type="dxa"/>
              <w:left w:w="0" w:type="dxa"/>
              <w:bottom w:w="0" w:type="dxa"/>
              <w:right w:w="15" w:type="dxa"/>
            </w:tcMar>
            <w:vAlign w:val="bottom"/>
            <w:hideMark/>
          </w:tcPr>
          <w:p w14:paraId="18D7AB3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C00C396" w14:textId="77777777" w:rsidTr="00141675">
        <w:tc>
          <w:tcPr>
            <w:tcW w:w="12098" w:type="dxa"/>
            <w:tcBorders>
              <w:bottom w:val="single" w:sz="6" w:space="0" w:color="000000"/>
            </w:tcBorders>
            <w:shd w:val="clear" w:color="auto" w:fill="FFFFFF"/>
            <w:tcMar>
              <w:top w:w="15" w:type="dxa"/>
              <w:left w:w="0" w:type="dxa"/>
              <w:bottom w:w="0" w:type="dxa"/>
              <w:right w:w="15" w:type="dxa"/>
            </w:tcMar>
            <w:vAlign w:val="bottom"/>
            <w:hideMark/>
          </w:tcPr>
          <w:p w14:paraId="7D14799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78" w:type="dxa"/>
            <w:shd w:val="clear" w:color="auto" w:fill="FFFFFF"/>
            <w:tcMar>
              <w:top w:w="15" w:type="dxa"/>
              <w:left w:w="0" w:type="dxa"/>
              <w:bottom w:w="0" w:type="dxa"/>
              <w:right w:w="15" w:type="dxa"/>
            </w:tcMar>
            <w:vAlign w:val="bottom"/>
            <w:hideMark/>
          </w:tcPr>
          <w:p w14:paraId="1589B62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F1CD7D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0915AB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1352629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9C3C2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36BC781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7757CE9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E9E491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196681C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0C8D460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1"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C322E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331EB48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D8267E9" w14:textId="77777777" w:rsidTr="00141675">
        <w:tc>
          <w:tcPr>
            <w:tcW w:w="12098" w:type="dxa"/>
            <w:tcBorders>
              <w:top w:val="single" w:sz="6" w:space="0" w:color="000000"/>
            </w:tcBorders>
            <w:shd w:val="clear" w:color="auto" w:fill="CFF0FC"/>
            <w:tcMar>
              <w:top w:w="15" w:type="dxa"/>
              <w:left w:w="0" w:type="dxa"/>
              <w:bottom w:w="0" w:type="dxa"/>
              <w:right w:w="15" w:type="dxa"/>
            </w:tcMar>
            <w:hideMark/>
          </w:tcPr>
          <w:p w14:paraId="045C26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services and license support</w:t>
            </w:r>
          </w:p>
        </w:tc>
        <w:tc>
          <w:tcPr>
            <w:tcW w:w="278" w:type="dxa"/>
            <w:shd w:val="clear" w:color="auto" w:fill="CFF0FC"/>
            <w:tcMar>
              <w:top w:w="15" w:type="dxa"/>
              <w:left w:w="0" w:type="dxa"/>
              <w:bottom w:w="0" w:type="dxa"/>
              <w:right w:w="15" w:type="dxa"/>
            </w:tcMar>
            <w:vAlign w:val="bottom"/>
            <w:hideMark/>
          </w:tcPr>
          <w:p w14:paraId="5E4AB54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31A822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5B00B01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30</w:t>
            </w:r>
          </w:p>
        </w:tc>
        <w:tc>
          <w:tcPr>
            <w:tcW w:w="191" w:type="dxa"/>
            <w:shd w:val="clear" w:color="auto" w:fill="CFF0FC"/>
            <w:noWrap/>
            <w:tcMar>
              <w:top w:w="15" w:type="dxa"/>
              <w:left w:w="0" w:type="dxa"/>
              <w:bottom w:w="0" w:type="dxa"/>
              <w:right w:w="15" w:type="dxa"/>
            </w:tcMar>
            <w:vAlign w:val="bottom"/>
            <w:hideMark/>
          </w:tcPr>
          <w:p w14:paraId="447067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750D05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2544A4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56B26EF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24</w:t>
            </w:r>
          </w:p>
        </w:tc>
        <w:tc>
          <w:tcPr>
            <w:tcW w:w="191" w:type="dxa"/>
            <w:shd w:val="clear" w:color="auto" w:fill="CFF0FC"/>
            <w:noWrap/>
            <w:tcMar>
              <w:top w:w="15" w:type="dxa"/>
              <w:left w:w="0" w:type="dxa"/>
              <w:bottom w:w="0" w:type="dxa"/>
              <w:right w:w="15" w:type="dxa"/>
            </w:tcMar>
            <w:vAlign w:val="bottom"/>
            <w:hideMark/>
          </w:tcPr>
          <w:p w14:paraId="1658E1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ABD08A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101E35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707B069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61</w:t>
            </w:r>
          </w:p>
        </w:tc>
        <w:tc>
          <w:tcPr>
            <w:tcW w:w="191" w:type="dxa"/>
            <w:shd w:val="clear" w:color="auto" w:fill="CFF0FC"/>
            <w:noWrap/>
            <w:tcMar>
              <w:top w:w="15" w:type="dxa"/>
              <w:left w:w="0" w:type="dxa"/>
              <w:bottom w:w="0" w:type="dxa"/>
              <w:right w:w="15" w:type="dxa"/>
            </w:tcMar>
            <w:vAlign w:val="bottom"/>
            <w:hideMark/>
          </w:tcPr>
          <w:p w14:paraId="3AB909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7B9DE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0A55C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42E607C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w:t>
            </w:r>
          </w:p>
        </w:tc>
        <w:tc>
          <w:tcPr>
            <w:tcW w:w="192" w:type="dxa"/>
            <w:shd w:val="clear" w:color="auto" w:fill="CFF0FC"/>
            <w:noWrap/>
            <w:tcMar>
              <w:top w:w="15" w:type="dxa"/>
              <w:left w:w="0" w:type="dxa"/>
              <w:bottom w:w="0" w:type="dxa"/>
              <w:right w:w="15" w:type="dxa"/>
            </w:tcMar>
            <w:vAlign w:val="bottom"/>
            <w:hideMark/>
          </w:tcPr>
          <w:p w14:paraId="0DC4447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54DBECE" w14:textId="77777777" w:rsidTr="00141675">
        <w:tc>
          <w:tcPr>
            <w:tcW w:w="12098" w:type="dxa"/>
            <w:shd w:val="clear" w:color="auto" w:fill="FFFFFF"/>
            <w:tcMar>
              <w:top w:w="15" w:type="dxa"/>
              <w:left w:w="0" w:type="dxa"/>
              <w:bottom w:w="0" w:type="dxa"/>
              <w:right w:w="15" w:type="dxa"/>
            </w:tcMar>
            <w:hideMark/>
          </w:tcPr>
          <w:p w14:paraId="4ED92CB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Hardware</w:t>
            </w:r>
          </w:p>
        </w:tc>
        <w:tc>
          <w:tcPr>
            <w:tcW w:w="278" w:type="dxa"/>
            <w:shd w:val="clear" w:color="auto" w:fill="FFFFFF"/>
            <w:tcMar>
              <w:top w:w="15" w:type="dxa"/>
              <w:left w:w="0" w:type="dxa"/>
              <w:bottom w:w="0" w:type="dxa"/>
              <w:right w:w="15" w:type="dxa"/>
            </w:tcMar>
            <w:vAlign w:val="bottom"/>
            <w:hideMark/>
          </w:tcPr>
          <w:p w14:paraId="7C951E8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FC0134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06B0718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1" w:type="dxa"/>
            <w:shd w:val="clear" w:color="auto" w:fill="FFFFFF"/>
            <w:noWrap/>
            <w:tcMar>
              <w:top w:w="15" w:type="dxa"/>
              <w:left w:w="0" w:type="dxa"/>
              <w:bottom w:w="0" w:type="dxa"/>
              <w:right w:w="15" w:type="dxa"/>
            </w:tcMar>
            <w:vAlign w:val="bottom"/>
            <w:hideMark/>
          </w:tcPr>
          <w:p w14:paraId="39FFD65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26CF2F2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5500F8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1B70A8A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191" w:type="dxa"/>
            <w:shd w:val="clear" w:color="auto" w:fill="FFFFFF"/>
            <w:noWrap/>
            <w:tcMar>
              <w:top w:w="15" w:type="dxa"/>
              <w:left w:w="0" w:type="dxa"/>
              <w:bottom w:w="0" w:type="dxa"/>
              <w:right w:w="15" w:type="dxa"/>
            </w:tcMar>
            <w:vAlign w:val="bottom"/>
            <w:hideMark/>
          </w:tcPr>
          <w:p w14:paraId="4C01E2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7F51D98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2135BA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3BAED08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c>
          <w:tcPr>
            <w:tcW w:w="191" w:type="dxa"/>
            <w:shd w:val="clear" w:color="auto" w:fill="FFFFFF"/>
            <w:noWrap/>
            <w:tcMar>
              <w:top w:w="15" w:type="dxa"/>
              <w:left w:w="0" w:type="dxa"/>
              <w:bottom w:w="0" w:type="dxa"/>
              <w:right w:w="15" w:type="dxa"/>
            </w:tcMar>
            <w:vAlign w:val="bottom"/>
            <w:hideMark/>
          </w:tcPr>
          <w:p w14:paraId="3C82CF3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015471B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F9B08D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19AF030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192" w:type="dxa"/>
            <w:shd w:val="clear" w:color="auto" w:fill="FFFFFF"/>
            <w:noWrap/>
            <w:tcMar>
              <w:top w:w="15" w:type="dxa"/>
              <w:left w:w="0" w:type="dxa"/>
              <w:bottom w:w="0" w:type="dxa"/>
              <w:right w:w="15" w:type="dxa"/>
            </w:tcMar>
            <w:vAlign w:val="bottom"/>
            <w:hideMark/>
          </w:tcPr>
          <w:p w14:paraId="6A13667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0679F0F" w14:textId="77777777" w:rsidTr="00141675">
        <w:tc>
          <w:tcPr>
            <w:tcW w:w="12098" w:type="dxa"/>
            <w:shd w:val="clear" w:color="auto" w:fill="CFF0FC"/>
            <w:tcMar>
              <w:top w:w="15" w:type="dxa"/>
              <w:left w:w="0" w:type="dxa"/>
              <w:bottom w:w="0" w:type="dxa"/>
              <w:right w:w="15" w:type="dxa"/>
            </w:tcMar>
            <w:hideMark/>
          </w:tcPr>
          <w:p w14:paraId="129D940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Services</w:t>
            </w:r>
          </w:p>
        </w:tc>
        <w:tc>
          <w:tcPr>
            <w:tcW w:w="278" w:type="dxa"/>
            <w:shd w:val="clear" w:color="auto" w:fill="CFF0FC"/>
            <w:tcMar>
              <w:top w:w="15" w:type="dxa"/>
              <w:left w:w="0" w:type="dxa"/>
              <w:bottom w:w="0" w:type="dxa"/>
              <w:right w:w="15" w:type="dxa"/>
            </w:tcMar>
            <w:vAlign w:val="bottom"/>
            <w:hideMark/>
          </w:tcPr>
          <w:p w14:paraId="42452E1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3069FE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031D99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w:t>
            </w:r>
          </w:p>
        </w:tc>
        <w:tc>
          <w:tcPr>
            <w:tcW w:w="191" w:type="dxa"/>
            <w:shd w:val="clear" w:color="auto" w:fill="CFF0FC"/>
            <w:noWrap/>
            <w:tcMar>
              <w:top w:w="15" w:type="dxa"/>
              <w:left w:w="0" w:type="dxa"/>
              <w:bottom w:w="0" w:type="dxa"/>
              <w:right w:w="15" w:type="dxa"/>
            </w:tcMar>
            <w:vAlign w:val="bottom"/>
            <w:hideMark/>
          </w:tcPr>
          <w:p w14:paraId="7375E4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0CBAB14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12F894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47B2EB4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w:t>
            </w:r>
          </w:p>
        </w:tc>
        <w:tc>
          <w:tcPr>
            <w:tcW w:w="191" w:type="dxa"/>
            <w:shd w:val="clear" w:color="auto" w:fill="CFF0FC"/>
            <w:noWrap/>
            <w:tcMar>
              <w:top w:w="15" w:type="dxa"/>
              <w:left w:w="0" w:type="dxa"/>
              <w:bottom w:w="0" w:type="dxa"/>
              <w:right w:w="15" w:type="dxa"/>
            </w:tcMar>
            <w:vAlign w:val="bottom"/>
            <w:hideMark/>
          </w:tcPr>
          <w:p w14:paraId="35F98F9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2054FB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0CF24F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05CA3EF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w:t>
            </w:r>
          </w:p>
        </w:tc>
        <w:tc>
          <w:tcPr>
            <w:tcW w:w="191" w:type="dxa"/>
            <w:shd w:val="clear" w:color="auto" w:fill="CFF0FC"/>
            <w:noWrap/>
            <w:tcMar>
              <w:top w:w="15" w:type="dxa"/>
              <w:left w:w="0" w:type="dxa"/>
              <w:bottom w:w="0" w:type="dxa"/>
              <w:right w:w="15" w:type="dxa"/>
            </w:tcMar>
            <w:vAlign w:val="bottom"/>
            <w:hideMark/>
          </w:tcPr>
          <w:p w14:paraId="3ADE9A1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08CB4B9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A1EA4E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04A9511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w:t>
            </w:r>
          </w:p>
        </w:tc>
        <w:tc>
          <w:tcPr>
            <w:tcW w:w="192" w:type="dxa"/>
            <w:shd w:val="clear" w:color="auto" w:fill="CFF0FC"/>
            <w:noWrap/>
            <w:tcMar>
              <w:top w:w="15" w:type="dxa"/>
              <w:left w:w="0" w:type="dxa"/>
              <w:bottom w:w="0" w:type="dxa"/>
              <w:right w:w="15" w:type="dxa"/>
            </w:tcMar>
            <w:vAlign w:val="bottom"/>
            <w:hideMark/>
          </w:tcPr>
          <w:p w14:paraId="6E97CB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0830334" w14:textId="77777777" w:rsidTr="00141675">
        <w:tc>
          <w:tcPr>
            <w:tcW w:w="12098" w:type="dxa"/>
            <w:shd w:val="clear" w:color="auto" w:fill="FFFFFF"/>
            <w:tcMar>
              <w:top w:w="15" w:type="dxa"/>
              <w:left w:w="0" w:type="dxa"/>
              <w:bottom w:w="0" w:type="dxa"/>
              <w:right w:w="15" w:type="dxa"/>
            </w:tcMar>
            <w:hideMark/>
          </w:tcPr>
          <w:p w14:paraId="324DD21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Sales and marketing</w:t>
            </w:r>
          </w:p>
        </w:tc>
        <w:tc>
          <w:tcPr>
            <w:tcW w:w="278" w:type="dxa"/>
            <w:shd w:val="clear" w:color="auto" w:fill="FFFFFF"/>
            <w:tcMar>
              <w:top w:w="15" w:type="dxa"/>
              <w:left w:w="0" w:type="dxa"/>
              <w:bottom w:w="0" w:type="dxa"/>
              <w:right w:w="15" w:type="dxa"/>
            </w:tcMar>
            <w:vAlign w:val="bottom"/>
            <w:hideMark/>
          </w:tcPr>
          <w:p w14:paraId="6E81E62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866E3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6E3FBD8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37</w:t>
            </w:r>
          </w:p>
        </w:tc>
        <w:tc>
          <w:tcPr>
            <w:tcW w:w="191" w:type="dxa"/>
            <w:shd w:val="clear" w:color="auto" w:fill="FFFFFF"/>
            <w:noWrap/>
            <w:tcMar>
              <w:top w:w="15" w:type="dxa"/>
              <w:left w:w="0" w:type="dxa"/>
              <w:bottom w:w="0" w:type="dxa"/>
              <w:right w:w="15" w:type="dxa"/>
            </w:tcMar>
            <w:vAlign w:val="bottom"/>
            <w:hideMark/>
          </w:tcPr>
          <w:p w14:paraId="1E5762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19761C2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321E6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269B0F4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93</w:t>
            </w:r>
          </w:p>
        </w:tc>
        <w:tc>
          <w:tcPr>
            <w:tcW w:w="191" w:type="dxa"/>
            <w:shd w:val="clear" w:color="auto" w:fill="FFFFFF"/>
            <w:noWrap/>
            <w:tcMar>
              <w:top w:w="15" w:type="dxa"/>
              <w:left w:w="0" w:type="dxa"/>
              <w:bottom w:w="0" w:type="dxa"/>
              <w:right w:w="15" w:type="dxa"/>
            </w:tcMar>
            <w:vAlign w:val="bottom"/>
            <w:hideMark/>
          </w:tcPr>
          <w:p w14:paraId="25A6ED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0FECF44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065474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186C3AB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125</w:t>
            </w:r>
          </w:p>
        </w:tc>
        <w:tc>
          <w:tcPr>
            <w:tcW w:w="191" w:type="dxa"/>
            <w:shd w:val="clear" w:color="auto" w:fill="FFFFFF"/>
            <w:noWrap/>
            <w:tcMar>
              <w:top w:w="15" w:type="dxa"/>
              <w:left w:w="0" w:type="dxa"/>
              <w:bottom w:w="0" w:type="dxa"/>
              <w:right w:w="15" w:type="dxa"/>
            </w:tcMar>
            <w:vAlign w:val="bottom"/>
            <w:hideMark/>
          </w:tcPr>
          <w:p w14:paraId="0B14989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02E3E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91CF10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66584E5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188</w:t>
            </w:r>
          </w:p>
        </w:tc>
        <w:tc>
          <w:tcPr>
            <w:tcW w:w="192" w:type="dxa"/>
            <w:shd w:val="clear" w:color="auto" w:fill="FFFFFF"/>
            <w:noWrap/>
            <w:tcMar>
              <w:top w:w="15" w:type="dxa"/>
              <w:left w:w="0" w:type="dxa"/>
              <w:bottom w:w="0" w:type="dxa"/>
              <w:right w:w="15" w:type="dxa"/>
            </w:tcMar>
            <w:vAlign w:val="bottom"/>
            <w:hideMark/>
          </w:tcPr>
          <w:p w14:paraId="64C18E7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B235910" w14:textId="77777777" w:rsidTr="00141675">
        <w:tc>
          <w:tcPr>
            <w:tcW w:w="12098" w:type="dxa"/>
            <w:shd w:val="clear" w:color="auto" w:fill="CFF0FC"/>
            <w:tcMar>
              <w:top w:w="15" w:type="dxa"/>
              <w:left w:w="0" w:type="dxa"/>
              <w:bottom w:w="0" w:type="dxa"/>
              <w:right w:w="15" w:type="dxa"/>
            </w:tcMar>
            <w:hideMark/>
          </w:tcPr>
          <w:p w14:paraId="6D1EE6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Research and development</w:t>
            </w:r>
          </w:p>
        </w:tc>
        <w:tc>
          <w:tcPr>
            <w:tcW w:w="278" w:type="dxa"/>
            <w:shd w:val="clear" w:color="auto" w:fill="CFF0FC"/>
            <w:tcMar>
              <w:top w:w="15" w:type="dxa"/>
              <w:left w:w="0" w:type="dxa"/>
              <w:bottom w:w="0" w:type="dxa"/>
              <w:right w:w="15" w:type="dxa"/>
            </w:tcMar>
            <w:vAlign w:val="bottom"/>
            <w:hideMark/>
          </w:tcPr>
          <w:p w14:paraId="558C7C3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098522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538FBCC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272</w:t>
            </w:r>
          </w:p>
        </w:tc>
        <w:tc>
          <w:tcPr>
            <w:tcW w:w="191" w:type="dxa"/>
            <w:shd w:val="clear" w:color="auto" w:fill="CFF0FC"/>
            <w:noWrap/>
            <w:tcMar>
              <w:top w:w="15" w:type="dxa"/>
              <w:left w:w="0" w:type="dxa"/>
              <w:bottom w:w="0" w:type="dxa"/>
              <w:right w:w="15" w:type="dxa"/>
            </w:tcMar>
            <w:vAlign w:val="bottom"/>
            <w:hideMark/>
          </w:tcPr>
          <w:p w14:paraId="4C4B1E0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78CAC6C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639C0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40A45F9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222</w:t>
            </w:r>
          </w:p>
        </w:tc>
        <w:tc>
          <w:tcPr>
            <w:tcW w:w="191" w:type="dxa"/>
            <w:shd w:val="clear" w:color="auto" w:fill="CFF0FC"/>
            <w:noWrap/>
            <w:tcMar>
              <w:top w:w="15" w:type="dxa"/>
              <w:left w:w="0" w:type="dxa"/>
              <w:bottom w:w="0" w:type="dxa"/>
              <w:right w:w="15" w:type="dxa"/>
            </w:tcMar>
            <w:vAlign w:val="bottom"/>
            <w:hideMark/>
          </w:tcPr>
          <w:p w14:paraId="7CF3F58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361F156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186119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F5EF9D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543</w:t>
            </w:r>
          </w:p>
        </w:tc>
        <w:tc>
          <w:tcPr>
            <w:tcW w:w="191" w:type="dxa"/>
            <w:shd w:val="clear" w:color="auto" w:fill="CFF0FC"/>
            <w:noWrap/>
            <w:tcMar>
              <w:top w:w="15" w:type="dxa"/>
              <w:left w:w="0" w:type="dxa"/>
              <w:bottom w:w="0" w:type="dxa"/>
              <w:right w:w="15" w:type="dxa"/>
            </w:tcMar>
            <w:vAlign w:val="bottom"/>
            <w:hideMark/>
          </w:tcPr>
          <w:p w14:paraId="29A3C1B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0A4A5E4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20F550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013DF73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479</w:t>
            </w:r>
          </w:p>
        </w:tc>
        <w:tc>
          <w:tcPr>
            <w:tcW w:w="192" w:type="dxa"/>
            <w:shd w:val="clear" w:color="auto" w:fill="CFF0FC"/>
            <w:noWrap/>
            <w:tcMar>
              <w:top w:w="15" w:type="dxa"/>
              <w:left w:w="0" w:type="dxa"/>
              <w:bottom w:w="0" w:type="dxa"/>
              <w:right w:w="15" w:type="dxa"/>
            </w:tcMar>
            <w:vAlign w:val="bottom"/>
            <w:hideMark/>
          </w:tcPr>
          <w:p w14:paraId="4140B9C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A1D3B1C" w14:textId="77777777" w:rsidTr="00141675">
        <w:tc>
          <w:tcPr>
            <w:tcW w:w="12098" w:type="dxa"/>
            <w:shd w:val="clear" w:color="auto" w:fill="FFFFFF"/>
            <w:tcMar>
              <w:top w:w="15" w:type="dxa"/>
              <w:left w:w="0" w:type="dxa"/>
              <w:bottom w:w="0" w:type="dxa"/>
              <w:right w:w="15" w:type="dxa"/>
            </w:tcMar>
            <w:hideMark/>
          </w:tcPr>
          <w:p w14:paraId="461C9D5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General and administrative</w:t>
            </w:r>
          </w:p>
        </w:tc>
        <w:tc>
          <w:tcPr>
            <w:tcW w:w="278" w:type="dxa"/>
            <w:shd w:val="clear" w:color="auto" w:fill="FFFFFF"/>
            <w:tcMar>
              <w:top w:w="15" w:type="dxa"/>
              <w:left w:w="0" w:type="dxa"/>
              <w:bottom w:w="0" w:type="dxa"/>
              <w:right w:w="15" w:type="dxa"/>
            </w:tcMar>
            <w:vAlign w:val="bottom"/>
            <w:hideMark/>
          </w:tcPr>
          <w:p w14:paraId="52CD0D6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F886A2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4F5E5C4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41</w:t>
            </w:r>
          </w:p>
        </w:tc>
        <w:tc>
          <w:tcPr>
            <w:tcW w:w="191" w:type="dxa"/>
            <w:shd w:val="clear" w:color="auto" w:fill="FFFFFF"/>
            <w:noWrap/>
            <w:tcMar>
              <w:top w:w="15" w:type="dxa"/>
              <w:left w:w="0" w:type="dxa"/>
              <w:bottom w:w="0" w:type="dxa"/>
              <w:right w:w="15" w:type="dxa"/>
            </w:tcMar>
            <w:vAlign w:val="bottom"/>
            <w:hideMark/>
          </w:tcPr>
          <w:p w14:paraId="7206C30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0875602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9F5917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7CD9E33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43</w:t>
            </w:r>
          </w:p>
        </w:tc>
        <w:tc>
          <w:tcPr>
            <w:tcW w:w="191" w:type="dxa"/>
            <w:shd w:val="clear" w:color="auto" w:fill="FFFFFF"/>
            <w:noWrap/>
            <w:tcMar>
              <w:top w:w="15" w:type="dxa"/>
              <w:left w:w="0" w:type="dxa"/>
              <w:bottom w:w="0" w:type="dxa"/>
              <w:right w:w="15" w:type="dxa"/>
            </w:tcMar>
            <w:vAlign w:val="bottom"/>
            <w:hideMark/>
          </w:tcPr>
          <w:p w14:paraId="4DEE60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4D04EF7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162A0C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4FBE231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w:t>
            </w:r>
          </w:p>
        </w:tc>
        <w:tc>
          <w:tcPr>
            <w:tcW w:w="191" w:type="dxa"/>
            <w:shd w:val="clear" w:color="auto" w:fill="FFFFFF"/>
            <w:noWrap/>
            <w:tcMar>
              <w:top w:w="15" w:type="dxa"/>
              <w:left w:w="0" w:type="dxa"/>
              <w:bottom w:w="0" w:type="dxa"/>
              <w:right w:w="15" w:type="dxa"/>
            </w:tcMar>
            <w:vAlign w:val="bottom"/>
            <w:hideMark/>
          </w:tcPr>
          <w:p w14:paraId="4C5529C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7A30C43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BE4FED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5B10B40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87</w:t>
            </w:r>
          </w:p>
        </w:tc>
        <w:tc>
          <w:tcPr>
            <w:tcW w:w="192" w:type="dxa"/>
            <w:shd w:val="clear" w:color="auto" w:fill="FFFFFF"/>
            <w:noWrap/>
            <w:tcMar>
              <w:top w:w="15" w:type="dxa"/>
              <w:left w:w="0" w:type="dxa"/>
              <w:bottom w:w="0" w:type="dxa"/>
              <w:right w:w="15" w:type="dxa"/>
            </w:tcMar>
            <w:vAlign w:val="bottom"/>
            <w:hideMark/>
          </w:tcPr>
          <w:p w14:paraId="2AD64B8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4F4E519" w14:textId="77777777" w:rsidTr="00141675">
        <w:tc>
          <w:tcPr>
            <w:tcW w:w="12098" w:type="dxa"/>
            <w:shd w:val="clear" w:color="auto" w:fill="CFF0FC"/>
            <w:tcMar>
              <w:top w:w="15" w:type="dxa"/>
              <w:left w:w="0" w:type="dxa"/>
              <w:bottom w:w="0" w:type="dxa"/>
              <w:right w:w="15" w:type="dxa"/>
            </w:tcMar>
            <w:hideMark/>
          </w:tcPr>
          <w:p w14:paraId="4E7187AC"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stock-based compensation</w:t>
            </w:r>
          </w:p>
        </w:tc>
        <w:tc>
          <w:tcPr>
            <w:tcW w:w="278" w:type="dxa"/>
            <w:shd w:val="clear" w:color="auto" w:fill="CFF0FC"/>
            <w:tcMar>
              <w:top w:w="15" w:type="dxa"/>
              <w:left w:w="0" w:type="dxa"/>
              <w:bottom w:w="0" w:type="dxa"/>
              <w:right w:w="15" w:type="dxa"/>
            </w:tcMar>
            <w:vAlign w:val="bottom"/>
            <w:hideMark/>
          </w:tcPr>
          <w:p w14:paraId="746EBDE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7840C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58ED1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397</w:t>
            </w:r>
          </w:p>
        </w:tc>
        <w:tc>
          <w:tcPr>
            <w:tcW w:w="191" w:type="dxa"/>
            <w:shd w:val="clear" w:color="auto" w:fill="CFF0FC"/>
            <w:noWrap/>
            <w:tcMar>
              <w:top w:w="15" w:type="dxa"/>
              <w:left w:w="0" w:type="dxa"/>
              <w:bottom w:w="0" w:type="dxa"/>
              <w:right w:w="15" w:type="dxa"/>
            </w:tcMar>
            <w:vAlign w:val="bottom"/>
            <w:hideMark/>
          </w:tcPr>
          <w:p w14:paraId="5D8BDE3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59DA09C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CB4F6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550086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396</w:t>
            </w:r>
          </w:p>
        </w:tc>
        <w:tc>
          <w:tcPr>
            <w:tcW w:w="191" w:type="dxa"/>
            <w:shd w:val="clear" w:color="auto" w:fill="CFF0FC"/>
            <w:noWrap/>
            <w:tcMar>
              <w:top w:w="15" w:type="dxa"/>
              <w:left w:w="0" w:type="dxa"/>
              <w:bottom w:w="0" w:type="dxa"/>
              <w:right w:w="15" w:type="dxa"/>
            </w:tcMar>
            <w:vAlign w:val="bottom"/>
            <w:hideMark/>
          </w:tcPr>
          <w:p w14:paraId="4A5EE2F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3535A9C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BFB3F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3675DF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843</w:t>
            </w:r>
          </w:p>
        </w:tc>
        <w:tc>
          <w:tcPr>
            <w:tcW w:w="191" w:type="dxa"/>
            <w:shd w:val="clear" w:color="auto" w:fill="CFF0FC"/>
            <w:noWrap/>
            <w:tcMar>
              <w:top w:w="15" w:type="dxa"/>
              <w:left w:w="0" w:type="dxa"/>
              <w:bottom w:w="0" w:type="dxa"/>
              <w:right w:w="15" w:type="dxa"/>
            </w:tcMar>
            <w:vAlign w:val="bottom"/>
            <w:hideMark/>
          </w:tcPr>
          <w:p w14:paraId="0F8DEEF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5315E9E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BA164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FF5B52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832</w:t>
            </w:r>
          </w:p>
        </w:tc>
        <w:tc>
          <w:tcPr>
            <w:tcW w:w="192" w:type="dxa"/>
            <w:shd w:val="clear" w:color="auto" w:fill="CFF0FC"/>
            <w:noWrap/>
            <w:tcMar>
              <w:top w:w="15" w:type="dxa"/>
              <w:left w:w="0" w:type="dxa"/>
              <w:bottom w:w="0" w:type="dxa"/>
              <w:right w:w="15" w:type="dxa"/>
            </w:tcMar>
            <w:vAlign w:val="bottom"/>
            <w:hideMark/>
          </w:tcPr>
          <w:p w14:paraId="30346434"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2205D17E" w14:textId="77777777" w:rsidR="00141675" w:rsidRPr="00141675" w:rsidRDefault="00141675" w:rsidP="00141675">
      <w:pPr>
        <w:widowControl/>
        <w:jc w:val="left"/>
        <w:rPr>
          <w:rFonts w:ascii="宋体" w:eastAsia="宋体" w:hAnsi="宋体" w:cs="宋体"/>
          <w:kern w:val="0"/>
          <w:sz w:val="12"/>
          <w:szCs w:val="12"/>
        </w:rPr>
      </w:pPr>
      <w:r w:rsidRPr="00141675">
        <w:rPr>
          <w:rFonts w:ascii="宋体" w:eastAsia="宋体" w:hAnsi="宋体" w:cs="宋体"/>
          <w:kern w:val="0"/>
          <w:sz w:val="12"/>
          <w:szCs w:val="12"/>
        </w:rPr>
        <w:t> </w:t>
      </w:r>
    </w:p>
    <w:p w14:paraId="54428758"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2C4114A4" w14:textId="77777777" w:rsidTr="00141675">
        <w:tc>
          <w:tcPr>
            <w:tcW w:w="1080" w:type="dxa"/>
            <w:noWrap/>
            <w:hideMark/>
          </w:tcPr>
          <w:p w14:paraId="174F1A21" w14:textId="77777777" w:rsidR="00141675" w:rsidRPr="00141675" w:rsidRDefault="00141675" w:rsidP="00141675">
            <w:pPr>
              <w:widowControl/>
              <w:rPr>
                <w:rFonts w:ascii="Calibri" w:eastAsia="宋体" w:hAnsi="Calibri" w:cs="Calibri" w:hint="eastAsia"/>
                <w:b/>
                <w:bCs/>
                <w:kern w:val="0"/>
                <w:sz w:val="20"/>
                <w:szCs w:val="20"/>
              </w:rPr>
            </w:pPr>
            <w:r w:rsidRPr="00141675">
              <w:rPr>
                <w:rFonts w:ascii="Calibri" w:eastAsia="宋体" w:hAnsi="Calibri" w:cs="Calibri"/>
                <w:b/>
                <w:bCs/>
                <w:kern w:val="0"/>
                <w:sz w:val="20"/>
                <w:szCs w:val="20"/>
              </w:rPr>
              <w:t>9.</w:t>
            </w:r>
          </w:p>
        </w:tc>
        <w:tc>
          <w:tcPr>
            <w:tcW w:w="0" w:type="auto"/>
            <w:hideMark/>
          </w:tcPr>
          <w:p w14:paraId="50AA31B0"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INCOME TAXES</w:t>
            </w:r>
          </w:p>
        </w:tc>
      </w:tr>
    </w:tbl>
    <w:p w14:paraId="57C19A0A"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Our effective tax rates for the periods presented are the result of the mix of income earned in various tax jurisdictions that apply a broad range of income tax rates. Our provision for income taxes varied from the tax computed at the U.S. federal statutory income tax rate for the periods presented primarily due to earnings in foreign operations, state taxes, the U.S. research and development tax credit, settlements with tax authorities, the tax effects of stock-based compensation, the Foreign Derived Intangible Income deduction and the tax effect of Global Intangible Low-Taxed Income. In fiscal 2018, the U.S. Tax Cuts and Jobs Act of 2017 (the Tax Act), was signed into law. The more significant provisions of the Tax Act applicable to us are described in our Annual Report on Form 10-K for the fiscal year ended May 31, 2019. During the first half of fiscal 2019, we recorded a benefit of $153 million in accordance with SEC Staff Accounting Bulletin No. 118 related to adjustments in our estimates of the one-time transition tax on certain foreign subsidiary earnings affected by the Tax Act. Our effective tax rates were 17.7% and 16.0%, respectively, for the three and six months ended November 30, 2019, respectively, and 15.9% and 13.5%, respectively, for the three and six months ended November 30, 2018, respectively. </w:t>
      </w:r>
    </w:p>
    <w:p w14:paraId="393F4FE5"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lastRenderedPageBreak/>
        <w:t>Our net deferred tax assets were $2.6 billion and $2.4 billion as of November 30, 2019 and May 31, 2019, respectively. We believe that it is more likely than not that the net deferred tax assets will be realized in the foreseeable future. Realization of our net deferred tax assets is dependent upon our generation of sufficient taxable income in future years in appropriate tax jurisdictions to obtain benefit from the reversal of temporary differences, net operating loss carryforwards and tax credit carryforwards. The amount of net deferred tax assets considered realizable is subject to adjustment in future periods if estimates of future taxable income change.</w:t>
      </w:r>
    </w:p>
    <w:p w14:paraId="4CE8CB00"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Domestically, U.S. federal and state taxing authorities are currently examining income tax returns of Oracle and various acquired entities for years through fiscal 2017. Our U.S. federal income tax returns have been examined for all years prior to fiscal 2010, and we are no longer subject to audit for those periods. Our U.S. state income tax returns, with some exceptions, have been examined for all years prior to fiscal 2004, and we are no longer subject to audit for those periods.</w:t>
      </w:r>
    </w:p>
    <w:p w14:paraId="19C08B6E"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Internationally, tax authorities for numerous non-U.S. jurisdictions are also examining returns affecting our unrecognized tax benefits. With some exceptions, we are generally no longer subject to tax examinations in non-U.S. jurisdictions for years prior to fiscal 1997.</w:t>
      </w:r>
    </w:p>
    <w:p w14:paraId="0AB1B8EE"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On June 7, 2019, the U.S. Court of Appeals for the Ninth Circuit, reversing a previous decision of the U.S. Tax Court, held that the U.S. Treasury Department’s regulations requiring the inclusion of stock-based compensation expense in a taxpayer’s cost-sharing calculations were valid. On November 12, 2019, the U.S. Court of Appeals for the Ninth</w:t>
      </w:r>
    </w:p>
    <w:p w14:paraId="5F103E41"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w:t>
      </w:r>
    </w:p>
    <w:p w14:paraId="0D311B82"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6CAFA082">
          <v:rect id="_x0000_i1045" style="width:0;height:1.5pt" o:hralign="center" o:hrstd="t" o:hrnoshade="t" o:hr="t" fillcolor="black" stroked="f"/>
        </w:pict>
      </w:r>
    </w:p>
    <w:p w14:paraId="2FF9002D" w14:textId="77777777" w:rsidR="00141675" w:rsidRPr="00141675" w:rsidRDefault="00141675" w:rsidP="00141675">
      <w:pPr>
        <w:widowControl/>
        <w:jc w:val="left"/>
        <w:rPr>
          <w:rFonts w:ascii="Calibri" w:eastAsia="宋体" w:hAnsi="Calibri" w:cs="Calibri"/>
          <w:b/>
          <w:bCs/>
          <w:color w:val="000000"/>
          <w:kern w:val="0"/>
          <w:sz w:val="20"/>
          <w:szCs w:val="20"/>
        </w:rPr>
      </w:pPr>
      <w:hyperlink r:id="rId42" w:anchor="TABLE_CONTENTS" w:history="1">
        <w:r w:rsidRPr="00141675">
          <w:rPr>
            <w:rFonts w:ascii="Calibri" w:eastAsia="宋体" w:hAnsi="Calibri" w:cs="Calibri"/>
            <w:b/>
            <w:bCs/>
            <w:color w:val="0000FF"/>
            <w:kern w:val="0"/>
            <w:sz w:val="20"/>
            <w:szCs w:val="20"/>
            <w:u w:val="single"/>
          </w:rPr>
          <w:t>Table of Contents</w:t>
        </w:r>
      </w:hyperlink>
    </w:p>
    <w:p w14:paraId="7E888FCB"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58014998"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447126F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43F05D92"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77427856"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4C0F7453"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07EE8260"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Circuit denied the July 22, 2019 en banc rehearing request. Our financial statements have been prepared consistent with this outcome, but we will continue to monitor any ongoing developments, including a potential future appeal to the U.S. Supreme Court, to determine if future changes are required.</w:t>
      </w:r>
    </w:p>
    <w:p w14:paraId="640C57C4"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 xml:space="preserve">We are under audit by the IRS and various other domestic and foreign tax authorities with regards to income tax and indirect tax matters and are involved in various challenges and litigation in a number of countries, including, in particular, Australia, Brazil, Canada, India, Indonesia, South Korea, Mexico, Pakistan and Spain, where the amounts under controversy are significant. In some, although not all, cases, we have reserved for potential adjustments to our provision for income taxes and accrual of indirect taxes that may result from examinations by, or any negotiated agreements with, these tax authorities or final outcomes in judicial proceedings, and we believe that the final outcome of these examinations, agreements or judicial proceedings will not have a material effect on our results of operations. If events occur which indicate payment of these amounts is unnecessary, the reversal of the liabilities would result in the recognition of benefits in the period we determine the liabilities are </w:t>
      </w:r>
      <w:r w:rsidRPr="00141675">
        <w:rPr>
          <w:rFonts w:ascii="Calibri" w:eastAsia="宋体" w:hAnsi="Calibri" w:cs="Calibri"/>
          <w:kern w:val="0"/>
          <w:sz w:val="20"/>
          <w:szCs w:val="20"/>
        </w:rPr>
        <w:lastRenderedPageBreak/>
        <w:t>no longer necessary. If our estimates of the federal, state, and foreign income tax liabilities and indirect tax liabilities are less than the ultimate assessment, it could result in a further charge to expense.</w:t>
      </w:r>
    </w:p>
    <w:p w14:paraId="488FF190"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believe that we have adequately provided under GAAP for outcomes related to our tax audits. However, there can be no assurances as to the possible outcomes or any related financial statement effect thereof.</w:t>
      </w:r>
    </w:p>
    <w:p w14:paraId="553308B6" w14:textId="77777777" w:rsidR="00141675" w:rsidRPr="00141675" w:rsidRDefault="00141675" w:rsidP="00141675">
      <w:pPr>
        <w:widowControl/>
        <w:rPr>
          <w:rFonts w:ascii="Times New Roman" w:eastAsia="宋体" w:hAnsi="Times New Roman" w:cs="Times New Roman"/>
          <w:kern w:val="0"/>
          <w:sz w:val="10"/>
          <w:szCs w:val="10"/>
        </w:rPr>
      </w:pPr>
      <w:r w:rsidRPr="00141675">
        <w:rPr>
          <w:rFonts w:ascii="Times New Roman" w:eastAsia="宋体" w:hAnsi="Times New Roman" w:cs="Times New Roman"/>
          <w:kern w:val="0"/>
          <w:sz w:val="10"/>
          <w:szCs w:val="10"/>
        </w:rPr>
        <w:t> </w:t>
      </w:r>
    </w:p>
    <w:p w14:paraId="21E2216F"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02185068" w14:textId="77777777" w:rsidTr="00141675">
        <w:tc>
          <w:tcPr>
            <w:tcW w:w="1080" w:type="dxa"/>
            <w:noWrap/>
            <w:hideMark/>
          </w:tcPr>
          <w:p w14:paraId="7B2967B4" w14:textId="77777777" w:rsidR="00141675" w:rsidRPr="00141675" w:rsidRDefault="00141675" w:rsidP="00141675">
            <w:pPr>
              <w:widowControl/>
              <w:spacing w:before="20"/>
              <w:rPr>
                <w:rFonts w:ascii="Calibri" w:eastAsia="宋体" w:hAnsi="Calibri" w:cs="Calibri" w:hint="eastAsia"/>
                <w:b/>
                <w:bCs/>
                <w:kern w:val="0"/>
                <w:sz w:val="20"/>
                <w:szCs w:val="20"/>
              </w:rPr>
            </w:pPr>
            <w:r w:rsidRPr="00141675">
              <w:rPr>
                <w:rFonts w:ascii="Calibri" w:eastAsia="宋体" w:hAnsi="Calibri" w:cs="Calibri"/>
                <w:b/>
                <w:bCs/>
                <w:kern w:val="0"/>
                <w:sz w:val="20"/>
                <w:szCs w:val="20"/>
              </w:rPr>
              <w:t>10.</w:t>
            </w:r>
          </w:p>
        </w:tc>
        <w:tc>
          <w:tcPr>
            <w:tcW w:w="0" w:type="auto"/>
            <w:hideMark/>
          </w:tcPr>
          <w:p w14:paraId="7E7C500F" w14:textId="77777777" w:rsidR="00141675" w:rsidRPr="00141675" w:rsidRDefault="00141675" w:rsidP="00141675">
            <w:pPr>
              <w:widowControl/>
              <w:spacing w:before="20"/>
              <w:rPr>
                <w:rFonts w:ascii="Calibri" w:eastAsia="宋体" w:hAnsi="Calibri" w:cs="Calibri"/>
                <w:b/>
                <w:bCs/>
                <w:kern w:val="0"/>
                <w:sz w:val="20"/>
                <w:szCs w:val="20"/>
              </w:rPr>
            </w:pPr>
            <w:r w:rsidRPr="00141675">
              <w:rPr>
                <w:rFonts w:ascii="Calibri" w:eastAsia="宋体" w:hAnsi="Calibri" w:cs="Calibri"/>
                <w:b/>
                <w:bCs/>
                <w:kern w:val="0"/>
                <w:sz w:val="20"/>
                <w:szCs w:val="20"/>
              </w:rPr>
              <w:t>SEGMENT INFORMATION</w:t>
            </w:r>
          </w:p>
        </w:tc>
      </w:tr>
    </w:tbl>
    <w:p w14:paraId="79D14A1E"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ASC 280, </w:t>
      </w:r>
      <w:r w:rsidRPr="00141675">
        <w:rPr>
          <w:rFonts w:ascii="Calibri" w:eastAsia="宋体" w:hAnsi="Calibri" w:cs="Calibri"/>
          <w:i/>
          <w:iCs/>
          <w:kern w:val="0"/>
          <w:sz w:val="20"/>
          <w:szCs w:val="20"/>
        </w:rPr>
        <w:t>Segment Reporting</w:t>
      </w:r>
      <w:r w:rsidRPr="00141675">
        <w:rPr>
          <w:rFonts w:ascii="Calibri" w:eastAsia="宋体" w:hAnsi="Calibri" w:cs="Calibri"/>
          <w:kern w:val="0"/>
          <w:sz w:val="20"/>
          <w:szCs w:val="20"/>
        </w:rPr>
        <w:t>, establishes standards for reporting information about operating segments. Operating segments are defined as components of an enterprise about which separate financial information is available that is evaluated regularly by the chief operating decision maker, or decision-making group, in deciding how to allocate resources and in assessing performance. Our chief operating decision makers (CODMs) are our Chief Executive Officer and Chief Technology Officer. We are organized by line of business and geographically. While our CODMs evaluate results in a number of different ways, the line of business management structure is the primary basis for which the allocation of resources and financial results are assessed. The footnote information below presents the financial information provided to our CODMs for their review and assists our CODMs with evaluating the company’s performance and allocating company resources.</w:t>
      </w:r>
    </w:p>
    <w:p w14:paraId="6D1564C6"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have three businesses—cloud and license, hardware and services—each of which is comprised of a single operating segment. All three of our businesses market and sell our offerings globally to businesses of many sizes, government agencies, educational institutions and resellers with a worldwide sales force positioned to offer the combinations that best meet customer needs.</w:t>
      </w:r>
    </w:p>
    <w:p w14:paraId="68C7E4DB"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Our cloud and license business engages in the sale, marketing and delivery of our applications and infrastructure technologies through cloud and on-premise deployment models, including our cloud services and license support offerings, and our cloud license and on-premise license offerings. Cloud services and license support revenues are generated from offerings that are typically contracted with customers directly, billed to customers in advance, delivered to customers over time with our revenue recognition occurring over the contractual terms, and renewed by customers upon completion of the contractual terms. Cloud services and license support contracts provide customers with access to the latest updates to the applications and infrastructure technologies as they become available and for which the customer contracted and also include related technical support services over the contractual term. Cloud license and on-premise license revenues represent fees earned from granting customers licenses, generally on a perpetual basis, to use our database and middleware and our applications software products within cloud and on-premise IT environments. We generally recognize revenues at the point in time the software is made available to the customer to download and use, which typically is immediate upon signature of the license contract. In each fiscal year, our cloud and license business’ contractual activities are typically highest in</w:t>
      </w:r>
    </w:p>
    <w:p w14:paraId="57A3992C"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20</w:t>
      </w:r>
    </w:p>
    <w:p w14:paraId="3A38113D"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28AD9583">
          <v:rect id="_x0000_i1046" style="width:0;height:1.5pt" o:hralign="center" o:hrstd="t" o:hrnoshade="t" o:hr="t" fillcolor="black" stroked="f"/>
        </w:pict>
      </w:r>
    </w:p>
    <w:p w14:paraId="13FA2C5A" w14:textId="77777777" w:rsidR="00141675" w:rsidRPr="00141675" w:rsidRDefault="00141675" w:rsidP="00141675">
      <w:pPr>
        <w:widowControl/>
        <w:jc w:val="left"/>
        <w:rPr>
          <w:rFonts w:ascii="Calibri" w:eastAsia="宋体" w:hAnsi="Calibri" w:cs="Calibri"/>
          <w:b/>
          <w:bCs/>
          <w:color w:val="000000"/>
          <w:kern w:val="0"/>
          <w:sz w:val="20"/>
          <w:szCs w:val="20"/>
        </w:rPr>
      </w:pPr>
      <w:hyperlink r:id="rId43" w:anchor="TABLE_CONTENTS" w:history="1">
        <w:r w:rsidRPr="00141675">
          <w:rPr>
            <w:rFonts w:ascii="Calibri" w:eastAsia="宋体" w:hAnsi="Calibri" w:cs="Calibri"/>
            <w:b/>
            <w:bCs/>
            <w:color w:val="0000FF"/>
            <w:kern w:val="0"/>
            <w:sz w:val="20"/>
            <w:szCs w:val="20"/>
            <w:u w:val="single"/>
          </w:rPr>
          <w:t>Table of Contents</w:t>
        </w:r>
      </w:hyperlink>
    </w:p>
    <w:p w14:paraId="7F842E57"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CF2C1E9"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5805B653"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lastRenderedPageBreak/>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6E306E3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5300E236"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63F30E4D"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7E789442"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our fourth fiscal quarter and the related cash flows are typically highest in the following quarter (i.e., in the first fiscal quarter of the next fiscal year) as we receive payments from these contracts.</w:t>
      </w:r>
    </w:p>
    <w:p w14:paraId="72DCA494"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Our hardware business provides Oracle Engineered Systems, servers, storage, industry-specific hardware, operating systems, virtualization, management and other hardware-related software to support diverse IT environments. Our hardware business also offers hardware support, which provides customers with software updates for the software components that are essential to the functionality of their hardware products, such as Oracle Solaris and certain other software, and can also include product repairs, maintenance services and technical support services.</w:t>
      </w:r>
    </w:p>
    <w:p w14:paraId="15A2C4AB"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Our services business provides services to customers and partners to help maximize the performance of their investments in Oracle applications and infrastructure technologies.</w:t>
      </w:r>
    </w:p>
    <w:p w14:paraId="205F9430"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do not track our assets for each business. Consequently, it is not practical to show assets by operating segment.</w:t>
      </w:r>
    </w:p>
    <w:p w14:paraId="0DC4B488"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The following table presents summary results for each of our three businesses:</w:t>
      </w:r>
    </w:p>
    <w:p w14:paraId="4E4E76A2" w14:textId="77777777" w:rsidR="00141675" w:rsidRPr="00141675" w:rsidRDefault="00141675" w:rsidP="00141675">
      <w:pPr>
        <w:widowControl/>
        <w:ind w:right="18324"/>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bl>
      <w:tblPr>
        <w:tblW w:w="20614" w:type="dxa"/>
        <w:tblCellMar>
          <w:left w:w="0" w:type="dxa"/>
          <w:right w:w="0" w:type="dxa"/>
        </w:tblCellMar>
        <w:tblLook w:val="04A0" w:firstRow="1" w:lastRow="0" w:firstColumn="1" w:lastColumn="0" w:noHBand="0" w:noVBand="1"/>
      </w:tblPr>
      <w:tblGrid>
        <w:gridCol w:w="12119"/>
        <w:gridCol w:w="279"/>
        <w:gridCol w:w="199"/>
        <w:gridCol w:w="1424"/>
        <w:gridCol w:w="199"/>
        <w:gridCol w:w="279"/>
        <w:gridCol w:w="199"/>
        <w:gridCol w:w="1469"/>
        <w:gridCol w:w="199"/>
        <w:gridCol w:w="279"/>
        <w:gridCol w:w="199"/>
        <w:gridCol w:w="1424"/>
        <w:gridCol w:w="199"/>
        <w:gridCol w:w="279"/>
        <w:gridCol w:w="199"/>
        <w:gridCol w:w="1469"/>
        <w:gridCol w:w="200"/>
      </w:tblGrid>
      <w:tr w:rsidR="00141675" w:rsidRPr="00141675" w14:paraId="29E677CF" w14:textId="77777777" w:rsidTr="00141675">
        <w:tc>
          <w:tcPr>
            <w:tcW w:w="12095" w:type="dxa"/>
            <w:shd w:val="clear" w:color="auto" w:fill="FFFFFF"/>
            <w:tcMar>
              <w:top w:w="15" w:type="dxa"/>
              <w:left w:w="0" w:type="dxa"/>
              <w:bottom w:w="0" w:type="dxa"/>
              <w:right w:w="15" w:type="dxa"/>
            </w:tcMar>
            <w:vAlign w:val="bottom"/>
            <w:hideMark/>
          </w:tcPr>
          <w:p w14:paraId="332A0BA7" w14:textId="77777777" w:rsidR="00141675" w:rsidRPr="00141675" w:rsidRDefault="00141675" w:rsidP="00141675">
            <w:pPr>
              <w:widowControl/>
              <w:jc w:val="left"/>
              <w:rPr>
                <w:rFonts w:ascii="Calibri" w:eastAsia="宋体" w:hAnsi="Calibri" w:cs="Calibri"/>
                <w:kern w:val="0"/>
                <w:sz w:val="15"/>
                <w:szCs w:val="15"/>
              </w:rPr>
            </w:pPr>
            <w:r w:rsidRPr="00141675">
              <w:rPr>
                <w:rFonts w:ascii="Calibri" w:eastAsia="宋体" w:hAnsi="Calibri" w:cs="Calibri"/>
                <w:kern w:val="0"/>
                <w:sz w:val="15"/>
                <w:szCs w:val="15"/>
              </w:rPr>
              <w:t> </w:t>
            </w:r>
          </w:p>
        </w:tc>
        <w:tc>
          <w:tcPr>
            <w:tcW w:w="278" w:type="dxa"/>
            <w:shd w:val="clear" w:color="auto" w:fill="FFFFFF"/>
            <w:tcMar>
              <w:top w:w="15" w:type="dxa"/>
              <w:left w:w="0" w:type="dxa"/>
              <w:bottom w:w="0" w:type="dxa"/>
              <w:right w:w="15" w:type="dxa"/>
            </w:tcMar>
            <w:vAlign w:val="bottom"/>
            <w:hideMark/>
          </w:tcPr>
          <w:p w14:paraId="6F0DE79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037AC1E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176EB04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0C6DBEC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693CC57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5B7032A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7A543B5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2" w:type="dxa"/>
            <w:shd w:val="clear" w:color="auto" w:fill="FFFFFF"/>
            <w:noWrap/>
            <w:tcMar>
              <w:top w:w="15" w:type="dxa"/>
              <w:left w:w="0" w:type="dxa"/>
              <w:bottom w:w="0" w:type="dxa"/>
              <w:right w:w="15" w:type="dxa"/>
            </w:tcMar>
            <w:vAlign w:val="bottom"/>
            <w:hideMark/>
          </w:tcPr>
          <w:p w14:paraId="0C761A9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50EFD27B" w14:textId="77777777" w:rsidTr="00141675">
        <w:tc>
          <w:tcPr>
            <w:tcW w:w="12095" w:type="dxa"/>
            <w:tcBorders>
              <w:bottom w:val="single" w:sz="6" w:space="0" w:color="000000"/>
            </w:tcBorders>
            <w:shd w:val="clear" w:color="auto" w:fill="FFFFFF"/>
            <w:tcMar>
              <w:top w:w="15" w:type="dxa"/>
              <w:left w:w="0" w:type="dxa"/>
              <w:bottom w:w="0" w:type="dxa"/>
              <w:right w:w="15" w:type="dxa"/>
            </w:tcMar>
            <w:vAlign w:val="bottom"/>
            <w:hideMark/>
          </w:tcPr>
          <w:p w14:paraId="098F041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78" w:type="dxa"/>
            <w:shd w:val="clear" w:color="auto" w:fill="FFFFFF"/>
            <w:tcMar>
              <w:top w:w="15" w:type="dxa"/>
              <w:left w:w="0" w:type="dxa"/>
              <w:bottom w:w="0" w:type="dxa"/>
              <w:right w:w="15" w:type="dxa"/>
            </w:tcMar>
            <w:vAlign w:val="bottom"/>
            <w:hideMark/>
          </w:tcPr>
          <w:p w14:paraId="4E9C893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6482EC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A36C26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21CC17C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B7D4D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006C85B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5E524F8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C2325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312AE7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6EBBEA2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A132C6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0C9BD2B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73B9F04F" w14:textId="77777777" w:rsidTr="00141675">
        <w:tc>
          <w:tcPr>
            <w:tcW w:w="12095" w:type="dxa"/>
            <w:tcBorders>
              <w:top w:val="single" w:sz="6" w:space="0" w:color="000000"/>
            </w:tcBorders>
            <w:shd w:val="clear" w:color="auto" w:fill="CFF0FC"/>
            <w:tcMar>
              <w:top w:w="15" w:type="dxa"/>
              <w:left w:w="0" w:type="dxa"/>
              <w:bottom w:w="0" w:type="dxa"/>
              <w:right w:w="15" w:type="dxa"/>
            </w:tcMar>
            <w:hideMark/>
          </w:tcPr>
          <w:p w14:paraId="1B6A994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and license:</w:t>
            </w:r>
          </w:p>
        </w:tc>
        <w:tc>
          <w:tcPr>
            <w:tcW w:w="278" w:type="dxa"/>
            <w:shd w:val="clear" w:color="auto" w:fill="CFF0FC"/>
            <w:tcMar>
              <w:top w:w="15" w:type="dxa"/>
              <w:left w:w="0" w:type="dxa"/>
              <w:bottom w:w="0" w:type="dxa"/>
              <w:right w:w="15" w:type="dxa"/>
            </w:tcMar>
            <w:vAlign w:val="bottom"/>
            <w:hideMark/>
          </w:tcPr>
          <w:p w14:paraId="6386A4B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F69C03F"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5700FA77"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B958F4E"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3A788A4"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D31C53C"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1968577B"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2F0C480"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79AF52E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60BE05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20AAA95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E2F8E3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16F36B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291B09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5A30629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CFF0FC"/>
            <w:noWrap/>
            <w:tcMar>
              <w:top w:w="15" w:type="dxa"/>
              <w:left w:w="0" w:type="dxa"/>
              <w:bottom w:w="0" w:type="dxa"/>
              <w:right w:w="15" w:type="dxa"/>
            </w:tcMar>
            <w:vAlign w:val="bottom"/>
            <w:hideMark/>
          </w:tcPr>
          <w:p w14:paraId="0D438E6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69B4CACD" w14:textId="77777777" w:rsidTr="00141675">
        <w:tc>
          <w:tcPr>
            <w:tcW w:w="12095" w:type="dxa"/>
            <w:shd w:val="clear" w:color="auto" w:fill="FFFFFF"/>
            <w:tcMar>
              <w:top w:w="15" w:type="dxa"/>
              <w:left w:w="0" w:type="dxa"/>
              <w:bottom w:w="0" w:type="dxa"/>
              <w:right w:w="15" w:type="dxa"/>
            </w:tcMar>
            <w:hideMark/>
          </w:tcPr>
          <w:p w14:paraId="3F44F512"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Revenues</w:t>
            </w:r>
            <w:r w:rsidRPr="00141675">
              <w:rPr>
                <w:rFonts w:ascii="Calibri" w:eastAsia="宋体" w:hAnsi="Calibri" w:cs="Calibri"/>
                <w:color w:val="000000"/>
                <w:kern w:val="0"/>
                <w:sz w:val="18"/>
                <w:szCs w:val="18"/>
                <w:vertAlign w:val="superscript"/>
              </w:rPr>
              <w:t>(1)</w:t>
            </w:r>
          </w:p>
        </w:tc>
        <w:tc>
          <w:tcPr>
            <w:tcW w:w="278" w:type="dxa"/>
            <w:shd w:val="clear" w:color="auto" w:fill="FFFFFF"/>
            <w:tcMar>
              <w:top w:w="15" w:type="dxa"/>
              <w:left w:w="0" w:type="dxa"/>
              <w:bottom w:w="0" w:type="dxa"/>
              <w:right w:w="15" w:type="dxa"/>
            </w:tcMar>
            <w:vAlign w:val="bottom"/>
            <w:hideMark/>
          </w:tcPr>
          <w:p w14:paraId="537A7C7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D04F12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61A3AFB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7,938</w:t>
            </w:r>
          </w:p>
        </w:tc>
        <w:tc>
          <w:tcPr>
            <w:tcW w:w="191" w:type="dxa"/>
            <w:shd w:val="clear" w:color="auto" w:fill="FFFFFF"/>
            <w:noWrap/>
            <w:tcMar>
              <w:top w:w="15" w:type="dxa"/>
              <w:left w:w="0" w:type="dxa"/>
              <w:bottom w:w="0" w:type="dxa"/>
              <w:right w:w="15" w:type="dxa"/>
            </w:tcMar>
            <w:vAlign w:val="bottom"/>
            <w:hideMark/>
          </w:tcPr>
          <w:p w14:paraId="5F99F8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0E5A07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44B02F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7CBD03C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7,859</w:t>
            </w:r>
          </w:p>
        </w:tc>
        <w:tc>
          <w:tcPr>
            <w:tcW w:w="191" w:type="dxa"/>
            <w:shd w:val="clear" w:color="auto" w:fill="FFFFFF"/>
            <w:noWrap/>
            <w:tcMar>
              <w:top w:w="15" w:type="dxa"/>
              <w:left w:w="0" w:type="dxa"/>
              <w:bottom w:w="0" w:type="dxa"/>
              <w:right w:w="15" w:type="dxa"/>
            </w:tcMar>
            <w:vAlign w:val="bottom"/>
            <w:hideMark/>
          </w:tcPr>
          <w:p w14:paraId="7A480C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920881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010BB6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0CF3613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15,556</w:t>
            </w:r>
          </w:p>
        </w:tc>
        <w:tc>
          <w:tcPr>
            <w:tcW w:w="191" w:type="dxa"/>
            <w:shd w:val="clear" w:color="auto" w:fill="FFFFFF"/>
            <w:noWrap/>
            <w:tcMar>
              <w:top w:w="15" w:type="dxa"/>
              <w:left w:w="0" w:type="dxa"/>
              <w:bottom w:w="0" w:type="dxa"/>
              <w:right w:w="15" w:type="dxa"/>
            </w:tcMar>
            <w:vAlign w:val="bottom"/>
            <w:hideMark/>
          </w:tcPr>
          <w:p w14:paraId="6FE4AD2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2D2AF6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79F787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1BDCCDE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15,342</w:t>
            </w:r>
          </w:p>
        </w:tc>
        <w:tc>
          <w:tcPr>
            <w:tcW w:w="192" w:type="dxa"/>
            <w:shd w:val="clear" w:color="auto" w:fill="FFFFFF"/>
            <w:noWrap/>
            <w:tcMar>
              <w:top w:w="15" w:type="dxa"/>
              <w:left w:w="0" w:type="dxa"/>
              <w:bottom w:w="0" w:type="dxa"/>
              <w:right w:w="15" w:type="dxa"/>
            </w:tcMar>
            <w:vAlign w:val="bottom"/>
            <w:hideMark/>
          </w:tcPr>
          <w:p w14:paraId="00D4405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9892342" w14:textId="77777777" w:rsidTr="00141675">
        <w:tc>
          <w:tcPr>
            <w:tcW w:w="12095" w:type="dxa"/>
            <w:shd w:val="clear" w:color="auto" w:fill="CFF0FC"/>
            <w:tcMar>
              <w:top w:w="15" w:type="dxa"/>
              <w:left w:w="0" w:type="dxa"/>
              <w:bottom w:w="0" w:type="dxa"/>
              <w:right w:w="15" w:type="dxa"/>
            </w:tcMar>
            <w:hideMark/>
          </w:tcPr>
          <w:p w14:paraId="57D51714"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services and license support expenses</w:t>
            </w:r>
          </w:p>
        </w:tc>
        <w:tc>
          <w:tcPr>
            <w:tcW w:w="278" w:type="dxa"/>
            <w:shd w:val="clear" w:color="auto" w:fill="CFF0FC"/>
            <w:tcMar>
              <w:top w:w="15" w:type="dxa"/>
              <w:left w:w="0" w:type="dxa"/>
              <w:bottom w:w="0" w:type="dxa"/>
              <w:right w:w="15" w:type="dxa"/>
            </w:tcMar>
            <w:vAlign w:val="bottom"/>
            <w:hideMark/>
          </w:tcPr>
          <w:p w14:paraId="24E3423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D6F292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C8B288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970</w:t>
            </w:r>
          </w:p>
        </w:tc>
        <w:tc>
          <w:tcPr>
            <w:tcW w:w="191" w:type="dxa"/>
            <w:shd w:val="clear" w:color="auto" w:fill="CFF0FC"/>
            <w:noWrap/>
            <w:tcMar>
              <w:top w:w="15" w:type="dxa"/>
              <w:left w:w="0" w:type="dxa"/>
              <w:bottom w:w="0" w:type="dxa"/>
              <w:right w:w="15" w:type="dxa"/>
            </w:tcMar>
            <w:vAlign w:val="bottom"/>
            <w:hideMark/>
          </w:tcPr>
          <w:p w14:paraId="319E3E4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EC6DF1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E6A286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599D2BE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912</w:t>
            </w:r>
          </w:p>
        </w:tc>
        <w:tc>
          <w:tcPr>
            <w:tcW w:w="191" w:type="dxa"/>
            <w:shd w:val="clear" w:color="auto" w:fill="CFF0FC"/>
            <w:noWrap/>
            <w:tcMar>
              <w:top w:w="15" w:type="dxa"/>
              <w:left w:w="0" w:type="dxa"/>
              <w:bottom w:w="0" w:type="dxa"/>
              <w:right w:w="15" w:type="dxa"/>
            </w:tcMar>
            <w:vAlign w:val="bottom"/>
            <w:hideMark/>
          </w:tcPr>
          <w:p w14:paraId="7DAAC62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B81136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1D1F75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2F0987F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1,901</w:t>
            </w:r>
          </w:p>
        </w:tc>
        <w:tc>
          <w:tcPr>
            <w:tcW w:w="191" w:type="dxa"/>
            <w:shd w:val="clear" w:color="auto" w:fill="CFF0FC"/>
            <w:noWrap/>
            <w:tcMar>
              <w:top w:w="15" w:type="dxa"/>
              <w:left w:w="0" w:type="dxa"/>
              <w:bottom w:w="0" w:type="dxa"/>
              <w:right w:w="15" w:type="dxa"/>
            </w:tcMar>
            <w:vAlign w:val="bottom"/>
            <w:hideMark/>
          </w:tcPr>
          <w:p w14:paraId="1BB0CDC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8D3A2C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A18E2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47A8793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1,779</w:t>
            </w:r>
          </w:p>
        </w:tc>
        <w:tc>
          <w:tcPr>
            <w:tcW w:w="192" w:type="dxa"/>
            <w:shd w:val="clear" w:color="auto" w:fill="CFF0FC"/>
            <w:noWrap/>
            <w:tcMar>
              <w:top w:w="15" w:type="dxa"/>
              <w:left w:w="0" w:type="dxa"/>
              <w:bottom w:w="0" w:type="dxa"/>
              <w:right w:w="15" w:type="dxa"/>
            </w:tcMar>
            <w:vAlign w:val="bottom"/>
            <w:hideMark/>
          </w:tcPr>
          <w:p w14:paraId="253EE9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DFBBA4C" w14:textId="77777777" w:rsidTr="00141675">
        <w:tc>
          <w:tcPr>
            <w:tcW w:w="12095" w:type="dxa"/>
            <w:shd w:val="clear" w:color="auto" w:fill="FFFFFF"/>
            <w:tcMar>
              <w:top w:w="15" w:type="dxa"/>
              <w:left w:w="0" w:type="dxa"/>
              <w:bottom w:w="0" w:type="dxa"/>
              <w:right w:w="15" w:type="dxa"/>
            </w:tcMar>
            <w:hideMark/>
          </w:tcPr>
          <w:p w14:paraId="1D1A9796"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Sales and marketing expenses</w:t>
            </w:r>
          </w:p>
        </w:tc>
        <w:tc>
          <w:tcPr>
            <w:tcW w:w="278" w:type="dxa"/>
            <w:shd w:val="clear" w:color="auto" w:fill="FFFFFF"/>
            <w:tcMar>
              <w:top w:w="15" w:type="dxa"/>
              <w:left w:w="0" w:type="dxa"/>
              <w:bottom w:w="0" w:type="dxa"/>
              <w:right w:w="15" w:type="dxa"/>
            </w:tcMar>
            <w:vAlign w:val="bottom"/>
            <w:hideMark/>
          </w:tcPr>
          <w:p w14:paraId="20360BA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46A5F1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0FCF93A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1,856</w:t>
            </w:r>
          </w:p>
        </w:tc>
        <w:tc>
          <w:tcPr>
            <w:tcW w:w="191" w:type="dxa"/>
            <w:shd w:val="clear" w:color="auto" w:fill="FFFFFF"/>
            <w:noWrap/>
            <w:tcMar>
              <w:top w:w="15" w:type="dxa"/>
              <w:left w:w="0" w:type="dxa"/>
              <w:bottom w:w="0" w:type="dxa"/>
              <w:right w:w="15" w:type="dxa"/>
            </w:tcMar>
            <w:vAlign w:val="bottom"/>
            <w:hideMark/>
          </w:tcPr>
          <w:p w14:paraId="29606FB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73ABB27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CE9CB3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50266E2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1,834</w:t>
            </w:r>
          </w:p>
        </w:tc>
        <w:tc>
          <w:tcPr>
            <w:tcW w:w="191" w:type="dxa"/>
            <w:shd w:val="clear" w:color="auto" w:fill="FFFFFF"/>
            <w:noWrap/>
            <w:tcMar>
              <w:top w:w="15" w:type="dxa"/>
              <w:left w:w="0" w:type="dxa"/>
              <w:bottom w:w="0" w:type="dxa"/>
              <w:right w:w="15" w:type="dxa"/>
            </w:tcMar>
            <w:vAlign w:val="bottom"/>
            <w:hideMark/>
          </w:tcPr>
          <w:p w14:paraId="6D5D82B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76CCCE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3FD575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090D736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3,612</w:t>
            </w:r>
          </w:p>
        </w:tc>
        <w:tc>
          <w:tcPr>
            <w:tcW w:w="191" w:type="dxa"/>
            <w:shd w:val="clear" w:color="auto" w:fill="FFFFFF"/>
            <w:noWrap/>
            <w:tcMar>
              <w:top w:w="15" w:type="dxa"/>
              <w:left w:w="0" w:type="dxa"/>
              <w:bottom w:w="0" w:type="dxa"/>
              <w:right w:w="15" w:type="dxa"/>
            </w:tcMar>
            <w:vAlign w:val="bottom"/>
            <w:hideMark/>
          </w:tcPr>
          <w:p w14:paraId="641066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64322AF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3A6EA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6585910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3,577</w:t>
            </w:r>
          </w:p>
        </w:tc>
        <w:tc>
          <w:tcPr>
            <w:tcW w:w="192" w:type="dxa"/>
            <w:shd w:val="clear" w:color="auto" w:fill="FFFFFF"/>
            <w:noWrap/>
            <w:tcMar>
              <w:top w:w="15" w:type="dxa"/>
              <w:left w:w="0" w:type="dxa"/>
              <w:bottom w:w="0" w:type="dxa"/>
              <w:right w:w="15" w:type="dxa"/>
            </w:tcMar>
            <w:vAlign w:val="bottom"/>
            <w:hideMark/>
          </w:tcPr>
          <w:p w14:paraId="501919B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3C3A7F3" w14:textId="77777777" w:rsidTr="00141675">
        <w:tc>
          <w:tcPr>
            <w:tcW w:w="12095" w:type="dxa"/>
            <w:shd w:val="clear" w:color="auto" w:fill="CFF0FC"/>
            <w:tcMar>
              <w:top w:w="15" w:type="dxa"/>
              <w:left w:w="0" w:type="dxa"/>
              <w:bottom w:w="0" w:type="dxa"/>
              <w:right w:w="15" w:type="dxa"/>
            </w:tcMar>
            <w:hideMark/>
          </w:tcPr>
          <w:p w14:paraId="6D26E061"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Margin</w:t>
            </w:r>
            <w:r w:rsidRPr="00141675">
              <w:rPr>
                <w:rFonts w:ascii="Calibri" w:eastAsia="宋体" w:hAnsi="Calibri" w:cs="Calibri"/>
                <w:color w:val="000000"/>
                <w:kern w:val="0"/>
                <w:sz w:val="18"/>
                <w:szCs w:val="18"/>
                <w:vertAlign w:val="superscript"/>
              </w:rPr>
              <w:t>(2)</w:t>
            </w:r>
          </w:p>
        </w:tc>
        <w:tc>
          <w:tcPr>
            <w:tcW w:w="278" w:type="dxa"/>
            <w:shd w:val="clear" w:color="auto" w:fill="CFF0FC"/>
            <w:tcMar>
              <w:top w:w="15" w:type="dxa"/>
              <w:left w:w="0" w:type="dxa"/>
              <w:bottom w:w="0" w:type="dxa"/>
              <w:right w:w="15" w:type="dxa"/>
            </w:tcMar>
            <w:vAlign w:val="bottom"/>
            <w:hideMark/>
          </w:tcPr>
          <w:p w14:paraId="077AE34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06EB0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172387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5,112</w:t>
            </w:r>
          </w:p>
        </w:tc>
        <w:tc>
          <w:tcPr>
            <w:tcW w:w="191" w:type="dxa"/>
            <w:shd w:val="clear" w:color="auto" w:fill="CFF0FC"/>
            <w:noWrap/>
            <w:tcMar>
              <w:top w:w="15" w:type="dxa"/>
              <w:left w:w="0" w:type="dxa"/>
              <w:bottom w:w="0" w:type="dxa"/>
              <w:right w:w="15" w:type="dxa"/>
            </w:tcMar>
            <w:vAlign w:val="bottom"/>
            <w:hideMark/>
          </w:tcPr>
          <w:p w14:paraId="15EBCC1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200AEE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F42832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5AE96A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5,113</w:t>
            </w:r>
          </w:p>
        </w:tc>
        <w:tc>
          <w:tcPr>
            <w:tcW w:w="191" w:type="dxa"/>
            <w:shd w:val="clear" w:color="auto" w:fill="CFF0FC"/>
            <w:noWrap/>
            <w:tcMar>
              <w:top w:w="15" w:type="dxa"/>
              <w:left w:w="0" w:type="dxa"/>
              <w:bottom w:w="0" w:type="dxa"/>
              <w:right w:w="15" w:type="dxa"/>
            </w:tcMar>
            <w:vAlign w:val="bottom"/>
            <w:hideMark/>
          </w:tcPr>
          <w:p w14:paraId="45D70D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626A52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39BBD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8CF8D3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10,043</w:t>
            </w:r>
          </w:p>
        </w:tc>
        <w:tc>
          <w:tcPr>
            <w:tcW w:w="191" w:type="dxa"/>
            <w:shd w:val="clear" w:color="auto" w:fill="CFF0FC"/>
            <w:noWrap/>
            <w:tcMar>
              <w:top w:w="15" w:type="dxa"/>
              <w:left w:w="0" w:type="dxa"/>
              <w:bottom w:w="0" w:type="dxa"/>
              <w:right w:w="15" w:type="dxa"/>
            </w:tcMar>
            <w:vAlign w:val="bottom"/>
            <w:hideMark/>
          </w:tcPr>
          <w:p w14:paraId="0D687CC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7C8787F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67775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FD741F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9,986</w:t>
            </w:r>
          </w:p>
        </w:tc>
        <w:tc>
          <w:tcPr>
            <w:tcW w:w="192" w:type="dxa"/>
            <w:shd w:val="clear" w:color="auto" w:fill="CFF0FC"/>
            <w:noWrap/>
            <w:tcMar>
              <w:top w:w="15" w:type="dxa"/>
              <w:left w:w="0" w:type="dxa"/>
              <w:bottom w:w="0" w:type="dxa"/>
              <w:right w:w="15" w:type="dxa"/>
            </w:tcMar>
            <w:vAlign w:val="bottom"/>
            <w:hideMark/>
          </w:tcPr>
          <w:p w14:paraId="6009D1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5C1A47C" w14:textId="77777777" w:rsidTr="00141675">
        <w:tc>
          <w:tcPr>
            <w:tcW w:w="12095" w:type="dxa"/>
            <w:shd w:val="clear" w:color="auto" w:fill="FFFFFF"/>
            <w:tcMar>
              <w:top w:w="15" w:type="dxa"/>
              <w:left w:w="0" w:type="dxa"/>
              <w:bottom w:w="0" w:type="dxa"/>
              <w:right w:w="15" w:type="dxa"/>
            </w:tcMar>
            <w:hideMark/>
          </w:tcPr>
          <w:p w14:paraId="340F11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Hardware:</w:t>
            </w:r>
          </w:p>
        </w:tc>
        <w:tc>
          <w:tcPr>
            <w:tcW w:w="278" w:type="dxa"/>
            <w:shd w:val="clear" w:color="auto" w:fill="FFFFFF"/>
            <w:tcMar>
              <w:top w:w="15" w:type="dxa"/>
              <w:left w:w="0" w:type="dxa"/>
              <w:bottom w:w="0" w:type="dxa"/>
              <w:right w:w="15" w:type="dxa"/>
            </w:tcMar>
            <w:vAlign w:val="bottom"/>
            <w:hideMark/>
          </w:tcPr>
          <w:p w14:paraId="412827E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C8F6AC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65007EC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F0B94D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5A5AF1E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DFFCC7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0952DF8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B54D9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1137AFA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059AF5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2BA8A67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007523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3E8DA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070B6DC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FFFFFF"/>
            <w:noWrap/>
            <w:tcMar>
              <w:top w:w="15" w:type="dxa"/>
              <w:left w:w="0" w:type="dxa"/>
              <w:bottom w:w="0" w:type="dxa"/>
              <w:right w:w="15" w:type="dxa"/>
            </w:tcMar>
            <w:vAlign w:val="bottom"/>
            <w:hideMark/>
          </w:tcPr>
          <w:p w14:paraId="5C8030E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3CE204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E5A3FF7" w14:textId="77777777" w:rsidTr="00141675">
        <w:tc>
          <w:tcPr>
            <w:tcW w:w="12095" w:type="dxa"/>
            <w:shd w:val="clear" w:color="auto" w:fill="CFF0FC"/>
            <w:tcMar>
              <w:top w:w="15" w:type="dxa"/>
              <w:left w:w="0" w:type="dxa"/>
              <w:bottom w:w="0" w:type="dxa"/>
              <w:right w:w="15" w:type="dxa"/>
            </w:tcMar>
            <w:hideMark/>
          </w:tcPr>
          <w:p w14:paraId="30D0135F"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Revenues</w:t>
            </w:r>
          </w:p>
        </w:tc>
        <w:tc>
          <w:tcPr>
            <w:tcW w:w="278" w:type="dxa"/>
            <w:shd w:val="clear" w:color="auto" w:fill="CFF0FC"/>
            <w:tcMar>
              <w:top w:w="15" w:type="dxa"/>
              <w:left w:w="0" w:type="dxa"/>
              <w:bottom w:w="0" w:type="dxa"/>
              <w:right w:w="15" w:type="dxa"/>
            </w:tcMar>
            <w:vAlign w:val="bottom"/>
            <w:hideMark/>
          </w:tcPr>
          <w:p w14:paraId="3983F3B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628680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CFF0FC"/>
            <w:noWrap/>
            <w:tcMar>
              <w:top w:w="15" w:type="dxa"/>
              <w:left w:w="0" w:type="dxa"/>
              <w:bottom w:w="0" w:type="dxa"/>
              <w:right w:w="15" w:type="dxa"/>
            </w:tcMar>
            <w:vAlign w:val="bottom"/>
            <w:hideMark/>
          </w:tcPr>
          <w:p w14:paraId="272C8EA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871</w:t>
            </w:r>
          </w:p>
        </w:tc>
        <w:tc>
          <w:tcPr>
            <w:tcW w:w="191" w:type="dxa"/>
            <w:shd w:val="clear" w:color="auto" w:fill="CFF0FC"/>
            <w:noWrap/>
            <w:tcMar>
              <w:top w:w="15" w:type="dxa"/>
              <w:left w:w="0" w:type="dxa"/>
              <w:bottom w:w="0" w:type="dxa"/>
              <w:right w:w="15" w:type="dxa"/>
            </w:tcMar>
            <w:vAlign w:val="bottom"/>
            <w:hideMark/>
          </w:tcPr>
          <w:p w14:paraId="7369143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138D49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C3FE2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CFF0FC"/>
            <w:noWrap/>
            <w:tcMar>
              <w:top w:w="15" w:type="dxa"/>
              <w:left w:w="0" w:type="dxa"/>
              <w:bottom w:w="0" w:type="dxa"/>
              <w:right w:w="15" w:type="dxa"/>
            </w:tcMar>
            <w:vAlign w:val="bottom"/>
            <w:hideMark/>
          </w:tcPr>
          <w:p w14:paraId="59E2D1D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891</w:t>
            </w:r>
          </w:p>
        </w:tc>
        <w:tc>
          <w:tcPr>
            <w:tcW w:w="191" w:type="dxa"/>
            <w:shd w:val="clear" w:color="auto" w:fill="CFF0FC"/>
            <w:noWrap/>
            <w:tcMar>
              <w:top w:w="15" w:type="dxa"/>
              <w:left w:w="0" w:type="dxa"/>
              <w:bottom w:w="0" w:type="dxa"/>
              <w:right w:w="15" w:type="dxa"/>
            </w:tcMar>
            <w:vAlign w:val="bottom"/>
            <w:hideMark/>
          </w:tcPr>
          <w:p w14:paraId="6D996C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31E3DE8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DDC1F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CFF0FC"/>
            <w:noWrap/>
            <w:tcMar>
              <w:top w:w="15" w:type="dxa"/>
              <w:left w:w="0" w:type="dxa"/>
              <w:bottom w:w="0" w:type="dxa"/>
              <w:right w:w="15" w:type="dxa"/>
            </w:tcMar>
            <w:vAlign w:val="bottom"/>
            <w:hideMark/>
          </w:tcPr>
          <w:p w14:paraId="509F4EC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1,686</w:t>
            </w:r>
          </w:p>
        </w:tc>
        <w:tc>
          <w:tcPr>
            <w:tcW w:w="191" w:type="dxa"/>
            <w:shd w:val="clear" w:color="auto" w:fill="CFF0FC"/>
            <w:noWrap/>
            <w:tcMar>
              <w:top w:w="15" w:type="dxa"/>
              <w:left w:w="0" w:type="dxa"/>
              <w:bottom w:w="0" w:type="dxa"/>
              <w:right w:w="15" w:type="dxa"/>
            </w:tcMar>
            <w:vAlign w:val="bottom"/>
            <w:hideMark/>
          </w:tcPr>
          <w:p w14:paraId="0A9DC5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1B7CC4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323EFB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CFF0FC"/>
            <w:noWrap/>
            <w:tcMar>
              <w:top w:w="15" w:type="dxa"/>
              <w:left w:w="0" w:type="dxa"/>
              <w:bottom w:w="0" w:type="dxa"/>
              <w:right w:w="15" w:type="dxa"/>
            </w:tcMar>
            <w:vAlign w:val="bottom"/>
            <w:hideMark/>
          </w:tcPr>
          <w:p w14:paraId="74AF52D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1,796</w:t>
            </w:r>
          </w:p>
        </w:tc>
        <w:tc>
          <w:tcPr>
            <w:tcW w:w="192" w:type="dxa"/>
            <w:shd w:val="clear" w:color="auto" w:fill="CFF0FC"/>
            <w:noWrap/>
            <w:tcMar>
              <w:top w:w="15" w:type="dxa"/>
              <w:left w:w="0" w:type="dxa"/>
              <w:bottom w:w="0" w:type="dxa"/>
              <w:right w:w="15" w:type="dxa"/>
            </w:tcMar>
            <w:vAlign w:val="bottom"/>
            <w:hideMark/>
          </w:tcPr>
          <w:p w14:paraId="0509A7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32365BEB" w14:textId="77777777" w:rsidTr="00141675">
        <w:tc>
          <w:tcPr>
            <w:tcW w:w="12095" w:type="dxa"/>
            <w:shd w:val="clear" w:color="auto" w:fill="FFFFFF"/>
            <w:tcMar>
              <w:top w:w="15" w:type="dxa"/>
              <w:left w:w="0" w:type="dxa"/>
              <w:bottom w:w="0" w:type="dxa"/>
              <w:right w:w="15" w:type="dxa"/>
            </w:tcMar>
            <w:hideMark/>
          </w:tcPr>
          <w:p w14:paraId="4754C0F2"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Hardware products and support expenses</w:t>
            </w:r>
          </w:p>
        </w:tc>
        <w:tc>
          <w:tcPr>
            <w:tcW w:w="278" w:type="dxa"/>
            <w:shd w:val="clear" w:color="auto" w:fill="FFFFFF"/>
            <w:tcMar>
              <w:top w:w="15" w:type="dxa"/>
              <w:left w:w="0" w:type="dxa"/>
              <w:bottom w:w="0" w:type="dxa"/>
              <w:right w:w="15" w:type="dxa"/>
            </w:tcMar>
            <w:vAlign w:val="bottom"/>
            <w:hideMark/>
          </w:tcPr>
          <w:p w14:paraId="197AD21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7D99AF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121A9F7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277</w:t>
            </w:r>
          </w:p>
        </w:tc>
        <w:tc>
          <w:tcPr>
            <w:tcW w:w="191" w:type="dxa"/>
            <w:shd w:val="clear" w:color="auto" w:fill="FFFFFF"/>
            <w:noWrap/>
            <w:tcMar>
              <w:top w:w="15" w:type="dxa"/>
              <w:left w:w="0" w:type="dxa"/>
              <w:bottom w:w="0" w:type="dxa"/>
              <w:right w:w="15" w:type="dxa"/>
            </w:tcMar>
            <w:vAlign w:val="bottom"/>
            <w:hideMark/>
          </w:tcPr>
          <w:p w14:paraId="226478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0378C2B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AD2374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7D9F67F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325</w:t>
            </w:r>
          </w:p>
        </w:tc>
        <w:tc>
          <w:tcPr>
            <w:tcW w:w="191" w:type="dxa"/>
            <w:shd w:val="clear" w:color="auto" w:fill="FFFFFF"/>
            <w:noWrap/>
            <w:tcMar>
              <w:top w:w="15" w:type="dxa"/>
              <w:left w:w="0" w:type="dxa"/>
              <w:bottom w:w="0" w:type="dxa"/>
              <w:right w:w="15" w:type="dxa"/>
            </w:tcMar>
            <w:vAlign w:val="bottom"/>
            <w:hideMark/>
          </w:tcPr>
          <w:p w14:paraId="67658D3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DE80A5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9E199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2ED4350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541</w:t>
            </w:r>
          </w:p>
        </w:tc>
        <w:tc>
          <w:tcPr>
            <w:tcW w:w="191" w:type="dxa"/>
            <w:shd w:val="clear" w:color="auto" w:fill="FFFFFF"/>
            <w:noWrap/>
            <w:tcMar>
              <w:top w:w="15" w:type="dxa"/>
              <w:left w:w="0" w:type="dxa"/>
              <w:bottom w:w="0" w:type="dxa"/>
              <w:right w:w="15" w:type="dxa"/>
            </w:tcMar>
            <w:vAlign w:val="bottom"/>
            <w:hideMark/>
          </w:tcPr>
          <w:p w14:paraId="1E0395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0A94CDC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9A71B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6AE10B3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642</w:t>
            </w:r>
          </w:p>
        </w:tc>
        <w:tc>
          <w:tcPr>
            <w:tcW w:w="192" w:type="dxa"/>
            <w:shd w:val="clear" w:color="auto" w:fill="FFFFFF"/>
            <w:noWrap/>
            <w:tcMar>
              <w:top w:w="15" w:type="dxa"/>
              <w:left w:w="0" w:type="dxa"/>
              <w:bottom w:w="0" w:type="dxa"/>
              <w:right w:w="15" w:type="dxa"/>
            </w:tcMar>
            <w:vAlign w:val="bottom"/>
            <w:hideMark/>
          </w:tcPr>
          <w:p w14:paraId="56771A3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366EE44" w14:textId="77777777" w:rsidTr="00141675">
        <w:tc>
          <w:tcPr>
            <w:tcW w:w="12095" w:type="dxa"/>
            <w:shd w:val="clear" w:color="auto" w:fill="CFF0FC"/>
            <w:tcMar>
              <w:top w:w="15" w:type="dxa"/>
              <w:left w:w="0" w:type="dxa"/>
              <w:bottom w:w="0" w:type="dxa"/>
              <w:right w:w="15" w:type="dxa"/>
            </w:tcMar>
            <w:hideMark/>
          </w:tcPr>
          <w:p w14:paraId="6A712454"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Sales and marketing expenses</w:t>
            </w:r>
          </w:p>
        </w:tc>
        <w:tc>
          <w:tcPr>
            <w:tcW w:w="278" w:type="dxa"/>
            <w:shd w:val="clear" w:color="auto" w:fill="CFF0FC"/>
            <w:tcMar>
              <w:top w:w="15" w:type="dxa"/>
              <w:left w:w="0" w:type="dxa"/>
              <w:bottom w:w="0" w:type="dxa"/>
              <w:right w:w="15" w:type="dxa"/>
            </w:tcMar>
            <w:vAlign w:val="bottom"/>
            <w:hideMark/>
          </w:tcPr>
          <w:p w14:paraId="118BA22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4D975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157447C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114</w:t>
            </w:r>
          </w:p>
        </w:tc>
        <w:tc>
          <w:tcPr>
            <w:tcW w:w="191" w:type="dxa"/>
            <w:shd w:val="clear" w:color="auto" w:fill="CFF0FC"/>
            <w:noWrap/>
            <w:tcMar>
              <w:top w:w="15" w:type="dxa"/>
              <w:left w:w="0" w:type="dxa"/>
              <w:bottom w:w="0" w:type="dxa"/>
              <w:right w:w="15" w:type="dxa"/>
            </w:tcMar>
            <w:vAlign w:val="bottom"/>
            <w:hideMark/>
          </w:tcPr>
          <w:p w14:paraId="28F39A1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46ACED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08E56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5F86A29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118</w:t>
            </w:r>
          </w:p>
        </w:tc>
        <w:tc>
          <w:tcPr>
            <w:tcW w:w="191" w:type="dxa"/>
            <w:shd w:val="clear" w:color="auto" w:fill="CFF0FC"/>
            <w:noWrap/>
            <w:tcMar>
              <w:top w:w="15" w:type="dxa"/>
              <w:left w:w="0" w:type="dxa"/>
              <w:bottom w:w="0" w:type="dxa"/>
              <w:right w:w="15" w:type="dxa"/>
            </w:tcMar>
            <w:vAlign w:val="bottom"/>
            <w:hideMark/>
          </w:tcPr>
          <w:p w14:paraId="4B18F5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7860D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CB4E25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125B559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231</w:t>
            </w:r>
          </w:p>
        </w:tc>
        <w:tc>
          <w:tcPr>
            <w:tcW w:w="191" w:type="dxa"/>
            <w:shd w:val="clear" w:color="auto" w:fill="CFF0FC"/>
            <w:noWrap/>
            <w:tcMar>
              <w:top w:w="15" w:type="dxa"/>
              <w:left w:w="0" w:type="dxa"/>
              <w:bottom w:w="0" w:type="dxa"/>
              <w:right w:w="15" w:type="dxa"/>
            </w:tcMar>
            <w:vAlign w:val="bottom"/>
            <w:hideMark/>
          </w:tcPr>
          <w:p w14:paraId="54EFF1C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41B2A4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13278A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384A9C3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257</w:t>
            </w:r>
          </w:p>
        </w:tc>
        <w:tc>
          <w:tcPr>
            <w:tcW w:w="192" w:type="dxa"/>
            <w:shd w:val="clear" w:color="auto" w:fill="CFF0FC"/>
            <w:noWrap/>
            <w:tcMar>
              <w:top w:w="15" w:type="dxa"/>
              <w:left w:w="0" w:type="dxa"/>
              <w:bottom w:w="0" w:type="dxa"/>
              <w:right w:w="15" w:type="dxa"/>
            </w:tcMar>
            <w:vAlign w:val="bottom"/>
            <w:hideMark/>
          </w:tcPr>
          <w:p w14:paraId="2157E13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2C788AD" w14:textId="77777777" w:rsidTr="00141675">
        <w:tc>
          <w:tcPr>
            <w:tcW w:w="12095" w:type="dxa"/>
            <w:shd w:val="clear" w:color="auto" w:fill="FFFFFF"/>
            <w:tcMar>
              <w:top w:w="15" w:type="dxa"/>
              <w:left w:w="0" w:type="dxa"/>
              <w:bottom w:w="0" w:type="dxa"/>
              <w:right w:w="15" w:type="dxa"/>
            </w:tcMar>
            <w:hideMark/>
          </w:tcPr>
          <w:p w14:paraId="5ECF7BE5"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Margin</w:t>
            </w:r>
            <w:r w:rsidRPr="00141675">
              <w:rPr>
                <w:rFonts w:ascii="Calibri" w:eastAsia="宋体" w:hAnsi="Calibri" w:cs="Calibri"/>
                <w:color w:val="000000"/>
                <w:kern w:val="0"/>
                <w:sz w:val="18"/>
                <w:szCs w:val="18"/>
                <w:vertAlign w:val="superscript"/>
              </w:rPr>
              <w:t>(2)</w:t>
            </w:r>
          </w:p>
        </w:tc>
        <w:tc>
          <w:tcPr>
            <w:tcW w:w="278" w:type="dxa"/>
            <w:shd w:val="clear" w:color="auto" w:fill="FFFFFF"/>
            <w:tcMar>
              <w:top w:w="15" w:type="dxa"/>
              <w:left w:w="0" w:type="dxa"/>
              <w:bottom w:w="0" w:type="dxa"/>
              <w:right w:w="15" w:type="dxa"/>
            </w:tcMar>
            <w:vAlign w:val="bottom"/>
            <w:hideMark/>
          </w:tcPr>
          <w:p w14:paraId="58D0EE2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24E73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6BCE9B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480</w:t>
            </w:r>
          </w:p>
        </w:tc>
        <w:tc>
          <w:tcPr>
            <w:tcW w:w="191" w:type="dxa"/>
            <w:shd w:val="clear" w:color="auto" w:fill="FFFFFF"/>
            <w:noWrap/>
            <w:tcMar>
              <w:top w:w="15" w:type="dxa"/>
              <w:left w:w="0" w:type="dxa"/>
              <w:bottom w:w="0" w:type="dxa"/>
              <w:right w:w="15" w:type="dxa"/>
            </w:tcMar>
            <w:vAlign w:val="bottom"/>
            <w:hideMark/>
          </w:tcPr>
          <w:p w14:paraId="4860044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2691D59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3BADC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29B267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448</w:t>
            </w:r>
          </w:p>
        </w:tc>
        <w:tc>
          <w:tcPr>
            <w:tcW w:w="191" w:type="dxa"/>
            <w:shd w:val="clear" w:color="auto" w:fill="FFFFFF"/>
            <w:noWrap/>
            <w:tcMar>
              <w:top w:w="15" w:type="dxa"/>
              <w:left w:w="0" w:type="dxa"/>
              <w:bottom w:w="0" w:type="dxa"/>
              <w:right w:w="15" w:type="dxa"/>
            </w:tcMar>
            <w:vAlign w:val="bottom"/>
            <w:hideMark/>
          </w:tcPr>
          <w:p w14:paraId="451F8C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6660F29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047691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E986AB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914</w:t>
            </w:r>
          </w:p>
        </w:tc>
        <w:tc>
          <w:tcPr>
            <w:tcW w:w="191" w:type="dxa"/>
            <w:shd w:val="clear" w:color="auto" w:fill="FFFFFF"/>
            <w:noWrap/>
            <w:tcMar>
              <w:top w:w="15" w:type="dxa"/>
              <w:left w:w="0" w:type="dxa"/>
              <w:bottom w:w="0" w:type="dxa"/>
              <w:right w:w="15" w:type="dxa"/>
            </w:tcMar>
            <w:vAlign w:val="bottom"/>
            <w:hideMark/>
          </w:tcPr>
          <w:p w14:paraId="78426E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2789BF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6A72C4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FF7312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897</w:t>
            </w:r>
          </w:p>
        </w:tc>
        <w:tc>
          <w:tcPr>
            <w:tcW w:w="192" w:type="dxa"/>
            <w:shd w:val="clear" w:color="auto" w:fill="FFFFFF"/>
            <w:noWrap/>
            <w:tcMar>
              <w:top w:w="15" w:type="dxa"/>
              <w:left w:w="0" w:type="dxa"/>
              <w:bottom w:w="0" w:type="dxa"/>
              <w:right w:w="15" w:type="dxa"/>
            </w:tcMar>
            <w:vAlign w:val="bottom"/>
            <w:hideMark/>
          </w:tcPr>
          <w:p w14:paraId="592530A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EEDCD0B" w14:textId="77777777" w:rsidTr="00141675">
        <w:tc>
          <w:tcPr>
            <w:tcW w:w="12095" w:type="dxa"/>
            <w:shd w:val="clear" w:color="auto" w:fill="CFF0FC"/>
            <w:tcMar>
              <w:top w:w="15" w:type="dxa"/>
              <w:left w:w="0" w:type="dxa"/>
              <w:bottom w:w="0" w:type="dxa"/>
              <w:right w:w="15" w:type="dxa"/>
            </w:tcMar>
            <w:hideMark/>
          </w:tcPr>
          <w:p w14:paraId="3BD315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Services:</w:t>
            </w:r>
          </w:p>
        </w:tc>
        <w:tc>
          <w:tcPr>
            <w:tcW w:w="278" w:type="dxa"/>
            <w:shd w:val="clear" w:color="auto" w:fill="CFF0FC"/>
            <w:tcMar>
              <w:top w:w="15" w:type="dxa"/>
              <w:left w:w="0" w:type="dxa"/>
              <w:bottom w:w="0" w:type="dxa"/>
              <w:right w:w="15" w:type="dxa"/>
            </w:tcMar>
            <w:vAlign w:val="bottom"/>
            <w:hideMark/>
          </w:tcPr>
          <w:p w14:paraId="2BF8928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A1AE8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75511A0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35FEA6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51AFB73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D13F43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618C05B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3C5333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F4AEC7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85DA9F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C4ED07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6A0F7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84E086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4A5F87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7E3ACAC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3081CEF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72CDD77" w14:textId="77777777" w:rsidTr="00141675">
        <w:tc>
          <w:tcPr>
            <w:tcW w:w="12095" w:type="dxa"/>
            <w:shd w:val="clear" w:color="auto" w:fill="FFFFFF"/>
            <w:tcMar>
              <w:top w:w="15" w:type="dxa"/>
              <w:left w:w="0" w:type="dxa"/>
              <w:bottom w:w="0" w:type="dxa"/>
              <w:right w:w="15" w:type="dxa"/>
            </w:tcMar>
            <w:hideMark/>
          </w:tcPr>
          <w:p w14:paraId="03E00DBE"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Revenues</w:t>
            </w:r>
          </w:p>
        </w:tc>
        <w:tc>
          <w:tcPr>
            <w:tcW w:w="278" w:type="dxa"/>
            <w:shd w:val="clear" w:color="auto" w:fill="FFFFFF"/>
            <w:tcMar>
              <w:top w:w="15" w:type="dxa"/>
              <w:left w:w="0" w:type="dxa"/>
              <w:bottom w:w="0" w:type="dxa"/>
              <w:right w:w="15" w:type="dxa"/>
            </w:tcMar>
            <w:vAlign w:val="bottom"/>
            <w:hideMark/>
          </w:tcPr>
          <w:p w14:paraId="457BF77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FD2122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790E842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806</w:t>
            </w:r>
          </w:p>
        </w:tc>
        <w:tc>
          <w:tcPr>
            <w:tcW w:w="191" w:type="dxa"/>
            <w:shd w:val="clear" w:color="auto" w:fill="FFFFFF"/>
            <w:noWrap/>
            <w:tcMar>
              <w:top w:w="15" w:type="dxa"/>
              <w:left w:w="0" w:type="dxa"/>
              <w:bottom w:w="0" w:type="dxa"/>
              <w:right w:w="15" w:type="dxa"/>
            </w:tcMar>
            <w:vAlign w:val="bottom"/>
            <w:hideMark/>
          </w:tcPr>
          <w:p w14:paraId="3CEFE7C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5A9B14C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A78260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3E5896D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817</w:t>
            </w:r>
          </w:p>
        </w:tc>
        <w:tc>
          <w:tcPr>
            <w:tcW w:w="191" w:type="dxa"/>
            <w:shd w:val="clear" w:color="auto" w:fill="FFFFFF"/>
            <w:noWrap/>
            <w:tcMar>
              <w:top w:w="15" w:type="dxa"/>
              <w:left w:w="0" w:type="dxa"/>
              <w:bottom w:w="0" w:type="dxa"/>
              <w:right w:w="15" w:type="dxa"/>
            </w:tcMar>
            <w:vAlign w:val="bottom"/>
            <w:hideMark/>
          </w:tcPr>
          <w:p w14:paraId="679E9E7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4B31896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671164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7B705DC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1,593</w:t>
            </w:r>
          </w:p>
        </w:tc>
        <w:tc>
          <w:tcPr>
            <w:tcW w:w="191" w:type="dxa"/>
            <w:shd w:val="clear" w:color="auto" w:fill="FFFFFF"/>
            <w:noWrap/>
            <w:tcMar>
              <w:top w:w="15" w:type="dxa"/>
              <w:left w:w="0" w:type="dxa"/>
              <w:bottom w:w="0" w:type="dxa"/>
              <w:right w:w="15" w:type="dxa"/>
            </w:tcMar>
            <w:vAlign w:val="bottom"/>
            <w:hideMark/>
          </w:tcPr>
          <w:p w14:paraId="20CBBAF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42D1989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DD785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5018971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1,630</w:t>
            </w:r>
          </w:p>
        </w:tc>
        <w:tc>
          <w:tcPr>
            <w:tcW w:w="192" w:type="dxa"/>
            <w:shd w:val="clear" w:color="auto" w:fill="FFFFFF"/>
            <w:noWrap/>
            <w:tcMar>
              <w:top w:w="15" w:type="dxa"/>
              <w:left w:w="0" w:type="dxa"/>
              <w:bottom w:w="0" w:type="dxa"/>
              <w:right w:w="15" w:type="dxa"/>
            </w:tcMar>
            <w:vAlign w:val="bottom"/>
            <w:hideMark/>
          </w:tcPr>
          <w:p w14:paraId="5A695D4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4BF79EF" w14:textId="77777777" w:rsidTr="00141675">
        <w:tc>
          <w:tcPr>
            <w:tcW w:w="12095" w:type="dxa"/>
            <w:shd w:val="clear" w:color="auto" w:fill="CFF0FC"/>
            <w:tcMar>
              <w:top w:w="15" w:type="dxa"/>
              <w:left w:w="0" w:type="dxa"/>
              <w:bottom w:w="0" w:type="dxa"/>
              <w:right w:w="15" w:type="dxa"/>
            </w:tcMar>
            <w:hideMark/>
          </w:tcPr>
          <w:p w14:paraId="2F38E231"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Services expenses</w:t>
            </w:r>
          </w:p>
        </w:tc>
        <w:tc>
          <w:tcPr>
            <w:tcW w:w="278" w:type="dxa"/>
            <w:shd w:val="clear" w:color="auto" w:fill="CFF0FC"/>
            <w:tcMar>
              <w:top w:w="15" w:type="dxa"/>
              <w:left w:w="0" w:type="dxa"/>
              <w:bottom w:w="0" w:type="dxa"/>
              <w:right w:w="15" w:type="dxa"/>
            </w:tcMar>
            <w:vAlign w:val="bottom"/>
            <w:hideMark/>
          </w:tcPr>
          <w:p w14:paraId="344A41F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FD1D4E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4FE2A8B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700</w:t>
            </w:r>
          </w:p>
        </w:tc>
        <w:tc>
          <w:tcPr>
            <w:tcW w:w="191" w:type="dxa"/>
            <w:shd w:val="clear" w:color="auto" w:fill="CFF0FC"/>
            <w:noWrap/>
            <w:tcMar>
              <w:top w:w="15" w:type="dxa"/>
              <w:left w:w="0" w:type="dxa"/>
              <w:bottom w:w="0" w:type="dxa"/>
              <w:right w:w="15" w:type="dxa"/>
            </w:tcMar>
            <w:vAlign w:val="bottom"/>
            <w:hideMark/>
          </w:tcPr>
          <w:p w14:paraId="45706BA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04DE84F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7A0B4E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1B48D75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677</w:t>
            </w:r>
          </w:p>
        </w:tc>
        <w:tc>
          <w:tcPr>
            <w:tcW w:w="191" w:type="dxa"/>
            <w:shd w:val="clear" w:color="auto" w:fill="CFF0FC"/>
            <w:noWrap/>
            <w:tcMar>
              <w:top w:w="15" w:type="dxa"/>
              <w:left w:w="0" w:type="dxa"/>
              <w:bottom w:w="0" w:type="dxa"/>
              <w:right w:w="15" w:type="dxa"/>
            </w:tcMar>
            <w:vAlign w:val="bottom"/>
            <w:hideMark/>
          </w:tcPr>
          <w:p w14:paraId="5479DAC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1CAEAA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0989A6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3969235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1,365</w:t>
            </w:r>
          </w:p>
        </w:tc>
        <w:tc>
          <w:tcPr>
            <w:tcW w:w="191" w:type="dxa"/>
            <w:shd w:val="clear" w:color="auto" w:fill="CFF0FC"/>
            <w:noWrap/>
            <w:tcMar>
              <w:top w:w="15" w:type="dxa"/>
              <w:left w:w="0" w:type="dxa"/>
              <w:bottom w:w="0" w:type="dxa"/>
              <w:right w:w="15" w:type="dxa"/>
            </w:tcMar>
            <w:vAlign w:val="bottom"/>
            <w:hideMark/>
          </w:tcPr>
          <w:p w14:paraId="117C742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E7FD51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91E37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5751B36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1,353</w:t>
            </w:r>
          </w:p>
        </w:tc>
        <w:tc>
          <w:tcPr>
            <w:tcW w:w="192" w:type="dxa"/>
            <w:shd w:val="clear" w:color="auto" w:fill="CFF0FC"/>
            <w:noWrap/>
            <w:tcMar>
              <w:top w:w="15" w:type="dxa"/>
              <w:left w:w="0" w:type="dxa"/>
              <w:bottom w:w="0" w:type="dxa"/>
              <w:right w:w="15" w:type="dxa"/>
            </w:tcMar>
            <w:vAlign w:val="bottom"/>
            <w:hideMark/>
          </w:tcPr>
          <w:p w14:paraId="745D923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8C38BBA" w14:textId="77777777" w:rsidTr="00141675">
        <w:tc>
          <w:tcPr>
            <w:tcW w:w="12095" w:type="dxa"/>
            <w:shd w:val="clear" w:color="auto" w:fill="FFFFFF"/>
            <w:tcMar>
              <w:top w:w="15" w:type="dxa"/>
              <w:left w:w="0" w:type="dxa"/>
              <w:bottom w:w="0" w:type="dxa"/>
              <w:right w:w="15" w:type="dxa"/>
            </w:tcMar>
            <w:hideMark/>
          </w:tcPr>
          <w:p w14:paraId="00B5AEF4"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Margin</w:t>
            </w:r>
            <w:r w:rsidRPr="00141675">
              <w:rPr>
                <w:rFonts w:ascii="Calibri" w:eastAsia="宋体" w:hAnsi="Calibri" w:cs="Calibri"/>
                <w:color w:val="000000"/>
                <w:kern w:val="0"/>
                <w:sz w:val="18"/>
                <w:szCs w:val="18"/>
                <w:vertAlign w:val="superscript"/>
              </w:rPr>
              <w:t>(2)</w:t>
            </w:r>
          </w:p>
        </w:tc>
        <w:tc>
          <w:tcPr>
            <w:tcW w:w="278" w:type="dxa"/>
            <w:shd w:val="clear" w:color="auto" w:fill="FFFFFF"/>
            <w:tcMar>
              <w:top w:w="15" w:type="dxa"/>
              <w:left w:w="0" w:type="dxa"/>
              <w:bottom w:w="0" w:type="dxa"/>
              <w:right w:w="15" w:type="dxa"/>
            </w:tcMar>
            <w:vAlign w:val="bottom"/>
            <w:hideMark/>
          </w:tcPr>
          <w:p w14:paraId="5505740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D41CD0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0641EB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106</w:t>
            </w:r>
          </w:p>
        </w:tc>
        <w:tc>
          <w:tcPr>
            <w:tcW w:w="191" w:type="dxa"/>
            <w:shd w:val="clear" w:color="auto" w:fill="FFFFFF"/>
            <w:noWrap/>
            <w:tcMar>
              <w:top w:w="15" w:type="dxa"/>
              <w:left w:w="0" w:type="dxa"/>
              <w:bottom w:w="0" w:type="dxa"/>
              <w:right w:w="15" w:type="dxa"/>
            </w:tcMar>
            <w:vAlign w:val="bottom"/>
            <w:hideMark/>
          </w:tcPr>
          <w:p w14:paraId="4BFC79F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2FE0379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7C0CE6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4ABA401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140</w:t>
            </w:r>
          </w:p>
        </w:tc>
        <w:tc>
          <w:tcPr>
            <w:tcW w:w="191" w:type="dxa"/>
            <w:shd w:val="clear" w:color="auto" w:fill="FFFFFF"/>
            <w:noWrap/>
            <w:tcMar>
              <w:top w:w="15" w:type="dxa"/>
              <w:left w:w="0" w:type="dxa"/>
              <w:bottom w:w="0" w:type="dxa"/>
              <w:right w:w="15" w:type="dxa"/>
            </w:tcMar>
            <w:vAlign w:val="bottom"/>
            <w:hideMark/>
          </w:tcPr>
          <w:p w14:paraId="663AB9C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75F603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79E96C0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0AE308D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228</w:t>
            </w:r>
          </w:p>
        </w:tc>
        <w:tc>
          <w:tcPr>
            <w:tcW w:w="191" w:type="dxa"/>
            <w:shd w:val="clear" w:color="auto" w:fill="FFFFFF"/>
            <w:noWrap/>
            <w:tcMar>
              <w:top w:w="15" w:type="dxa"/>
              <w:left w:w="0" w:type="dxa"/>
              <w:bottom w:w="0" w:type="dxa"/>
              <w:right w:w="15" w:type="dxa"/>
            </w:tcMar>
            <w:vAlign w:val="bottom"/>
            <w:hideMark/>
          </w:tcPr>
          <w:p w14:paraId="42D7CD8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6BF51D5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3574911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14:paraId="53EFEA0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277</w:t>
            </w:r>
          </w:p>
        </w:tc>
        <w:tc>
          <w:tcPr>
            <w:tcW w:w="192" w:type="dxa"/>
            <w:shd w:val="clear" w:color="auto" w:fill="FFFFFF"/>
            <w:noWrap/>
            <w:tcMar>
              <w:top w:w="15" w:type="dxa"/>
              <w:left w:w="0" w:type="dxa"/>
              <w:bottom w:w="0" w:type="dxa"/>
              <w:right w:w="15" w:type="dxa"/>
            </w:tcMar>
            <w:vAlign w:val="bottom"/>
            <w:hideMark/>
          </w:tcPr>
          <w:p w14:paraId="35F1652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D95F061" w14:textId="77777777" w:rsidTr="00141675">
        <w:tc>
          <w:tcPr>
            <w:tcW w:w="12095" w:type="dxa"/>
            <w:shd w:val="clear" w:color="auto" w:fill="CFF0FC"/>
            <w:tcMar>
              <w:top w:w="15" w:type="dxa"/>
              <w:left w:w="0" w:type="dxa"/>
              <w:bottom w:w="0" w:type="dxa"/>
              <w:right w:w="15" w:type="dxa"/>
            </w:tcMar>
            <w:hideMark/>
          </w:tcPr>
          <w:p w14:paraId="50D41544" w14:textId="77777777" w:rsidR="00141675" w:rsidRPr="00141675" w:rsidRDefault="00141675" w:rsidP="00141675">
            <w:pPr>
              <w:widowControl/>
              <w:ind w:left="821"/>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Totals:</w:t>
            </w:r>
          </w:p>
        </w:tc>
        <w:tc>
          <w:tcPr>
            <w:tcW w:w="278" w:type="dxa"/>
            <w:shd w:val="clear" w:color="auto" w:fill="CFF0FC"/>
            <w:tcMar>
              <w:top w:w="15" w:type="dxa"/>
              <w:left w:w="0" w:type="dxa"/>
              <w:bottom w:w="0" w:type="dxa"/>
              <w:right w:w="15" w:type="dxa"/>
            </w:tcMar>
            <w:vAlign w:val="bottom"/>
            <w:hideMark/>
          </w:tcPr>
          <w:p w14:paraId="7340C27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6715D9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16206E8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53E0B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846B71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BEAD22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7A8C47F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2B141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51DED4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823C05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4E96886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FFB6C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B88B8D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72863A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6382E8A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302384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CE5C6DB" w14:textId="77777777" w:rsidTr="00141675">
        <w:tc>
          <w:tcPr>
            <w:tcW w:w="12095" w:type="dxa"/>
            <w:shd w:val="clear" w:color="auto" w:fill="FFFFFF"/>
            <w:tcMar>
              <w:top w:w="15" w:type="dxa"/>
              <w:left w:w="0" w:type="dxa"/>
              <w:bottom w:w="0" w:type="dxa"/>
              <w:right w:w="15" w:type="dxa"/>
            </w:tcMar>
            <w:hideMark/>
          </w:tcPr>
          <w:p w14:paraId="5C33A49C" w14:textId="77777777" w:rsidR="00141675" w:rsidRPr="00141675" w:rsidRDefault="00141675" w:rsidP="00141675">
            <w:pPr>
              <w:widowControl/>
              <w:ind w:left="1231"/>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Revenues</w:t>
            </w:r>
            <w:r w:rsidRPr="00141675">
              <w:rPr>
                <w:rFonts w:ascii="Calibri" w:eastAsia="宋体" w:hAnsi="Calibri" w:cs="Calibri"/>
                <w:color w:val="000000"/>
                <w:kern w:val="0"/>
                <w:sz w:val="18"/>
                <w:szCs w:val="18"/>
                <w:vertAlign w:val="superscript"/>
              </w:rPr>
              <w:t>(1)</w:t>
            </w:r>
          </w:p>
        </w:tc>
        <w:tc>
          <w:tcPr>
            <w:tcW w:w="278" w:type="dxa"/>
            <w:shd w:val="clear" w:color="auto" w:fill="FFFFFF"/>
            <w:tcMar>
              <w:top w:w="15" w:type="dxa"/>
              <w:left w:w="0" w:type="dxa"/>
              <w:bottom w:w="0" w:type="dxa"/>
              <w:right w:w="15" w:type="dxa"/>
            </w:tcMar>
            <w:vAlign w:val="bottom"/>
            <w:hideMark/>
          </w:tcPr>
          <w:p w14:paraId="443ED9A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A3195F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1B540A7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9,615</w:t>
            </w:r>
          </w:p>
        </w:tc>
        <w:tc>
          <w:tcPr>
            <w:tcW w:w="191" w:type="dxa"/>
            <w:shd w:val="clear" w:color="auto" w:fill="FFFFFF"/>
            <w:noWrap/>
            <w:tcMar>
              <w:top w:w="15" w:type="dxa"/>
              <w:left w:w="0" w:type="dxa"/>
              <w:bottom w:w="0" w:type="dxa"/>
              <w:right w:w="15" w:type="dxa"/>
            </w:tcMar>
            <w:vAlign w:val="bottom"/>
            <w:hideMark/>
          </w:tcPr>
          <w:p w14:paraId="02214A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522EF6A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EB8495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2EE2910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9,567</w:t>
            </w:r>
          </w:p>
        </w:tc>
        <w:tc>
          <w:tcPr>
            <w:tcW w:w="191" w:type="dxa"/>
            <w:shd w:val="clear" w:color="auto" w:fill="FFFFFF"/>
            <w:noWrap/>
            <w:tcMar>
              <w:top w:w="15" w:type="dxa"/>
              <w:left w:w="0" w:type="dxa"/>
              <w:bottom w:w="0" w:type="dxa"/>
              <w:right w:w="15" w:type="dxa"/>
            </w:tcMar>
            <w:vAlign w:val="bottom"/>
            <w:hideMark/>
          </w:tcPr>
          <w:p w14:paraId="44E3A91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6CD9C8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A008D9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0245BC0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18,835</w:t>
            </w:r>
          </w:p>
        </w:tc>
        <w:tc>
          <w:tcPr>
            <w:tcW w:w="191" w:type="dxa"/>
            <w:shd w:val="clear" w:color="auto" w:fill="FFFFFF"/>
            <w:noWrap/>
            <w:tcMar>
              <w:top w:w="15" w:type="dxa"/>
              <w:left w:w="0" w:type="dxa"/>
              <w:bottom w:w="0" w:type="dxa"/>
              <w:right w:w="15" w:type="dxa"/>
            </w:tcMar>
            <w:vAlign w:val="bottom"/>
            <w:hideMark/>
          </w:tcPr>
          <w:p w14:paraId="484BBD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1CA43BC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3959A5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7D4E775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18,768</w:t>
            </w:r>
          </w:p>
        </w:tc>
        <w:tc>
          <w:tcPr>
            <w:tcW w:w="192" w:type="dxa"/>
            <w:shd w:val="clear" w:color="auto" w:fill="FFFFFF"/>
            <w:noWrap/>
            <w:tcMar>
              <w:top w:w="15" w:type="dxa"/>
              <w:left w:w="0" w:type="dxa"/>
              <w:bottom w:w="0" w:type="dxa"/>
              <w:right w:w="15" w:type="dxa"/>
            </w:tcMar>
            <w:vAlign w:val="bottom"/>
            <w:hideMark/>
          </w:tcPr>
          <w:p w14:paraId="4644EA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604A04D" w14:textId="77777777" w:rsidTr="00141675">
        <w:tc>
          <w:tcPr>
            <w:tcW w:w="12095" w:type="dxa"/>
            <w:shd w:val="clear" w:color="auto" w:fill="CFF0FC"/>
            <w:tcMar>
              <w:top w:w="15" w:type="dxa"/>
              <w:left w:w="0" w:type="dxa"/>
              <w:bottom w:w="0" w:type="dxa"/>
              <w:right w:w="15" w:type="dxa"/>
            </w:tcMar>
            <w:hideMark/>
          </w:tcPr>
          <w:p w14:paraId="760AB7E4" w14:textId="77777777" w:rsidR="00141675" w:rsidRPr="00141675" w:rsidRDefault="00141675" w:rsidP="00141675">
            <w:pPr>
              <w:widowControl/>
              <w:ind w:left="1231"/>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Expenses</w:t>
            </w:r>
          </w:p>
        </w:tc>
        <w:tc>
          <w:tcPr>
            <w:tcW w:w="278" w:type="dxa"/>
            <w:shd w:val="clear" w:color="auto" w:fill="CFF0FC"/>
            <w:tcMar>
              <w:top w:w="15" w:type="dxa"/>
              <w:left w:w="0" w:type="dxa"/>
              <w:bottom w:w="0" w:type="dxa"/>
              <w:right w:w="15" w:type="dxa"/>
            </w:tcMar>
            <w:vAlign w:val="bottom"/>
            <w:hideMark/>
          </w:tcPr>
          <w:p w14:paraId="143D9B1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A73A58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61A24CF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3,917</w:t>
            </w:r>
          </w:p>
        </w:tc>
        <w:tc>
          <w:tcPr>
            <w:tcW w:w="191" w:type="dxa"/>
            <w:shd w:val="clear" w:color="auto" w:fill="CFF0FC"/>
            <w:noWrap/>
            <w:tcMar>
              <w:top w:w="15" w:type="dxa"/>
              <w:left w:w="0" w:type="dxa"/>
              <w:bottom w:w="0" w:type="dxa"/>
              <w:right w:w="15" w:type="dxa"/>
            </w:tcMar>
            <w:vAlign w:val="bottom"/>
            <w:hideMark/>
          </w:tcPr>
          <w:p w14:paraId="2A70660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35078F8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E1B397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75776B6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3,866</w:t>
            </w:r>
          </w:p>
        </w:tc>
        <w:tc>
          <w:tcPr>
            <w:tcW w:w="191" w:type="dxa"/>
            <w:shd w:val="clear" w:color="auto" w:fill="CFF0FC"/>
            <w:noWrap/>
            <w:tcMar>
              <w:top w:w="15" w:type="dxa"/>
              <w:left w:w="0" w:type="dxa"/>
              <w:bottom w:w="0" w:type="dxa"/>
              <w:right w:w="15" w:type="dxa"/>
            </w:tcMar>
            <w:vAlign w:val="bottom"/>
            <w:hideMark/>
          </w:tcPr>
          <w:p w14:paraId="015F657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3C38DF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02A4ED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321F7B0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7,650</w:t>
            </w:r>
          </w:p>
        </w:tc>
        <w:tc>
          <w:tcPr>
            <w:tcW w:w="191" w:type="dxa"/>
            <w:shd w:val="clear" w:color="auto" w:fill="CFF0FC"/>
            <w:noWrap/>
            <w:tcMar>
              <w:top w:w="15" w:type="dxa"/>
              <w:left w:w="0" w:type="dxa"/>
              <w:bottom w:w="0" w:type="dxa"/>
              <w:right w:w="15" w:type="dxa"/>
            </w:tcMar>
            <w:vAlign w:val="bottom"/>
            <w:hideMark/>
          </w:tcPr>
          <w:p w14:paraId="7CC07F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7FEC4DF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77937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7041106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7,608</w:t>
            </w:r>
          </w:p>
        </w:tc>
        <w:tc>
          <w:tcPr>
            <w:tcW w:w="192" w:type="dxa"/>
            <w:shd w:val="clear" w:color="auto" w:fill="CFF0FC"/>
            <w:noWrap/>
            <w:tcMar>
              <w:top w:w="15" w:type="dxa"/>
              <w:left w:w="0" w:type="dxa"/>
              <w:bottom w:w="0" w:type="dxa"/>
              <w:right w:w="15" w:type="dxa"/>
            </w:tcMar>
            <w:vAlign w:val="bottom"/>
            <w:hideMark/>
          </w:tcPr>
          <w:p w14:paraId="0B206D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2918E31" w14:textId="77777777" w:rsidTr="00141675">
        <w:tc>
          <w:tcPr>
            <w:tcW w:w="12095" w:type="dxa"/>
            <w:shd w:val="clear" w:color="auto" w:fill="FFFFFF"/>
            <w:tcMar>
              <w:top w:w="15" w:type="dxa"/>
              <w:left w:w="0" w:type="dxa"/>
              <w:bottom w:w="0" w:type="dxa"/>
              <w:right w:w="15" w:type="dxa"/>
            </w:tcMar>
            <w:hideMark/>
          </w:tcPr>
          <w:p w14:paraId="2A86B198" w14:textId="77777777" w:rsidR="00141675" w:rsidRPr="00141675" w:rsidRDefault="00141675" w:rsidP="00141675">
            <w:pPr>
              <w:widowControl/>
              <w:ind w:left="1231"/>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Margin</w:t>
            </w:r>
            <w:r w:rsidRPr="00141675">
              <w:rPr>
                <w:rFonts w:ascii="Calibri" w:eastAsia="宋体" w:hAnsi="Calibri" w:cs="Calibri"/>
                <w:color w:val="000000"/>
                <w:kern w:val="0"/>
                <w:sz w:val="18"/>
                <w:szCs w:val="18"/>
                <w:vertAlign w:val="superscript"/>
              </w:rPr>
              <w:t>(2)</w:t>
            </w:r>
          </w:p>
        </w:tc>
        <w:tc>
          <w:tcPr>
            <w:tcW w:w="278" w:type="dxa"/>
            <w:shd w:val="clear" w:color="auto" w:fill="FFFFFF"/>
            <w:tcMar>
              <w:top w:w="15" w:type="dxa"/>
              <w:left w:w="0" w:type="dxa"/>
              <w:bottom w:w="0" w:type="dxa"/>
              <w:right w:w="15" w:type="dxa"/>
            </w:tcMar>
            <w:vAlign w:val="bottom"/>
            <w:hideMark/>
          </w:tcPr>
          <w:p w14:paraId="0C57E55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07162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1E88E5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5,698</w:t>
            </w:r>
          </w:p>
        </w:tc>
        <w:tc>
          <w:tcPr>
            <w:tcW w:w="191" w:type="dxa"/>
            <w:shd w:val="clear" w:color="auto" w:fill="FFFFFF"/>
            <w:noWrap/>
            <w:tcMar>
              <w:top w:w="15" w:type="dxa"/>
              <w:left w:w="0" w:type="dxa"/>
              <w:bottom w:w="0" w:type="dxa"/>
              <w:right w:w="15" w:type="dxa"/>
            </w:tcMar>
            <w:vAlign w:val="bottom"/>
            <w:hideMark/>
          </w:tcPr>
          <w:p w14:paraId="31A942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45641B2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720BB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3965C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5,701</w:t>
            </w:r>
          </w:p>
        </w:tc>
        <w:tc>
          <w:tcPr>
            <w:tcW w:w="191" w:type="dxa"/>
            <w:shd w:val="clear" w:color="auto" w:fill="FFFFFF"/>
            <w:noWrap/>
            <w:tcMar>
              <w:top w:w="15" w:type="dxa"/>
              <w:left w:w="0" w:type="dxa"/>
              <w:bottom w:w="0" w:type="dxa"/>
              <w:right w:w="15" w:type="dxa"/>
            </w:tcMar>
            <w:vAlign w:val="bottom"/>
            <w:hideMark/>
          </w:tcPr>
          <w:p w14:paraId="6B02FA8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6C53034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B2D2E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252B73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11,185</w:t>
            </w:r>
          </w:p>
        </w:tc>
        <w:tc>
          <w:tcPr>
            <w:tcW w:w="191" w:type="dxa"/>
            <w:shd w:val="clear" w:color="auto" w:fill="FFFFFF"/>
            <w:noWrap/>
            <w:tcMar>
              <w:top w:w="15" w:type="dxa"/>
              <w:left w:w="0" w:type="dxa"/>
              <w:bottom w:w="0" w:type="dxa"/>
              <w:right w:w="15" w:type="dxa"/>
            </w:tcMar>
            <w:vAlign w:val="bottom"/>
            <w:hideMark/>
          </w:tcPr>
          <w:p w14:paraId="2A4BD97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AE2FA0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09DECA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58C98E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11,160</w:t>
            </w:r>
          </w:p>
        </w:tc>
        <w:tc>
          <w:tcPr>
            <w:tcW w:w="192" w:type="dxa"/>
            <w:shd w:val="clear" w:color="auto" w:fill="FFFFFF"/>
            <w:noWrap/>
            <w:tcMar>
              <w:top w:w="15" w:type="dxa"/>
              <w:left w:w="0" w:type="dxa"/>
              <w:bottom w:w="0" w:type="dxa"/>
              <w:right w:w="15" w:type="dxa"/>
            </w:tcMar>
            <w:vAlign w:val="bottom"/>
            <w:hideMark/>
          </w:tcPr>
          <w:p w14:paraId="6DD2FF1B"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3508D07B" w14:textId="77777777" w:rsidR="00141675" w:rsidRPr="00141675" w:rsidRDefault="00141675" w:rsidP="00141675">
      <w:pPr>
        <w:widowControl/>
        <w:pBdr>
          <w:bottom w:val="single" w:sz="6" w:space="1" w:color="auto"/>
        </w:pBdr>
        <w:ind w:right="18324"/>
        <w:jc w:val="left"/>
        <w:rPr>
          <w:rFonts w:ascii="Times New Roman" w:eastAsia="宋体" w:hAnsi="Times New Roman" w:cs="Times New Roman"/>
          <w:kern w:val="0"/>
          <w:sz w:val="6"/>
          <w:szCs w:val="6"/>
        </w:rPr>
      </w:pPr>
      <w:r w:rsidRPr="00141675">
        <w:rPr>
          <w:rFonts w:ascii="Times New Roman" w:eastAsia="宋体" w:hAnsi="Times New Roman" w:cs="Times New Roman"/>
          <w:kern w:val="0"/>
          <w:sz w:val="6"/>
          <w:szCs w:val="6"/>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7CAA39BA" w14:textId="77777777" w:rsidTr="00141675">
        <w:tc>
          <w:tcPr>
            <w:tcW w:w="794" w:type="dxa"/>
            <w:noWrap/>
            <w:hideMark/>
          </w:tcPr>
          <w:p w14:paraId="2E32E0FE"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lastRenderedPageBreak/>
              <w:t>(1)</w:t>
            </w:r>
          </w:p>
        </w:tc>
        <w:tc>
          <w:tcPr>
            <w:tcW w:w="0" w:type="auto"/>
            <w:hideMark/>
          </w:tcPr>
          <w:p w14:paraId="70EE2FBC"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Cloud and license revenues presented for management reporting included revenues related to cloud and license obligations that would have otherwise been recorded by the acquired businesses as independent entities but were not recognized in our condensed consolidated statements of operations for the periods presented due to business combination accounting requirements. See Note 6 for an explanation of these adjustments and the table below for a reconciliation of our total operating segment revenues to our total consolidated revenues as reported in our condensed consolidated statements of operations.</w:t>
            </w:r>
          </w:p>
        </w:tc>
      </w:tr>
      <w:tr w:rsidR="00141675" w:rsidRPr="00141675" w14:paraId="7C380D23" w14:textId="77777777" w:rsidTr="00141675">
        <w:tc>
          <w:tcPr>
            <w:tcW w:w="794" w:type="dxa"/>
            <w:noWrap/>
            <w:hideMark/>
          </w:tcPr>
          <w:p w14:paraId="29758D48"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8"/>
                <w:szCs w:val="18"/>
                <w:vertAlign w:val="superscript"/>
              </w:rPr>
              <w:t>(2)</w:t>
            </w:r>
          </w:p>
        </w:tc>
        <w:tc>
          <w:tcPr>
            <w:tcW w:w="0" w:type="auto"/>
            <w:hideMark/>
          </w:tcPr>
          <w:p w14:paraId="1DB9CE9D"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5"/>
                <w:szCs w:val="15"/>
              </w:rPr>
              <w:t>The margins reported reflect only the direct controllable costs of each line of business and do not include allocations of research and development, general and administrative and certain other allocable expenses, net. Additionally, the margins reported above do not reflect amortization of intangible assets, acquisition related and other expenses, restructuring expenses, stock-based compensation, interest expense or certain other non-operating income, net.</w:t>
            </w:r>
          </w:p>
        </w:tc>
      </w:tr>
    </w:tbl>
    <w:p w14:paraId="0D5CE916"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21</w:t>
      </w:r>
    </w:p>
    <w:p w14:paraId="40669DBA"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264D86DA">
          <v:rect id="_x0000_i1047" style="width:0;height:1.5pt" o:hralign="center" o:hrstd="t" o:hrnoshade="t" o:hr="t" fillcolor="black" stroked="f"/>
        </w:pict>
      </w:r>
    </w:p>
    <w:p w14:paraId="3BBDACE8" w14:textId="77777777" w:rsidR="00141675" w:rsidRPr="00141675" w:rsidRDefault="00141675" w:rsidP="00141675">
      <w:pPr>
        <w:widowControl/>
        <w:jc w:val="left"/>
        <w:rPr>
          <w:rFonts w:ascii="Calibri" w:eastAsia="宋体" w:hAnsi="Calibri" w:cs="Calibri"/>
          <w:b/>
          <w:bCs/>
          <w:color w:val="000000"/>
          <w:kern w:val="0"/>
          <w:sz w:val="20"/>
          <w:szCs w:val="20"/>
        </w:rPr>
      </w:pPr>
      <w:hyperlink r:id="rId44" w:anchor="TABLE_CONTENTS" w:history="1">
        <w:r w:rsidRPr="00141675">
          <w:rPr>
            <w:rFonts w:ascii="Calibri" w:eastAsia="宋体" w:hAnsi="Calibri" w:cs="Calibri"/>
            <w:b/>
            <w:bCs/>
            <w:color w:val="0000FF"/>
            <w:kern w:val="0"/>
            <w:sz w:val="20"/>
            <w:szCs w:val="20"/>
            <w:u w:val="single"/>
          </w:rPr>
          <w:t>Table of Contents</w:t>
        </w:r>
      </w:hyperlink>
    </w:p>
    <w:p w14:paraId="769F0CEE"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4EBFFFB2"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36C1259C"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2ACC9243"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0513DDD9"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66328893"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3BAE58D4" w14:textId="77777777" w:rsidR="00141675" w:rsidRPr="00141675" w:rsidRDefault="00141675" w:rsidP="00141675">
      <w:pPr>
        <w:widowControl/>
        <w:spacing w:before="240"/>
        <w:rPr>
          <w:rFonts w:ascii="Calibri" w:eastAsia="宋体" w:hAnsi="Calibri" w:cs="Calibri"/>
          <w:kern w:val="0"/>
          <w:sz w:val="20"/>
          <w:szCs w:val="20"/>
        </w:rPr>
      </w:pPr>
      <w:r w:rsidRPr="00141675">
        <w:rPr>
          <w:rFonts w:ascii="Calibri" w:eastAsia="宋体" w:hAnsi="Calibri" w:cs="Calibri"/>
          <w:kern w:val="0"/>
          <w:sz w:val="20"/>
          <w:szCs w:val="20"/>
        </w:rPr>
        <w:t>The following table reconciles total operating segment revenues to total revenues as well as total operating segment margin to income before provision for income taxes:</w:t>
      </w:r>
    </w:p>
    <w:p w14:paraId="2A92864C" w14:textId="77777777" w:rsidR="00141675" w:rsidRPr="00141675" w:rsidRDefault="00141675" w:rsidP="00141675">
      <w:pPr>
        <w:widowControl/>
        <w:rPr>
          <w:rFonts w:ascii="Times New Roman" w:eastAsia="宋体" w:hAnsi="Times New Roman" w:cs="Times New Roman"/>
          <w:kern w:val="0"/>
          <w:sz w:val="16"/>
          <w:szCs w:val="16"/>
        </w:rPr>
      </w:pPr>
      <w:r w:rsidRPr="00141675">
        <w:rPr>
          <w:rFonts w:ascii="Times New Roman" w:eastAsia="宋体" w:hAnsi="Times New Roman" w:cs="Times New Roman"/>
          <w:kern w:val="0"/>
          <w:sz w:val="16"/>
          <w:szCs w:val="16"/>
        </w:rPr>
        <w:t> </w:t>
      </w:r>
    </w:p>
    <w:tbl>
      <w:tblPr>
        <w:tblW w:w="20614" w:type="dxa"/>
        <w:tblCellMar>
          <w:left w:w="0" w:type="dxa"/>
          <w:right w:w="0" w:type="dxa"/>
        </w:tblCellMar>
        <w:tblLook w:val="04A0" w:firstRow="1" w:lastRow="0" w:firstColumn="1" w:lastColumn="0" w:noHBand="0" w:noVBand="1"/>
      </w:tblPr>
      <w:tblGrid>
        <w:gridCol w:w="12119"/>
        <w:gridCol w:w="279"/>
        <w:gridCol w:w="199"/>
        <w:gridCol w:w="1424"/>
        <w:gridCol w:w="199"/>
        <w:gridCol w:w="279"/>
        <w:gridCol w:w="199"/>
        <w:gridCol w:w="1469"/>
        <w:gridCol w:w="199"/>
        <w:gridCol w:w="279"/>
        <w:gridCol w:w="199"/>
        <w:gridCol w:w="1424"/>
        <w:gridCol w:w="199"/>
        <w:gridCol w:w="279"/>
        <w:gridCol w:w="199"/>
        <w:gridCol w:w="1469"/>
        <w:gridCol w:w="200"/>
      </w:tblGrid>
      <w:tr w:rsidR="00141675" w:rsidRPr="00141675" w14:paraId="5716927C" w14:textId="77777777" w:rsidTr="00141675">
        <w:tc>
          <w:tcPr>
            <w:tcW w:w="12095" w:type="dxa"/>
            <w:shd w:val="clear" w:color="auto" w:fill="FFFFFF"/>
            <w:tcMar>
              <w:top w:w="15" w:type="dxa"/>
              <w:left w:w="0" w:type="dxa"/>
              <w:bottom w:w="0" w:type="dxa"/>
              <w:right w:w="15" w:type="dxa"/>
            </w:tcMar>
            <w:vAlign w:val="bottom"/>
            <w:hideMark/>
          </w:tcPr>
          <w:p w14:paraId="5236DDD0"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78" w:type="dxa"/>
            <w:shd w:val="clear" w:color="auto" w:fill="FFFFFF"/>
            <w:tcMar>
              <w:top w:w="15" w:type="dxa"/>
              <w:left w:w="0" w:type="dxa"/>
              <w:bottom w:w="0" w:type="dxa"/>
              <w:right w:w="15" w:type="dxa"/>
            </w:tcMar>
            <w:vAlign w:val="bottom"/>
            <w:hideMark/>
          </w:tcPr>
          <w:p w14:paraId="1DE843F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7285091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74B9A7F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116CAF9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1198915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250B8E0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4754152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2" w:type="dxa"/>
            <w:shd w:val="clear" w:color="auto" w:fill="FFFFFF"/>
            <w:noWrap/>
            <w:tcMar>
              <w:top w:w="15" w:type="dxa"/>
              <w:left w:w="0" w:type="dxa"/>
              <w:bottom w:w="0" w:type="dxa"/>
              <w:right w:w="15" w:type="dxa"/>
            </w:tcMar>
            <w:vAlign w:val="bottom"/>
            <w:hideMark/>
          </w:tcPr>
          <w:p w14:paraId="7FBB7F7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692B7C4" w14:textId="77777777" w:rsidTr="00141675">
        <w:tc>
          <w:tcPr>
            <w:tcW w:w="12095" w:type="dxa"/>
            <w:tcBorders>
              <w:bottom w:val="single" w:sz="6" w:space="0" w:color="000000"/>
            </w:tcBorders>
            <w:shd w:val="clear" w:color="auto" w:fill="FFFFFF"/>
            <w:tcMar>
              <w:top w:w="15" w:type="dxa"/>
              <w:left w:w="0" w:type="dxa"/>
              <w:bottom w:w="0" w:type="dxa"/>
              <w:right w:w="15" w:type="dxa"/>
            </w:tcMar>
            <w:vAlign w:val="bottom"/>
            <w:hideMark/>
          </w:tcPr>
          <w:p w14:paraId="17FE822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78" w:type="dxa"/>
            <w:shd w:val="clear" w:color="auto" w:fill="FFFFFF"/>
            <w:tcMar>
              <w:top w:w="15" w:type="dxa"/>
              <w:left w:w="0" w:type="dxa"/>
              <w:bottom w:w="0" w:type="dxa"/>
              <w:right w:w="15" w:type="dxa"/>
            </w:tcMar>
            <w:vAlign w:val="bottom"/>
            <w:hideMark/>
          </w:tcPr>
          <w:p w14:paraId="19D4DE1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659588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CA6C92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2580A6C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8AFBA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15E4397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6F7C516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4AF25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93F05D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11CFB89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EA18A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7C0B2A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0F58376" w14:textId="77777777" w:rsidTr="00141675">
        <w:tc>
          <w:tcPr>
            <w:tcW w:w="12095" w:type="dxa"/>
            <w:tcBorders>
              <w:top w:val="single" w:sz="6" w:space="0" w:color="000000"/>
            </w:tcBorders>
            <w:shd w:val="clear" w:color="auto" w:fill="CFF0FC"/>
            <w:tcMar>
              <w:top w:w="15" w:type="dxa"/>
              <w:left w:w="0" w:type="dxa"/>
              <w:bottom w:w="0" w:type="dxa"/>
              <w:right w:w="15" w:type="dxa"/>
            </w:tcMar>
            <w:vAlign w:val="bottom"/>
            <w:hideMark/>
          </w:tcPr>
          <w:p w14:paraId="35A0A0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revenues for operating segments</w:t>
            </w:r>
          </w:p>
        </w:tc>
        <w:tc>
          <w:tcPr>
            <w:tcW w:w="278" w:type="dxa"/>
            <w:shd w:val="clear" w:color="auto" w:fill="CFF0FC"/>
            <w:tcMar>
              <w:top w:w="15" w:type="dxa"/>
              <w:left w:w="0" w:type="dxa"/>
              <w:bottom w:w="0" w:type="dxa"/>
              <w:right w:w="15" w:type="dxa"/>
            </w:tcMar>
            <w:vAlign w:val="bottom"/>
            <w:hideMark/>
          </w:tcPr>
          <w:p w14:paraId="6E47FCC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AB9248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BBA23F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9,615</w:t>
            </w:r>
          </w:p>
        </w:tc>
        <w:tc>
          <w:tcPr>
            <w:tcW w:w="191" w:type="dxa"/>
            <w:shd w:val="clear" w:color="auto" w:fill="CFF0FC"/>
            <w:noWrap/>
            <w:tcMar>
              <w:top w:w="15" w:type="dxa"/>
              <w:left w:w="0" w:type="dxa"/>
              <w:bottom w:w="0" w:type="dxa"/>
              <w:right w:w="15" w:type="dxa"/>
            </w:tcMar>
            <w:vAlign w:val="bottom"/>
            <w:hideMark/>
          </w:tcPr>
          <w:p w14:paraId="7F033A1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39D8390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710B6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1725223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9,567</w:t>
            </w:r>
          </w:p>
        </w:tc>
        <w:tc>
          <w:tcPr>
            <w:tcW w:w="191" w:type="dxa"/>
            <w:shd w:val="clear" w:color="auto" w:fill="CFF0FC"/>
            <w:noWrap/>
            <w:tcMar>
              <w:top w:w="15" w:type="dxa"/>
              <w:left w:w="0" w:type="dxa"/>
              <w:bottom w:w="0" w:type="dxa"/>
              <w:right w:w="15" w:type="dxa"/>
            </w:tcMar>
            <w:vAlign w:val="bottom"/>
            <w:hideMark/>
          </w:tcPr>
          <w:p w14:paraId="069F27E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2CA5CB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853171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36A8D16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18,835</w:t>
            </w:r>
          </w:p>
        </w:tc>
        <w:tc>
          <w:tcPr>
            <w:tcW w:w="191" w:type="dxa"/>
            <w:shd w:val="clear" w:color="auto" w:fill="CFF0FC"/>
            <w:noWrap/>
            <w:tcMar>
              <w:top w:w="15" w:type="dxa"/>
              <w:left w:w="0" w:type="dxa"/>
              <w:bottom w:w="0" w:type="dxa"/>
              <w:right w:w="15" w:type="dxa"/>
            </w:tcMar>
            <w:vAlign w:val="bottom"/>
            <w:hideMark/>
          </w:tcPr>
          <w:p w14:paraId="05770BC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30CA31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6D8BD1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53DABCC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18,768</w:t>
            </w:r>
          </w:p>
        </w:tc>
        <w:tc>
          <w:tcPr>
            <w:tcW w:w="192" w:type="dxa"/>
            <w:shd w:val="clear" w:color="auto" w:fill="CFF0FC"/>
            <w:noWrap/>
            <w:tcMar>
              <w:top w:w="15" w:type="dxa"/>
              <w:left w:w="0" w:type="dxa"/>
              <w:bottom w:w="0" w:type="dxa"/>
              <w:right w:w="15" w:type="dxa"/>
            </w:tcMar>
            <w:vAlign w:val="bottom"/>
            <w:hideMark/>
          </w:tcPr>
          <w:p w14:paraId="0988D23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100D0FF" w14:textId="77777777" w:rsidTr="00141675">
        <w:tc>
          <w:tcPr>
            <w:tcW w:w="12095" w:type="dxa"/>
            <w:shd w:val="clear" w:color="auto" w:fill="FFFFFF"/>
            <w:tcMar>
              <w:top w:w="15" w:type="dxa"/>
              <w:left w:w="0" w:type="dxa"/>
              <w:bottom w:w="0" w:type="dxa"/>
              <w:right w:w="15" w:type="dxa"/>
            </w:tcMar>
            <w:vAlign w:val="bottom"/>
            <w:hideMark/>
          </w:tcPr>
          <w:p w14:paraId="45C12CE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and license revenues</w:t>
            </w:r>
            <w:r w:rsidRPr="00141675">
              <w:rPr>
                <w:rFonts w:ascii="Calibri" w:eastAsia="宋体" w:hAnsi="Calibri" w:cs="Calibri"/>
                <w:color w:val="000000"/>
                <w:kern w:val="0"/>
                <w:sz w:val="18"/>
                <w:szCs w:val="18"/>
                <w:vertAlign w:val="superscript"/>
              </w:rPr>
              <w:t>(1)</w:t>
            </w:r>
          </w:p>
        </w:tc>
        <w:tc>
          <w:tcPr>
            <w:tcW w:w="278" w:type="dxa"/>
            <w:shd w:val="clear" w:color="auto" w:fill="FFFFFF"/>
            <w:tcMar>
              <w:top w:w="15" w:type="dxa"/>
              <w:left w:w="0" w:type="dxa"/>
              <w:bottom w:w="0" w:type="dxa"/>
              <w:right w:w="15" w:type="dxa"/>
            </w:tcMar>
            <w:vAlign w:val="bottom"/>
            <w:hideMark/>
          </w:tcPr>
          <w:p w14:paraId="1EE41DA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052DFB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765E65D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191" w:type="dxa"/>
            <w:shd w:val="clear" w:color="auto" w:fill="FFFFFF"/>
            <w:noWrap/>
            <w:tcMar>
              <w:top w:w="15" w:type="dxa"/>
              <w:left w:w="0" w:type="dxa"/>
              <w:bottom w:w="0" w:type="dxa"/>
              <w:right w:w="15" w:type="dxa"/>
            </w:tcMar>
            <w:vAlign w:val="bottom"/>
            <w:hideMark/>
          </w:tcPr>
          <w:p w14:paraId="1E75156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0CC33B2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8C22BF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0C1DEE9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191" w:type="dxa"/>
            <w:shd w:val="clear" w:color="auto" w:fill="FFFFFF"/>
            <w:noWrap/>
            <w:tcMar>
              <w:top w:w="15" w:type="dxa"/>
              <w:left w:w="0" w:type="dxa"/>
              <w:bottom w:w="0" w:type="dxa"/>
              <w:right w:w="15" w:type="dxa"/>
            </w:tcMar>
            <w:vAlign w:val="bottom"/>
            <w:hideMark/>
          </w:tcPr>
          <w:p w14:paraId="7357B9E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0782B31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C1D8F2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55090F6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1" w:type="dxa"/>
            <w:shd w:val="clear" w:color="auto" w:fill="FFFFFF"/>
            <w:noWrap/>
            <w:tcMar>
              <w:top w:w="15" w:type="dxa"/>
              <w:left w:w="0" w:type="dxa"/>
              <w:bottom w:w="0" w:type="dxa"/>
              <w:right w:w="15" w:type="dxa"/>
            </w:tcMar>
            <w:vAlign w:val="bottom"/>
            <w:hideMark/>
          </w:tcPr>
          <w:p w14:paraId="579FB1A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246F8DC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69F5FB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0B27C77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192" w:type="dxa"/>
            <w:shd w:val="clear" w:color="auto" w:fill="FFFFFF"/>
            <w:noWrap/>
            <w:tcMar>
              <w:top w:w="15" w:type="dxa"/>
              <w:left w:w="0" w:type="dxa"/>
              <w:bottom w:w="0" w:type="dxa"/>
              <w:right w:w="15" w:type="dxa"/>
            </w:tcMar>
            <w:vAlign w:val="bottom"/>
            <w:hideMark/>
          </w:tcPr>
          <w:p w14:paraId="101B43B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419DFA9D" w14:textId="77777777" w:rsidTr="00141675">
        <w:tc>
          <w:tcPr>
            <w:tcW w:w="12095" w:type="dxa"/>
            <w:shd w:val="clear" w:color="auto" w:fill="CFF0FC"/>
            <w:tcMar>
              <w:top w:w="15" w:type="dxa"/>
              <w:left w:w="0" w:type="dxa"/>
              <w:bottom w:w="0" w:type="dxa"/>
              <w:right w:w="15" w:type="dxa"/>
            </w:tcMar>
            <w:vAlign w:val="bottom"/>
            <w:hideMark/>
          </w:tcPr>
          <w:p w14:paraId="175E6523"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revenues</w:t>
            </w:r>
          </w:p>
        </w:tc>
        <w:tc>
          <w:tcPr>
            <w:tcW w:w="278" w:type="dxa"/>
            <w:shd w:val="clear" w:color="auto" w:fill="CFF0FC"/>
            <w:tcMar>
              <w:top w:w="15" w:type="dxa"/>
              <w:left w:w="0" w:type="dxa"/>
              <w:bottom w:w="0" w:type="dxa"/>
              <w:right w:w="15" w:type="dxa"/>
            </w:tcMar>
            <w:vAlign w:val="bottom"/>
            <w:hideMark/>
          </w:tcPr>
          <w:p w14:paraId="1B5AA06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C910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94C98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9,614</w:t>
            </w:r>
          </w:p>
        </w:tc>
        <w:tc>
          <w:tcPr>
            <w:tcW w:w="191" w:type="dxa"/>
            <w:shd w:val="clear" w:color="auto" w:fill="CFF0FC"/>
            <w:noWrap/>
            <w:tcMar>
              <w:top w:w="15" w:type="dxa"/>
              <w:left w:w="0" w:type="dxa"/>
              <w:bottom w:w="0" w:type="dxa"/>
              <w:right w:w="15" w:type="dxa"/>
            </w:tcMar>
            <w:vAlign w:val="bottom"/>
            <w:hideMark/>
          </w:tcPr>
          <w:p w14:paraId="21049A5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8A0A71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37C8E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523C0D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9,562</w:t>
            </w:r>
          </w:p>
        </w:tc>
        <w:tc>
          <w:tcPr>
            <w:tcW w:w="191" w:type="dxa"/>
            <w:shd w:val="clear" w:color="auto" w:fill="CFF0FC"/>
            <w:noWrap/>
            <w:tcMar>
              <w:top w:w="15" w:type="dxa"/>
              <w:left w:w="0" w:type="dxa"/>
              <w:bottom w:w="0" w:type="dxa"/>
              <w:right w:w="15" w:type="dxa"/>
            </w:tcMar>
            <w:vAlign w:val="bottom"/>
            <w:hideMark/>
          </w:tcPr>
          <w:p w14:paraId="37AA511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BF6071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7BFE5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D90D6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18,832</w:t>
            </w:r>
          </w:p>
        </w:tc>
        <w:tc>
          <w:tcPr>
            <w:tcW w:w="191" w:type="dxa"/>
            <w:shd w:val="clear" w:color="auto" w:fill="CFF0FC"/>
            <w:noWrap/>
            <w:tcMar>
              <w:top w:w="15" w:type="dxa"/>
              <w:left w:w="0" w:type="dxa"/>
              <w:bottom w:w="0" w:type="dxa"/>
              <w:right w:w="15" w:type="dxa"/>
            </w:tcMar>
            <w:vAlign w:val="bottom"/>
            <w:hideMark/>
          </w:tcPr>
          <w:p w14:paraId="3CE4BC7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E1E8E4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544EEF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0915EC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18,755</w:t>
            </w:r>
          </w:p>
        </w:tc>
        <w:tc>
          <w:tcPr>
            <w:tcW w:w="192" w:type="dxa"/>
            <w:shd w:val="clear" w:color="auto" w:fill="CFF0FC"/>
            <w:noWrap/>
            <w:tcMar>
              <w:top w:w="15" w:type="dxa"/>
              <w:left w:w="0" w:type="dxa"/>
              <w:bottom w:w="0" w:type="dxa"/>
              <w:right w:w="15" w:type="dxa"/>
            </w:tcMar>
            <w:vAlign w:val="bottom"/>
            <w:hideMark/>
          </w:tcPr>
          <w:p w14:paraId="03ED4C8A"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64A42084" w14:textId="77777777" w:rsidR="00141675" w:rsidRPr="00141675" w:rsidRDefault="00141675" w:rsidP="00141675">
      <w:pPr>
        <w:widowControl/>
        <w:ind w:right="18324"/>
        <w:jc w:val="left"/>
        <w:rPr>
          <w:rFonts w:ascii="Times New Roman" w:eastAsia="宋体" w:hAnsi="Times New Roman" w:cs="Times New Roman"/>
          <w:kern w:val="0"/>
          <w:sz w:val="2"/>
          <w:szCs w:val="2"/>
        </w:rPr>
      </w:pPr>
      <w:r w:rsidRPr="00141675">
        <w:rPr>
          <w:rFonts w:ascii="Times New Roman" w:eastAsia="宋体" w:hAnsi="Times New Roman" w:cs="Times New Roman"/>
          <w:kern w:val="0"/>
          <w:sz w:val="2"/>
          <w:szCs w:val="2"/>
        </w:rPr>
        <w:t> </w:t>
      </w:r>
    </w:p>
    <w:tbl>
      <w:tblPr>
        <w:tblW w:w="20614" w:type="dxa"/>
        <w:tblCellMar>
          <w:left w:w="0" w:type="dxa"/>
          <w:right w:w="0" w:type="dxa"/>
        </w:tblCellMar>
        <w:tblLook w:val="04A0" w:firstRow="1" w:lastRow="0" w:firstColumn="1" w:lastColumn="0" w:noHBand="0" w:noVBand="1"/>
      </w:tblPr>
      <w:tblGrid>
        <w:gridCol w:w="12190"/>
        <w:gridCol w:w="279"/>
        <w:gridCol w:w="201"/>
        <w:gridCol w:w="1424"/>
        <w:gridCol w:w="201"/>
        <w:gridCol w:w="280"/>
        <w:gridCol w:w="201"/>
        <w:gridCol w:w="1424"/>
        <w:gridCol w:w="201"/>
        <w:gridCol w:w="280"/>
        <w:gridCol w:w="201"/>
        <w:gridCol w:w="1424"/>
        <w:gridCol w:w="201"/>
        <w:gridCol w:w="280"/>
        <w:gridCol w:w="201"/>
        <w:gridCol w:w="1424"/>
        <w:gridCol w:w="202"/>
      </w:tblGrid>
      <w:tr w:rsidR="00141675" w:rsidRPr="00141675" w14:paraId="6E4D2E9A" w14:textId="77777777" w:rsidTr="00141675">
        <w:tc>
          <w:tcPr>
            <w:tcW w:w="12095" w:type="dxa"/>
            <w:shd w:val="clear" w:color="auto" w:fill="FFFFFF"/>
            <w:tcMar>
              <w:top w:w="15" w:type="dxa"/>
              <w:left w:w="0" w:type="dxa"/>
              <w:bottom w:w="0" w:type="dxa"/>
              <w:right w:w="15" w:type="dxa"/>
            </w:tcMar>
            <w:vAlign w:val="bottom"/>
            <w:hideMark/>
          </w:tcPr>
          <w:p w14:paraId="07804C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margin for operating segments</w:t>
            </w:r>
          </w:p>
        </w:tc>
        <w:tc>
          <w:tcPr>
            <w:tcW w:w="278" w:type="dxa"/>
            <w:shd w:val="clear" w:color="auto" w:fill="FFFFFF"/>
            <w:tcMar>
              <w:top w:w="15" w:type="dxa"/>
              <w:left w:w="0" w:type="dxa"/>
              <w:bottom w:w="0" w:type="dxa"/>
              <w:right w:w="15" w:type="dxa"/>
            </w:tcMar>
            <w:vAlign w:val="bottom"/>
            <w:hideMark/>
          </w:tcPr>
          <w:p w14:paraId="600C878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BB8784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4EEBDA2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5,698</w:t>
            </w:r>
          </w:p>
        </w:tc>
        <w:tc>
          <w:tcPr>
            <w:tcW w:w="191" w:type="dxa"/>
            <w:shd w:val="clear" w:color="auto" w:fill="FFFFFF"/>
            <w:noWrap/>
            <w:tcMar>
              <w:top w:w="15" w:type="dxa"/>
              <w:left w:w="0" w:type="dxa"/>
              <w:bottom w:w="0" w:type="dxa"/>
              <w:right w:w="15" w:type="dxa"/>
            </w:tcMar>
            <w:vAlign w:val="bottom"/>
            <w:hideMark/>
          </w:tcPr>
          <w:p w14:paraId="491D864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0CB61A4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11AFB9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4333D6D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5,701</w:t>
            </w:r>
          </w:p>
        </w:tc>
        <w:tc>
          <w:tcPr>
            <w:tcW w:w="191" w:type="dxa"/>
            <w:shd w:val="clear" w:color="auto" w:fill="FFFFFF"/>
            <w:noWrap/>
            <w:tcMar>
              <w:top w:w="15" w:type="dxa"/>
              <w:left w:w="0" w:type="dxa"/>
              <w:bottom w:w="0" w:type="dxa"/>
              <w:right w:w="15" w:type="dxa"/>
            </w:tcMar>
            <w:vAlign w:val="bottom"/>
            <w:hideMark/>
          </w:tcPr>
          <w:p w14:paraId="36C57B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51229A3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782BAF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2D4C970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11,185</w:t>
            </w:r>
          </w:p>
        </w:tc>
        <w:tc>
          <w:tcPr>
            <w:tcW w:w="191" w:type="dxa"/>
            <w:shd w:val="clear" w:color="auto" w:fill="FFFFFF"/>
            <w:noWrap/>
            <w:tcMar>
              <w:top w:w="15" w:type="dxa"/>
              <w:left w:w="0" w:type="dxa"/>
              <w:bottom w:w="0" w:type="dxa"/>
              <w:right w:w="15" w:type="dxa"/>
            </w:tcMar>
            <w:vAlign w:val="bottom"/>
            <w:hideMark/>
          </w:tcPr>
          <w:p w14:paraId="6E4A27C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2DE4E7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18DC8F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776352D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11,160</w:t>
            </w:r>
          </w:p>
        </w:tc>
        <w:tc>
          <w:tcPr>
            <w:tcW w:w="192" w:type="dxa"/>
            <w:shd w:val="clear" w:color="auto" w:fill="FFFFFF"/>
            <w:noWrap/>
            <w:tcMar>
              <w:top w:w="15" w:type="dxa"/>
              <w:left w:w="0" w:type="dxa"/>
              <w:bottom w:w="0" w:type="dxa"/>
              <w:right w:w="15" w:type="dxa"/>
            </w:tcMar>
            <w:vAlign w:val="bottom"/>
            <w:hideMark/>
          </w:tcPr>
          <w:p w14:paraId="386DFB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FD183BD" w14:textId="77777777" w:rsidTr="00141675">
        <w:tc>
          <w:tcPr>
            <w:tcW w:w="12095" w:type="dxa"/>
            <w:shd w:val="clear" w:color="auto" w:fill="CFF0FC"/>
            <w:tcMar>
              <w:top w:w="15" w:type="dxa"/>
              <w:left w:w="0" w:type="dxa"/>
              <w:bottom w:w="0" w:type="dxa"/>
              <w:right w:w="15" w:type="dxa"/>
            </w:tcMar>
            <w:vAlign w:val="bottom"/>
            <w:hideMark/>
          </w:tcPr>
          <w:p w14:paraId="2201AE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and license revenues</w:t>
            </w:r>
            <w:r w:rsidRPr="00141675">
              <w:rPr>
                <w:rFonts w:ascii="Calibri" w:eastAsia="宋体" w:hAnsi="Calibri" w:cs="Calibri"/>
                <w:color w:val="000000"/>
                <w:kern w:val="0"/>
                <w:sz w:val="18"/>
                <w:szCs w:val="18"/>
                <w:vertAlign w:val="superscript"/>
              </w:rPr>
              <w:t>(1)</w:t>
            </w:r>
          </w:p>
        </w:tc>
        <w:tc>
          <w:tcPr>
            <w:tcW w:w="278" w:type="dxa"/>
            <w:shd w:val="clear" w:color="auto" w:fill="CFF0FC"/>
            <w:tcMar>
              <w:top w:w="15" w:type="dxa"/>
              <w:left w:w="0" w:type="dxa"/>
              <w:bottom w:w="0" w:type="dxa"/>
              <w:right w:w="15" w:type="dxa"/>
            </w:tcMar>
            <w:vAlign w:val="bottom"/>
            <w:hideMark/>
          </w:tcPr>
          <w:p w14:paraId="357EF5F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2AF35B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76AC624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191" w:type="dxa"/>
            <w:shd w:val="clear" w:color="auto" w:fill="CFF0FC"/>
            <w:noWrap/>
            <w:tcMar>
              <w:top w:w="15" w:type="dxa"/>
              <w:left w:w="0" w:type="dxa"/>
              <w:bottom w:w="0" w:type="dxa"/>
              <w:right w:w="15" w:type="dxa"/>
            </w:tcMar>
            <w:vAlign w:val="bottom"/>
            <w:hideMark/>
          </w:tcPr>
          <w:p w14:paraId="4E44265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2780004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4972C0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6812E5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191" w:type="dxa"/>
            <w:shd w:val="clear" w:color="auto" w:fill="CFF0FC"/>
            <w:noWrap/>
            <w:tcMar>
              <w:top w:w="15" w:type="dxa"/>
              <w:left w:w="0" w:type="dxa"/>
              <w:bottom w:w="0" w:type="dxa"/>
              <w:right w:w="15" w:type="dxa"/>
            </w:tcMar>
            <w:vAlign w:val="bottom"/>
            <w:hideMark/>
          </w:tcPr>
          <w:p w14:paraId="04DC583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1430F2D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4E04F0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1C43EF1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1" w:type="dxa"/>
            <w:shd w:val="clear" w:color="auto" w:fill="CFF0FC"/>
            <w:noWrap/>
            <w:tcMar>
              <w:top w:w="15" w:type="dxa"/>
              <w:left w:w="0" w:type="dxa"/>
              <w:bottom w:w="0" w:type="dxa"/>
              <w:right w:w="15" w:type="dxa"/>
            </w:tcMar>
            <w:vAlign w:val="bottom"/>
            <w:hideMark/>
          </w:tcPr>
          <w:p w14:paraId="75375C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67DA235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68AADA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0133B7F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192" w:type="dxa"/>
            <w:shd w:val="clear" w:color="auto" w:fill="CFF0FC"/>
            <w:noWrap/>
            <w:tcMar>
              <w:top w:w="15" w:type="dxa"/>
              <w:left w:w="0" w:type="dxa"/>
              <w:bottom w:w="0" w:type="dxa"/>
              <w:right w:w="15" w:type="dxa"/>
            </w:tcMar>
            <w:vAlign w:val="bottom"/>
            <w:hideMark/>
          </w:tcPr>
          <w:p w14:paraId="3825DE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5BF5F828" w14:textId="77777777" w:rsidTr="00141675">
        <w:tc>
          <w:tcPr>
            <w:tcW w:w="12095" w:type="dxa"/>
            <w:shd w:val="clear" w:color="auto" w:fill="FFFFFF"/>
            <w:tcMar>
              <w:top w:w="15" w:type="dxa"/>
              <w:left w:w="0" w:type="dxa"/>
              <w:bottom w:w="0" w:type="dxa"/>
              <w:right w:w="15" w:type="dxa"/>
            </w:tcMar>
            <w:vAlign w:val="bottom"/>
            <w:hideMark/>
          </w:tcPr>
          <w:p w14:paraId="43B7ADB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Research and development</w:t>
            </w:r>
          </w:p>
        </w:tc>
        <w:tc>
          <w:tcPr>
            <w:tcW w:w="278" w:type="dxa"/>
            <w:shd w:val="clear" w:color="auto" w:fill="FFFFFF"/>
            <w:tcMar>
              <w:top w:w="15" w:type="dxa"/>
              <w:left w:w="0" w:type="dxa"/>
              <w:bottom w:w="0" w:type="dxa"/>
              <w:right w:w="15" w:type="dxa"/>
            </w:tcMar>
            <w:vAlign w:val="bottom"/>
            <w:hideMark/>
          </w:tcPr>
          <w:p w14:paraId="788F5CC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EE82E3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1C40E23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(1,531</w:t>
            </w:r>
          </w:p>
        </w:tc>
        <w:tc>
          <w:tcPr>
            <w:tcW w:w="191" w:type="dxa"/>
            <w:shd w:val="clear" w:color="auto" w:fill="FFFFFF"/>
            <w:noWrap/>
            <w:tcMar>
              <w:top w:w="15" w:type="dxa"/>
              <w:left w:w="0" w:type="dxa"/>
              <w:bottom w:w="0" w:type="dxa"/>
              <w:right w:w="15" w:type="dxa"/>
            </w:tcMar>
            <w:vAlign w:val="bottom"/>
            <w:hideMark/>
          </w:tcPr>
          <w:p w14:paraId="0034599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735CB88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71F533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17C7E36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(1,475</w:t>
            </w:r>
          </w:p>
        </w:tc>
        <w:tc>
          <w:tcPr>
            <w:tcW w:w="191" w:type="dxa"/>
            <w:shd w:val="clear" w:color="auto" w:fill="FFFFFF"/>
            <w:noWrap/>
            <w:tcMar>
              <w:top w:w="15" w:type="dxa"/>
              <w:left w:w="0" w:type="dxa"/>
              <w:bottom w:w="0" w:type="dxa"/>
              <w:right w:w="15" w:type="dxa"/>
            </w:tcMar>
            <w:vAlign w:val="bottom"/>
            <w:hideMark/>
          </w:tcPr>
          <w:p w14:paraId="6A6BED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498C47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5924E5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78D3B7F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(3,088</w:t>
            </w:r>
          </w:p>
        </w:tc>
        <w:tc>
          <w:tcPr>
            <w:tcW w:w="191" w:type="dxa"/>
            <w:shd w:val="clear" w:color="auto" w:fill="FFFFFF"/>
            <w:noWrap/>
            <w:tcMar>
              <w:top w:w="15" w:type="dxa"/>
              <w:left w:w="0" w:type="dxa"/>
              <w:bottom w:w="0" w:type="dxa"/>
              <w:right w:w="15" w:type="dxa"/>
            </w:tcMar>
            <w:vAlign w:val="bottom"/>
            <w:hideMark/>
          </w:tcPr>
          <w:p w14:paraId="6D457B8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1DA20E7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D11CC4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5ED608C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(3,039</w:t>
            </w:r>
          </w:p>
        </w:tc>
        <w:tc>
          <w:tcPr>
            <w:tcW w:w="192" w:type="dxa"/>
            <w:shd w:val="clear" w:color="auto" w:fill="FFFFFF"/>
            <w:noWrap/>
            <w:tcMar>
              <w:top w:w="15" w:type="dxa"/>
              <w:left w:w="0" w:type="dxa"/>
              <w:bottom w:w="0" w:type="dxa"/>
              <w:right w:w="15" w:type="dxa"/>
            </w:tcMar>
            <w:vAlign w:val="bottom"/>
            <w:hideMark/>
          </w:tcPr>
          <w:p w14:paraId="541C47A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389B92B8" w14:textId="77777777" w:rsidTr="00141675">
        <w:tc>
          <w:tcPr>
            <w:tcW w:w="12095" w:type="dxa"/>
            <w:shd w:val="clear" w:color="auto" w:fill="CFF0FC"/>
            <w:tcMar>
              <w:top w:w="15" w:type="dxa"/>
              <w:left w:w="0" w:type="dxa"/>
              <w:bottom w:w="0" w:type="dxa"/>
              <w:right w:w="15" w:type="dxa"/>
            </w:tcMar>
            <w:vAlign w:val="bottom"/>
            <w:hideMark/>
          </w:tcPr>
          <w:p w14:paraId="063E07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General and administrative</w:t>
            </w:r>
          </w:p>
        </w:tc>
        <w:tc>
          <w:tcPr>
            <w:tcW w:w="278" w:type="dxa"/>
            <w:shd w:val="clear" w:color="auto" w:fill="CFF0FC"/>
            <w:tcMar>
              <w:top w:w="15" w:type="dxa"/>
              <w:left w:w="0" w:type="dxa"/>
              <w:bottom w:w="0" w:type="dxa"/>
              <w:right w:w="15" w:type="dxa"/>
            </w:tcMar>
            <w:vAlign w:val="bottom"/>
            <w:hideMark/>
          </w:tcPr>
          <w:p w14:paraId="14B6561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211A49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9E3445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(323</w:t>
            </w:r>
          </w:p>
        </w:tc>
        <w:tc>
          <w:tcPr>
            <w:tcW w:w="191" w:type="dxa"/>
            <w:shd w:val="clear" w:color="auto" w:fill="CFF0FC"/>
            <w:noWrap/>
            <w:tcMar>
              <w:top w:w="15" w:type="dxa"/>
              <w:left w:w="0" w:type="dxa"/>
              <w:bottom w:w="0" w:type="dxa"/>
              <w:right w:w="15" w:type="dxa"/>
            </w:tcMar>
            <w:vAlign w:val="bottom"/>
            <w:hideMark/>
          </w:tcPr>
          <w:p w14:paraId="4EC091A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4CA045F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BA861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45AD9C5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(299</w:t>
            </w:r>
          </w:p>
        </w:tc>
        <w:tc>
          <w:tcPr>
            <w:tcW w:w="191" w:type="dxa"/>
            <w:shd w:val="clear" w:color="auto" w:fill="CFF0FC"/>
            <w:noWrap/>
            <w:tcMar>
              <w:top w:w="15" w:type="dxa"/>
              <w:left w:w="0" w:type="dxa"/>
              <w:bottom w:w="0" w:type="dxa"/>
              <w:right w:w="15" w:type="dxa"/>
            </w:tcMar>
            <w:vAlign w:val="bottom"/>
            <w:hideMark/>
          </w:tcPr>
          <w:p w14:paraId="30545D8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2F93B67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0CAD6B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109BA67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(615</w:t>
            </w:r>
          </w:p>
        </w:tc>
        <w:tc>
          <w:tcPr>
            <w:tcW w:w="191" w:type="dxa"/>
            <w:shd w:val="clear" w:color="auto" w:fill="CFF0FC"/>
            <w:noWrap/>
            <w:tcMar>
              <w:top w:w="15" w:type="dxa"/>
              <w:left w:w="0" w:type="dxa"/>
              <w:bottom w:w="0" w:type="dxa"/>
              <w:right w:w="15" w:type="dxa"/>
            </w:tcMar>
            <w:vAlign w:val="bottom"/>
            <w:hideMark/>
          </w:tcPr>
          <w:p w14:paraId="3E4CD18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240E32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FAAD32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772B24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(619</w:t>
            </w:r>
          </w:p>
        </w:tc>
        <w:tc>
          <w:tcPr>
            <w:tcW w:w="192" w:type="dxa"/>
            <w:shd w:val="clear" w:color="auto" w:fill="CFF0FC"/>
            <w:noWrap/>
            <w:tcMar>
              <w:top w:w="15" w:type="dxa"/>
              <w:left w:w="0" w:type="dxa"/>
              <w:bottom w:w="0" w:type="dxa"/>
              <w:right w:w="15" w:type="dxa"/>
            </w:tcMar>
            <w:vAlign w:val="bottom"/>
            <w:hideMark/>
          </w:tcPr>
          <w:p w14:paraId="362EB3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77E57DF6" w14:textId="77777777" w:rsidTr="00141675">
        <w:tc>
          <w:tcPr>
            <w:tcW w:w="12095" w:type="dxa"/>
            <w:shd w:val="clear" w:color="auto" w:fill="FFFFFF"/>
            <w:tcMar>
              <w:top w:w="15" w:type="dxa"/>
              <w:left w:w="0" w:type="dxa"/>
              <w:bottom w:w="0" w:type="dxa"/>
              <w:right w:w="15" w:type="dxa"/>
            </w:tcMar>
            <w:vAlign w:val="bottom"/>
            <w:hideMark/>
          </w:tcPr>
          <w:p w14:paraId="435875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Amortization of intangible assets</w:t>
            </w:r>
          </w:p>
        </w:tc>
        <w:tc>
          <w:tcPr>
            <w:tcW w:w="278" w:type="dxa"/>
            <w:shd w:val="clear" w:color="auto" w:fill="FFFFFF"/>
            <w:tcMar>
              <w:top w:w="15" w:type="dxa"/>
              <w:left w:w="0" w:type="dxa"/>
              <w:bottom w:w="0" w:type="dxa"/>
              <w:right w:w="15" w:type="dxa"/>
            </w:tcMar>
            <w:vAlign w:val="bottom"/>
            <w:hideMark/>
          </w:tcPr>
          <w:p w14:paraId="339FEB5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913510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151841C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(407</w:t>
            </w:r>
          </w:p>
        </w:tc>
        <w:tc>
          <w:tcPr>
            <w:tcW w:w="191" w:type="dxa"/>
            <w:shd w:val="clear" w:color="auto" w:fill="FFFFFF"/>
            <w:noWrap/>
            <w:tcMar>
              <w:top w:w="15" w:type="dxa"/>
              <w:left w:w="0" w:type="dxa"/>
              <w:bottom w:w="0" w:type="dxa"/>
              <w:right w:w="15" w:type="dxa"/>
            </w:tcMar>
            <w:vAlign w:val="bottom"/>
            <w:hideMark/>
          </w:tcPr>
          <w:p w14:paraId="5EA026A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40F82A8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B83CCD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5A571BF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(424</w:t>
            </w:r>
          </w:p>
        </w:tc>
        <w:tc>
          <w:tcPr>
            <w:tcW w:w="191" w:type="dxa"/>
            <w:shd w:val="clear" w:color="auto" w:fill="FFFFFF"/>
            <w:noWrap/>
            <w:tcMar>
              <w:top w:w="15" w:type="dxa"/>
              <w:left w:w="0" w:type="dxa"/>
              <w:bottom w:w="0" w:type="dxa"/>
              <w:right w:w="15" w:type="dxa"/>
            </w:tcMar>
            <w:vAlign w:val="bottom"/>
            <w:hideMark/>
          </w:tcPr>
          <w:p w14:paraId="5AD9B3B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6CD0688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24685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367CF2A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(821</w:t>
            </w:r>
          </w:p>
        </w:tc>
        <w:tc>
          <w:tcPr>
            <w:tcW w:w="191" w:type="dxa"/>
            <w:shd w:val="clear" w:color="auto" w:fill="FFFFFF"/>
            <w:noWrap/>
            <w:tcMar>
              <w:top w:w="15" w:type="dxa"/>
              <w:left w:w="0" w:type="dxa"/>
              <w:bottom w:w="0" w:type="dxa"/>
              <w:right w:w="15" w:type="dxa"/>
            </w:tcMar>
            <w:vAlign w:val="bottom"/>
            <w:hideMark/>
          </w:tcPr>
          <w:p w14:paraId="727567A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1D17397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F04F1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1BA7649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(858</w:t>
            </w:r>
          </w:p>
        </w:tc>
        <w:tc>
          <w:tcPr>
            <w:tcW w:w="192" w:type="dxa"/>
            <w:shd w:val="clear" w:color="auto" w:fill="FFFFFF"/>
            <w:noWrap/>
            <w:tcMar>
              <w:top w:w="15" w:type="dxa"/>
              <w:left w:w="0" w:type="dxa"/>
              <w:bottom w:w="0" w:type="dxa"/>
              <w:right w:w="15" w:type="dxa"/>
            </w:tcMar>
            <w:vAlign w:val="bottom"/>
            <w:hideMark/>
          </w:tcPr>
          <w:p w14:paraId="7FC9B30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5493F8D9" w14:textId="77777777" w:rsidTr="00141675">
        <w:tc>
          <w:tcPr>
            <w:tcW w:w="12095" w:type="dxa"/>
            <w:shd w:val="clear" w:color="auto" w:fill="CFF0FC"/>
            <w:tcMar>
              <w:top w:w="15" w:type="dxa"/>
              <w:left w:w="0" w:type="dxa"/>
              <w:bottom w:w="0" w:type="dxa"/>
              <w:right w:w="15" w:type="dxa"/>
            </w:tcMar>
            <w:vAlign w:val="bottom"/>
            <w:hideMark/>
          </w:tcPr>
          <w:p w14:paraId="3A1E3A9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Acquisition related and other</w:t>
            </w:r>
          </w:p>
        </w:tc>
        <w:tc>
          <w:tcPr>
            <w:tcW w:w="278" w:type="dxa"/>
            <w:shd w:val="clear" w:color="auto" w:fill="CFF0FC"/>
            <w:tcMar>
              <w:top w:w="15" w:type="dxa"/>
              <w:left w:w="0" w:type="dxa"/>
              <w:bottom w:w="0" w:type="dxa"/>
              <w:right w:w="15" w:type="dxa"/>
            </w:tcMar>
            <w:vAlign w:val="bottom"/>
            <w:hideMark/>
          </w:tcPr>
          <w:p w14:paraId="34BA357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6A270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00D0F5E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w:t>
            </w:r>
          </w:p>
        </w:tc>
        <w:tc>
          <w:tcPr>
            <w:tcW w:w="191" w:type="dxa"/>
            <w:shd w:val="clear" w:color="auto" w:fill="CFF0FC"/>
            <w:noWrap/>
            <w:tcMar>
              <w:top w:w="15" w:type="dxa"/>
              <w:left w:w="0" w:type="dxa"/>
              <w:bottom w:w="0" w:type="dxa"/>
              <w:right w:w="15" w:type="dxa"/>
            </w:tcMar>
            <w:vAlign w:val="bottom"/>
            <w:hideMark/>
          </w:tcPr>
          <w:p w14:paraId="6B765F0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3729888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F66C24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34393DC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w:t>
            </w:r>
          </w:p>
        </w:tc>
        <w:tc>
          <w:tcPr>
            <w:tcW w:w="191" w:type="dxa"/>
            <w:shd w:val="clear" w:color="auto" w:fill="CFF0FC"/>
            <w:noWrap/>
            <w:tcMar>
              <w:top w:w="15" w:type="dxa"/>
              <w:left w:w="0" w:type="dxa"/>
              <w:bottom w:w="0" w:type="dxa"/>
              <w:right w:w="15" w:type="dxa"/>
            </w:tcMar>
            <w:vAlign w:val="bottom"/>
            <w:hideMark/>
          </w:tcPr>
          <w:p w14:paraId="1304809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2EC5232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BE164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70D5C53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(37</w:t>
            </w:r>
          </w:p>
        </w:tc>
        <w:tc>
          <w:tcPr>
            <w:tcW w:w="191" w:type="dxa"/>
            <w:shd w:val="clear" w:color="auto" w:fill="CFF0FC"/>
            <w:noWrap/>
            <w:tcMar>
              <w:top w:w="15" w:type="dxa"/>
              <w:left w:w="0" w:type="dxa"/>
              <w:bottom w:w="0" w:type="dxa"/>
              <w:right w:w="15" w:type="dxa"/>
            </w:tcMar>
            <w:vAlign w:val="bottom"/>
            <w:hideMark/>
          </w:tcPr>
          <w:p w14:paraId="53FAD9B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597F377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080B9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566112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2" w:type="dxa"/>
            <w:shd w:val="clear" w:color="auto" w:fill="CFF0FC"/>
            <w:noWrap/>
            <w:tcMar>
              <w:top w:w="15" w:type="dxa"/>
              <w:left w:w="0" w:type="dxa"/>
              <w:bottom w:w="0" w:type="dxa"/>
              <w:right w:w="15" w:type="dxa"/>
            </w:tcMar>
            <w:vAlign w:val="bottom"/>
            <w:hideMark/>
          </w:tcPr>
          <w:p w14:paraId="17ACA07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08D5CDA4" w14:textId="77777777" w:rsidTr="00141675">
        <w:tc>
          <w:tcPr>
            <w:tcW w:w="12095" w:type="dxa"/>
            <w:shd w:val="clear" w:color="auto" w:fill="FFFFFF"/>
            <w:tcMar>
              <w:top w:w="15" w:type="dxa"/>
              <w:left w:w="0" w:type="dxa"/>
              <w:bottom w:w="0" w:type="dxa"/>
              <w:right w:w="15" w:type="dxa"/>
            </w:tcMar>
            <w:vAlign w:val="bottom"/>
            <w:hideMark/>
          </w:tcPr>
          <w:p w14:paraId="4BBE88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Restructuring</w:t>
            </w:r>
          </w:p>
        </w:tc>
        <w:tc>
          <w:tcPr>
            <w:tcW w:w="278" w:type="dxa"/>
            <w:shd w:val="clear" w:color="auto" w:fill="FFFFFF"/>
            <w:tcMar>
              <w:top w:w="15" w:type="dxa"/>
              <w:left w:w="0" w:type="dxa"/>
              <w:bottom w:w="0" w:type="dxa"/>
              <w:right w:w="15" w:type="dxa"/>
            </w:tcMar>
            <w:vAlign w:val="bottom"/>
            <w:hideMark/>
          </w:tcPr>
          <w:p w14:paraId="6798D69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D6DA3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221C5E7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(42</w:t>
            </w:r>
          </w:p>
        </w:tc>
        <w:tc>
          <w:tcPr>
            <w:tcW w:w="191" w:type="dxa"/>
            <w:shd w:val="clear" w:color="auto" w:fill="FFFFFF"/>
            <w:noWrap/>
            <w:tcMar>
              <w:top w:w="15" w:type="dxa"/>
              <w:left w:w="0" w:type="dxa"/>
              <w:bottom w:w="0" w:type="dxa"/>
              <w:right w:w="15" w:type="dxa"/>
            </w:tcMar>
            <w:vAlign w:val="bottom"/>
            <w:hideMark/>
          </w:tcPr>
          <w:p w14:paraId="355FAB2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3235E76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8FB84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441FCEC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(143</w:t>
            </w:r>
          </w:p>
        </w:tc>
        <w:tc>
          <w:tcPr>
            <w:tcW w:w="191" w:type="dxa"/>
            <w:shd w:val="clear" w:color="auto" w:fill="FFFFFF"/>
            <w:noWrap/>
            <w:tcMar>
              <w:top w:w="15" w:type="dxa"/>
              <w:left w:w="0" w:type="dxa"/>
              <w:bottom w:w="0" w:type="dxa"/>
              <w:right w:w="15" w:type="dxa"/>
            </w:tcMar>
            <w:vAlign w:val="bottom"/>
            <w:hideMark/>
          </w:tcPr>
          <w:p w14:paraId="134B8D4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54774AA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F7810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3C2C7FA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(120</w:t>
            </w:r>
          </w:p>
        </w:tc>
        <w:tc>
          <w:tcPr>
            <w:tcW w:w="191" w:type="dxa"/>
            <w:shd w:val="clear" w:color="auto" w:fill="FFFFFF"/>
            <w:noWrap/>
            <w:tcMar>
              <w:top w:w="15" w:type="dxa"/>
              <w:left w:w="0" w:type="dxa"/>
              <w:bottom w:w="0" w:type="dxa"/>
              <w:right w:w="15" w:type="dxa"/>
            </w:tcMar>
            <w:vAlign w:val="bottom"/>
            <w:hideMark/>
          </w:tcPr>
          <w:p w14:paraId="1228E89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466F4C3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6CC64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5A43DF7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(233</w:t>
            </w:r>
          </w:p>
        </w:tc>
        <w:tc>
          <w:tcPr>
            <w:tcW w:w="192" w:type="dxa"/>
            <w:shd w:val="clear" w:color="auto" w:fill="FFFFFF"/>
            <w:noWrap/>
            <w:tcMar>
              <w:top w:w="15" w:type="dxa"/>
              <w:left w:w="0" w:type="dxa"/>
              <w:bottom w:w="0" w:type="dxa"/>
              <w:right w:w="15" w:type="dxa"/>
            </w:tcMar>
            <w:vAlign w:val="bottom"/>
            <w:hideMark/>
          </w:tcPr>
          <w:p w14:paraId="78E1C88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745599D4" w14:textId="77777777" w:rsidTr="00141675">
        <w:tc>
          <w:tcPr>
            <w:tcW w:w="12095" w:type="dxa"/>
            <w:shd w:val="clear" w:color="auto" w:fill="CFF0FC"/>
            <w:tcMar>
              <w:top w:w="15" w:type="dxa"/>
              <w:left w:w="0" w:type="dxa"/>
              <w:bottom w:w="0" w:type="dxa"/>
              <w:right w:w="15" w:type="dxa"/>
            </w:tcMar>
            <w:vAlign w:val="bottom"/>
            <w:hideMark/>
          </w:tcPr>
          <w:p w14:paraId="0D3EB8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Stock-based compensation for operating segments</w:t>
            </w:r>
          </w:p>
        </w:tc>
        <w:tc>
          <w:tcPr>
            <w:tcW w:w="278" w:type="dxa"/>
            <w:shd w:val="clear" w:color="auto" w:fill="CFF0FC"/>
            <w:tcMar>
              <w:top w:w="15" w:type="dxa"/>
              <w:left w:w="0" w:type="dxa"/>
              <w:bottom w:w="0" w:type="dxa"/>
              <w:right w:w="15" w:type="dxa"/>
            </w:tcMar>
            <w:vAlign w:val="bottom"/>
            <w:hideMark/>
          </w:tcPr>
          <w:p w14:paraId="3A46B72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5EDF85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555DD86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(84</w:t>
            </w:r>
          </w:p>
        </w:tc>
        <w:tc>
          <w:tcPr>
            <w:tcW w:w="191" w:type="dxa"/>
            <w:shd w:val="clear" w:color="auto" w:fill="CFF0FC"/>
            <w:noWrap/>
            <w:tcMar>
              <w:top w:w="15" w:type="dxa"/>
              <w:left w:w="0" w:type="dxa"/>
              <w:bottom w:w="0" w:type="dxa"/>
              <w:right w:w="15" w:type="dxa"/>
            </w:tcMar>
            <w:vAlign w:val="bottom"/>
            <w:hideMark/>
          </w:tcPr>
          <w:p w14:paraId="0C43F8B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26A8F2F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A7D1AC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C7967E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(131</w:t>
            </w:r>
          </w:p>
        </w:tc>
        <w:tc>
          <w:tcPr>
            <w:tcW w:w="191" w:type="dxa"/>
            <w:shd w:val="clear" w:color="auto" w:fill="CFF0FC"/>
            <w:noWrap/>
            <w:tcMar>
              <w:top w:w="15" w:type="dxa"/>
              <w:left w:w="0" w:type="dxa"/>
              <w:bottom w:w="0" w:type="dxa"/>
              <w:right w:w="15" w:type="dxa"/>
            </w:tcMar>
            <w:vAlign w:val="bottom"/>
            <w:hideMark/>
          </w:tcPr>
          <w:p w14:paraId="089530A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5E77BDF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2BED9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5EB8AAC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(220</w:t>
            </w:r>
          </w:p>
        </w:tc>
        <w:tc>
          <w:tcPr>
            <w:tcW w:w="191" w:type="dxa"/>
            <w:shd w:val="clear" w:color="auto" w:fill="CFF0FC"/>
            <w:noWrap/>
            <w:tcMar>
              <w:top w:w="15" w:type="dxa"/>
              <w:left w:w="0" w:type="dxa"/>
              <w:bottom w:w="0" w:type="dxa"/>
              <w:right w:w="15" w:type="dxa"/>
            </w:tcMar>
            <w:vAlign w:val="bottom"/>
            <w:hideMark/>
          </w:tcPr>
          <w:p w14:paraId="6D7D918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0544C91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AE2C06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27FD36B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(266</w:t>
            </w:r>
          </w:p>
        </w:tc>
        <w:tc>
          <w:tcPr>
            <w:tcW w:w="192" w:type="dxa"/>
            <w:shd w:val="clear" w:color="auto" w:fill="CFF0FC"/>
            <w:noWrap/>
            <w:tcMar>
              <w:top w:w="15" w:type="dxa"/>
              <w:left w:w="0" w:type="dxa"/>
              <w:bottom w:w="0" w:type="dxa"/>
              <w:right w:w="15" w:type="dxa"/>
            </w:tcMar>
            <w:vAlign w:val="bottom"/>
            <w:hideMark/>
          </w:tcPr>
          <w:p w14:paraId="3828125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4B37A604" w14:textId="77777777" w:rsidTr="00141675">
        <w:tc>
          <w:tcPr>
            <w:tcW w:w="12095" w:type="dxa"/>
            <w:shd w:val="clear" w:color="auto" w:fill="FFFFFF"/>
            <w:tcMar>
              <w:top w:w="15" w:type="dxa"/>
              <w:left w:w="0" w:type="dxa"/>
              <w:bottom w:w="0" w:type="dxa"/>
              <w:right w:w="15" w:type="dxa"/>
            </w:tcMar>
            <w:vAlign w:val="bottom"/>
            <w:hideMark/>
          </w:tcPr>
          <w:p w14:paraId="12FB599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Expense allocations and other, net</w:t>
            </w:r>
          </w:p>
        </w:tc>
        <w:tc>
          <w:tcPr>
            <w:tcW w:w="278" w:type="dxa"/>
            <w:shd w:val="clear" w:color="auto" w:fill="FFFFFF"/>
            <w:tcMar>
              <w:top w:w="15" w:type="dxa"/>
              <w:left w:w="0" w:type="dxa"/>
              <w:bottom w:w="0" w:type="dxa"/>
              <w:right w:w="15" w:type="dxa"/>
            </w:tcMar>
            <w:vAlign w:val="bottom"/>
            <w:hideMark/>
          </w:tcPr>
          <w:p w14:paraId="4FA9E92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4614B9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639DA6F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(115</w:t>
            </w:r>
          </w:p>
        </w:tc>
        <w:tc>
          <w:tcPr>
            <w:tcW w:w="191" w:type="dxa"/>
            <w:shd w:val="clear" w:color="auto" w:fill="FFFFFF"/>
            <w:noWrap/>
            <w:tcMar>
              <w:top w:w="15" w:type="dxa"/>
              <w:left w:w="0" w:type="dxa"/>
              <w:bottom w:w="0" w:type="dxa"/>
              <w:right w:w="15" w:type="dxa"/>
            </w:tcMar>
            <w:vAlign w:val="bottom"/>
            <w:hideMark/>
          </w:tcPr>
          <w:p w14:paraId="321B13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53CE5AF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E84996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2FFD34C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(105</w:t>
            </w:r>
          </w:p>
        </w:tc>
        <w:tc>
          <w:tcPr>
            <w:tcW w:w="191" w:type="dxa"/>
            <w:shd w:val="clear" w:color="auto" w:fill="FFFFFF"/>
            <w:noWrap/>
            <w:tcMar>
              <w:top w:w="15" w:type="dxa"/>
              <w:left w:w="0" w:type="dxa"/>
              <w:bottom w:w="0" w:type="dxa"/>
              <w:right w:w="15" w:type="dxa"/>
            </w:tcMar>
            <w:vAlign w:val="bottom"/>
            <w:hideMark/>
          </w:tcPr>
          <w:p w14:paraId="1FDE40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2C5124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FDF783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7B1453E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(221</w:t>
            </w:r>
          </w:p>
        </w:tc>
        <w:tc>
          <w:tcPr>
            <w:tcW w:w="191" w:type="dxa"/>
            <w:shd w:val="clear" w:color="auto" w:fill="FFFFFF"/>
            <w:noWrap/>
            <w:tcMar>
              <w:top w:w="15" w:type="dxa"/>
              <w:left w:w="0" w:type="dxa"/>
              <w:bottom w:w="0" w:type="dxa"/>
              <w:right w:w="15" w:type="dxa"/>
            </w:tcMar>
            <w:vAlign w:val="bottom"/>
            <w:hideMark/>
          </w:tcPr>
          <w:p w14:paraId="55E401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FFFFFF"/>
            <w:tcMar>
              <w:top w:w="15" w:type="dxa"/>
              <w:left w:w="0" w:type="dxa"/>
              <w:bottom w:w="0" w:type="dxa"/>
              <w:right w:w="15" w:type="dxa"/>
            </w:tcMar>
            <w:vAlign w:val="bottom"/>
            <w:hideMark/>
          </w:tcPr>
          <w:p w14:paraId="27237F5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7D7D6C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4E56C1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(222</w:t>
            </w:r>
          </w:p>
        </w:tc>
        <w:tc>
          <w:tcPr>
            <w:tcW w:w="192" w:type="dxa"/>
            <w:shd w:val="clear" w:color="auto" w:fill="FFFFFF"/>
            <w:noWrap/>
            <w:tcMar>
              <w:top w:w="15" w:type="dxa"/>
              <w:left w:w="0" w:type="dxa"/>
              <w:bottom w:w="0" w:type="dxa"/>
              <w:right w:w="15" w:type="dxa"/>
            </w:tcMar>
            <w:vAlign w:val="bottom"/>
            <w:hideMark/>
          </w:tcPr>
          <w:p w14:paraId="71404F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1F752C5B" w14:textId="77777777" w:rsidTr="00141675">
        <w:tc>
          <w:tcPr>
            <w:tcW w:w="12095" w:type="dxa"/>
            <w:shd w:val="clear" w:color="auto" w:fill="CFF0FC"/>
            <w:tcMar>
              <w:top w:w="15" w:type="dxa"/>
              <w:left w:w="0" w:type="dxa"/>
              <w:bottom w:w="0" w:type="dxa"/>
              <w:right w:w="15" w:type="dxa"/>
            </w:tcMar>
            <w:vAlign w:val="bottom"/>
            <w:hideMark/>
          </w:tcPr>
          <w:p w14:paraId="30E8B5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Interest expense</w:t>
            </w:r>
          </w:p>
        </w:tc>
        <w:tc>
          <w:tcPr>
            <w:tcW w:w="278" w:type="dxa"/>
            <w:shd w:val="clear" w:color="auto" w:fill="CFF0FC"/>
            <w:tcMar>
              <w:top w:w="15" w:type="dxa"/>
              <w:left w:w="0" w:type="dxa"/>
              <w:bottom w:w="0" w:type="dxa"/>
              <w:right w:w="15" w:type="dxa"/>
            </w:tcMar>
            <w:vAlign w:val="bottom"/>
            <w:hideMark/>
          </w:tcPr>
          <w:p w14:paraId="6A80409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53B814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6DA799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(465</w:t>
            </w:r>
          </w:p>
        </w:tc>
        <w:tc>
          <w:tcPr>
            <w:tcW w:w="191" w:type="dxa"/>
            <w:shd w:val="clear" w:color="auto" w:fill="CFF0FC"/>
            <w:noWrap/>
            <w:tcMar>
              <w:top w:w="15" w:type="dxa"/>
              <w:left w:w="0" w:type="dxa"/>
              <w:bottom w:w="0" w:type="dxa"/>
              <w:right w:w="15" w:type="dxa"/>
            </w:tcMar>
            <w:vAlign w:val="bottom"/>
            <w:hideMark/>
          </w:tcPr>
          <w:p w14:paraId="6678AE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3EDA2A6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299BFD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6F6219D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(519</w:t>
            </w:r>
          </w:p>
        </w:tc>
        <w:tc>
          <w:tcPr>
            <w:tcW w:w="191" w:type="dxa"/>
            <w:shd w:val="clear" w:color="auto" w:fill="CFF0FC"/>
            <w:noWrap/>
            <w:tcMar>
              <w:top w:w="15" w:type="dxa"/>
              <w:left w:w="0" w:type="dxa"/>
              <w:bottom w:w="0" w:type="dxa"/>
              <w:right w:w="15" w:type="dxa"/>
            </w:tcMar>
            <w:vAlign w:val="bottom"/>
            <w:hideMark/>
          </w:tcPr>
          <w:p w14:paraId="2186FCF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52A272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D0802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77543B5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(959</w:t>
            </w:r>
          </w:p>
        </w:tc>
        <w:tc>
          <w:tcPr>
            <w:tcW w:w="191" w:type="dxa"/>
            <w:shd w:val="clear" w:color="auto" w:fill="CFF0FC"/>
            <w:noWrap/>
            <w:tcMar>
              <w:top w:w="15" w:type="dxa"/>
              <w:left w:w="0" w:type="dxa"/>
              <w:bottom w:w="0" w:type="dxa"/>
              <w:right w:w="15" w:type="dxa"/>
            </w:tcMar>
            <w:vAlign w:val="bottom"/>
            <w:hideMark/>
          </w:tcPr>
          <w:p w14:paraId="75747E5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78" w:type="dxa"/>
            <w:shd w:val="clear" w:color="auto" w:fill="CFF0FC"/>
            <w:tcMar>
              <w:top w:w="15" w:type="dxa"/>
              <w:left w:w="0" w:type="dxa"/>
              <w:bottom w:w="0" w:type="dxa"/>
              <w:right w:w="15" w:type="dxa"/>
            </w:tcMar>
            <w:vAlign w:val="bottom"/>
            <w:hideMark/>
          </w:tcPr>
          <w:p w14:paraId="111EFF3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D3171F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1CEED9A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(1,048</w:t>
            </w:r>
          </w:p>
        </w:tc>
        <w:tc>
          <w:tcPr>
            <w:tcW w:w="192" w:type="dxa"/>
            <w:shd w:val="clear" w:color="auto" w:fill="CFF0FC"/>
            <w:noWrap/>
            <w:tcMar>
              <w:top w:w="15" w:type="dxa"/>
              <w:left w:w="0" w:type="dxa"/>
              <w:bottom w:w="0" w:type="dxa"/>
              <w:right w:w="15" w:type="dxa"/>
            </w:tcMar>
            <w:vAlign w:val="bottom"/>
            <w:hideMark/>
          </w:tcPr>
          <w:p w14:paraId="1221382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4CB35720" w14:textId="77777777" w:rsidTr="00141675">
        <w:tc>
          <w:tcPr>
            <w:tcW w:w="12095" w:type="dxa"/>
            <w:shd w:val="clear" w:color="auto" w:fill="FFFFFF"/>
            <w:tcMar>
              <w:top w:w="15" w:type="dxa"/>
              <w:left w:w="0" w:type="dxa"/>
              <w:bottom w:w="0" w:type="dxa"/>
              <w:right w:w="15" w:type="dxa"/>
            </w:tcMar>
            <w:vAlign w:val="bottom"/>
            <w:hideMark/>
          </w:tcPr>
          <w:p w14:paraId="6D336B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Non-operating income, net</w:t>
            </w:r>
          </w:p>
        </w:tc>
        <w:tc>
          <w:tcPr>
            <w:tcW w:w="278" w:type="dxa"/>
            <w:shd w:val="clear" w:color="auto" w:fill="FFFFFF"/>
            <w:tcMar>
              <w:top w:w="15" w:type="dxa"/>
              <w:left w:w="0" w:type="dxa"/>
              <w:bottom w:w="0" w:type="dxa"/>
              <w:right w:w="15" w:type="dxa"/>
            </w:tcMar>
            <w:vAlign w:val="bottom"/>
            <w:hideMark/>
          </w:tcPr>
          <w:p w14:paraId="68A6B8C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F0AFF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43F3433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92</w:t>
            </w:r>
          </w:p>
        </w:tc>
        <w:tc>
          <w:tcPr>
            <w:tcW w:w="191" w:type="dxa"/>
            <w:shd w:val="clear" w:color="auto" w:fill="FFFFFF"/>
            <w:noWrap/>
            <w:tcMar>
              <w:top w:w="15" w:type="dxa"/>
              <w:left w:w="0" w:type="dxa"/>
              <w:bottom w:w="0" w:type="dxa"/>
              <w:right w:w="15" w:type="dxa"/>
            </w:tcMar>
            <w:vAlign w:val="bottom"/>
            <w:hideMark/>
          </w:tcPr>
          <w:p w14:paraId="66656F5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5C6C38F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ED21A9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1D53224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192</w:t>
            </w:r>
          </w:p>
        </w:tc>
        <w:tc>
          <w:tcPr>
            <w:tcW w:w="191" w:type="dxa"/>
            <w:shd w:val="clear" w:color="auto" w:fill="FFFFFF"/>
            <w:noWrap/>
            <w:tcMar>
              <w:top w:w="15" w:type="dxa"/>
              <w:left w:w="0" w:type="dxa"/>
              <w:bottom w:w="0" w:type="dxa"/>
              <w:right w:w="15" w:type="dxa"/>
            </w:tcMar>
            <w:vAlign w:val="bottom"/>
            <w:hideMark/>
          </w:tcPr>
          <w:p w14:paraId="19567D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26278E7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690EC0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10BCAED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191</w:t>
            </w:r>
          </w:p>
        </w:tc>
        <w:tc>
          <w:tcPr>
            <w:tcW w:w="191" w:type="dxa"/>
            <w:shd w:val="clear" w:color="auto" w:fill="FFFFFF"/>
            <w:noWrap/>
            <w:tcMar>
              <w:top w:w="15" w:type="dxa"/>
              <w:left w:w="0" w:type="dxa"/>
              <w:bottom w:w="0" w:type="dxa"/>
              <w:right w:w="15" w:type="dxa"/>
            </w:tcMar>
            <w:vAlign w:val="bottom"/>
            <w:hideMark/>
          </w:tcPr>
          <w:p w14:paraId="318CABE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7CAB741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8907E0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3A3FA1E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484</w:t>
            </w:r>
          </w:p>
        </w:tc>
        <w:tc>
          <w:tcPr>
            <w:tcW w:w="192" w:type="dxa"/>
            <w:shd w:val="clear" w:color="auto" w:fill="FFFFFF"/>
            <w:noWrap/>
            <w:tcMar>
              <w:top w:w="15" w:type="dxa"/>
              <w:left w:w="0" w:type="dxa"/>
              <w:bottom w:w="0" w:type="dxa"/>
              <w:right w:w="15" w:type="dxa"/>
            </w:tcMar>
            <w:vAlign w:val="bottom"/>
            <w:hideMark/>
          </w:tcPr>
          <w:p w14:paraId="36328F6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A4F21DA" w14:textId="77777777" w:rsidTr="00141675">
        <w:tc>
          <w:tcPr>
            <w:tcW w:w="12095" w:type="dxa"/>
            <w:shd w:val="clear" w:color="auto" w:fill="CFF0FC"/>
            <w:tcMar>
              <w:top w:w="15" w:type="dxa"/>
              <w:left w:w="0" w:type="dxa"/>
              <w:bottom w:w="0" w:type="dxa"/>
              <w:right w:w="15" w:type="dxa"/>
            </w:tcMar>
            <w:vAlign w:val="bottom"/>
            <w:hideMark/>
          </w:tcPr>
          <w:p w14:paraId="17224D21"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Income before provision for income taxes</w:t>
            </w:r>
          </w:p>
        </w:tc>
        <w:tc>
          <w:tcPr>
            <w:tcW w:w="278" w:type="dxa"/>
            <w:shd w:val="clear" w:color="auto" w:fill="CFF0FC"/>
            <w:tcMar>
              <w:top w:w="15" w:type="dxa"/>
              <w:left w:w="0" w:type="dxa"/>
              <w:bottom w:w="0" w:type="dxa"/>
              <w:right w:w="15" w:type="dxa"/>
            </w:tcMar>
            <w:vAlign w:val="bottom"/>
            <w:hideMark/>
          </w:tcPr>
          <w:p w14:paraId="19F5B10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195ECD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AB683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2,810</w:t>
            </w:r>
          </w:p>
        </w:tc>
        <w:tc>
          <w:tcPr>
            <w:tcW w:w="191" w:type="dxa"/>
            <w:shd w:val="clear" w:color="auto" w:fill="CFF0FC"/>
            <w:noWrap/>
            <w:tcMar>
              <w:top w:w="15" w:type="dxa"/>
              <w:left w:w="0" w:type="dxa"/>
              <w:bottom w:w="0" w:type="dxa"/>
              <w:right w:w="15" w:type="dxa"/>
            </w:tcMar>
            <w:vAlign w:val="bottom"/>
            <w:hideMark/>
          </w:tcPr>
          <w:p w14:paraId="1DC8FE3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2CD3DE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6CC8A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FD90B5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2,774</w:t>
            </w:r>
          </w:p>
        </w:tc>
        <w:tc>
          <w:tcPr>
            <w:tcW w:w="191" w:type="dxa"/>
            <w:shd w:val="clear" w:color="auto" w:fill="CFF0FC"/>
            <w:noWrap/>
            <w:tcMar>
              <w:top w:w="15" w:type="dxa"/>
              <w:left w:w="0" w:type="dxa"/>
              <w:bottom w:w="0" w:type="dxa"/>
              <w:right w:w="15" w:type="dxa"/>
            </w:tcMar>
            <w:vAlign w:val="bottom"/>
            <w:hideMark/>
          </w:tcPr>
          <w:p w14:paraId="4494AA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657021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2F8720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03AE3B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5,292</w:t>
            </w:r>
          </w:p>
        </w:tc>
        <w:tc>
          <w:tcPr>
            <w:tcW w:w="191" w:type="dxa"/>
            <w:shd w:val="clear" w:color="auto" w:fill="CFF0FC"/>
            <w:noWrap/>
            <w:tcMar>
              <w:top w:w="15" w:type="dxa"/>
              <w:left w:w="0" w:type="dxa"/>
              <w:bottom w:w="0" w:type="dxa"/>
              <w:right w:w="15" w:type="dxa"/>
            </w:tcMar>
            <w:vAlign w:val="bottom"/>
            <w:hideMark/>
          </w:tcPr>
          <w:p w14:paraId="5E3F8CC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7093E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AA178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547FA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5,314</w:t>
            </w:r>
          </w:p>
        </w:tc>
        <w:tc>
          <w:tcPr>
            <w:tcW w:w="192" w:type="dxa"/>
            <w:shd w:val="clear" w:color="auto" w:fill="CFF0FC"/>
            <w:noWrap/>
            <w:tcMar>
              <w:top w:w="15" w:type="dxa"/>
              <w:left w:w="0" w:type="dxa"/>
              <w:bottom w:w="0" w:type="dxa"/>
              <w:right w:w="15" w:type="dxa"/>
            </w:tcMar>
            <w:vAlign w:val="bottom"/>
            <w:hideMark/>
          </w:tcPr>
          <w:p w14:paraId="04B26165"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58D290F2" w14:textId="77777777" w:rsidR="00141675" w:rsidRPr="00141675" w:rsidRDefault="00141675" w:rsidP="00141675">
      <w:pPr>
        <w:widowControl/>
        <w:pBdr>
          <w:bottom w:val="single" w:sz="6" w:space="1" w:color="auto"/>
        </w:pBdr>
        <w:ind w:right="18324"/>
        <w:jc w:val="left"/>
        <w:rPr>
          <w:rFonts w:ascii="Times New Roman" w:eastAsia="宋体" w:hAnsi="Times New Roman" w:cs="Times New Roman"/>
          <w:kern w:val="0"/>
          <w:sz w:val="8"/>
          <w:szCs w:val="8"/>
        </w:rPr>
      </w:pPr>
      <w:r w:rsidRPr="00141675">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319E2621" w14:textId="77777777" w:rsidTr="00141675">
        <w:tc>
          <w:tcPr>
            <w:tcW w:w="794" w:type="dxa"/>
            <w:noWrap/>
            <w:hideMark/>
          </w:tcPr>
          <w:p w14:paraId="210F6B35"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67909B2E"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Cloud and </w:t>
            </w:r>
            <w:r w:rsidRPr="00141675">
              <w:rPr>
                <w:rFonts w:ascii="Calibri" w:eastAsia="宋体" w:hAnsi="Calibri" w:cs="Calibri"/>
                <w:color w:val="000000"/>
                <w:kern w:val="0"/>
                <w:sz w:val="15"/>
                <w:szCs w:val="15"/>
              </w:rPr>
              <w:t>license revenues presented </w:t>
            </w:r>
            <w:r w:rsidRPr="00141675">
              <w:rPr>
                <w:rFonts w:ascii="Calibri" w:eastAsia="宋体" w:hAnsi="Calibri" w:cs="Calibri"/>
                <w:kern w:val="0"/>
                <w:sz w:val="15"/>
                <w:szCs w:val="15"/>
              </w:rPr>
              <w:t>for management reporting included revenues related to cloud and license obligations that would have otherwise been recorded by the acquired businesses as independent entities but were not recognized in our condensed consolidated statements of operations for the periods presented due to business combination accounting requirements. See Note 6 for an explanation of these adjustments and this table for a reconciliation of our total operating segment revenues to our total revenues as reported in our condensed consolidated statements of operations.</w:t>
            </w:r>
          </w:p>
        </w:tc>
      </w:tr>
    </w:tbl>
    <w:p w14:paraId="1B29817A"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Disaggregation of Revenues</w:t>
      </w:r>
    </w:p>
    <w:p w14:paraId="2258F5B8"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lastRenderedPageBreak/>
        <w:t>We have considered information that is regularly reviewed by our CODMs in evaluating financial performance, and disclosures presented outside of our financial statements in our earnings releases and used in investor presentations to disaggregate revenues to depict how the nature, amount, timing and uncertainty of revenues and cash flows are affected by economic factors. The principal category we use to disaggregate revenues is the nature of our products and services as presented in our condensed consolidated statements of operations, the total of which is reconciled to revenues from our reportable segments as per the preceding tables of this footnote.</w:t>
      </w:r>
    </w:p>
    <w:p w14:paraId="49D769DC"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The following table is a summary of our total revenues by geographic region. The relative proportion of our total revenues between each geographic region as presented in the table below was materially consistent across each of our operating segments’ revenues for the periods presented.</w:t>
      </w:r>
    </w:p>
    <w:p w14:paraId="68050AD7"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w:t>
      </w:r>
    </w:p>
    <w:p w14:paraId="247DC5DB"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073B1EE2">
          <v:rect id="_x0000_i1048" style="width:0;height:1.5pt" o:hralign="center" o:hrstd="t" o:hrnoshade="t" o:hr="t" fillcolor="black" stroked="f"/>
        </w:pict>
      </w:r>
    </w:p>
    <w:p w14:paraId="081C1DAE" w14:textId="77777777" w:rsidR="00141675" w:rsidRPr="00141675" w:rsidRDefault="00141675" w:rsidP="00141675">
      <w:pPr>
        <w:widowControl/>
        <w:jc w:val="left"/>
        <w:rPr>
          <w:rFonts w:ascii="Calibri" w:eastAsia="宋体" w:hAnsi="Calibri" w:cs="Calibri"/>
          <w:b/>
          <w:bCs/>
          <w:color w:val="000000"/>
          <w:kern w:val="0"/>
          <w:sz w:val="20"/>
          <w:szCs w:val="20"/>
        </w:rPr>
      </w:pPr>
      <w:hyperlink r:id="rId45" w:anchor="TABLE_CONTENTS" w:history="1">
        <w:r w:rsidRPr="00141675">
          <w:rPr>
            <w:rFonts w:ascii="Calibri" w:eastAsia="宋体" w:hAnsi="Calibri" w:cs="Calibri"/>
            <w:b/>
            <w:bCs/>
            <w:color w:val="0000FF"/>
            <w:kern w:val="0"/>
            <w:sz w:val="20"/>
            <w:szCs w:val="20"/>
            <w:u w:val="single"/>
          </w:rPr>
          <w:t>Table of Contents</w:t>
        </w:r>
      </w:hyperlink>
    </w:p>
    <w:p w14:paraId="39AB5BC0"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7DEBAFC9"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55C3A67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4DD5BAD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1B6D5F8A"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4DF6E2A9"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136249B6" w14:textId="77777777" w:rsidR="00141675" w:rsidRPr="00141675" w:rsidRDefault="00141675" w:rsidP="00141675">
      <w:pPr>
        <w:widowControl/>
        <w:rPr>
          <w:rFonts w:ascii="Times New Roman" w:eastAsia="宋体" w:hAnsi="Times New Roman" w:cs="Times New Roman"/>
          <w:kern w:val="0"/>
          <w:sz w:val="16"/>
          <w:szCs w:val="16"/>
        </w:rPr>
      </w:pPr>
      <w:r w:rsidRPr="00141675">
        <w:rPr>
          <w:rFonts w:ascii="Times New Roman" w:eastAsia="宋体" w:hAnsi="Times New Roman" w:cs="Times New Roman"/>
          <w:kern w:val="0"/>
          <w:sz w:val="16"/>
          <w:szCs w:val="16"/>
        </w:rPr>
        <w:t> </w:t>
      </w:r>
    </w:p>
    <w:tbl>
      <w:tblPr>
        <w:tblW w:w="20614" w:type="dxa"/>
        <w:tblCellMar>
          <w:left w:w="0" w:type="dxa"/>
          <w:right w:w="0" w:type="dxa"/>
        </w:tblCellMar>
        <w:tblLook w:val="04A0" w:firstRow="1" w:lastRow="0" w:firstColumn="1" w:lastColumn="0" w:noHBand="0" w:noVBand="1"/>
      </w:tblPr>
      <w:tblGrid>
        <w:gridCol w:w="12119"/>
        <w:gridCol w:w="279"/>
        <w:gridCol w:w="199"/>
        <w:gridCol w:w="1424"/>
        <w:gridCol w:w="199"/>
        <w:gridCol w:w="279"/>
        <w:gridCol w:w="199"/>
        <w:gridCol w:w="1469"/>
        <w:gridCol w:w="199"/>
        <w:gridCol w:w="279"/>
        <w:gridCol w:w="199"/>
        <w:gridCol w:w="1424"/>
        <w:gridCol w:w="199"/>
        <w:gridCol w:w="279"/>
        <w:gridCol w:w="199"/>
        <w:gridCol w:w="1469"/>
        <w:gridCol w:w="200"/>
      </w:tblGrid>
      <w:tr w:rsidR="00141675" w:rsidRPr="00141675" w14:paraId="60BC1738" w14:textId="77777777" w:rsidTr="00141675">
        <w:tc>
          <w:tcPr>
            <w:tcW w:w="12095" w:type="dxa"/>
            <w:shd w:val="clear" w:color="auto" w:fill="FFFFFF"/>
            <w:tcMar>
              <w:top w:w="15" w:type="dxa"/>
              <w:left w:w="0" w:type="dxa"/>
              <w:bottom w:w="0" w:type="dxa"/>
              <w:right w:w="15" w:type="dxa"/>
            </w:tcMar>
            <w:vAlign w:val="bottom"/>
            <w:hideMark/>
          </w:tcPr>
          <w:p w14:paraId="3CB27634" w14:textId="77777777" w:rsidR="00141675" w:rsidRPr="00141675" w:rsidRDefault="00141675" w:rsidP="00141675">
            <w:pPr>
              <w:widowControl/>
              <w:jc w:val="center"/>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78" w:type="dxa"/>
            <w:shd w:val="clear" w:color="auto" w:fill="FFFFFF"/>
            <w:tcMar>
              <w:top w:w="15" w:type="dxa"/>
              <w:left w:w="0" w:type="dxa"/>
              <w:bottom w:w="0" w:type="dxa"/>
              <w:right w:w="15" w:type="dxa"/>
            </w:tcMar>
            <w:vAlign w:val="bottom"/>
            <w:hideMark/>
          </w:tcPr>
          <w:p w14:paraId="256D6D6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7209D67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7E755DD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779E977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1A258248"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2C03B3B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25131A4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2" w:type="dxa"/>
            <w:shd w:val="clear" w:color="auto" w:fill="FFFFFF"/>
            <w:noWrap/>
            <w:tcMar>
              <w:top w:w="15" w:type="dxa"/>
              <w:left w:w="0" w:type="dxa"/>
              <w:bottom w:w="0" w:type="dxa"/>
              <w:right w:w="15" w:type="dxa"/>
            </w:tcMar>
            <w:vAlign w:val="bottom"/>
            <w:hideMark/>
          </w:tcPr>
          <w:p w14:paraId="68E2D2C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DE82C77" w14:textId="77777777" w:rsidTr="00141675">
        <w:tc>
          <w:tcPr>
            <w:tcW w:w="12095" w:type="dxa"/>
            <w:tcBorders>
              <w:bottom w:val="single" w:sz="6" w:space="0" w:color="000000"/>
            </w:tcBorders>
            <w:shd w:val="clear" w:color="auto" w:fill="FFFFFF"/>
            <w:tcMar>
              <w:top w:w="15" w:type="dxa"/>
              <w:left w:w="0" w:type="dxa"/>
              <w:bottom w:w="0" w:type="dxa"/>
              <w:right w:w="15" w:type="dxa"/>
            </w:tcMar>
            <w:vAlign w:val="bottom"/>
            <w:hideMark/>
          </w:tcPr>
          <w:p w14:paraId="2AD3A8C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78" w:type="dxa"/>
            <w:shd w:val="clear" w:color="auto" w:fill="FFFFFF"/>
            <w:tcMar>
              <w:top w:w="15" w:type="dxa"/>
              <w:left w:w="0" w:type="dxa"/>
              <w:bottom w:w="0" w:type="dxa"/>
              <w:right w:w="15" w:type="dxa"/>
            </w:tcMar>
            <w:vAlign w:val="bottom"/>
            <w:hideMark/>
          </w:tcPr>
          <w:p w14:paraId="14FE56D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568F0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1FBA1BB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41C543D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7C7A60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513A4DF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44CDBF44"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42F78E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C3F2B8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2E750D6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B8F962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2E7F8A4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3E583C5" w14:textId="77777777" w:rsidTr="00141675">
        <w:tc>
          <w:tcPr>
            <w:tcW w:w="12095" w:type="dxa"/>
            <w:tcBorders>
              <w:top w:val="single" w:sz="6" w:space="0" w:color="000000"/>
            </w:tcBorders>
            <w:shd w:val="clear" w:color="auto" w:fill="CFF0FC"/>
            <w:tcMar>
              <w:top w:w="15" w:type="dxa"/>
              <w:left w:w="0" w:type="dxa"/>
              <w:bottom w:w="0" w:type="dxa"/>
              <w:right w:w="15" w:type="dxa"/>
            </w:tcMar>
            <w:hideMark/>
          </w:tcPr>
          <w:p w14:paraId="7EFEC24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Americas</w:t>
            </w:r>
          </w:p>
        </w:tc>
        <w:tc>
          <w:tcPr>
            <w:tcW w:w="278" w:type="dxa"/>
            <w:shd w:val="clear" w:color="auto" w:fill="CFF0FC"/>
            <w:tcMar>
              <w:top w:w="15" w:type="dxa"/>
              <w:left w:w="0" w:type="dxa"/>
              <w:bottom w:w="0" w:type="dxa"/>
              <w:right w:w="15" w:type="dxa"/>
            </w:tcMar>
            <w:vAlign w:val="bottom"/>
            <w:hideMark/>
          </w:tcPr>
          <w:p w14:paraId="0E70BB3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5CA421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B550B9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5,304</w:t>
            </w:r>
          </w:p>
        </w:tc>
        <w:tc>
          <w:tcPr>
            <w:tcW w:w="191" w:type="dxa"/>
            <w:shd w:val="clear" w:color="auto" w:fill="CFF0FC"/>
            <w:noWrap/>
            <w:tcMar>
              <w:top w:w="15" w:type="dxa"/>
              <w:left w:w="0" w:type="dxa"/>
              <w:bottom w:w="0" w:type="dxa"/>
              <w:right w:w="15" w:type="dxa"/>
            </w:tcMar>
            <w:vAlign w:val="bottom"/>
            <w:hideMark/>
          </w:tcPr>
          <w:p w14:paraId="58A9BCE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02BFB93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03227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6F152D1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5,243</w:t>
            </w:r>
          </w:p>
        </w:tc>
        <w:tc>
          <w:tcPr>
            <w:tcW w:w="191" w:type="dxa"/>
            <w:shd w:val="clear" w:color="auto" w:fill="CFF0FC"/>
            <w:noWrap/>
            <w:tcMar>
              <w:top w:w="15" w:type="dxa"/>
              <w:left w:w="0" w:type="dxa"/>
              <w:bottom w:w="0" w:type="dxa"/>
              <w:right w:w="15" w:type="dxa"/>
            </w:tcMar>
            <w:vAlign w:val="bottom"/>
            <w:hideMark/>
          </w:tcPr>
          <w:p w14:paraId="1A70542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2593302"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306C1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53CE2D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10,454</w:t>
            </w:r>
          </w:p>
        </w:tc>
        <w:tc>
          <w:tcPr>
            <w:tcW w:w="191" w:type="dxa"/>
            <w:shd w:val="clear" w:color="auto" w:fill="CFF0FC"/>
            <w:noWrap/>
            <w:tcMar>
              <w:top w:w="15" w:type="dxa"/>
              <w:left w:w="0" w:type="dxa"/>
              <w:bottom w:w="0" w:type="dxa"/>
              <w:right w:w="15" w:type="dxa"/>
            </w:tcMar>
            <w:vAlign w:val="bottom"/>
            <w:hideMark/>
          </w:tcPr>
          <w:p w14:paraId="0BD6518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38028D9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4FDF89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2E36E84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10,404</w:t>
            </w:r>
          </w:p>
        </w:tc>
        <w:tc>
          <w:tcPr>
            <w:tcW w:w="192" w:type="dxa"/>
            <w:shd w:val="clear" w:color="auto" w:fill="CFF0FC"/>
            <w:noWrap/>
            <w:tcMar>
              <w:top w:w="15" w:type="dxa"/>
              <w:left w:w="0" w:type="dxa"/>
              <w:bottom w:w="0" w:type="dxa"/>
              <w:right w:w="15" w:type="dxa"/>
            </w:tcMar>
            <w:vAlign w:val="bottom"/>
            <w:hideMark/>
          </w:tcPr>
          <w:p w14:paraId="0B7934A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EF4C278" w14:textId="77777777" w:rsidTr="00141675">
        <w:tc>
          <w:tcPr>
            <w:tcW w:w="12095" w:type="dxa"/>
            <w:shd w:val="clear" w:color="auto" w:fill="FFFFFF"/>
            <w:tcMar>
              <w:top w:w="15" w:type="dxa"/>
              <w:left w:w="0" w:type="dxa"/>
              <w:bottom w:w="0" w:type="dxa"/>
              <w:right w:w="15" w:type="dxa"/>
            </w:tcMar>
            <w:hideMark/>
          </w:tcPr>
          <w:p w14:paraId="56FCF0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EMEA</w:t>
            </w:r>
            <w:r w:rsidRPr="00141675">
              <w:rPr>
                <w:rFonts w:ascii="Calibri" w:eastAsia="宋体" w:hAnsi="Calibri" w:cs="Calibri"/>
                <w:color w:val="000000"/>
                <w:kern w:val="0"/>
                <w:sz w:val="18"/>
                <w:szCs w:val="18"/>
                <w:vertAlign w:val="superscript"/>
              </w:rPr>
              <w:t>(1)</w:t>
            </w:r>
          </w:p>
        </w:tc>
        <w:tc>
          <w:tcPr>
            <w:tcW w:w="278" w:type="dxa"/>
            <w:shd w:val="clear" w:color="auto" w:fill="FFFFFF"/>
            <w:tcMar>
              <w:top w:w="15" w:type="dxa"/>
              <w:left w:w="0" w:type="dxa"/>
              <w:bottom w:w="0" w:type="dxa"/>
              <w:right w:w="15" w:type="dxa"/>
            </w:tcMar>
            <w:vAlign w:val="bottom"/>
            <w:hideMark/>
          </w:tcPr>
          <w:p w14:paraId="40A86F6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8C6F2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23632C0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2,695</w:t>
            </w:r>
          </w:p>
        </w:tc>
        <w:tc>
          <w:tcPr>
            <w:tcW w:w="191" w:type="dxa"/>
            <w:shd w:val="clear" w:color="auto" w:fill="FFFFFF"/>
            <w:noWrap/>
            <w:tcMar>
              <w:top w:w="15" w:type="dxa"/>
              <w:left w:w="0" w:type="dxa"/>
              <w:bottom w:w="0" w:type="dxa"/>
              <w:right w:w="15" w:type="dxa"/>
            </w:tcMar>
            <w:vAlign w:val="bottom"/>
            <w:hideMark/>
          </w:tcPr>
          <w:p w14:paraId="2E9C8A3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466E537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185CC8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550378D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2,782</w:t>
            </w:r>
          </w:p>
        </w:tc>
        <w:tc>
          <w:tcPr>
            <w:tcW w:w="191" w:type="dxa"/>
            <w:shd w:val="clear" w:color="auto" w:fill="FFFFFF"/>
            <w:noWrap/>
            <w:tcMar>
              <w:top w:w="15" w:type="dxa"/>
              <w:left w:w="0" w:type="dxa"/>
              <w:bottom w:w="0" w:type="dxa"/>
              <w:right w:w="15" w:type="dxa"/>
            </w:tcMar>
            <w:vAlign w:val="bottom"/>
            <w:hideMark/>
          </w:tcPr>
          <w:p w14:paraId="01405D6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1D4BE4DA"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3974E0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5E98FE7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5,248</w:t>
            </w:r>
          </w:p>
        </w:tc>
        <w:tc>
          <w:tcPr>
            <w:tcW w:w="191" w:type="dxa"/>
            <w:shd w:val="clear" w:color="auto" w:fill="FFFFFF"/>
            <w:noWrap/>
            <w:tcMar>
              <w:top w:w="15" w:type="dxa"/>
              <w:left w:w="0" w:type="dxa"/>
              <w:bottom w:w="0" w:type="dxa"/>
              <w:right w:w="15" w:type="dxa"/>
            </w:tcMar>
            <w:vAlign w:val="bottom"/>
            <w:hideMark/>
          </w:tcPr>
          <w:p w14:paraId="2E6688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2E8271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D3B99F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FFFFFF"/>
            <w:noWrap/>
            <w:tcMar>
              <w:top w:w="15" w:type="dxa"/>
              <w:left w:w="0" w:type="dxa"/>
              <w:bottom w:w="0" w:type="dxa"/>
              <w:right w:w="15" w:type="dxa"/>
            </w:tcMar>
            <w:vAlign w:val="bottom"/>
            <w:hideMark/>
          </w:tcPr>
          <w:p w14:paraId="528F814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5,358</w:t>
            </w:r>
          </w:p>
        </w:tc>
        <w:tc>
          <w:tcPr>
            <w:tcW w:w="192" w:type="dxa"/>
            <w:shd w:val="clear" w:color="auto" w:fill="FFFFFF"/>
            <w:noWrap/>
            <w:tcMar>
              <w:top w:w="15" w:type="dxa"/>
              <w:left w:w="0" w:type="dxa"/>
              <w:bottom w:w="0" w:type="dxa"/>
              <w:right w:w="15" w:type="dxa"/>
            </w:tcMar>
            <w:vAlign w:val="bottom"/>
            <w:hideMark/>
          </w:tcPr>
          <w:p w14:paraId="665FA97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95A1802" w14:textId="77777777" w:rsidTr="00141675">
        <w:tc>
          <w:tcPr>
            <w:tcW w:w="12095" w:type="dxa"/>
            <w:shd w:val="clear" w:color="auto" w:fill="CFF0FC"/>
            <w:tcMar>
              <w:top w:w="15" w:type="dxa"/>
              <w:left w:w="0" w:type="dxa"/>
              <w:bottom w:w="0" w:type="dxa"/>
              <w:right w:w="15" w:type="dxa"/>
            </w:tcMar>
            <w:hideMark/>
          </w:tcPr>
          <w:p w14:paraId="0ED575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Asia Pacific</w:t>
            </w:r>
          </w:p>
        </w:tc>
        <w:tc>
          <w:tcPr>
            <w:tcW w:w="278" w:type="dxa"/>
            <w:shd w:val="clear" w:color="auto" w:fill="CFF0FC"/>
            <w:tcMar>
              <w:top w:w="15" w:type="dxa"/>
              <w:left w:w="0" w:type="dxa"/>
              <w:bottom w:w="0" w:type="dxa"/>
              <w:right w:w="15" w:type="dxa"/>
            </w:tcMar>
            <w:vAlign w:val="bottom"/>
            <w:hideMark/>
          </w:tcPr>
          <w:p w14:paraId="2DF8262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3DC630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58CF307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1,615</w:t>
            </w:r>
          </w:p>
        </w:tc>
        <w:tc>
          <w:tcPr>
            <w:tcW w:w="191" w:type="dxa"/>
            <w:shd w:val="clear" w:color="auto" w:fill="CFF0FC"/>
            <w:noWrap/>
            <w:tcMar>
              <w:top w:w="15" w:type="dxa"/>
              <w:left w:w="0" w:type="dxa"/>
              <w:bottom w:w="0" w:type="dxa"/>
              <w:right w:w="15" w:type="dxa"/>
            </w:tcMar>
            <w:vAlign w:val="bottom"/>
            <w:hideMark/>
          </w:tcPr>
          <w:p w14:paraId="1F8274C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AC60D2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AF40A8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0F44CA1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1,537</w:t>
            </w:r>
          </w:p>
        </w:tc>
        <w:tc>
          <w:tcPr>
            <w:tcW w:w="191" w:type="dxa"/>
            <w:shd w:val="clear" w:color="auto" w:fill="CFF0FC"/>
            <w:noWrap/>
            <w:tcMar>
              <w:top w:w="15" w:type="dxa"/>
              <w:left w:w="0" w:type="dxa"/>
              <w:bottom w:w="0" w:type="dxa"/>
              <w:right w:w="15" w:type="dxa"/>
            </w:tcMar>
            <w:vAlign w:val="bottom"/>
            <w:hideMark/>
          </w:tcPr>
          <w:p w14:paraId="5D08ACA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30D4E255"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1FB91E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5B19E9A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3,130</w:t>
            </w:r>
          </w:p>
        </w:tc>
        <w:tc>
          <w:tcPr>
            <w:tcW w:w="191" w:type="dxa"/>
            <w:shd w:val="clear" w:color="auto" w:fill="CFF0FC"/>
            <w:noWrap/>
            <w:tcMar>
              <w:top w:w="15" w:type="dxa"/>
              <w:left w:w="0" w:type="dxa"/>
              <w:bottom w:w="0" w:type="dxa"/>
              <w:right w:w="15" w:type="dxa"/>
            </w:tcMar>
            <w:vAlign w:val="bottom"/>
            <w:hideMark/>
          </w:tcPr>
          <w:p w14:paraId="0C2624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E4D8B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FF642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5554950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2,993</w:t>
            </w:r>
          </w:p>
        </w:tc>
        <w:tc>
          <w:tcPr>
            <w:tcW w:w="192" w:type="dxa"/>
            <w:shd w:val="clear" w:color="auto" w:fill="CFF0FC"/>
            <w:noWrap/>
            <w:tcMar>
              <w:top w:w="15" w:type="dxa"/>
              <w:left w:w="0" w:type="dxa"/>
              <w:bottom w:w="0" w:type="dxa"/>
              <w:right w:w="15" w:type="dxa"/>
            </w:tcMar>
            <w:vAlign w:val="bottom"/>
            <w:hideMark/>
          </w:tcPr>
          <w:p w14:paraId="28E5221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2AA8708" w14:textId="77777777" w:rsidTr="00141675">
        <w:tc>
          <w:tcPr>
            <w:tcW w:w="12095" w:type="dxa"/>
            <w:shd w:val="clear" w:color="auto" w:fill="FFFFFF"/>
            <w:tcMar>
              <w:top w:w="15" w:type="dxa"/>
              <w:left w:w="0" w:type="dxa"/>
              <w:bottom w:w="0" w:type="dxa"/>
              <w:right w:w="15" w:type="dxa"/>
            </w:tcMar>
            <w:hideMark/>
          </w:tcPr>
          <w:p w14:paraId="1057F965"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revenues</w:t>
            </w:r>
          </w:p>
        </w:tc>
        <w:tc>
          <w:tcPr>
            <w:tcW w:w="278" w:type="dxa"/>
            <w:shd w:val="clear" w:color="auto" w:fill="FFFFFF"/>
            <w:tcMar>
              <w:top w:w="15" w:type="dxa"/>
              <w:left w:w="0" w:type="dxa"/>
              <w:bottom w:w="0" w:type="dxa"/>
              <w:right w:w="15" w:type="dxa"/>
            </w:tcMar>
            <w:vAlign w:val="bottom"/>
            <w:hideMark/>
          </w:tcPr>
          <w:p w14:paraId="1A07442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3CD4E7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476EE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9,614</w:t>
            </w:r>
          </w:p>
        </w:tc>
        <w:tc>
          <w:tcPr>
            <w:tcW w:w="191" w:type="dxa"/>
            <w:shd w:val="clear" w:color="auto" w:fill="FFFFFF"/>
            <w:noWrap/>
            <w:tcMar>
              <w:top w:w="15" w:type="dxa"/>
              <w:left w:w="0" w:type="dxa"/>
              <w:bottom w:w="0" w:type="dxa"/>
              <w:right w:w="15" w:type="dxa"/>
            </w:tcMar>
            <w:vAlign w:val="bottom"/>
            <w:hideMark/>
          </w:tcPr>
          <w:p w14:paraId="4D76D86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6357E51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DFD8E9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54C0E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9,562</w:t>
            </w:r>
          </w:p>
        </w:tc>
        <w:tc>
          <w:tcPr>
            <w:tcW w:w="191" w:type="dxa"/>
            <w:shd w:val="clear" w:color="auto" w:fill="FFFFFF"/>
            <w:noWrap/>
            <w:tcMar>
              <w:top w:w="15" w:type="dxa"/>
              <w:left w:w="0" w:type="dxa"/>
              <w:bottom w:w="0" w:type="dxa"/>
              <w:right w:w="15" w:type="dxa"/>
            </w:tcMar>
            <w:vAlign w:val="bottom"/>
            <w:hideMark/>
          </w:tcPr>
          <w:p w14:paraId="257A1E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58E3F178"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BB37BF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A841E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18,832</w:t>
            </w:r>
          </w:p>
        </w:tc>
        <w:tc>
          <w:tcPr>
            <w:tcW w:w="191" w:type="dxa"/>
            <w:shd w:val="clear" w:color="auto" w:fill="FFFFFF"/>
            <w:noWrap/>
            <w:tcMar>
              <w:top w:w="15" w:type="dxa"/>
              <w:left w:w="0" w:type="dxa"/>
              <w:bottom w:w="0" w:type="dxa"/>
              <w:right w:w="15" w:type="dxa"/>
            </w:tcMar>
            <w:vAlign w:val="bottom"/>
            <w:hideMark/>
          </w:tcPr>
          <w:p w14:paraId="24F4D5B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5FB8B5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C06F4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1ED8CA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18,755</w:t>
            </w:r>
          </w:p>
        </w:tc>
        <w:tc>
          <w:tcPr>
            <w:tcW w:w="192" w:type="dxa"/>
            <w:shd w:val="clear" w:color="auto" w:fill="FFFFFF"/>
            <w:noWrap/>
            <w:tcMar>
              <w:top w:w="15" w:type="dxa"/>
              <w:left w:w="0" w:type="dxa"/>
              <w:bottom w:w="0" w:type="dxa"/>
              <w:right w:w="15" w:type="dxa"/>
            </w:tcMar>
            <w:vAlign w:val="bottom"/>
            <w:hideMark/>
          </w:tcPr>
          <w:p w14:paraId="51396A29"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030AF31C" w14:textId="77777777" w:rsidR="00141675" w:rsidRPr="00141675" w:rsidRDefault="00141675" w:rsidP="00141675">
      <w:pPr>
        <w:widowControl/>
        <w:pBdr>
          <w:bottom w:val="single" w:sz="6" w:space="1" w:color="auto"/>
        </w:pBdr>
        <w:ind w:right="18324"/>
        <w:jc w:val="left"/>
        <w:rPr>
          <w:rFonts w:ascii="Times New Roman" w:eastAsia="宋体" w:hAnsi="Times New Roman" w:cs="Times New Roman"/>
          <w:kern w:val="0"/>
          <w:sz w:val="8"/>
          <w:szCs w:val="8"/>
        </w:rPr>
      </w:pPr>
      <w:r w:rsidRPr="00141675">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4999CE2E" w14:textId="77777777" w:rsidTr="00141675">
        <w:tc>
          <w:tcPr>
            <w:tcW w:w="794" w:type="dxa"/>
            <w:noWrap/>
            <w:hideMark/>
          </w:tcPr>
          <w:p w14:paraId="561D2B4C"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3812F04F"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Comprised of Europe, the Middle East and Africa</w:t>
            </w:r>
          </w:p>
        </w:tc>
      </w:tr>
    </w:tbl>
    <w:p w14:paraId="2C879F7E" w14:textId="77777777" w:rsidR="00141675" w:rsidRPr="00141675" w:rsidRDefault="00141675" w:rsidP="00141675">
      <w:pPr>
        <w:widowControl/>
        <w:spacing w:before="240"/>
        <w:rPr>
          <w:rFonts w:ascii="Calibri" w:eastAsia="宋体" w:hAnsi="Calibri" w:cs="Calibri"/>
          <w:kern w:val="0"/>
          <w:sz w:val="20"/>
          <w:szCs w:val="20"/>
        </w:rPr>
      </w:pPr>
      <w:r w:rsidRPr="00141675">
        <w:rPr>
          <w:rFonts w:ascii="Calibri" w:eastAsia="宋体" w:hAnsi="Calibri" w:cs="Calibri"/>
          <w:kern w:val="0"/>
          <w:sz w:val="20"/>
          <w:szCs w:val="20"/>
        </w:rPr>
        <w:t>The following table presents a summary of our cloud and license business revenues by ecosystem.</w:t>
      </w:r>
      <w:r w:rsidRPr="00141675">
        <w:rPr>
          <w:rFonts w:ascii="Times New Roman" w:eastAsia="宋体" w:hAnsi="Times New Roman" w:cs="Times New Roman"/>
          <w:kern w:val="0"/>
          <w:sz w:val="20"/>
          <w:szCs w:val="20"/>
        </w:rPr>
        <w:t> </w:t>
      </w:r>
      <w:r w:rsidRPr="00141675">
        <w:rPr>
          <w:rFonts w:ascii="Calibri" w:eastAsia="宋体" w:hAnsi="Calibri" w:cs="Calibri"/>
          <w:kern w:val="0"/>
          <w:sz w:val="20"/>
          <w:szCs w:val="20"/>
        </w:rPr>
        <w:t>Applications ecosystem revenues represent the sum of applications related cloud services and license support revenues; and applications related license revenues. Infrastructure ecosystem revenues represent the sum of infrastructure related cloud services and license support revenues; and infrastructure related license revenues.</w:t>
      </w:r>
    </w:p>
    <w:p w14:paraId="69FE6403" w14:textId="77777777" w:rsidR="00141675" w:rsidRPr="00141675" w:rsidRDefault="00141675" w:rsidP="00141675">
      <w:pPr>
        <w:widowControl/>
        <w:rPr>
          <w:rFonts w:ascii="Times New Roman" w:eastAsia="宋体" w:hAnsi="Times New Roman" w:cs="Times New Roman"/>
          <w:kern w:val="0"/>
          <w:sz w:val="16"/>
          <w:szCs w:val="16"/>
        </w:rPr>
      </w:pPr>
      <w:r w:rsidRPr="00141675">
        <w:rPr>
          <w:rFonts w:ascii="Times New Roman" w:eastAsia="宋体" w:hAnsi="Times New Roman" w:cs="Times New Roman"/>
          <w:kern w:val="0"/>
          <w:sz w:val="16"/>
          <w:szCs w:val="16"/>
        </w:rPr>
        <w:t> </w:t>
      </w:r>
    </w:p>
    <w:tbl>
      <w:tblPr>
        <w:tblW w:w="20614" w:type="dxa"/>
        <w:tblCellMar>
          <w:left w:w="0" w:type="dxa"/>
          <w:right w:w="0" w:type="dxa"/>
        </w:tblCellMar>
        <w:tblLook w:val="04A0" w:firstRow="1" w:lastRow="0" w:firstColumn="1" w:lastColumn="0" w:noHBand="0" w:noVBand="1"/>
      </w:tblPr>
      <w:tblGrid>
        <w:gridCol w:w="12119"/>
        <w:gridCol w:w="279"/>
        <w:gridCol w:w="199"/>
        <w:gridCol w:w="1424"/>
        <w:gridCol w:w="199"/>
        <w:gridCol w:w="279"/>
        <w:gridCol w:w="199"/>
        <w:gridCol w:w="1469"/>
        <w:gridCol w:w="199"/>
        <w:gridCol w:w="279"/>
        <w:gridCol w:w="199"/>
        <w:gridCol w:w="1424"/>
        <w:gridCol w:w="199"/>
        <w:gridCol w:w="279"/>
        <w:gridCol w:w="199"/>
        <w:gridCol w:w="1469"/>
        <w:gridCol w:w="200"/>
      </w:tblGrid>
      <w:tr w:rsidR="00141675" w:rsidRPr="00141675" w14:paraId="77AD2B37" w14:textId="77777777" w:rsidTr="00141675">
        <w:tc>
          <w:tcPr>
            <w:tcW w:w="12095" w:type="dxa"/>
            <w:shd w:val="clear" w:color="auto" w:fill="FFFFFF"/>
            <w:tcMar>
              <w:top w:w="15" w:type="dxa"/>
              <w:left w:w="0" w:type="dxa"/>
              <w:bottom w:w="0" w:type="dxa"/>
              <w:right w:w="15" w:type="dxa"/>
            </w:tcMar>
            <w:vAlign w:val="bottom"/>
            <w:hideMark/>
          </w:tcPr>
          <w:p w14:paraId="5F4FAC9E" w14:textId="77777777" w:rsidR="00141675" w:rsidRPr="00141675" w:rsidRDefault="00141675" w:rsidP="00141675">
            <w:pPr>
              <w:widowControl/>
              <w:jc w:val="center"/>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78" w:type="dxa"/>
            <w:shd w:val="clear" w:color="auto" w:fill="FFFFFF"/>
            <w:tcMar>
              <w:top w:w="15" w:type="dxa"/>
              <w:left w:w="0" w:type="dxa"/>
              <w:bottom w:w="0" w:type="dxa"/>
              <w:right w:w="15" w:type="dxa"/>
            </w:tcMar>
            <w:vAlign w:val="bottom"/>
            <w:hideMark/>
          </w:tcPr>
          <w:p w14:paraId="0E9E07F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5FA424A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37202FE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68D9B09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02577EC0"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71A6379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10AF32F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2" w:type="dxa"/>
            <w:shd w:val="clear" w:color="auto" w:fill="FFFFFF"/>
            <w:noWrap/>
            <w:tcMar>
              <w:top w:w="15" w:type="dxa"/>
              <w:left w:w="0" w:type="dxa"/>
              <w:bottom w:w="0" w:type="dxa"/>
              <w:right w:w="15" w:type="dxa"/>
            </w:tcMar>
            <w:vAlign w:val="bottom"/>
            <w:hideMark/>
          </w:tcPr>
          <w:p w14:paraId="2C41E9A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B8FEAE2" w14:textId="77777777" w:rsidTr="00141675">
        <w:tc>
          <w:tcPr>
            <w:tcW w:w="12095" w:type="dxa"/>
            <w:tcBorders>
              <w:bottom w:val="single" w:sz="6" w:space="0" w:color="000000"/>
            </w:tcBorders>
            <w:shd w:val="clear" w:color="auto" w:fill="FFFFFF"/>
            <w:tcMar>
              <w:top w:w="15" w:type="dxa"/>
              <w:left w:w="0" w:type="dxa"/>
              <w:bottom w:w="0" w:type="dxa"/>
              <w:right w:w="15" w:type="dxa"/>
            </w:tcMar>
            <w:vAlign w:val="bottom"/>
            <w:hideMark/>
          </w:tcPr>
          <w:p w14:paraId="495FD9B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278" w:type="dxa"/>
            <w:shd w:val="clear" w:color="auto" w:fill="FFFFFF"/>
            <w:tcMar>
              <w:top w:w="15" w:type="dxa"/>
              <w:left w:w="0" w:type="dxa"/>
              <w:bottom w:w="0" w:type="dxa"/>
              <w:right w:w="15" w:type="dxa"/>
            </w:tcMar>
            <w:vAlign w:val="bottom"/>
            <w:hideMark/>
          </w:tcPr>
          <w:p w14:paraId="7D30EBC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D1C2A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226461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115B684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BD0F3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41FCA4A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1444F954"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1DC58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22EFCB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6FA104C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F41A83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64DE9F3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2984CBF" w14:textId="77777777" w:rsidTr="00141675">
        <w:tc>
          <w:tcPr>
            <w:tcW w:w="12095" w:type="dxa"/>
            <w:tcBorders>
              <w:top w:val="single" w:sz="6" w:space="0" w:color="000000"/>
            </w:tcBorders>
            <w:shd w:val="clear" w:color="auto" w:fill="CFF0FC"/>
            <w:tcMar>
              <w:top w:w="15" w:type="dxa"/>
              <w:left w:w="0" w:type="dxa"/>
              <w:bottom w:w="0" w:type="dxa"/>
              <w:right w:w="15" w:type="dxa"/>
            </w:tcMar>
            <w:hideMark/>
          </w:tcPr>
          <w:p w14:paraId="6B32C6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Applications revenues</w:t>
            </w:r>
          </w:p>
        </w:tc>
        <w:tc>
          <w:tcPr>
            <w:tcW w:w="278" w:type="dxa"/>
            <w:shd w:val="clear" w:color="auto" w:fill="CFF0FC"/>
            <w:tcMar>
              <w:top w:w="15" w:type="dxa"/>
              <w:left w:w="0" w:type="dxa"/>
              <w:bottom w:w="0" w:type="dxa"/>
              <w:right w:w="15" w:type="dxa"/>
            </w:tcMar>
            <w:vAlign w:val="bottom"/>
            <w:hideMark/>
          </w:tcPr>
          <w:p w14:paraId="15F14EC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56721F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408E26F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2,909</w:t>
            </w:r>
          </w:p>
        </w:tc>
        <w:tc>
          <w:tcPr>
            <w:tcW w:w="191" w:type="dxa"/>
            <w:shd w:val="clear" w:color="auto" w:fill="CFF0FC"/>
            <w:noWrap/>
            <w:tcMar>
              <w:top w:w="15" w:type="dxa"/>
              <w:left w:w="0" w:type="dxa"/>
              <w:bottom w:w="0" w:type="dxa"/>
              <w:right w:w="15" w:type="dxa"/>
            </w:tcMar>
            <w:vAlign w:val="bottom"/>
            <w:hideMark/>
          </w:tcPr>
          <w:p w14:paraId="2879BAB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0FC779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0849A6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A24EE6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2,808</w:t>
            </w:r>
          </w:p>
        </w:tc>
        <w:tc>
          <w:tcPr>
            <w:tcW w:w="191" w:type="dxa"/>
            <w:shd w:val="clear" w:color="auto" w:fill="CFF0FC"/>
            <w:noWrap/>
            <w:tcMar>
              <w:top w:w="15" w:type="dxa"/>
              <w:left w:w="0" w:type="dxa"/>
              <w:bottom w:w="0" w:type="dxa"/>
              <w:right w:w="15" w:type="dxa"/>
            </w:tcMar>
            <w:vAlign w:val="bottom"/>
            <w:hideMark/>
          </w:tcPr>
          <w:p w14:paraId="45DB0F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7FEBCE44"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45508B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1D3BC0E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5,730</w:t>
            </w:r>
          </w:p>
        </w:tc>
        <w:tc>
          <w:tcPr>
            <w:tcW w:w="191" w:type="dxa"/>
            <w:shd w:val="clear" w:color="auto" w:fill="CFF0FC"/>
            <w:noWrap/>
            <w:tcMar>
              <w:top w:w="15" w:type="dxa"/>
              <w:left w:w="0" w:type="dxa"/>
              <w:bottom w:w="0" w:type="dxa"/>
              <w:right w:w="15" w:type="dxa"/>
            </w:tcMar>
            <w:vAlign w:val="bottom"/>
            <w:hideMark/>
          </w:tcPr>
          <w:p w14:paraId="18650E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77E18CE3"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2E6CB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tcBorders>
            <w:shd w:val="clear" w:color="auto" w:fill="CFF0FC"/>
            <w:noWrap/>
            <w:tcMar>
              <w:top w:w="15" w:type="dxa"/>
              <w:left w:w="0" w:type="dxa"/>
              <w:bottom w:w="0" w:type="dxa"/>
              <w:right w:w="15" w:type="dxa"/>
            </w:tcMar>
            <w:vAlign w:val="bottom"/>
            <w:hideMark/>
          </w:tcPr>
          <w:p w14:paraId="0B0CD6E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5,569</w:t>
            </w:r>
          </w:p>
        </w:tc>
        <w:tc>
          <w:tcPr>
            <w:tcW w:w="192" w:type="dxa"/>
            <w:shd w:val="clear" w:color="auto" w:fill="CFF0FC"/>
            <w:noWrap/>
            <w:tcMar>
              <w:top w:w="15" w:type="dxa"/>
              <w:left w:w="0" w:type="dxa"/>
              <w:bottom w:w="0" w:type="dxa"/>
              <w:right w:w="15" w:type="dxa"/>
            </w:tcMar>
            <w:vAlign w:val="bottom"/>
            <w:hideMark/>
          </w:tcPr>
          <w:p w14:paraId="069D7B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76FC5ED" w14:textId="77777777" w:rsidTr="00141675">
        <w:tc>
          <w:tcPr>
            <w:tcW w:w="12095" w:type="dxa"/>
            <w:shd w:val="clear" w:color="auto" w:fill="FFFFFF"/>
            <w:tcMar>
              <w:top w:w="15" w:type="dxa"/>
              <w:left w:w="0" w:type="dxa"/>
              <w:bottom w:w="0" w:type="dxa"/>
              <w:right w:w="15" w:type="dxa"/>
            </w:tcMar>
            <w:hideMark/>
          </w:tcPr>
          <w:p w14:paraId="07C514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Infrastructure revenues</w:t>
            </w:r>
          </w:p>
        </w:tc>
        <w:tc>
          <w:tcPr>
            <w:tcW w:w="278" w:type="dxa"/>
            <w:shd w:val="clear" w:color="auto" w:fill="FFFFFF"/>
            <w:tcMar>
              <w:top w:w="15" w:type="dxa"/>
              <w:left w:w="0" w:type="dxa"/>
              <w:bottom w:w="0" w:type="dxa"/>
              <w:right w:w="15" w:type="dxa"/>
            </w:tcMar>
            <w:vAlign w:val="bottom"/>
            <w:hideMark/>
          </w:tcPr>
          <w:p w14:paraId="2EAC852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B7D7C9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0822838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5,028</w:t>
            </w:r>
          </w:p>
        </w:tc>
        <w:tc>
          <w:tcPr>
            <w:tcW w:w="191" w:type="dxa"/>
            <w:shd w:val="clear" w:color="auto" w:fill="FFFFFF"/>
            <w:noWrap/>
            <w:tcMar>
              <w:top w:w="15" w:type="dxa"/>
              <w:left w:w="0" w:type="dxa"/>
              <w:bottom w:w="0" w:type="dxa"/>
              <w:right w:w="15" w:type="dxa"/>
            </w:tcMar>
            <w:vAlign w:val="bottom"/>
            <w:hideMark/>
          </w:tcPr>
          <w:p w14:paraId="2F1BB7F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556E53B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48EF93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7BFB630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5,046</w:t>
            </w:r>
          </w:p>
        </w:tc>
        <w:tc>
          <w:tcPr>
            <w:tcW w:w="191" w:type="dxa"/>
            <w:shd w:val="clear" w:color="auto" w:fill="FFFFFF"/>
            <w:noWrap/>
            <w:tcMar>
              <w:top w:w="15" w:type="dxa"/>
              <w:left w:w="0" w:type="dxa"/>
              <w:bottom w:w="0" w:type="dxa"/>
              <w:right w:w="15" w:type="dxa"/>
            </w:tcMar>
            <w:vAlign w:val="bottom"/>
            <w:hideMark/>
          </w:tcPr>
          <w:p w14:paraId="76122E1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28058C5"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0DA3A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4F08341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9,823</w:t>
            </w:r>
          </w:p>
        </w:tc>
        <w:tc>
          <w:tcPr>
            <w:tcW w:w="191" w:type="dxa"/>
            <w:shd w:val="clear" w:color="auto" w:fill="FFFFFF"/>
            <w:noWrap/>
            <w:tcMar>
              <w:top w:w="15" w:type="dxa"/>
              <w:left w:w="0" w:type="dxa"/>
              <w:bottom w:w="0" w:type="dxa"/>
              <w:right w:w="15" w:type="dxa"/>
            </w:tcMar>
            <w:vAlign w:val="bottom"/>
            <w:hideMark/>
          </w:tcPr>
          <w:p w14:paraId="08C41F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66F9EE3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D35412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FFFFFF"/>
            <w:noWrap/>
            <w:tcMar>
              <w:top w:w="15" w:type="dxa"/>
              <w:left w:w="0" w:type="dxa"/>
              <w:bottom w:w="0" w:type="dxa"/>
              <w:right w:w="15" w:type="dxa"/>
            </w:tcMar>
            <w:vAlign w:val="bottom"/>
            <w:hideMark/>
          </w:tcPr>
          <w:p w14:paraId="1F102D7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9,760</w:t>
            </w:r>
          </w:p>
        </w:tc>
        <w:tc>
          <w:tcPr>
            <w:tcW w:w="192" w:type="dxa"/>
            <w:shd w:val="clear" w:color="auto" w:fill="FFFFFF"/>
            <w:noWrap/>
            <w:tcMar>
              <w:top w:w="15" w:type="dxa"/>
              <w:left w:w="0" w:type="dxa"/>
              <w:bottom w:w="0" w:type="dxa"/>
              <w:right w:w="15" w:type="dxa"/>
            </w:tcMar>
            <w:vAlign w:val="bottom"/>
            <w:hideMark/>
          </w:tcPr>
          <w:p w14:paraId="4AADC5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2E4C60D" w14:textId="77777777" w:rsidTr="00141675">
        <w:tc>
          <w:tcPr>
            <w:tcW w:w="12095" w:type="dxa"/>
            <w:shd w:val="clear" w:color="auto" w:fill="CFF0FC"/>
            <w:tcMar>
              <w:top w:w="15" w:type="dxa"/>
              <w:left w:w="0" w:type="dxa"/>
              <w:bottom w:w="0" w:type="dxa"/>
              <w:right w:w="15" w:type="dxa"/>
            </w:tcMar>
            <w:hideMark/>
          </w:tcPr>
          <w:p w14:paraId="6608C726"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cloud and license revenues</w:t>
            </w:r>
          </w:p>
        </w:tc>
        <w:tc>
          <w:tcPr>
            <w:tcW w:w="278" w:type="dxa"/>
            <w:shd w:val="clear" w:color="auto" w:fill="CFF0FC"/>
            <w:tcMar>
              <w:top w:w="15" w:type="dxa"/>
              <w:left w:w="0" w:type="dxa"/>
              <w:bottom w:w="0" w:type="dxa"/>
              <w:right w:w="15" w:type="dxa"/>
            </w:tcMar>
            <w:vAlign w:val="bottom"/>
            <w:hideMark/>
          </w:tcPr>
          <w:p w14:paraId="79CCE38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41B35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8B0AC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7,937</w:t>
            </w:r>
          </w:p>
        </w:tc>
        <w:tc>
          <w:tcPr>
            <w:tcW w:w="191" w:type="dxa"/>
            <w:shd w:val="clear" w:color="auto" w:fill="CFF0FC"/>
            <w:noWrap/>
            <w:tcMar>
              <w:top w:w="15" w:type="dxa"/>
              <w:left w:w="0" w:type="dxa"/>
              <w:bottom w:w="0" w:type="dxa"/>
              <w:right w:w="15" w:type="dxa"/>
            </w:tcMar>
            <w:vAlign w:val="bottom"/>
            <w:hideMark/>
          </w:tcPr>
          <w:p w14:paraId="1C28F77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AA975A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136C1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E25D7A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7,854</w:t>
            </w:r>
          </w:p>
        </w:tc>
        <w:tc>
          <w:tcPr>
            <w:tcW w:w="191" w:type="dxa"/>
            <w:shd w:val="clear" w:color="auto" w:fill="CFF0FC"/>
            <w:noWrap/>
            <w:tcMar>
              <w:top w:w="15" w:type="dxa"/>
              <w:left w:w="0" w:type="dxa"/>
              <w:bottom w:w="0" w:type="dxa"/>
              <w:right w:w="15" w:type="dxa"/>
            </w:tcMar>
            <w:vAlign w:val="bottom"/>
            <w:hideMark/>
          </w:tcPr>
          <w:p w14:paraId="4CCF688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BE9F6B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AB4F2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08889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15,553</w:t>
            </w:r>
          </w:p>
        </w:tc>
        <w:tc>
          <w:tcPr>
            <w:tcW w:w="191" w:type="dxa"/>
            <w:shd w:val="clear" w:color="auto" w:fill="CFF0FC"/>
            <w:noWrap/>
            <w:tcMar>
              <w:top w:w="15" w:type="dxa"/>
              <w:left w:w="0" w:type="dxa"/>
              <w:bottom w:w="0" w:type="dxa"/>
              <w:right w:w="15" w:type="dxa"/>
            </w:tcMar>
            <w:vAlign w:val="bottom"/>
            <w:hideMark/>
          </w:tcPr>
          <w:p w14:paraId="1E6D31F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5E22CF95"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8274D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C8997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15,329</w:t>
            </w:r>
          </w:p>
        </w:tc>
        <w:tc>
          <w:tcPr>
            <w:tcW w:w="192" w:type="dxa"/>
            <w:shd w:val="clear" w:color="auto" w:fill="CFF0FC"/>
            <w:noWrap/>
            <w:tcMar>
              <w:top w:w="15" w:type="dxa"/>
              <w:left w:w="0" w:type="dxa"/>
              <w:bottom w:w="0" w:type="dxa"/>
              <w:right w:w="15" w:type="dxa"/>
            </w:tcMar>
            <w:vAlign w:val="bottom"/>
            <w:hideMark/>
          </w:tcPr>
          <w:p w14:paraId="0DB564B2"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1D8E9BD8" w14:textId="77777777" w:rsidR="00141675" w:rsidRPr="00141675" w:rsidRDefault="00141675" w:rsidP="00141675">
      <w:pPr>
        <w:widowControl/>
        <w:ind w:left="794" w:hanging="471"/>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lastRenderedPageBreak/>
        <w:t> </w:t>
      </w:r>
    </w:p>
    <w:p w14:paraId="02FD6D04" w14:textId="77777777" w:rsidR="00141675" w:rsidRPr="00141675" w:rsidRDefault="00141675" w:rsidP="00141675">
      <w:pPr>
        <w:widowControl/>
        <w:ind w:left="794" w:hanging="471"/>
        <w:rPr>
          <w:rFonts w:ascii="Times New Roman" w:eastAsia="宋体" w:hAnsi="Times New Roman" w:cs="Times New Roman"/>
          <w:kern w:val="0"/>
          <w:sz w:val="8"/>
          <w:szCs w:val="8"/>
        </w:rPr>
      </w:pPr>
      <w:r w:rsidRPr="00141675">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69C2B468" w14:textId="77777777" w:rsidTr="00141675">
        <w:tc>
          <w:tcPr>
            <w:tcW w:w="1080" w:type="dxa"/>
            <w:noWrap/>
            <w:hideMark/>
          </w:tcPr>
          <w:p w14:paraId="4F4BD7C4"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11.</w:t>
            </w:r>
          </w:p>
        </w:tc>
        <w:tc>
          <w:tcPr>
            <w:tcW w:w="0" w:type="auto"/>
            <w:hideMark/>
          </w:tcPr>
          <w:p w14:paraId="2BA16594"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EARNINGS PER SHARE</w:t>
            </w:r>
          </w:p>
        </w:tc>
      </w:tr>
    </w:tbl>
    <w:p w14:paraId="6D8FEB38"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Basic earnings per share is computed by dividing net income for the period by the weighted-average number of common shares outstanding during the period. Diluted earnings per share is computed by dividing net income for the period by the weighted average number of common shares outstanding during the period, plus the dilutive effect of outstanding restricted stock-based awards, stock options, and shares issuable under the employee stock purchase plan as applicable pursuant to the treasury stock method. The following table sets forth the computation of basic and diluted earnings per share:</w:t>
      </w:r>
    </w:p>
    <w:p w14:paraId="453FC3B2" w14:textId="77777777" w:rsidR="00141675" w:rsidRPr="00141675" w:rsidRDefault="00141675" w:rsidP="00141675">
      <w:pPr>
        <w:widowControl/>
        <w:rPr>
          <w:rFonts w:ascii="Times New Roman" w:eastAsia="宋体" w:hAnsi="Times New Roman" w:cs="Times New Roman"/>
          <w:kern w:val="0"/>
          <w:sz w:val="16"/>
          <w:szCs w:val="16"/>
        </w:rPr>
      </w:pPr>
      <w:r w:rsidRPr="00141675">
        <w:rPr>
          <w:rFonts w:ascii="Times New Roman" w:eastAsia="宋体" w:hAnsi="Times New Roman" w:cs="Times New Roman"/>
          <w:kern w:val="0"/>
          <w:sz w:val="16"/>
          <w:szCs w:val="16"/>
        </w:rPr>
        <w:t> </w:t>
      </w:r>
    </w:p>
    <w:tbl>
      <w:tblPr>
        <w:tblW w:w="20614" w:type="dxa"/>
        <w:tblCellMar>
          <w:left w:w="0" w:type="dxa"/>
          <w:right w:w="0" w:type="dxa"/>
        </w:tblCellMar>
        <w:tblLook w:val="04A0" w:firstRow="1" w:lastRow="0" w:firstColumn="1" w:lastColumn="0" w:noHBand="0" w:noVBand="1"/>
      </w:tblPr>
      <w:tblGrid>
        <w:gridCol w:w="12119"/>
        <w:gridCol w:w="279"/>
        <w:gridCol w:w="199"/>
        <w:gridCol w:w="1424"/>
        <w:gridCol w:w="199"/>
        <w:gridCol w:w="279"/>
        <w:gridCol w:w="199"/>
        <w:gridCol w:w="1469"/>
        <w:gridCol w:w="199"/>
        <w:gridCol w:w="279"/>
        <w:gridCol w:w="199"/>
        <w:gridCol w:w="1424"/>
        <w:gridCol w:w="199"/>
        <w:gridCol w:w="279"/>
        <w:gridCol w:w="199"/>
        <w:gridCol w:w="1469"/>
        <w:gridCol w:w="200"/>
      </w:tblGrid>
      <w:tr w:rsidR="00141675" w:rsidRPr="00141675" w14:paraId="6BD0A17C" w14:textId="77777777" w:rsidTr="00141675">
        <w:tc>
          <w:tcPr>
            <w:tcW w:w="12095" w:type="dxa"/>
            <w:shd w:val="clear" w:color="auto" w:fill="FFFFFF"/>
            <w:tcMar>
              <w:top w:w="15" w:type="dxa"/>
              <w:left w:w="0" w:type="dxa"/>
              <w:bottom w:w="0" w:type="dxa"/>
              <w:right w:w="15" w:type="dxa"/>
            </w:tcMar>
            <w:vAlign w:val="bottom"/>
            <w:hideMark/>
          </w:tcPr>
          <w:p w14:paraId="3A436359" w14:textId="77777777" w:rsidR="00141675" w:rsidRPr="00141675" w:rsidRDefault="00141675" w:rsidP="00141675">
            <w:pPr>
              <w:widowControl/>
              <w:jc w:val="center"/>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78" w:type="dxa"/>
            <w:shd w:val="clear" w:color="auto" w:fill="FFFFFF"/>
            <w:tcMar>
              <w:top w:w="15" w:type="dxa"/>
              <w:left w:w="0" w:type="dxa"/>
              <w:bottom w:w="0" w:type="dxa"/>
              <w:right w:w="15" w:type="dxa"/>
            </w:tcMar>
            <w:vAlign w:val="bottom"/>
            <w:hideMark/>
          </w:tcPr>
          <w:p w14:paraId="4647257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327477A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391E46F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59942AC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243AA423"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3738" w:type="dxa"/>
            <w:gridSpan w:val="6"/>
            <w:tcBorders>
              <w:bottom w:val="single" w:sz="6" w:space="0" w:color="000000"/>
            </w:tcBorders>
            <w:shd w:val="clear" w:color="auto" w:fill="FFFFFF"/>
            <w:tcMar>
              <w:top w:w="15" w:type="dxa"/>
              <w:left w:w="0" w:type="dxa"/>
              <w:bottom w:w="0" w:type="dxa"/>
              <w:right w:w="15" w:type="dxa"/>
            </w:tcMar>
            <w:vAlign w:val="bottom"/>
            <w:hideMark/>
          </w:tcPr>
          <w:p w14:paraId="78B785E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339857F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2" w:type="dxa"/>
            <w:shd w:val="clear" w:color="auto" w:fill="FFFFFF"/>
            <w:noWrap/>
            <w:tcMar>
              <w:top w:w="15" w:type="dxa"/>
              <w:left w:w="0" w:type="dxa"/>
              <w:bottom w:w="0" w:type="dxa"/>
              <w:right w:w="15" w:type="dxa"/>
            </w:tcMar>
            <w:vAlign w:val="bottom"/>
            <w:hideMark/>
          </w:tcPr>
          <w:p w14:paraId="76746EE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2D2A4AD" w14:textId="77777777" w:rsidTr="00141675">
        <w:tc>
          <w:tcPr>
            <w:tcW w:w="12095" w:type="dxa"/>
            <w:tcBorders>
              <w:bottom w:val="single" w:sz="6" w:space="0" w:color="000000"/>
            </w:tcBorders>
            <w:shd w:val="clear" w:color="auto" w:fill="FFFFFF"/>
            <w:tcMar>
              <w:top w:w="15" w:type="dxa"/>
              <w:left w:w="0" w:type="dxa"/>
              <w:bottom w:w="0" w:type="dxa"/>
              <w:right w:w="15" w:type="dxa"/>
            </w:tcMar>
            <w:vAlign w:val="bottom"/>
            <w:hideMark/>
          </w:tcPr>
          <w:p w14:paraId="3DD00A2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 except per share data)</w:t>
            </w:r>
          </w:p>
        </w:tc>
        <w:tc>
          <w:tcPr>
            <w:tcW w:w="278" w:type="dxa"/>
            <w:shd w:val="clear" w:color="auto" w:fill="FFFFFF"/>
            <w:tcMar>
              <w:top w:w="15" w:type="dxa"/>
              <w:left w:w="0" w:type="dxa"/>
              <w:bottom w:w="0" w:type="dxa"/>
              <w:right w:w="15" w:type="dxa"/>
            </w:tcMar>
            <w:vAlign w:val="bottom"/>
            <w:hideMark/>
          </w:tcPr>
          <w:p w14:paraId="712280F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BA54C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2E542AF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6E02290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ED4B8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2176A33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shd w:val="clear" w:color="auto" w:fill="FFFFFF"/>
            <w:tcMar>
              <w:top w:w="15" w:type="dxa"/>
              <w:left w:w="0" w:type="dxa"/>
              <w:bottom w:w="0" w:type="dxa"/>
              <w:right w:w="15" w:type="dxa"/>
            </w:tcMar>
            <w:vAlign w:val="bottom"/>
            <w:hideMark/>
          </w:tcPr>
          <w:p w14:paraId="5F5FC7B9" w14:textId="77777777" w:rsidR="00141675" w:rsidRPr="00141675" w:rsidRDefault="00141675" w:rsidP="00141675">
            <w:pPr>
              <w:widowControl/>
              <w:jc w:val="left"/>
              <w:rPr>
                <w:rFonts w:ascii="Times New Roman" w:eastAsia="宋体" w:hAnsi="Times New Roman" w:cs="Times New Roman"/>
                <w:b/>
                <w:bCs/>
                <w:color w:val="000000"/>
                <w:kern w:val="0"/>
                <w:sz w:val="15"/>
                <w:szCs w:val="15"/>
              </w:rPr>
            </w:pPr>
            <w:r w:rsidRPr="00141675">
              <w:rPr>
                <w:rFonts w:ascii="Times New Roman" w:eastAsia="宋体" w:hAnsi="Times New Roman" w:cs="Times New Roman"/>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7DE92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1165B0E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78" w:type="dxa"/>
            <w:tcBorders>
              <w:top w:val="single" w:sz="6" w:space="0" w:color="000000"/>
            </w:tcBorders>
            <w:shd w:val="clear" w:color="auto" w:fill="FFFFFF"/>
            <w:tcMar>
              <w:top w:w="15" w:type="dxa"/>
              <w:left w:w="0" w:type="dxa"/>
              <w:bottom w:w="0" w:type="dxa"/>
              <w:right w:w="15" w:type="dxa"/>
            </w:tcMar>
            <w:vAlign w:val="bottom"/>
            <w:hideMark/>
          </w:tcPr>
          <w:p w14:paraId="053FF84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612"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240F9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3C76C0E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7058DF7F" w14:textId="77777777" w:rsidTr="00141675">
        <w:tc>
          <w:tcPr>
            <w:tcW w:w="12095" w:type="dxa"/>
            <w:tcBorders>
              <w:top w:val="single" w:sz="6" w:space="0" w:color="000000"/>
            </w:tcBorders>
            <w:shd w:val="clear" w:color="auto" w:fill="CFF0FC"/>
            <w:tcMar>
              <w:top w:w="15" w:type="dxa"/>
              <w:left w:w="0" w:type="dxa"/>
              <w:bottom w:w="0" w:type="dxa"/>
              <w:right w:w="15" w:type="dxa"/>
            </w:tcMar>
            <w:hideMark/>
          </w:tcPr>
          <w:p w14:paraId="560454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Net income</w:t>
            </w:r>
          </w:p>
        </w:tc>
        <w:tc>
          <w:tcPr>
            <w:tcW w:w="278" w:type="dxa"/>
            <w:shd w:val="clear" w:color="auto" w:fill="CFF0FC"/>
            <w:tcMar>
              <w:top w:w="15" w:type="dxa"/>
              <w:left w:w="0" w:type="dxa"/>
              <w:bottom w:w="0" w:type="dxa"/>
              <w:right w:w="15" w:type="dxa"/>
            </w:tcMar>
            <w:vAlign w:val="bottom"/>
            <w:hideMark/>
          </w:tcPr>
          <w:p w14:paraId="7F180F1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08E0C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4A49EF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2,311</w:t>
            </w:r>
          </w:p>
        </w:tc>
        <w:tc>
          <w:tcPr>
            <w:tcW w:w="191" w:type="dxa"/>
            <w:shd w:val="clear" w:color="auto" w:fill="CFF0FC"/>
            <w:noWrap/>
            <w:tcMar>
              <w:top w:w="15" w:type="dxa"/>
              <w:left w:w="0" w:type="dxa"/>
              <w:bottom w:w="0" w:type="dxa"/>
              <w:right w:w="15" w:type="dxa"/>
            </w:tcMar>
            <w:vAlign w:val="bottom"/>
            <w:hideMark/>
          </w:tcPr>
          <w:p w14:paraId="7A74488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5A0FE74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2815C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D7AF8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2,333</w:t>
            </w:r>
          </w:p>
        </w:tc>
        <w:tc>
          <w:tcPr>
            <w:tcW w:w="191" w:type="dxa"/>
            <w:shd w:val="clear" w:color="auto" w:fill="CFF0FC"/>
            <w:noWrap/>
            <w:tcMar>
              <w:top w:w="15" w:type="dxa"/>
              <w:left w:w="0" w:type="dxa"/>
              <w:bottom w:w="0" w:type="dxa"/>
              <w:right w:w="15" w:type="dxa"/>
            </w:tcMar>
            <w:vAlign w:val="bottom"/>
            <w:hideMark/>
          </w:tcPr>
          <w:p w14:paraId="0076D30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9895681"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4C872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8EAC7E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4,448</w:t>
            </w:r>
          </w:p>
        </w:tc>
        <w:tc>
          <w:tcPr>
            <w:tcW w:w="191" w:type="dxa"/>
            <w:shd w:val="clear" w:color="auto" w:fill="CFF0FC"/>
            <w:noWrap/>
            <w:tcMar>
              <w:top w:w="15" w:type="dxa"/>
              <w:left w:w="0" w:type="dxa"/>
              <w:bottom w:w="0" w:type="dxa"/>
              <w:right w:w="15" w:type="dxa"/>
            </w:tcMar>
            <w:vAlign w:val="bottom"/>
            <w:hideMark/>
          </w:tcPr>
          <w:p w14:paraId="5204817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1E6F5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5264E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7F6ED6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4,598</w:t>
            </w:r>
          </w:p>
        </w:tc>
        <w:tc>
          <w:tcPr>
            <w:tcW w:w="192" w:type="dxa"/>
            <w:shd w:val="clear" w:color="auto" w:fill="CFF0FC"/>
            <w:noWrap/>
            <w:tcMar>
              <w:top w:w="15" w:type="dxa"/>
              <w:left w:w="0" w:type="dxa"/>
              <w:bottom w:w="0" w:type="dxa"/>
              <w:right w:w="15" w:type="dxa"/>
            </w:tcMar>
            <w:vAlign w:val="bottom"/>
            <w:hideMark/>
          </w:tcPr>
          <w:p w14:paraId="66FF6F2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B044772" w14:textId="77777777" w:rsidTr="00141675">
        <w:tc>
          <w:tcPr>
            <w:tcW w:w="12095" w:type="dxa"/>
            <w:shd w:val="clear" w:color="auto" w:fill="FFFFFF"/>
            <w:tcMar>
              <w:top w:w="15" w:type="dxa"/>
              <w:left w:w="0" w:type="dxa"/>
              <w:bottom w:w="0" w:type="dxa"/>
              <w:right w:w="15" w:type="dxa"/>
            </w:tcMar>
            <w:hideMark/>
          </w:tcPr>
          <w:p w14:paraId="1C82F64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Weighted average common shares outstanding</w:t>
            </w:r>
          </w:p>
        </w:tc>
        <w:tc>
          <w:tcPr>
            <w:tcW w:w="278" w:type="dxa"/>
            <w:shd w:val="clear" w:color="auto" w:fill="FFFFFF"/>
            <w:tcMar>
              <w:top w:w="15" w:type="dxa"/>
              <w:left w:w="0" w:type="dxa"/>
              <w:bottom w:w="0" w:type="dxa"/>
              <w:right w:w="15" w:type="dxa"/>
            </w:tcMar>
            <w:vAlign w:val="bottom"/>
            <w:hideMark/>
          </w:tcPr>
          <w:p w14:paraId="672F1EC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5BC33A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double" w:sz="6" w:space="0" w:color="000000"/>
            </w:tcBorders>
            <w:shd w:val="clear" w:color="auto" w:fill="FFFFFF"/>
            <w:noWrap/>
            <w:tcMar>
              <w:top w:w="15" w:type="dxa"/>
              <w:left w:w="0" w:type="dxa"/>
              <w:bottom w:w="0" w:type="dxa"/>
              <w:right w:w="15" w:type="dxa"/>
            </w:tcMar>
            <w:vAlign w:val="bottom"/>
            <w:hideMark/>
          </w:tcPr>
          <w:p w14:paraId="7016371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3,245</w:t>
            </w:r>
          </w:p>
        </w:tc>
        <w:tc>
          <w:tcPr>
            <w:tcW w:w="191" w:type="dxa"/>
            <w:shd w:val="clear" w:color="auto" w:fill="FFFFFF"/>
            <w:noWrap/>
            <w:tcMar>
              <w:top w:w="15" w:type="dxa"/>
              <w:left w:w="0" w:type="dxa"/>
              <w:bottom w:w="0" w:type="dxa"/>
              <w:right w:w="15" w:type="dxa"/>
            </w:tcMar>
            <w:vAlign w:val="bottom"/>
            <w:hideMark/>
          </w:tcPr>
          <w:p w14:paraId="1F4CCB7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6025969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D0E6E2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double" w:sz="6" w:space="0" w:color="000000"/>
            </w:tcBorders>
            <w:shd w:val="clear" w:color="auto" w:fill="FFFFFF"/>
            <w:noWrap/>
            <w:tcMar>
              <w:top w:w="15" w:type="dxa"/>
              <w:left w:w="0" w:type="dxa"/>
              <w:bottom w:w="0" w:type="dxa"/>
              <w:right w:w="15" w:type="dxa"/>
            </w:tcMar>
            <w:vAlign w:val="bottom"/>
            <w:hideMark/>
          </w:tcPr>
          <w:p w14:paraId="4DA4A57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3,720</w:t>
            </w:r>
          </w:p>
        </w:tc>
        <w:tc>
          <w:tcPr>
            <w:tcW w:w="191" w:type="dxa"/>
            <w:shd w:val="clear" w:color="auto" w:fill="FFFFFF"/>
            <w:noWrap/>
            <w:tcMar>
              <w:top w:w="15" w:type="dxa"/>
              <w:left w:w="0" w:type="dxa"/>
              <w:bottom w:w="0" w:type="dxa"/>
              <w:right w:w="15" w:type="dxa"/>
            </w:tcMar>
            <w:vAlign w:val="bottom"/>
            <w:hideMark/>
          </w:tcPr>
          <w:p w14:paraId="406C6AC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1A49E02A"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F296CB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double" w:sz="6" w:space="0" w:color="000000"/>
            </w:tcBorders>
            <w:shd w:val="clear" w:color="auto" w:fill="FFFFFF"/>
            <w:noWrap/>
            <w:tcMar>
              <w:top w:w="15" w:type="dxa"/>
              <w:left w:w="0" w:type="dxa"/>
              <w:bottom w:w="0" w:type="dxa"/>
              <w:right w:w="15" w:type="dxa"/>
            </w:tcMar>
            <w:vAlign w:val="bottom"/>
            <w:hideMark/>
          </w:tcPr>
          <w:p w14:paraId="133DABC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3,281</w:t>
            </w:r>
          </w:p>
        </w:tc>
        <w:tc>
          <w:tcPr>
            <w:tcW w:w="191" w:type="dxa"/>
            <w:shd w:val="clear" w:color="auto" w:fill="FFFFFF"/>
            <w:noWrap/>
            <w:tcMar>
              <w:top w:w="15" w:type="dxa"/>
              <w:left w:w="0" w:type="dxa"/>
              <w:bottom w:w="0" w:type="dxa"/>
              <w:right w:w="15" w:type="dxa"/>
            </w:tcMar>
            <w:vAlign w:val="bottom"/>
            <w:hideMark/>
          </w:tcPr>
          <w:p w14:paraId="3FF4140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11B18B3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63359C2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double" w:sz="6" w:space="0" w:color="000000"/>
            </w:tcBorders>
            <w:shd w:val="clear" w:color="auto" w:fill="FFFFFF"/>
            <w:noWrap/>
            <w:tcMar>
              <w:top w:w="15" w:type="dxa"/>
              <w:left w:w="0" w:type="dxa"/>
              <w:bottom w:w="0" w:type="dxa"/>
              <w:right w:w="15" w:type="dxa"/>
            </w:tcMar>
            <w:vAlign w:val="bottom"/>
            <w:hideMark/>
          </w:tcPr>
          <w:p w14:paraId="1AB5988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3,812</w:t>
            </w:r>
          </w:p>
        </w:tc>
        <w:tc>
          <w:tcPr>
            <w:tcW w:w="192" w:type="dxa"/>
            <w:shd w:val="clear" w:color="auto" w:fill="FFFFFF"/>
            <w:noWrap/>
            <w:tcMar>
              <w:top w:w="15" w:type="dxa"/>
              <w:left w:w="0" w:type="dxa"/>
              <w:bottom w:w="0" w:type="dxa"/>
              <w:right w:w="15" w:type="dxa"/>
            </w:tcMar>
            <w:vAlign w:val="bottom"/>
            <w:hideMark/>
          </w:tcPr>
          <w:p w14:paraId="43AA65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104F250" w14:textId="77777777" w:rsidTr="00141675">
        <w:tc>
          <w:tcPr>
            <w:tcW w:w="12095" w:type="dxa"/>
            <w:shd w:val="clear" w:color="auto" w:fill="CFF0FC"/>
            <w:tcMar>
              <w:top w:w="15" w:type="dxa"/>
              <w:left w:w="0" w:type="dxa"/>
              <w:bottom w:w="0" w:type="dxa"/>
              <w:right w:w="15" w:type="dxa"/>
            </w:tcMar>
            <w:hideMark/>
          </w:tcPr>
          <w:p w14:paraId="6E35D4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Dilutive effect of employee stock plans</w:t>
            </w:r>
          </w:p>
        </w:tc>
        <w:tc>
          <w:tcPr>
            <w:tcW w:w="278" w:type="dxa"/>
            <w:shd w:val="clear" w:color="auto" w:fill="CFF0FC"/>
            <w:tcMar>
              <w:top w:w="15" w:type="dxa"/>
              <w:left w:w="0" w:type="dxa"/>
              <w:bottom w:w="0" w:type="dxa"/>
              <w:right w:w="15" w:type="dxa"/>
            </w:tcMar>
            <w:vAlign w:val="bottom"/>
            <w:hideMark/>
          </w:tcPr>
          <w:p w14:paraId="2233938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2FAF5DE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75B2928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86</w:t>
            </w:r>
          </w:p>
        </w:tc>
        <w:tc>
          <w:tcPr>
            <w:tcW w:w="191" w:type="dxa"/>
            <w:shd w:val="clear" w:color="auto" w:fill="CFF0FC"/>
            <w:noWrap/>
            <w:tcMar>
              <w:top w:w="15" w:type="dxa"/>
              <w:left w:w="0" w:type="dxa"/>
              <w:bottom w:w="0" w:type="dxa"/>
              <w:right w:w="15" w:type="dxa"/>
            </w:tcMar>
            <w:vAlign w:val="bottom"/>
            <w:hideMark/>
          </w:tcPr>
          <w:p w14:paraId="5EAB37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96BE5F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B62BC7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45E57C8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97</w:t>
            </w:r>
          </w:p>
        </w:tc>
        <w:tc>
          <w:tcPr>
            <w:tcW w:w="191" w:type="dxa"/>
            <w:shd w:val="clear" w:color="auto" w:fill="CFF0FC"/>
            <w:noWrap/>
            <w:tcMar>
              <w:top w:w="15" w:type="dxa"/>
              <w:left w:w="0" w:type="dxa"/>
              <w:bottom w:w="0" w:type="dxa"/>
              <w:right w:w="15" w:type="dxa"/>
            </w:tcMar>
            <w:vAlign w:val="bottom"/>
            <w:hideMark/>
          </w:tcPr>
          <w:p w14:paraId="0FE7D3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BB59AF1"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1105FB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2D83943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89</w:t>
            </w:r>
          </w:p>
        </w:tc>
        <w:tc>
          <w:tcPr>
            <w:tcW w:w="191" w:type="dxa"/>
            <w:shd w:val="clear" w:color="auto" w:fill="CFF0FC"/>
            <w:noWrap/>
            <w:tcMar>
              <w:top w:w="15" w:type="dxa"/>
              <w:left w:w="0" w:type="dxa"/>
              <w:bottom w:w="0" w:type="dxa"/>
              <w:right w:w="15" w:type="dxa"/>
            </w:tcMar>
            <w:vAlign w:val="bottom"/>
            <w:hideMark/>
          </w:tcPr>
          <w:p w14:paraId="2BDA12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67FF7AC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F174F2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bottom w:val="single" w:sz="6" w:space="0" w:color="000000"/>
            </w:tcBorders>
            <w:shd w:val="clear" w:color="auto" w:fill="CFF0FC"/>
            <w:noWrap/>
            <w:tcMar>
              <w:top w:w="15" w:type="dxa"/>
              <w:left w:w="0" w:type="dxa"/>
              <w:bottom w:w="0" w:type="dxa"/>
              <w:right w:w="15" w:type="dxa"/>
            </w:tcMar>
            <w:vAlign w:val="bottom"/>
            <w:hideMark/>
          </w:tcPr>
          <w:p w14:paraId="4C44AA5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96</w:t>
            </w:r>
          </w:p>
        </w:tc>
        <w:tc>
          <w:tcPr>
            <w:tcW w:w="192" w:type="dxa"/>
            <w:shd w:val="clear" w:color="auto" w:fill="CFF0FC"/>
            <w:noWrap/>
            <w:tcMar>
              <w:top w:w="15" w:type="dxa"/>
              <w:left w:w="0" w:type="dxa"/>
              <w:bottom w:w="0" w:type="dxa"/>
              <w:right w:w="15" w:type="dxa"/>
            </w:tcMar>
            <w:vAlign w:val="bottom"/>
            <w:hideMark/>
          </w:tcPr>
          <w:p w14:paraId="0146B7C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42BFD4C" w14:textId="77777777" w:rsidTr="00141675">
        <w:tc>
          <w:tcPr>
            <w:tcW w:w="12095" w:type="dxa"/>
            <w:shd w:val="clear" w:color="auto" w:fill="FFFFFF"/>
            <w:tcMar>
              <w:top w:w="15" w:type="dxa"/>
              <w:left w:w="0" w:type="dxa"/>
              <w:bottom w:w="0" w:type="dxa"/>
              <w:right w:w="15" w:type="dxa"/>
            </w:tcMar>
            <w:hideMark/>
          </w:tcPr>
          <w:p w14:paraId="05D0903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Dilutive weighted average common shares outstanding</w:t>
            </w:r>
          </w:p>
        </w:tc>
        <w:tc>
          <w:tcPr>
            <w:tcW w:w="278" w:type="dxa"/>
            <w:shd w:val="clear" w:color="auto" w:fill="FFFFFF"/>
            <w:tcMar>
              <w:top w:w="15" w:type="dxa"/>
              <w:left w:w="0" w:type="dxa"/>
              <w:bottom w:w="0" w:type="dxa"/>
              <w:right w:w="15" w:type="dxa"/>
            </w:tcMar>
            <w:vAlign w:val="bottom"/>
            <w:hideMark/>
          </w:tcPr>
          <w:p w14:paraId="2D38CF2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76FEC7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BCF528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3,331</w:t>
            </w:r>
          </w:p>
        </w:tc>
        <w:tc>
          <w:tcPr>
            <w:tcW w:w="191" w:type="dxa"/>
            <w:shd w:val="clear" w:color="auto" w:fill="FFFFFF"/>
            <w:noWrap/>
            <w:tcMar>
              <w:top w:w="15" w:type="dxa"/>
              <w:left w:w="0" w:type="dxa"/>
              <w:bottom w:w="0" w:type="dxa"/>
              <w:right w:w="15" w:type="dxa"/>
            </w:tcMar>
            <w:vAlign w:val="bottom"/>
            <w:hideMark/>
          </w:tcPr>
          <w:p w14:paraId="7B9DFD9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7716E0B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B8FD7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AE1993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3,817</w:t>
            </w:r>
          </w:p>
        </w:tc>
        <w:tc>
          <w:tcPr>
            <w:tcW w:w="191" w:type="dxa"/>
            <w:shd w:val="clear" w:color="auto" w:fill="FFFFFF"/>
            <w:noWrap/>
            <w:tcMar>
              <w:top w:w="15" w:type="dxa"/>
              <w:left w:w="0" w:type="dxa"/>
              <w:bottom w:w="0" w:type="dxa"/>
              <w:right w:w="15" w:type="dxa"/>
            </w:tcMar>
            <w:vAlign w:val="bottom"/>
            <w:hideMark/>
          </w:tcPr>
          <w:p w14:paraId="2BC000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7FDAD5C2"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9477B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666FDC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3,370</w:t>
            </w:r>
          </w:p>
        </w:tc>
        <w:tc>
          <w:tcPr>
            <w:tcW w:w="191" w:type="dxa"/>
            <w:shd w:val="clear" w:color="auto" w:fill="FFFFFF"/>
            <w:noWrap/>
            <w:tcMar>
              <w:top w:w="15" w:type="dxa"/>
              <w:left w:w="0" w:type="dxa"/>
              <w:bottom w:w="0" w:type="dxa"/>
              <w:right w:w="15" w:type="dxa"/>
            </w:tcMar>
            <w:vAlign w:val="bottom"/>
            <w:hideMark/>
          </w:tcPr>
          <w:p w14:paraId="0822EC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EDA941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27074F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F4451E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3,908</w:t>
            </w:r>
          </w:p>
        </w:tc>
        <w:tc>
          <w:tcPr>
            <w:tcW w:w="192" w:type="dxa"/>
            <w:shd w:val="clear" w:color="auto" w:fill="FFFFFF"/>
            <w:noWrap/>
            <w:tcMar>
              <w:top w:w="15" w:type="dxa"/>
              <w:left w:w="0" w:type="dxa"/>
              <w:bottom w:w="0" w:type="dxa"/>
              <w:right w:w="15" w:type="dxa"/>
            </w:tcMar>
            <w:vAlign w:val="bottom"/>
            <w:hideMark/>
          </w:tcPr>
          <w:p w14:paraId="4B06851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38992C6B" w14:textId="77777777" w:rsidTr="00141675">
        <w:tc>
          <w:tcPr>
            <w:tcW w:w="12095" w:type="dxa"/>
            <w:shd w:val="clear" w:color="auto" w:fill="CFF0FC"/>
            <w:tcMar>
              <w:top w:w="15" w:type="dxa"/>
              <w:left w:w="0" w:type="dxa"/>
              <w:bottom w:w="0" w:type="dxa"/>
              <w:right w:w="15" w:type="dxa"/>
            </w:tcMar>
            <w:hideMark/>
          </w:tcPr>
          <w:p w14:paraId="36A12CD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Basic earnings per share</w:t>
            </w:r>
          </w:p>
        </w:tc>
        <w:tc>
          <w:tcPr>
            <w:tcW w:w="278" w:type="dxa"/>
            <w:shd w:val="clear" w:color="auto" w:fill="CFF0FC"/>
            <w:tcMar>
              <w:top w:w="15" w:type="dxa"/>
              <w:left w:w="0" w:type="dxa"/>
              <w:bottom w:w="0" w:type="dxa"/>
              <w:right w:w="15" w:type="dxa"/>
            </w:tcMar>
            <w:vAlign w:val="bottom"/>
            <w:hideMark/>
          </w:tcPr>
          <w:p w14:paraId="6041307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3FECCCE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double" w:sz="6" w:space="0" w:color="000000"/>
            </w:tcBorders>
            <w:shd w:val="clear" w:color="auto" w:fill="CFF0FC"/>
            <w:noWrap/>
            <w:tcMar>
              <w:top w:w="15" w:type="dxa"/>
              <w:left w:w="0" w:type="dxa"/>
              <w:bottom w:w="0" w:type="dxa"/>
              <w:right w:w="15" w:type="dxa"/>
            </w:tcMar>
            <w:vAlign w:val="bottom"/>
            <w:hideMark/>
          </w:tcPr>
          <w:p w14:paraId="7A7C751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0.71</w:t>
            </w:r>
          </w:p>
        </w:tc>
        <w:tc>
          <w:tcPr>
            <w:tcW w:w="191" w:type="dxa"/>
            <w:shd w:val="clear" w:color="auto" w:fill="CFF0FC"/>
            <w:noWrap/>
            <w:tcMar>
              <w:top w:w="15" w:type="dxa"/>
              <w:left w:w="0" w:type="dxa"/>
              <w:bottom w:w="0" w:type="dxa"/>
              <w:right w:w="15" w:type="dxa"/>
            </w:tcMar>
            <w:vAlign w:val="bottom"/>
            <w:hideMark/>
          </w:tcPr>
          <w:p w14:paraId="13A479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7E7388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6C7006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double" w:sz="6" w:space="0" w:color="000000"/>
            </w:tcBorders>
            <w:shd w:val="clear" w:color="auto" w:fill="CFF0FC"/>
            <w:noWrap/>
            <w:tcMar>
              <w:top w:w="15" w:type="dxa"/>
              <w:left w:w="0" w:type="dxa"/>
              <w:bottom w:w="0" w:type="dxa"/>
              <w:right w:w="15" w:type="dxa"/>
            </w:tcMar>
            <w:vAlign w:val="bottom"/>
            <w:hideMark/>
          </w:tcPr>
          <w:p w14:paraId="20BA3C4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0.63</w:t>
            </w:r>
          </w:p>
        </w:tc>
        <w:tc>
          <w:tcPr>
            <w:tcW w:w="191" w:type="dxa"/>
            <w:shd w:val="clear" w:color="auto" w:fill="CFF0FC"/>
            <w:noWrap/>
            <w:tcMar>
              <w:top w:w="15" w:type="dxa"/>
              <w:left w:w="0" w:type="dxa"/>
              <w:bottom w:w="0" w:type="dxa"/>
              <w:right w:w="15" w:type="dxa"/>
            </w:tcMar>
            <w:vAlign w:val="bottom"/>
            <w:hideMark/>
          </w:tcPr>
          <w:p w14:paraId="23A847A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09D1271D"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37D6306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double" w:sz="6" w:space="0" w:color="000000"/>
            </w:tcBorders>
            <w:shd w:val="clear" w:color="auto" w:fill="CFF0FC"/>
            <w:noWrap/>
            <w:tcMar>
              <w:top w:w="15" w:type="dxa"/>
              <w:left w:w="0" w:type="dxa"/>
              <w:bottom w:w="0" w:type="dxa"/>
              <w:right w:w="15" w:type="dxa"/>
            </w:tcMar>
            <w:vAlign w:val="bottom"/>
            <w:hideMark/>
          </w:tcPr>
          <w:p w14:paraId="2F0C4B2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1.36</w:t>
            </w:r>
          </w:p>
        </w:tc>
        <w:tc>
          <w:tcPr>
            <w:tcW w:w="191" w:type="dxa"/>
            <w:shd w:val="clear" w:color="auto" w:fill="CFF0FC"/>
            <w:noWrap/>
            <w:tcMar>
              <w:top w:w="15" w:type="dxa"/>
              <w:left w:w="0" w:type="dxa"/>
              <w:bottom w:w="0" w:type="dxa"/>
              <w:right w:w="15" w:type="dxa"/>
            </w:tcMar>
            <w:vAlign w:val="bottom"/>
            <w:hideMark/>
          </w:tcPr>
          <w:p w14:paraId="05AB8ED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19414D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CFF0FC"/>
            <w:noWrap/>
            <w:tcMar>
              <w:top w:w="15" w:type="dxa"/>
              <w:left w:w="0" w:type="dxa"/>
              <w:bottom w:w="0" w:type="dxa"/>
              <w:right w:w="15" w:type="dxa"/>
            </w:tcMar>
            <w:vAlign w:val="bottom"/>
            <w:hideMark/>
          </w:tcPr>
          <w:p w14:paraId="48EF64A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tcBorders>
              <w:top w:val="double" w:sz="6" w:space="0" w:color="000000"/>
            </w:tcBorders>
            <w:shd w:val="clear" w:color="auto" w:fill="CFF0FC"/>
            <w:noWrap/>
            <w:tcMar>
              <w:top w:w="15" w:type="dxa"/>
              <w:left w:w="0" w:type="dxa"/>
              <w:bottom w:w="0" w:type="dxa"/>
              <w:right w:w="15" w:type="dxa"/>
            </w:tcMar>
            <w:vAlign w:val="bottom"/>
            <w:hideMark/>
          </w:tcPr>
          <w:p w14:paraId="22F6170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1.21</w:t>
            </w:r>
          </w:p>
        </w:tc>
        <w:tc>
          <w:tcPr>
            <w:tcW w:w="192" w:type="dxa"/>
            <w:shd w:val="clear" w:color="auto" w:fill="CFF0FC"/>
            <w:noWrap/>
            <w:tcMar>
              <w:top w:w="15" w:type="dxa"/>
              <w:left w:w="0" w:type="dxa"/>
              <w:bottom w:w="0" w:type="dxa"/>
              <w:right w:w="15" w:type="dxa"/>
            </w:tcMar>
            <w:vAlign w:val="bottom"/>
            <w:hideMark/>
          </w:tcPr>
          <w:p w14:paraId="55DDC9F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7DAD02A" w14:textId="77777777" w:rsidTr="00141675">
        <w:tc>
          <w:tcPr>
            <w:tcW w:w="12095" w:type="dxa"/>
            <w:shd w:val="clear" w:color="auto" w:fill="FFFFFF"/>
            <w:tcMar>
              <w:top w:w="15" w:type="dxa"/>
              <w:left w:w="0" w:type="dxa"/>
              <w:bottom w:w="0" w:type="dxa"/>
              <w:right w:w="15" w:type="dxa"/>
            </w:tcMar>
            <w:hideMark/>
          </w:tcPr>
          <w:p w14:paraId="6749E71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Diluted earnings per share</w:t>
            </w:r>
          </w:p>
        </w:tc>
        <w:tc>
          <w:tcPr>
            <w:tcW w:w="278" w:type="dxa"/>
            <w:shd w:val="clear" w:color="auto" w:fill="FFFFFF"/>
            <w:tcMar>
              <w:top w:w="15" w:type="dxa"/>
              <w:left w:w="0" w:type="dxa"/>
              <w:bottom w:w="0" w:type="dxa"/>
              <w:right w:w="15" w:type="dxa"/>
            </w:tcMar>
            <w:vAlign w:val="bottom"/>
            <w:hideMark/>
          </w:tcPr>
          <w:p w14:paraId="1933AF4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ED91B8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1A01DBD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0.69</w:t>
            </w:r>
          </w:p>
        </w:tc>
        <w:tc>
          <w:tcPr>
            <w:tcW w:w="191" w:type="dxa"/>
            <w:shd w:val="clear" w:color="auto" w:fill="FFFFFF"/>
            <w:noWrap/>
            <w:tcMar>
              <w:top w:w="15" w:type="dxa"/>
              <w:left w:w="0" w:type="dxa"/>
              <w:bottom w:w="0" w:type="dxa"/>
              <w:right w:w="15" w:type="dxa"/>
            </w:tcMar>
            <w:vAlign w:val="bottom"/>
            <w:hideMark/>
          </w:tcPr>
          <w:p w14:paraId="545C949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7EBE110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C9FB9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769543C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0.61</w:t>
            </w:r>
          </w:p>
        </w:tc>
        <w:tc>
          <w:tcPr>
            <w:tcW w:w="191" w:type="dxa"/>
            <w:shd w:val="clear" w:color="auto" w:fill="FFFFFF"/>
            <w:noWrap/>
            <w:tcMar>
              <w:top w:w="15" w:type="dxa"/>
              <w:left w:w="0" w:type="dxa"/>
              <w:bottom w:w="0" w:type="dxa"/>
              <w:right w:w="15" w:type="dxa"/>
            </w:tcMar>
            <w:vAlign w:val="bottom"/>
            <w:hideMark/>
          </w:tcPr>
          <w:p w14:paraId="5756CE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382E02AE"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829A6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50E0908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1.32</w:t>
            </w:r>
          </w:p>
        </w:tc>
        <w:tc>
          <w:tcPr>
            <w:tcW w:w="191" w:type="dxa"/>
            <w:shd w:val="clear" w:color="auto" w:fill="FFFFFF"/>
            <w:noWrap/>
            <w:tcMar>
              <w:top w:w="15" w:type="dxa"/>
              <w:left w:w="0" w:type="dxa"/>
              <w:bottom w:w="0" w:type="dxa"/>
              <w:right w:w="15" w:type="dxa"/>
            </w:tcMar>
            <w:vAlign w:val="bottom"/>
            <w:hideMark/>
          </w:tcPr>
          <w:p w14:paraId="5216961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FFFFFF"/>
            <w:tcMar>
              <w:top w:w="15" w:type="dxa"/>
              <w:left w:w="0" w:type="dxa"/>
              <w:bottom w:w="0" w:type="dxa"/>
              <w:right w:w="15" w:type="dxa"/>
            </w:tcMar>
            <w:vAlign w:val="bottom"/>
            <w:hideMark/>
          </w:tcPr>
          <w:p w14:paraId="4787D50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10458F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405" w:type="dxa"/>
            <w:shd w:val="clear" w:color="auto" w:fill="FFFFFF"/>
            <w:noWrap/>
            <w:tcMar>
              <w:top w:w="15" w:type="dxa"/>
              <w:left w:w="0" w:type="dxa"/>
              <w:bottom w:w="0" w:type="dxa"/>
              <w:right w:w="15" w:type="dxa"/>
            </w:tcMar>
            <w:vAlign w:val="bottom"/>
            <w:hideMark/>
          </w:tcPr>
          <w:p w14:paraId="5ED6CDE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1.18</w:t>
            </w:r>
          </w:p>
        </w:tc>
        <w:tc>
          <w:tcPr>
            <w:tcW w:w="192" w:type="dxa"/>
            <w:shd w:val="clear" w:color="auto" w:fill="FFFFFF"/>
            <w:noWrap/>
            <w:tcMar>
              <w:top w:w="15" w:type="dxa"/>
              <w:left w:w="0" w:type="dxa"/>
              <w:bottom w:w="0" w:type="dxa"/>
              <w:right w:w="15" w:type="dxa"/>
            </w:tcMar>
            <w:vAlign w:val="bottom"/>
            <w:hideMark/>
          </w:tcPr>
          <w:p w14:paraId="71A5271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7092585" w14:textId="77777777" w:rsidTr="00141675">
        <w:tc>
          <w:tcPr>
            <w:tcW w:w="12095" w:type="dxa"/>
            <w:shd w:val="clear" w:color="auto" w:fill="CFF0FC"/>
            <w:tcMar>
              <w:top w:w="15" w:type="dxa"/>
              <w:left w:w="0" w:type="dxa"/>
              <w:bottom w:w="0" w:type="dxa"/>
              <w:right w:w="15" w:type="dxa"/>
            </w:tcMar>
            <w:hideMark/>
          </w:tcPr>
          <w:p w14:paraId="5070B77E" w14:textId="77777777" w:rsidR="00141675" w:rsidRPr="00141675" w:rsidRDefault="00141675" w:rsidP="00141675">
            <w:pPr>
              <w:widowControl/>
              <w:ind w:left="144" w:hanging="144"/>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Shares subject to anti-dilutive restricted stock-based awards and stock options excluded from calculation</w:t>
            </w:r>
            <w:r w:rsidRPr="00141675">
              <w:rPr>
                <w:rFonts w:ascii="Calibri" w:eastAsia="宋体" w:hAnsi="Calibri" w:cs="Calibri"/>
                <w:color w:val="000000"/>
                <w:kern w:val="0"/>
                <w:sz w:val="18"/>
                <w:szCs w:val="18"/>
                <w:vertAlign w:val="superscript"/>
              </w:rPr>
              <w:t>(1)</w:t>
            </w:r>
          </w:p>
        </w:tc>
        <w:tc>
          <w:tcPr>
            <w:tcW w:w="278" w:type="dxa"/>
            <w:shd w:val="clear" w:color="auto" w:fill="CFF0FC"/>
            <w:tcMar>
              <w:top w:w="15" w:type="dxa"/>
              <w:left w:w="0" w:type="dxa"/>
              <w:bottom w:w="0" w:type="dxa"/>
              <w:right w:w="15" w:type="dxa"/>
            </w:tcMar>
            <w:vAlign w:val="bottom"/>
            <w:hideMark/>
          </w:tcPr>
          <w:p w14:paraId="0F3C4D9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77A6F0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4F01539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w:t>
            </w:r>
          </w:p>
        </w:tc>
        <w:tc>
          <w:tcPr>
            <w:tcW w:w="191" w:type="dxa"/>
            <w:shd w:val="clear" w:color="auto" w:fill="CFF0FC"/>
            <w:noWrap/>
            <w:tcMar>
              <w:top w:w="15" w:type="dxa"/>
              <w:left w:w="0" w:type="dxa"/>
              <w:bottom w:w="0" w:type="dxa"/>
              <w:right w:w="15" w:type="dxa"/>
            </w:tcMar>
            <w:vAlign w:val="bottom"/>
            <w:hideMark/>
          </w:tcPr>
          <w:p w14:paraId="00F022E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1778562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E8E0CA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2A87688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72</w:t>
            </w:r>
          </w:p>
        </w:tc>
        <w:tc>
          <w:tcPr>
            <w:tcW w:w="191" w:type="dxa"/>
            <w:shd w:val="clear" w:color="auto" w:fill="CFF0FC"/>
            <w:noWrap/>
            <w:tcMar>
              <w:top w:w="15" w:type="dxa"/>
              <w:left w:w="0" w:type="dxa"/>
              <w:bottom w:w="0" w:type="dxa"/>
              <w:right w:w="15" w:type="dxa"/>
            </w:tcMar>
            <w:vAlign w:val="bottom"/>
            <w:hideMark/>
          </w:tcPr>
          <w:p w14:paraId="27C0B6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27341740"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46CB9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2A0FC05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w:t>
            </w:r>
          </w:p>
        </w:tc>
        <w:tc>
          <w:tcPr>
            <w:tcW w:w="191" w:type="dxa"/>
            <w:shd w:val="clear" w:color="auto" w:fill="CFF0FC"/>
            <w:noWrap/>
            <w:tcMar>
              <w:top w:w="15" w:type="dxa"/>
              <w:left w:w="0" w:type="dxa"/>
              <w:bottom w:w="0" w:type="dxa"/>
              <w:right w:w="15" w:type="dxa"/>
            </w:tcMar>
            <w:vAlign w:val="bottom"/>
            <w:hideMark/>
          </w:tcPr>
          <w:p w14:paraId="39535D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78" w:type="dxa"/>
            <w:shd w:val="clear" w:color="auto" w:fill="CFF0FC"/>
            <w:tcMar>
              <w:top w:w="15" w:type="dxa"/>
              <w:left w:w="0" w:type="dxa"/>
              <w:bottom w:w="0" w:type="dxa"/>
              <w:right w:w="15" w:type="dxa"/>
            </w:tcMar>
            <w:vAlign w:val="bottom"/>
            <w:hideMark/>
          </w:tcPr>
          <w:p w14:paraId="4E2DDD5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091DC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05" w:type="dxa"/>
            <w:shd w:val="clear" w:color="auto" w:fill="CFF0FC"/>
            <w:noWrap/>
            <w:tcMar>
              <w:top w:w="15" w:type="dxa"/>
              <w:left w:w="0" w:type="dxa"/>
              <w:bottom w:w="0" w:type="dxa"/>
              <w:right w:w="15" w:type="dxa"/>
            </w:tcMar>
            <w:vAlign w:val="bottom"/>
            <w:hideMark/>
          </w:tcPr>
          <w:p w14:paraId="06BA73B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76</w:t>
            </w:r>
          </w:p>
        </w:tc>
        <w:tc>
          <w:tcPr>
            <w:tcW w:w="192" w:type="dxa"/>
            <w:shd w:val="clear" w:color="auto" w:fill="CFF0FC"/>
            <w:noWrap/>
            <w:tcMar>
              <w:top w:w="15" w:type="dxa"/>
              <w:left w:w="0" w:type="dxa"/>
              <w:bottom w:w="0" w:type="dxa"/>
              <w:right w:w="15" w:type="dxa"/>
            </w:tcMar>
            <w:vAlign w:val="bottom"/>
            <w:hideMark/>
          </w:tcPr>
          <w:p w14:paraId="39F4FFE1"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04F11D70" w14:textId="77777777" w:rsidR="00141675" w:rsidRPr="00141675" w:rsidRDefault="00141675" w:rsidP="00141675">
      <w:pPr>
        <w:widowControl/>
        <w:pBdr>
          <w:bottom w:val="single" w:sz="6" w:space="1" w:color="auto"/>
        </w:pBdr>
        <w:ind w:right="18324"/>
        <w:jc w:val="left"/>
        <w:rPr>
          <w:rFonts w:ascii="Times New Roman" w:eastAsia="宋体" w:hAnsi="Times New Roman" w:cs="Times New Roman"/>
          <w:kern w:val="0"/>
          <w:sz w:val="8"/>
          <w:szCs w:val="8"/>
        </w:rPr>
      </w:pPr>
      <w:r w:rsidRPr="00141675">
        <w:rPr>
          <w:rFonts w:ascii="Times New Roman" w:eastAsia="宋体" w:hAnsi="Times New Roman" w:cs="Times New Roman"/>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1B36AE5C" w14:textId="77777777" w:rsidTr="00141675">
        <w:tc>
          <w:tcPr>
            <w:tcW w:w="794" w:type="dxa"/>
            <w:noWrap/>
            <w:hideMark/>
          </w:tcPr>
          <w:p w14:paraId="3102F50E"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597FE9BC"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These weighted shares relate to anti-dilutive restricted service based stock</w:t>
            </w:r>
            <w:r w:rsidRPr="00141675">
              <w:rPr>
                <w:rFonts w:ascii="Calibri" w:eastAsia="宋体" w:hAnsi="Calibri" w:cs="Calibri"/>
                <w:kern w:val="0"/>
                <w:sz w:val="15"/>
                <w:szCs w:val="15"/>
              </w:rPr>
              <w:noBreakHyphen/>
              <w:t>based awards and stock options as calculated using the treasury stock method and contingently issuable shares under performance</w:t>
            </w:r>
            <w:r w:rsidRPr="00141675">
              <w:rPr>
                <w:rFonts w:ascii="Calibri" w:eastAsia="宋体" w:hAnsi="Calibri" w:cs="Calibri"/>
                <w:kern w:val="0"/>
                <w:sz w:val="15"/>
                <w:szCs w:val="15"/>
              </w:rPr>
              <w:noBreakHyphen/>
              <w:t>based stock option (PSO) and performance</w:t>
            </w:r>
            <w:r w:rsidRPr="00141675">
              <w:rPr>
                <w:rFonts w:ascii="Calibri" w:eastAsia="宋体" w:hAnsi="Calibri" w:cs="Calibri"/>
                <w:kern w:val="0"/>
                <w:sz w:val="15"/>
                <w:szCs w:val="15"/>
              </w:rPr>
              <w:noBreakHyphen/>
              <w:t>based restricted stock unit award (PSU) arrangements. Such shares could be dilutive in the future.</w:t>
            </w:r>
          </w:p>
        </w:tc>
      </w:tr>
    </w:tbl>
    <w:p w14:paraId="1BCBC9D4"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740A8BA6" w14:textId="77777777" w:rsidR="00141675" w:rsidRPr="00141675" w:rsidRDefault="00141675" w:rsidP="00141675">
      <w:pPr>
        <w:widowControl/>
        <w:spacing w:before="240"/>
        <w:jc w:val="center"/>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t>23</w:t>
      </w:r>
    </w:p>
    <w:p w14:paraId="539C6400"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021C74BC">
          <v:rect id="_x0000_i1049" style="width:0;height:1.5pt" o:hralign="center" o:hrstd="t" o:hrnoshade="t" o:hr="t" fillcolor="black" stroked="f"/>
        </w:pict>
      </w:r>
    </w:p>
    <w:p w14:paraId="31B54837" w14:textId="77777777" w:rsidR="00141675" w:rsidRPr="00141675" w:rsidRDefault="00141675" w:rsidP="00141675">
      <w:pPr>
        <w:widowControl/>
        <w:jc w:val="left"/>
        <w:rPr>
          <w:rFonts w:ascii="Calibri" w:eastAsia="宋体" w:hAnsi="Calibri" w:cs="Calibri"/>
          <w:b/>
          <w:bCs/>
          <w:color w:val="000000"/>
          <w:kern w:val="0"/>
          <w:sz w:val="20"/>
          <w:szCs w:val="20"/>
        </w:rPr>
      </w:pPr>
      <w:hyperlink r:id="rId46" w:anchor="TABLE_CONTENTS" w:history="1">
        <w:r w:rsidRPr="00141675">
          <w:rPr>
            <w:rFonts w:ascii="Calibri" w:eastAsia="宋体" w:hAnsi="Calibri" w:cs="Calibri"/>
            <w:b/>
            <w:bCs/>
            <w:color w:val="0000FF"/>
            <w:kern w:val="0"/>
            <w:sz w:val="20"/>
            <w:szCs w:val="20"/>
            <w:u w:val="single"/>
          </w:rPr>
          <w:t>Table of Contents</w:t>
        </w:r>
      </w:hyperlink>
    </w:p>
    <w:p w14:paraId="12A03542"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2727DF33"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3FAA602C"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06385E1E"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3B7F481E"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1CFE689D"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0D838601" w14:textId="77777777" w:rsidTr="00141675">
        <w:tc>
          <w:tcPr>
            <w:tcW w:w="1080" w:type="dxa"/>
            <w:noWrap/>
            <w:hideMark/>
          </w:tcPr>
          <w:p w14:paraId="67000DF9"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12.</w:t>
            </w:r>
          </w:p>
        </w:tc>
        <w:tc>
          <w:tcPr>
            <w:tcW w:w="0" w:type="auto"/>
            <w:hideMark/>
          </w:tcPr>
          <w:p w14:paraId="0824F97B"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LEGAL PROCEEDINGS</w:t>
            </w:r>
          </w:p>
        </w:tc>
      </w:tr>
    </w:tbl>
    <w:p w14:paraId="09B88F30"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Hewlett-Packard Company Litigation</w:t>
      </w:r>
    </w:p>
    <w:p w14:paraId="0859C81B"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 xml:space="preserve">On June 15, 2011, Hewlett-Packard Company, now Hewlett Packard Enterprise Company (HP), filed a complaint in the California Superior Court, County of Santa Clara against Oracle Corporation alleging numerous causes of action including breach of contract, breach of the covenant of good faith and fair dealing, defamation, intentional interference with prospective economic advantage, and violation of the California Unfair Business Practices Act. The complaint alleged that when Oracle announced on March 22 and 23, 2011 that it would no longer develop future versions of its software to run on HP’s </w:t>
      </w:r>
      <w:r w:rsidRPr="00141675">
        <w:rPr>
          <w:rFonts w:ascii="Calibri" w:eastAsia="宋体" w:hAnsi="Calibri" w:cs="Calibri"/>
          <w:kern w:val="0"/>
          <w:sz w:val="20"/>
          <w:szCs w:val="20"/>
        </w:rPr>
        <w:lastRenderedPageBreak/>
        <w:t>Itanium-based servers, it breached a settlement agreement signed on September 20, 2010 (the HP Settlement Agreement), resolving litigation between HP and one of Oracle’s former CEOs who had previously acted as HP’s chief executive officer and chairman of HP’s board of directors. HP sought a judicial declaration of the parties’ rights and obligations under the HP Settlement Agreement and other equitable and monetary relief. Oracle answered the complaint and filed cross-claims.</w:t>
      </w:r>
    </w:p>
    <w:p w14:paraId="775E78F7"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After a bench trial on the meaning of the HP Settlement Agreement, the court found that the HP Settlement Agreement required Oracle to continue to develop certain of its software products for use on HP’s Itanium-based servers at no cost to HP.  The case proceeded to a jury trial in May 2016. On June 30, 2016, the jury returned a verdict in favor of HP on its claims for breach of contract and breach of the implied covenant of good faith and fair dealing and against Oracle on its cross-claims. The jury awarded HP $3.0 billion in damages. Under the court’s rulings, HP is entitled to post-judgment interest, but not pre-judgment interest, on this award.</w:t>
      </w:r>
    </w:p>
    <w:p w14:paraId="7E538EAB"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After the trial court denied Oracle’s motion for a new trial, Oracle filed a notice of appeal on January 17, 2017. On February 2, 2017, HP filed a notice of appeal of the trial court’s denial of pre-judgment interest.</w:t>
      </w:r>
    </w:p>
    <w:p w14:paraId="66952889"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Oracle has posted a mandated surety bond with the trial court for the amounts owing. No amounts have been paid or recorded to our results of operations. We continue to believe that we have meritorious defenses against HP’s claims, and we intend to present these defenses to the appellate court. Oracle filed its opening brief on March 7, 2019. Briefing on the appeal was completed November 1, 2019, and the appellate court has not scheduled a date for oral argument. We cannot currently estimate a reasonably possible range of loss for this action due to the complexities and uncertainty surrounding the appeal process and the nature of the claims. Litigation is inherently unpredictable, and the outcome of the appeal process related to this action is uncertain. It is possible that the resolution of this action could have a material impact on our future cash flows and results of operations.</w:t>
      </w:r>
    </w:p>
    <w:p w14:paraId="0340F7B3"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Derivative Litigation Concerning Oracle’s NetSuite Acquisition</w:t>
      </w:r>
    </w:p>
    <w:p w14:paraId="6E6B3F07"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On May 3 and July 18, 2017, two alleged stockholders filed separate derivative lawsuits in the Court of Chancery of the State of Delaware, purportedly on Oracle’s behalf. Thereafter, the court consolidated the two derivative cases and designated the July 18, 2017 complaint as the operative complaint. The consolidated lawsuit was brought against all the then-current members and one former member of our Board of Directors, and Oracle as a nominal defendant. Plaintiff alleges that the defendants breached their fiduciary duties by causing Oracle to agree to purchase NetSuite Inc. (NetSuite) at an excessive price. Plaintiff seeks declaratory relief, unspecified monetary damages (including interest), and attorneys’ fees and costs.</w:t>
      </w:r>
    </w:p>
    <w:p w14:paraId="235DE7CF"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The defendants filed a motion to dismiss, which the court denied on March 19, 2018. On March 28, 2018, pursuant to a stipulation, all of the individual defendants, except for our Chief Technology Officer and our Chief Executive Officer, were dismissed from this case. On May 4, 2018, the remaining defendants answered plaintiff’s complaint.</w:t>
      </w:r>
    </w:p>
    <w:p w14:paraId="6492A8C5"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24</w:t>
      </w:r>
    </w:p>
    <w:p w14:paraId="69616CB9"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18B6FF5B">
          <v:rect id="_x0000_i1050" style="width:0;height:1.5pt" o:hralign="center" o:hrstd="t" o:hrnoshade="t" o:hr="t" fillcolor="black" stroked="f"/>
        </w:pict>
      </w:r>
    </w:p>
    <w:p w14:paraId="5994E945" w14:textId="77777777" w:rsidR="00141675" w:rsidRPr="00141675" w:rsidRDefault="00141675" w:rsidP="00141675">
      <w:pPr>
        <w:widowControl/>
        <w:jc w:val="left"/>
        <w:rPr>
          <w:rFonts w:ascii="Calibri" w:eastAsia="宋体" w:hAnsi="Calibri" w:cs="Calibri"/>
          <w:b/>
          <w:bCs/>
          <w:color w:val="000000"/>
          <w:kern w:val="0"/>
          <w:sz w:val="20"/>
          <w:szCs w:val="20"/>
        </w:rPr>
      </w:pPr>
      <w:hyperlink r:id="rId47" w:anchor="TABLE_CONTENTS" w:history="1">
        <w:r w:rsidRPr="00141675">
          <w:rPr>
            <w:rFonts w:ascii="Calibri" w:eastAsia="宋体" w:hAnsi="Calibri" w:cs="Calibri"/>
            <w:b/>
            <w:bCs/>
            <w:color w:val="0000FF"/>
            <w:kern w:val="0"/>
            <w:sz w:val="20"/>
            <w:szCs w:val="20"/>
            <w:u w:val="single"/>
          </w:rPr>
          <w:t>Table of Contents</w:t>
        </w:r>
      </w:hyperlink>
    </w:p>
    <w:p w14:paraId="40C5E3C4"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02BFBF08"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lastRenderedPageBreak/>
        <w:t>ORACLE CORPORATION</w:t>
      </w:r>
    </w:p>
    <w:p w14:paraId="11104DCE"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39859EA5"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5624035F"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3EA22EC6"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6EE944E8"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On May 4, 2018, the Board of Directors established a Special Litigation Committee (the SLC) to investigate the allegations in this derivative action. Three non-employee directors served on the SLC. On July 22, 2019, the court permitted plaintiff to file an amended complaint, adding again the defendants who had been dismissed from the case in March 2018. The amended complaint also brought an aiding-and-abetting claim against NetSuite’s former Chief Executive Officer and NetSuite’s former Chief Technology Officer. On August 15, 2019, the SLC filed a letter with the court, stating that the SLC believed that plaintiff should be allowed to proceed with the derivative litigation on behalf of Oracle. After the SLC advised the Board that it had fulfilled its duties and obligations, the Board withdrew the SLC’s authority, except that the SLC maintained certain authority to respond to discovery requests in the litigation.</w:t>
      </w:r>
    </w:p>
    <w:p w14:paraId="06057677"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On August 30, 2019, members of our Board of Directors that were added as defendants on July 22, 2019 moved to dismiss the amended complaint. No hearing date has been set for this motion. On September 12 and 13, 2019, the two NetSuite former executives moved to dismiss the complaint, and a hearing on those motions was scheduled for December 18, 2019. On November 27, 2019, the court granted plaintiff leave to file a second amended complaint, which was filed the same day. Because Mark Hurd, who had been one of our Chief Executive Officers, passed away on October 18, 2019, the second amended complaint substitutes his estate as a defendant. On November 27, 2019, the two NetSuite former executives moved to dismiss that complaint.  The court has not yet set a hearing date for that motion.  The other defendants have not yet responded to plaintiff’s latest complaint.  No trial date has been set for this matter.</w:t>
      </w:r>
    </w:p>
    <w:p w14:paraId="1A9E6237"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While Oracle continues to evaluate these claims, we do not believe this litigation will have a material impact on our financial position or results of operations.</w:t>
      </w:r>
    </w:p>
    <w:p w14:paraId="492A872F"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Securities Class Action and Derivative Litigation Concerning Oracle’s Cloud Business</w:t>
      </w:r>
    </w:p>
    <w:p w14:paraId="7F91008B"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On August 10, 2018, a putative class action, brought by an alleged stockholder of Oracle, was filed in the U.S. District Court for the Northern District of California against us, our Chief Technology Officer, our then</w:t>
      </w:r>
      <w:r w:rsidRPr="00141675">
        <w:rPr>
          <w:rFonts w:ascii="Calibri" w:eastAsia="宋体" w:hAnsi="Calibri" w:cs="Calibri"/>
          <w:kern w:val="0"/>
          <w:sz w:val="20"/>
          <w:szCs w:val="20"/>
        </w:rPr>
        <w:noBreakHyphen/>
        <w:t>two Chief Executive Officers, two other Oracle executives, and one former Oracle executive. As noted above, Mr. Hurd, one of our Chief Executive Officers, passed away on October 18, 2019. On March 8, 2019, plaintiff filed an amended complaint. Plaintiff alleges that the defendants made or are responsible for false and misleading statements regarding Oracle’s cloud business. Plaintiff further alleges that the former Oracle executive engaged in insider trading. Plaintiff seeks a ruling that this case may proceed as a class action, and seeks damages, attorneys’ fees and costs, and unspecified declaratory/injunctive relief. On April 19, 2019,</w:t>
      </w:r>
      <w:r w:rsidRPr="00141675">
        <w:rPr>
          <w:rFonts w:ascii="Times New Roman" w:eastAsia="宋体" w:hAnsi="Times New Roman" w:cs="Times New Roman"/>
          <w:kern w:val="0"/>
          <w:sz w:val="20"/>
          <w:szCs w:val="20"/>
        </w:rPr>
        <w:t> </w:t>
      </w:r>
      <w:r w:rsidRPr="00141675">
        <w:rPr>
          <w:rFonts w:ascii="Calibri" w:eastAsia="宋体" w:hAnsi="Calibri" w:cs="Calibri"/>
          <w:kern w:val="0"/>
          <w:sz w:val="20"/>
          <w:szCs w:val="20"/>
        </w:rPr>
        <w:t>defendants moved to dismiss plaintiff’s amended complaint</w:t>
      </w:r>
      <w:r w:rsidRPr="00141675">
        <w:rPr>
          <w:rFonts w:ascii="Calibri" w:eastAsia="宋体" w:hAnsi="Calibri" w:cs="Calibri"/>
          <w:color w:val="000000"/>
          <w:kern w:val="0"/>
          <w:sz w:val="20"/>
          <w:szCs w:val="20"/>
        </w:rPr>
        <w:t>. On October 17, 2019, the court heard oral argument on the motion but has not yet issued a decision.</w:t>
      </w:r>
      <w:r w:rsidRPr="00141675">
        <w:rPr>
          <w:rFonts w:ascii="Calibri" w:eastAsia="宋体" w:hAnsi="Calibri" w:cs="Calibri"/>
          <w:kern w:val="0"/>
          <w:sz w:val="20"/>
          <w:szCs w:val="20"/>
        </w:rPr>
        <w:t> We believe that we have meritorious defenses against this action, and we will continue to vigorously defend it.</w:t>
      </w:r>
    </w:p>
    <w:p w14:paraId="78CED8F7"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 xml:space="preserve">On February 12, 2019, a stockholder derivative lawsuit was filed in the U.S. District Court for the Northern District of California. The derivative suit is brought by two alleged stockholders of Oracle, </w:t>
      </w:r>
      <w:r w:rsidRPr="00141675">
        <w:rPr>
          <w:rFonts w:ascii="Calibri" w:eastAsia="宋体" w:hAnsi="Calibri" w:cs="Calibri"/>
          <w:kern w:val="0"/>
          <w:sz w:val="20"/>
          <w:szCs w:val="20"/>
        </w:rPr>
        <w:lastRenderedPageBreak/>
        <w:t>purportedly on Oracle’s behalf, against all members of our Board of Directors, and Oracle as a nominal defendant. Plaintiffs claim that the alleged actions described in the August 10, 2018 class action discussed above caused harm to Oracle, and that Oracle’s Board members violated their fiduciary duties of care, loyalty, reasonable inquiry, and good faith by failing to prevent this alleged harm. Plaintiffs also allege that defendants’ actions constitute gross mismanagement, waste, and securities fraud. Plaintiffs seek a ruling that this case may proceed as a derivative action, a finding that defendants are liable for breaching their fiduciary duties, an order directing defendants to enact corporate reforms, attorneys’ fees and costs, and unspecified equitable relief. On April 26, 2019, the court approved a stay of this action, which will be lifted if the class action discussed above is dismissed, if the motion to dismiss the class action is denied, or if either party voluntarily chooses to lift the stay.</w:t>
      </w:r>
    </w:p>
    <w:p w14:paraId="32668154"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w:t>
      </w:r>
    </w:p>
    <w:p w14:paraId="217C4843"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3F6EFC3C">
          <v:rect id="_x0000_i1051" style="width:0;height:1.5pt" o:hralign="center" o:hrstd="t" o:hrnoshade="t" o:hr="t" fillcolor="black" stroked="f"/>
        </w:pict>
      </w:r>
    </w:p>
    <w:p w14:paraId="37ECF687" w14:textId="77777777" w:rsidR="00141675" w:rsidRPr="00141675" w:rsidRDefault="00141675" w:rsidP="00141675">
      <w:pPr>
        <w:widowControl/>
        <w:jc w:val="left"/>
        <w:rPr>
          <w:rFonts w:ascii="Calibri" w:eastAsia="宋体" w:hAnsi="Calibri" w:cs="Calibri"/>
          <w:b/>
          <w:bCs/>
          <w:color w:val="000000"/>
          <w:kern w:val="0"/>
          <w:sz w:val="20"/>
          <w:szCs w:val="20"/>
        </w:rPr>
      </w:pPr>
      <w:hyperlink r:id="rId48" w:anchor="TABLE_CONTENTS" w:history="1">
        <w:r w:rsidRPr="00141675">
          <w:rPr>
            <w:rFonts w:ascii="Calibri" w:eastAsia="宋体" w:hAnsi="Calibri" w:cs="Calibri"/>
            <w:b/>
            <w:bCs/>
            <w:color w:val="0000FF"/>
            <w:kern w:val="0"/>
            <w:sz w:val="20"/>
            <w:szCs w:val="20"/>
            <w:u w:val="single"/>
          </w:rPr>
          <w:t>Table of Contents</w:t>
        </w:r>
      </w:hyperlink>
    </w:p>
    <w:p w14:paraId="18BA57C3" w14:textId="77777777" w:rsidR="00141675" w:rsidRPr="00141675" w:rsidRDefault="00141675" w:rsidP="00141675">
      <w:pPr>
        <w:widowControl/>
        <w:jc w:val="left"/>
        <w:rPr>
          <w:rFonts w:ascii="Times New Roman" w:eastAsia="宋体" w:hAnsi="Times New Roman" w:cs="Times New Roman"/>
          <w:b/>
          <w:bCs/>
          <w:color w:val="000000"/>
          <w:kern w:val="0"/>
          <w:sz w:val="27"/>
          <w:szCs w:val="27"/>
        </w:rPr>
      </w:pPr>
      <w:r w:rsidRPr="00141675">
        <w:rPr>
          <w:rFonts w:ascii="Times New Roman" w:eastAsia="宋体" w:hAnsi="Times New Roman" w:cs="Times New Roman"/>
          <w:b/>
          <w:bCs/>
          <w:color w:val="000000"/>
          <w:kern w:val="0"/>
          <w:sz w:val="27"/>
          <w:szCs w:val="27"/>
        </w:rPr>
        <w:t> </w:t>
      </w:r>
    </w:p>
    <w:p w14:paraId="3FC58897"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ORACLE CORPORATION</w:t>
      </w:r>
    </w:p>
    <w:p w14:paraId="1815DDE7"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NOTES TO CONDENSED CONSOLIDATED FINANCIAL STATEMENTS</w:t>
      </w:r>
      <w:r w:rsidRPr="00141675">
        <w:rPr>
          <w:rFonts w:ascii="Calibri" w:eastAsia="宋体" w:hAnsi="Calibri" w:cs="Calibri"/>
          <w:b/>
          <w:bCs/>
          <w:color w:val="000000"/>
          <w:kern w:val="0"/>
          <w:sz w:val="20"/>
          <w:szCs w:val="20"/>
          <w:shd w:val="clear" w:color="auto" w:fill="FFFFFF"/>
        </w:rPr>
        <w:t>—(Continued)</w:t>
      </w:r>
    </w:p>
    <w:p w14:paraId="19EEA09E"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November 30, 2019</w:t>
      </w:r>
    </w:p>
    <w:p w14:paraId="72947BA0" w14:textId="77777777" w:rsidR="00141675" w:rsidRPr="00141675" w:rsidRDefault="00141675" w:rsidP="00141675">
      <w:pPr>
        <w:widowControl/>
        <w:shd w:val="clear" w:color="auto" w:fill="FFFFFF"/>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(Unaudited)</w:t>
      </w:r>
    </w:p>
    <w:p w14:paraId="4557AC1A"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4F722867"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On May 8, 2019, a second derivative action was filed in the U.S. District Court for the Northern District of California. The derivative suit is brought by an alleged stockholder of Oracle, purportedly on Oracle’s behalf, against our Chief Technology Officer, our two</w:t>
      </w:r>
      <w:r w:rsidRPr="00141675">
        <w:rPr>
          <w:rFonts w:ascii="Calibri" w:eastAsia="宋体" w:hAnsi="Calibri" w:cs="Calibri"/>
          <w:color w:val="000000"/>
          <w:kern w:val="0"/>
          <w:sz w:val="20"/>
          <w:szCs w:val="20"/>
        </w:rPr>
        <w:noBreakHyphen/>
        <w:t>then Chief Executive Officers, one former Oracle executive, and Oracle as a nominal defendant. Plaintiff claims that the alleged actions described in the August 10, 2018 class action discussed above caused harm to Oracle, and plaintiff raises further allegations of impropriety relating to Oracle’s stock buybacks and acquisition of NetSuite. Plaintiff asserts claims for violation of securities laws, violation of fiduciary duties, contribution and indemnification. Plaintiff seeks a ruling that the case may proceed as a derivative action, and seeks damages, declaratory and other equitable relief, attorneys’ and expert fees and costs. On June 4, 2019, the court issued an order finding that this case was related to the derivative case above and staying the case under the court’s prior stay order. On July 8, 2019, plaintiffs in the two derivative actions filed a consolidated complaint. The actions remain stayed.  </w:t>
      </w:r>
    </w:p>
    <w:p w14:paraId="6984D1C7"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While Oracle continues to evaluate these claims, we do not believe this litigation will have a material impact on our financial position or results of operations.</w:t>
      </w:r>
    </w:p>
    <w:p w14:paraId="2770C1BF"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Other Litigation</w:t>
      </w:r>
    </w:p>
    <w:p w14:paraId="2BC578EE" w14:textId="77777777" w:rsidR="00141675" w:rsidRPr="00141675" w:rsidRDefault="00141675" w:rsidP="00141675">
      <w:pPr>
        <w:widowControl/>
        <w:spacing w:before="120"/>
        <w:rPr>
          <w:rFonts w:ascii="Calibri" w:eastAsia="宋体" w:hAnsi="Calibri" w:cs="Calibri"/>
          <w:kern w:val="0"/>
          <w:sz w:val="20"/>
          <w:szCs w:val="20"/>
        </w:rPr>
      </w:pPr>
      <w:r w:rsidRPr="00141675">
        <w:rPr>
          <w:rFonts w:ascii="Calibri" w:eastAsia="宋体" w:hAnsi="Calibri" w:cs="Calibri"/>
          <w:kern w:val="0"/>
          <w:sz w:val="20"/>
          <w:szCs w:val="20"/>
        </w:rPr>
        <w:t>We are party to various other legal proceedings and claims, either asserted or unasserted, which arise in the ordinary course of business, including proceedings and claims that relate to acquisitions we have completed or to companies we have acquired or are attempting to acquire. While the outcome of these matters cannot be predicted with certainty, we do not believe that the outcome of any of these matters, individually or in the aggregate, will result in losses that are materially in excess of amounts already recognized, if any.</w:t>
      </w:r>
    </w:p>
    <w:p w14:paraId="51BD134F" w14:textId="77777777" w:rsidR="00141675" w:rsidRPr="00141675" w:rsidRDefault="00141675" w:rsidP="00141675">
      <w:pPr>
        <w:widowControl/>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5D9A972A" w14:textId="77777777" w:rsidR="00141675" w:rsidRPr="00141675" w:rsidRDefault="00141675" w:rsidP="00141675">
      <w:pPr>
        <w:widowControl/>
        <w:spacing w:before="240"/>
        <w:jc w:val="center"/>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lastRenderedPageBreak/>
        <w:t>26</w:t>
      </w:r>
    </w:p>
    <w:p w14:paraId="0EA5FB74"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1FCF60CA">
          <v:rect id="_x0000_i1052" style="width:0;height:1.5pt" o:hralign="center" o:hrstd="t" o:hrnoshade="t" o:hr="t" fillcolor="black" stroked="f"/>
        </w:pict>
      </w:r>
    </w:p>
    <w:p w14:paraId="10AC58C6" w14:textId="77777777" w:rsidR="00141675" w:rsidRPr="00141675" w:rsidRDefault="00141675" w:rsidP="00141675">
      <w:pPr>
        <w:widowControl/>
        <w:jc w:val="left"/>
        <w:rPr>
          <w:rFonts w:ascii="Calibri" w:eastAsia="宋体" w:hAnsi="Calibri" w:cs="Calibri"/>
          <w:b/>
          <w:bCs/>
          <w:color w:val="000000"/>
          <w:kern w:val="0"/>
          <w:sz w:val="20"/>
          <w:szCs w:val="20"/>
        </w:rPr>
      </w:pPr>
      <w:hyperlink r:id="rId49" w:anchor="TABLE_CONTENTS" w:history="1">
        <w:r w:rsidRPr="00141675">
          <w:rPr>
            <w:rFonts w:ascii="Calibri" w:eastAsia="宋体" w:hAnsi="Calibri" w:cs="Calibri"/>
            <w:b/>
            <w:bCs/>
            <w:color w:val="0000FF"/>
            <w:kern w:val="0"/>
            <w:sz w:val="20"/>
            <w:szCs w:val="20"/>
            <w:u w:val="single"/>
          </w:rPr>
          <w:t>Table of Contents</w:t>
        </w:r>
      </w:hyperlink>
    </w:p>
    <w:p w14:paraId="3ED67048"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365633F3" w14:textId="77777777" w:rsidTr="00141675">
        <w:tc>
          <w:tcPr>
            <w:tcW w:w="1080" w:type="dxa"/>
            <w:noWrap/>
            <w:hideMark/>
          </w:tcPr>
          <w:p w14:paraId="439E5784"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Item 2.</w:t>
            </w:r>
          </w:p>
        </w:tc>
        <w:tc>
          <w:tcPr>
            <w:tcW w:w="0" w:type="auto"/>
            <w:hideMark/>
          </w:tcPr>
          <w:p w14:paraId="2C90493B"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Management’s Discussion and Analysis of Financial Condition and Results of Operations</w:t>
            </w:r>
          </w:p>
        </w:tc>
      </w:tr>
    </w:tbl>
    <w:p w14:paraId="2413D11D"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We begin Management’s Discussion and Analysis of Financial Condition and Results of Operations with an overview of our businesses and significant trends. This overview is followed by a summary of our critical accounting policies and estimates that we believe are important to understanding the assumptions and judgments incorporated in our reported financial results. We then provide a more detailed analysis of our results of operations and financial condition.</w:t>
      </w:r>
    </w:p>
    <w:p w14:paraId="274A053A"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Business Overview</w:t>
      </w:r>
    </w:p>
    <w:p w14:paraId="5DB744AE"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Oracle provides products and services that address enterprise information technology (IT) environments. Our products and services include applications and infrastructure offerings that are delivered worldwide through a variety of flexible and interoperable IT deployment models. These models include on</w:t>
      </w:r>
      <w:r w:rsidRPr="00141675">
        <w:rPr>
          <w:rFonts w:ascii="Calibri" w:eastAsia="宋体" w:hAnsi="Calibri" w:cs="Calibri"/>
          <w:color w:val="000000"/>
          <w:kern w:val="0"/>
          <w:sz w:val="20"/>
          <w:szCs w:val="20"/>
        </w:rPr>
        <w:noBreakHyphen/>
        <w:t>premise deployments, cloud</w:t>
      </w:r>
      <w:r w:rsidRPr="00141675">
        <w:rPr>
          <w:rFonts w:ascii="Calibri" w:eastAsia="宋体" w:hAnsi="Calibri" w:cs="Calibri"/>
          <w:color w:val="000000"/>
          <w:kern w:val="0"/>
          <w:sz w:val="20"/>
          <w:szCs w:val="20"/>
        </w:rPr>
        <w:noBreakHyphen/>
        <w:t>based deployments, and hybrid deployments (an approach that combines both on-premise and cloud</w:t>
      </w:r>
      <w:r w:rsidRPr="00141675">
        <w:rPr>
          <w:rFonts w:ascii="Calibri" w:eastAsia="宋体" w:hAnsi="Calibri" w:cs="Calibri"/>
          <w:color w:val="000000"/>
          <w:kern w:val="0"/>
          <w:sz w:val="20"/>
          <w:szCs w:val="20"/>
        </w:rPr>
        <w:noBreakHyphen/>
        <w:t>based deployment) such as our Oracle Cloud at Customer offering (an instance of Oracle Cloud in a customer’s own data center). Accordingly, we offer choice and flexibility to our customers and facilitate the product, service and deployment combinations that best suit our customers’ needs. Through our worldwide sales force and Oracle Partner Network, we sell to customers all over the world including businesses of many sizes, government agencies, educational institutions and resellers.</w:t>
      </w:r>
    </w:p>
    <w:p w14:paraId="5AD2B368"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We have three businesses: cloud and license; hardware; and services; each of which comprises a single operating segment. The descriptions set forth below as a part of Management’s Discussion and Analysis of Financial Condition and Results of Operations and the information contained within Note 10 of Notes to Condensed Consolidated Financial Statements included elsewhere in this Quarterly Report provide additional information related to our businesses and operating segments and align to how our chief operating decision makers (CODMs), which include our Chief Executive Officer and Chief Technology Officer, view our operating results and allocate resources.</w:t>
      </w:r>
    </w:p>
    <w:p w14:paraId="603981B5" w14:textId="77777777" w:rsidR="00141675" w:rsidRPr="00141675" w:rsidRDefault="00141675" w:rsidP="00141675">
      <w:pPr>
        <w:widowControl/>
        <w:spacing w:before="24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u w:val="single"/>
        </w:rPr>
        <w:t>Cloud and License Business</w:t>
      </w:r>
    </w:p>
    <w:p w14:paraId="1931F04C"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cloud and license line of business, which represented 83% of our total revenues on a trailing 4-quarter basis, markets, sells and delivers a broad spectrum of applications and infrastructure technologies through our cloud and license offerings.</w:t>
      </w:r>
    </w:p>
    <w:p w14:paraId="2BDC4A89"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services and license support revenues include:</w:t>
      </w:r>
    </w:p>
    <w:tbl>
      <w:tblPr>
        <w:tblW w:w="20614" w:type="dxa"/>
        <w:tblCellMar>
          <w:left w:w="0" w:type="dxa"/>
          <w:right w:w="0" w:type="dxa"/>
        </w:tblCellMar>
        <w:tblLook w:val="04A0" w:firstRow="1" w:lastRow="0" w:firstColumn="1" w:lastColumn="0" w:noHBand="0" w:noVBand="1"/>
      </w:tblPr>
      <w:tblGrid>
        <w:gridCol w:w="810"/>
        <w:gridCol w:w="810"/>
        <w:gridCol w:w="18994"/>
      </w:tblGrid>
      <w:tr w:rsidR="00141675" w:rsidRPr="00141675" w14:paraId="3E6AE4A2" w14:textId="77777777" w:rsidTr="00141675">
        <w:tc>
          <w:tcPr>
            <w:tcW w:w="794" w:type="dxa"/>
            <w:noWrap/>
            <w:hideMark/>
          </w:tcPr>
          <w:p w14:paraId="3D2422B7"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2E54A21F"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7FDC385A"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license support revenues, which are earned by providing Oracle license support services to customers that have elected to purchase support services in connection with the purchase of Oracle applications and infrastructure software licenses for use in cloud, on-premise and other IT environments. Substantially all license support customers renew their support contracts with us upon expiration in order to continue to benefit from technical support services and the periodic issuance of unspecified updates and enhancements, which current license support customers are entitled to receive. License support contracts are generally priced as a percentage of the net fees paid by the customer to purchase a cloud license and/or on-premise license; are generally billed in advance of the support services being performed; are generally renewed at the customer’s option; and are generally recognized as revenues ratably over the contractual period that the support services are provided, which is generally one year; and</w:t>
            </w:r>
          </w:p>
        </w:tc>
      </w:tr>
      <w:tr w:rsidR="00141675" w:rsidRPr="00141675" w14:paraId="2431A42B" w14:textId="77777777" w:rsidTr="00141675">
        <w:tc>
          <w:tcPr>
            <w:tcW w:w="794" w:type="dxa"/>
            <w:noWrap/>
            <w:hideMark/>
          </w:tcPr>
          <w:p w14:paraId="25D1F225"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794" w:type="dxa"/>
            <w:noWrap/>
            <w:hideMark/>
          </w:tcPr>
          <w:p w14:paraId="02434060"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69094890"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 xml:space="preserve">cloud services revenues, which provide customers access to Oracle Cloud applications and infrastructure technologies via cloud-based deployment models that Oracle develops, provides unspecified updates and enhancements for, hosts, manages and supports and that customers access by entering into a subscription agreement with us for a stated period. The majority of our Oracle Cloud Services arrangements are generally billed in advance of the cloud services </w:t>
            </w:r>
            <w:r w:rsidRPr="00141675">
              <w:rPr>
                <w:rFonts w:ascii="Calibri" w:eastAsia="宋体" w:hAnsi="Calibri" w:cs="Calibri"/>
                <w:kern w:val="0"/>
                <w:sz w:val="20"/>
                <w:szCs w:val="20"/>
              </w:rPr>
              <w:lastRenderedPageBreak/>
              <w:t>being performed; have durations of one to three years; are generally renewed at the customer’s option; and are generally recognized as revenues ratably over the contractual period of the cloud contract or, in the case of usage model contracts, as the cloud services are consumed over time.</w:t>
            </w:r>
          </w:p>
        </w:tc>
      </w:tr>
    </w:tbl>
    <w:p w14:paraId="1F73C6A9"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lastRenderedPageBreak/>
        <w:t>27</w:t>
      </w:r>
    </w:p>
    <w:p w14:paraId="37990E59"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71C0FACC">
          <v:rect id="_x0000_i1053" style="width:0;height:1.5pt" o:hralign="center" o:hrstd="t" o:hrnoshade="t" o:hr="t" fillcolor="black" stroked="f"/>
        </w:pict>
      </w:r>
    </w:p>
    <w:p w14:paraId="05C834B7" w14:textId="77777777" w:rsidR="00141675" w:rsidRPr="00141675" w:rsidRDefault="00141675" w:rsidP="00141675">
      <w:pPr>
        <w:widowControl/>
        <w:jc w:val="left"/>
        <w:rPr>
          <w:rFonts w:ascii="Calibri" w:eastAsia="宋体" w:hAnsi="Calibri" w:cs="Calibri"/>
          <w:b/>
          <w:bCs/>
          <w:color w:val="000000"/>
          <w:kern w:val="0"/>
          <w:sz w:val="20"/>
          <w:szCs w:val="20"/>
        </w:rPr>
      </w:pPr>
      <w:hyperlink r:id="rId50" w:anchor="TABLE_CONTENTS" w:history="1">
        <w:r w:rsidRPr="00141675">
          <w:rPr>
            <w:rFonts w:ascii="Calibri" w:eastAsia="宋体" w:hAnsi="Calibri" w:cs="Calibri"/>
            <w:b/>
            <w:bCs/>
            <w:color w:val="0000FF"/>
            <w:kern w:val="0"/>
            <w:sz w:val="20"/>
            <w:szCs w:val="20"/>
            <w:u w:val="single"/>
          </w:rPr>
          <w:t>Table of Contents</w:t>
        </w:r>
      </w:hyperlink>
    </w:p>
    <w:p w14:paraId="6C9B15C9"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149FC0E6"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license and on-premise license revenues include revenues from the licensing of our software products including Oracle Applications, Oracle Database, Oracle Middleware and Java, among others, which our customers deploy within cloud</w:t>
      </w:r>
      <w:r w:rsidRPr="00141675">
        <w:rPr>
          <w:rFonts w:ascii="Calibri" w:eastAsia="宋体" w:hAnsi="Calibri" w:cs="Calibri"/>
          <w:color w:val="000000"/>
          <w:kern w:val="0"/>
          <w:sz w:val="20"/>
          <w:szCs w:val="20"/>
        </w:rPr>
        <w:noBreakHyphen/>
        <w:t>based, on</w:t>
      </w:r>
      <w:r w:rsidRPr="00141675">
        <w:rPr>
          <w:rFonts w:ascii="Calibri" w:eastAsia="宋体" w:hAnsi="Calibri" w:cs="Calibri"/>
          <w:color w:val="000000"/>
          <w:kern w:val="0"/>
          <w:sz w:val="20"/>
          <w:szCs w:val="20"/>
        </w:rPr>
        <w:noBreakHyphen/>
        <w:t>premise and other IT environments. Our cloud license and on</w:t>
      </w:r>
      <w:r w:rsidRPr="00141675">
        <w:rPr>
          <w:rFonts w:ascii="Calibri" w:eastAsia="宋体" w:hAnsi="Calibri" w:cs="Calibri"/>
          <w:color w:val="000000"/>
          <w:kern w:val="0"/>
          <w:sz w:val="20"/>
          <w:szCs w:val="20"/>
        </w:rPr>
        <w:noBreakHyphen/>
        <w:t>premise license transactions are generally perpetual in nature and are generally recognized up front at the point in time when the software is made available to the customer to download and use. Revenues from usage</w:t>
      </w:r>
      <w:r w:rsidRPr="00141675">
        <w:rPr>
          <w:rFonts w:ascii="Calibri" w:eastAsia="宋体" w:hAnsi="Calibri" w:cs="Calibri"/>
          <w:color w:val="000000"/>
          <w:kern w:val="0"/>
          <w:sz w:val="20"/>
          <w:szCs w:val="20"/>
        </w:rPr>
        <w:noBreakHyphen/>
        <w:t>based royalty arrangements for distinct cloud licenses and on-premise licenses are recognized at the point in time when the software end user usage occurs. The timing of a few large license transactions can substantially affect our quarterly license revenues due to the point in time nature of revenue recognition for license transactions, which is different than the typical revenue recognition pattern for our cloud services and license support revenues in which revenues are generally recognized ratably over the contractual terms. Cloud license and on-premise license customers have the option to purchase and renew license support contracts, as described above.</w:t>
      </w:r>
    </w:p>
    <w:p w14:paraId="4FB7FB37"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Providing choice and flexibility to our customers as to when and how they deploy our applications and infrastructure technologies are important elements of our corporate strategy. In recent periods, customer demand for our applications and infrastructure technologies delivered through our Oracle Cloud Services has increased. To address customer demand and enable customer choice, we have introduced certain programs for customers to pivot their applications and infrastructure licenses and the related license support to the Oracle Cloud for new deployments and to migrate to and expand with the Oracle Cloud for their existing workloads. We expect these trends to continue.</w:t>
      </w:r>
    </w:p>
    <w:p w14:paraId="602D47A4"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cloud and license business’ revenue growth is affected by many factors, including the strength of general economic and business conditions; governmental budgetary constraints; the strategy for and competitive position of our offerings; the continued renewal of our cloud services and license support customer contracts by the customer contract base; substantially all customers continuing to purchase license support contracts in connection with their license purchases; the pricing of license support contracts sold in connection with the sales of licenses; the pricing, amounts and volumes of licenses and cloud services sold; and foreign currency rate fluctuations.</w:t>
      </w:r>
    </w:p>
    <w:p w14:paraId="4422568A"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On a constant currency basis, we expect that our total cloud and license revenues generally will continue to increase due to:</w:t>
      </w:r>
    </w:p>
    <w:tbl>
      <w:tblPr>
        <w:tblW w:w="20614" w:type="dxa"/>
        <w:tblCellMar>
          <w:left w:w="0" w:type="dxa"/>
          <w:right w:w="0" w:type="dxa"/>
        </w:tblCellMar>
        <w:tblLook w:val="04A0" w:firstRow="1" w:lastRow="0" w:firstColumn="1" w:lastColumn="0" w:noHBand="0" w:noVBand="1"/>
      </w:tblPr>
      <w:tblGrid>
        <w:gridCol w:w="1096"/>
        <w:gridCol w:w="556"/>
        <w:gridCol w:w="18962"/>
      </w:tblGrid>
      <w:tr w:rsidR="00141675" w:rsidRPr="00141675" w14:paraId="386C7D56" w14:textId="77777777" w:rsidTr="00141675">
        <w:tc>
          <w:tcPr>
            <w:tcW w:w="1080" w:type="dxa"/>
            <w:noWrap/>
            <w:hideMark/>
          </w:tcPr>
          <w:p w14:paraId="745EBE8D"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71C11FEE"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18F2DF48"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expected growth in our cloud services and license support offerings; and</w:t>
            </w:r>
          </w:p>
        </w:tc>
      </w:tr>
      <w:tr w:rsidR="00141675" w:rsidRPr="00141675" w14:paraId="4A457CB8" w14:textId="77777777" w:rsidTr="00141675">
        <w:tc>
          <w:tcPr>
            <w:tcW w:w="1080" w:type="dxa"/>
            <w:noWrap/>
            <w:hideMark/>
          </w:tcPr>
          <w:p w14:paraId="35111E37"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6CC0F2E1"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413285D8"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continued demand for our cloud license and on-premise license offerings.</w:t>
            </w:r>
          </w:p>
        </w:tc>
      </w:tr>
    </w:tbl>
    <w:p w14:paraId="66CE8319"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We believe these factors should contribute to future growth in our cloud and license business’ revenues, which should enable us to continue to make investments in research and development to develop and improve our cloud and license products and services.</w:t>
      </w:r>
    </w:p>
    <w:p w14:paraId="1B883146"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Our cloud and license business’ margin has historically trended upward over the course of the four quarters within a particular fiscal year due to the historical upward trend of our cloud and license </w:t>
      </w:r>
      <w:r w:rsidRPr="00141675">
        <w:rPr>
          <w:rFonts w:ascii="Calibri" w:eastAsia="宋体" w:hAnsi="Calibri" w:cs="Calibri"/>
          <w:color w:val="000000"/>
          <w:kern w:val="0"/>
          <w:sz w:val="20"/>
          <w:szCs w:val="20"/>
        </w:rPr>
        <w:lastRenderedPageBreak/>
        <w:t>business’ revenues over those quarterly periods and because the majority of our costs for this business are generally fixed in the short term. The historical upward trend of our cloud and license business’ revenues over the course of the four quarters within a particular fiscal year is primarily due to the addition of new cloud services and license support contracts to the customer contract base that we generally recognize as revenues ratably; the renewal of existing customers’ cloud services and license support contracts over the course of each fiscal year that we generally recognize as revenues ratably; and the historical upward trend of our cloud license and on-premise license revenues, which we generally recognize at a point in time upon delivery; over those four quarterly periods.</w:t>
      </w:r>
    </w:p>
    <w:p w14:paraId="52D70014" w14:textId="77777777" w:rsidR="00141675" w:rsidRPr="00141675" w:rsidRDefault="00141675" w:rsidP="00141675">
      <w:pPr>
        <w:widowControl/>
        <w:spacing w:before="240"/>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u w:val="single"/>
        </w:rPr>
        <w:t>Hardware Business</w:t>
      </w:r>
    </w:p>
    <w:p w14:paraId="1D2ADB35"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hardware business, which represented 9% of our total revenues on a trailing 4-quarter basis, provides a broad selection of hardware products and hardware-related software products, including Oracle Engineered Systems, servers, storage, industry-specific hardware, operating systems, virtualization, management and other hardware related software, and related hardware support. Each hardware product and its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and its related software are delivered to the customer and ownership is transferred to the customer. We expect to make investments in research and development to improve existing</w:t>
      </w:r>
    </w:p>
    <w:p w14:paraId="10282EDD"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w:t>
      </w:r>
    </w:p>
    <w:p w14:paraId="709A8702"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13626703">
          <v:rect id="_x0000_i1054" style="width:0;height:1.5pt" o:hralign="center" o:hrstd="t" o:hrnoshade="t" o:hr="t" fillcolor="black" stroked="f"/>
        </w:pict>
      </w:r>
    </w:p>
    <w:p w14:paraId="733A56CD" w14:textId="77777777" w:rsidR="00141675" w:rsidRPr="00141675" w:rsidRDefault="00141675" w:rsidP="00141675">
      <w:pPr>
        <w:widowControl/>
        <w:jc w:val="left"/>
        <w:rPr>
          <w:rFonts w:ascii="Calibri" w:eastAsia="宋体" w:hAnsi="Calibri" w:cs="Calibri"/>
          <w:b/>
          <w:bCs/>
          <w:color w:val="000000"/>
          <w:kern w:val="0"/>
          <w:sz w:val="20"/>
          <w:szCs w:val="20"/>
        </w:rPr>
      </w:pPr>
      <w:hyperlink r:id="rId51" w:anchor="TABLE_CONTENTS" w:history="1">
        <w:r w:rsidRPr="00141675">
          <w:rPr>
            <w:rFonts w:ascii="Calibri" w:eastAsia="宋体" w:hAnsi="Calibri" w:cs="Calibri"/>
            <w:b/>
            <w:bCs/>
            <w:color w:val="0000FF"/>
            <w:kern w:val="0"/>
            <w:sz w:val="20"/>
            <w:szCs w:val="20"/>
            <w:u w:val="single"/>
          </w:rPr>
          <w:t>Table of Contents</w:t>
        </w:r>
      </w:hyperlink>
    </w:p>
    <w:p w14:paraId="2020F913"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2C001875"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hardware products and services and to develop new hardware products and services. The majority of our hardware products are sold through indirect channels, including independent distributors and value-added resellers. Our hardware support offerings provide customers with unspecified software updates for software components that are essential to the functionality of our hardware products and associated software products such as Oracle Solaris. Our hardware support offerings can also include product repairs, maintenance services and technical support services. Hardware support contracts are entered into and renewed at the option of the customer, are generally priced as a percentage of the net hardware products fees and are generally recognized as revenues ratably as the hardware support services are delivered over the contractual terms.</w:t>
      </w:r>
    </w:p>
    <w:p w14:paraId="1AB71015"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We generally expect our hardware business to have lower operating margins as a percentage of revenues than our cloud and license business due to the incremental costs we incur to produce and distribute these products and to provide support services, including direct materials and labor costs.</w:t>
      </w:r>
    </w:p>
    <w:p w14:paraId="7BF0A55B"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Our quarterly hardware revenues are difficult to predict. Our hardware revenues, cost of hardware and hardware operating margins that we report are affected by many factors, including our ability to timely manufacture or deliver a few large hardware transactions; our strategy for and the position of our hardware products relative to competitor offerings; customer demand for competing offerings, including cloud infrastructure offerings; the strength of general economic and business conditions; governmental budgetary constraints; whether customers decide to purchase hardware support </w:t>
      </w:r>
      <w:r w:rsidRPr="00141675">
        <w:rPr>
          <w:rFonts w:ascii="Calibri" w:eastAsia="宋体" w:hAnsi="Calibri" w:cs="Calibri"/>
          <w:color w:val="000000"/>
          <w:kern w:val="0"/>
          <w:sz w:val="20"/>
          <w:szCs w:val="20"/>
        </w:rPr>
        <w:lastRenderedPageBreak/>
        <w:t>contracts at or in close proximity to the time of hardware product sale; the percentage of our hardware support contract customer base that renews its support contracts and the close association between hardware products, which have a finite life, and customer demand for related hardware support as hardware products age; customer decisions to either maintain or upgrade their existing hardware infrastructure to newly developed technologies that are available; and foreign currency rate fluctuations.</w:t>
      </w:r>
    </w:p>
    <w:p w14:paraId="5A0488F2" w14:textId="77777777" w:rsidR="00141675" w:rsidRPr="00141675" w:rsidRDefault="00141675" w:rsidP="00141675">
      <w:pPr>
        <w:widowControl/>
        <w:spacing w:before="240"/>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u w:val="single"/>
        </w:rPr>
        <w:t>Services Business</w:t>
      </w:r>
    </w:p>
    <w:p w14:paraId="7B069389"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services business, which represented 8% of our total revenues on a trailing 4-quarter basis, helps customers and partners maximize the performance of their investments in Oracle applications and infrastructure technologies. We believe that our services are differentiated based on our focus on Oracle technologies, extensive experience, broad sets of intellectual property and best practices. Our services offerings include consulting services, advanced customer support services and education services. Our services business has lower margins than our cloud and license and hardware businesses. Our services revenues are affected by many factors including, our strategy for, and the competitive position of, our services; customer demand for our cloud and license and hardware offerings and the associated services for these offerings; general economic conditions; governmental budgetary constraints; personnel reductions in our customers’ IT departments; and tighter controls over customer discretionary spending.</w:t>
      </w:r>
    </w:p>
    <w:p w14:paraId="4656F6FD" w14:textId="77777777" w:rsidR="00141675" w:rsidRPr="00141675" w:rsidRDefault="00141675" w:rsidP="00141675">
      <w:pPr>
        <w:widowControl/>
        <w:spacing w:before="24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u w:val="single"/>
        </w:rPr>
        <w:t>Acquisitions</w:t>
      </w:r>
    </w:p>
    <w:p w14:paraId="114E2A72"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selective and active acquisition program is another important element of our corporate strategy. Historically, we have invested billions of dollars to acquire a number of complementary companies, products, services and technologies.</w:t>
      </w:r>
    </w:p>
    <w:p w14:paraId="7EBF056B"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As compelling opportunities become available, we may acquire companies, products, services and technologies in furtherance of our corporate strategy. Note 2 of Notes to Condensed Consolidated Financial Statements included elsewhere in this Quarterly Report provides additional information related to our recent acquisitions.</w:t>
      </w:r>
    </w:p>
    <w:p w14:paraId="013FC7F2"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We believe that we can fund our future acquisitions with our internally available cash, cash equivalents and marketable securities, cash generated from operations, additional borrowings or from the issuance of additional securities. We estimate the financial impact of any potential acquisition with regard to earnings, operating margin, cash flow and return on invested capital targets before deciding to move forward with an acquisition.</w:t>
      </w:r>
    </w:p>
    <w:p w14:paraId="06E63BF3"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w:t>
      </w:r>
    </w:p>
    <w:p w14:paraId="4996931F"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41169E27">
          <v:rect id="_x0000_i1055" style="width:0;height:1.5pt" o:hralign="center" o:hrstd="t" o:hrnoshade="t" o:hr="t" fillcolor="black" stroked="f"/>
        </w:pict>
      </w:r>
    </w:p>
    <w:p w14:paraId="3096FA4C" w14:textId="77777777" w:rsidR="00141675" w:rsidRPr="00141675" w:rsidRDefault="00141675" w:rsidP="00141675">
      <w:pPr>
        <w:widowControl/>
        <w:jc w:val="left"/>
        <w:rPr>
          <w:rFonts w:ascii="Calibri" w:eastAsia="宋体" w:hAnsi="Calibri" w:cs="Calibri"/>
          <w:b/>
          <w:bCs/>
          <w:color w:val="000000"/>
          <w:kern w:val="0"/>
          <w:sz w:val="20"/>
          <w:szCs w:val="20"/>
        </w:rPr>
      </w:pPr>
      <w:hyperlink r:id="rId52" w:anchor="TABLE_CONTENTS" w:history="1">
        <w:r w:rsidRPr="00141675">
          <w:rPr>
            <w:rFonts w:ascii="Calibri" w:eastAsia="宋体" w:hAnsi="Calibri" w:cs="Calibri"/>
            <w:b/>
            <w:bCs/>
            <w:color w:val="0000FF"/>
            <w:kern w:val="0"/>
            <w:sz w:val="20"/>
            <w:szCs w:val="20"/>
            <w:u w:val="single"/>
          </w:rPr>
          <w:t>Table of Contents</w:t>
        </w:r>
      </w:hyperlink>
    </w:p>
    <w:p w14:paraId="2B0CF24E"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2AB852C2"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Critical Accounting Policies and Estimates</w:t>
      </w:r>
    </w:p>
    <w:p w14:paraId="7C4BADB2"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Our consolidated financial statements are prepared in accordance with U.S. generally accepted accounting principles (GAAP) as set forth in the Financial Accounting Standards Board’s (FASB) Accounting Standards Codification (ASC), and we consider the various staff accounting bulletins and </w:t>
      </w:r>
      <w:r w:rsidRPr="00141675">
        <w:rPr>
          <w:rFonts w:ascii="Calibri" w:eastAsia="宋体" w:hAnsi="Calibri" w:cs="Calibri"/>
          <w:color w:val="000000"/>
          <w:kern w:val="0"/>
          <w:sz w:val="20"/>
          <w:szCs w:val="20"/>
        </w:rPr>
        <w:lastRenderedPageBreak/>
        <w:t>other applicable guidance issued by the SEC. GAAP, as set forth within the ASC, requires us to make certain estimates, judgments and assumptions. We believe that the estimates, judgments and assumptions upon which we rely are reasonable based upon information available to us at the time that these estimates, judgments and assumptions are made. These estimates, judgments and assumptions can affect the reported amounts of assets and liabilities as of the date of the financial statements as well as the reported amounts of revenues and expenses during the periods presented. To the extent that there are differences between these estimates, judgments or assumptions and actual results, our financial statements will be affected. The accounting policies that reflect our more significant estimates, judgments and assumptions and which we believe are the most critical to aid in fully understanding and evaluating our reported financial results include:</w:t>
      </w:r>
    </w:p>
    <w:tbl>
      <w:tblPr>
        <w:tblW w:w="20614" w:type="dxa"/>
        <w:tblCellMar>
          <w:left w:w="0" w:type="dxa"/>
          <w:right w:w="0" w:type="dxa"/>
        </w:tblCellMar>
        <w:tblLook w:val="04A0" w:firstRow="1" w:lastRow="0" w:firstColumn="1" w:lastColumn="0" w:noHBand="0" w:noVBand="1"/>
      </w:tblPr>
      <w:tblGrid>
        <w:gridCol w:w="1096"/>
        <w:gridCol w:w="556"/>
        <w:gridCol w:w="18962"/>
      </w:tblGrid>
      <w:tr w:rsidR="00141675" w:rsidRPr="00141675" w14:paraId="0F274828" w14:textId="77777777" w:rsidTr="00141675">
        <w:tc>
          <w:tcPr>
            <w:tcW w:w="1080" w:type="dxa"/>
            <w:noWrap/>
            <w:hideMark/>
          </w:tcPr>
          <w:p w14:paraId="7E5381F7"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64ADEE1E"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7F94EBCE"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Revenue Recognition;</w:t>
            </w:r>
          </w:p>
        </w:tc>
      </w:tr>
      <w:tr w:rsidR="00141675" w:rsidRPr="00141675" w14:paraId="0503EDD4" w14:textId="77777777" w:rsidTr="00141675">
        <w:tc>
          <w:tcPr>
            <w:tcW w:w="1080" w:type="dxa"/>
            <w:noWrap/>
            <w:hideMark/>
          </w:tcPr>
          <w:p w14:paraId="7107E5FE"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570F3BB5"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7E726119"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Business Combinations;</w:t>
            </w:r>
          </w:p>
        </w:tc>
      </w:tr>
    </w:tbl>
    <w:p w14:paraId="02C7874E"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096"/>
        <w:gridCol w:w="556"/>
        <w:gridCol w:w="18962"/>
      </w:tblGrid>
      <w:tr w:rsidR="00141675" w:rsidRPr="00141675" w14:paraId="6D8BD6AD" w14:textId="77777777" w:rsidTr="00141675">
        <w:tc>
          <w:tcPr>
            <w:tcW w:w="1080" w:type="dxa"/>
            <w:noWrap/>
            <w:hideMark/>
          </w:tcPr>
          <w:p w14:paraId="3B9E7209"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48898DAD"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600CFE7C"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Goodwill and Intangible Assets—Impairment Assessments;</w:t>
            </w:r>
          </w:p>
        </w:tc>
      </w:tr>
      <w:tr w:rsidR="00141675" w:rsidRPr="00141675" w14:paraId="36AC2655" w14:textId="77777777" w:rsidTr="00141675">
        <w:tc>
          <w:tcPr>
            <w:tcW w:w="1080" w:type="dxa"/>
            <w:noWrap/>
            <w:hideMark/>
          </w:tcPr>
          <w:p w14:paraId="28B79FD0"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277AB6DF"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29C6475B"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Accounting for Income Taxes; and</w:t>
            </w:r>
          </w:p>
        </w:tc>
      </w:tr>
    </w:tbl>
    <w:p w14:paraId="05474E2B"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1096"/>
        <w:gridCol w:w="556"/>
        <w:gridCol w:w="18962"/>
      </w:tblGrid>
      <w:tr w:rsidR="00141675" w:rsidRPr="00141675" w14:paraId="110656DA" w14:textId="77777777" w:rsidTr="00141675">
        <w:tc>
          <w:tcPr>
            <w:tcW w:w="1080" w:type="dxa"/>
            <w:noWrap/>
            <w:hideMark/>
          </w:tcPr>
          <w:p w14:paraId="1B8E7F72"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540" w:type="dxa"/>
            <w:noWrap/>
            <w:hideMark/>
          </w:tcPr>
          <w:p w14:paraId="44BBF841"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w:t>
            </w:r>
          </w:p>
        </w:tc>
        <w:tc>
          <w:tcPr>
            <w:tcW w:w="0" w:type="auto"/>
            <w:hideMark/>
          </w:tcPr>
          <w:p w14:paraId="7A2FA628" w14:textId="77777777" w:rsidR="00141675" w:rsidRPr="00141675" w:rsidRDefault="00141675" w:rsidP="00141675">
            <w:pPr>
              <w:widowControl/>
              <w:spacing w:before="120"/>
              <w:rPr>
                <w:rFonts w:ascii="Times New Roman" w:eastAsia="宋体" w:hAnsi="Times New Roman" w:cs="Times New Roman"/>
                <w:kern w:val="0"/>
                <w:sz w:val="20"/>
                <w:szCs w:val="20"/>
              </w:rPr>
            </w:pPr>
            <w:r w:rsidRPr="00141675">
              <w:rPr>
                <w:rFonts w:ascii="Calibri" w:eastAsia="宋体" w:hAnsi="Calibri" w:cs="Calibri"/>
                <w:kern w:val="0"/>
                <w:sz w:val="20"/>
                <w:szCs w:val="20"/>
              </w:rPr>
              <w:t>Legal and Other Contingencies.</w:t>
            </w:r>
          </w:p>
        </w:tc>
      </w:tr>
    </w:tbl>
    <w:p w14:paraId="3B3EA8A9"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During the first half of fiscal 2020, there were no significant changes to our critical accounting policies and estimates. Management’s Discussion and Analysis of Financial Condition and Results of Operations contained in Part II, Item 7 of our Annual Report on Form 10-K for our fiscal year ended May 31, 2019 provides a more complete discussion of our critical accounting policies and estimates.</w:t>
      </w:r>
    </w:p>
    <w:p w14:paraId="6DD92F76"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Results of Operations</w:t>
      </w:r>
    </w:p>
    <w:p w14:paraId="3FFEBA6D"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Presentation of Operating Segment Results and Other Financial Information</w:t>
      </w:r>
    </w:p>
    <w:p w14:paraId="2A42CB7B"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 our results of operations discussion below, we provide an overview of our total consolidated revenues, total consolidated expenses and total consolidated operating margin, all of which are presented on a GAAP basis. We also present a GAAP-based discussion below for substantially all of the other expense items as presented in our condensed consolidated statements of operations that are not directly attributable to our three businesses.</w:t>
      </w:r>
    </w:p>
    <w:p w14:paraId="5F84E607"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 addition, we discuss below the results of each our three businesses—cloud and license, hardware and services—which are our operating segments as defined pursuant to ASC 280, </w:t>
      </w:r>
      <w:r w:rsidRPr="00141675">
        <w:rPr>
          <w:rFonts w:ascii="Calibri" w:eastAsia="宋体" w:hAnsi="Calibri" w:cs="Calibri"/>
          <w:i/>
          <w:iCs/>
          <w:color w:val="000000"/>
          <w:kern w:val="0"/>
          <w:sz w:val="20"/>
          <w:szCs w:val="20"/>
        </w:rPr>
        <w:t>Segment Reporting</w:t>
      </w:r>
      <w:r w:rsidRPr="00141675">
        <w:rPr>
          <w:rFonts w:ascii="Calibri" w:eastAsia="宋体" w:hAnsi="Calibri" w:cs="Calibri"/>
          <w:color w:val="000000"/>
          <w:kern w:val="0"/>
          <w:sz w:val="20"/>
          <w:szCs w:val="20"/>
        </w:rPr>
        <w:t>. The financial reporting for our three businesses that is presented below is presented in a manner that is consistent with that used by our CODMs. Our operating segment presentation below reflects revenues, direct costs and sales and marketing expenses that correspond to and are directly attributable to each of our three businesses. We also utilize these inputs to calculate and present a segment margin for each business in the discussion below.</w:t>
      </w:r>
    </w:p>
    <w:p w14:paraId="08798B2A"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Consistent with our internal management reporting processes, the below operating segment presentation is noted to include any revenues adjustments related to cloud services and license support contracts that would have otherwise been recorded by the acquired businesses as independent entities but were not recognized in our condensed consolidated statements of operations for the periods presented due to business combination accounting requirements. Refer to “Supplemental Disclosure Related to Certain Charges” below for additional discussion of these items and Note 10 of Notes to Condensed Consolidated Financial Statements included elsewhere in this Quarterly Report for a </w:t>
      </w:r>
      <w:r w:rsidRPr="00141675">
        <w:rPr>
          <w:rFonts w:ascii="Calibri" w:eastAsia="宋体" w:hAnsi="Calibri" w:cs="Calibri"/>
          <w:color w:val="000000"/>
          <w:kern w:val="0"/>
          <w:sz w:val="20"/>
          <w:szCs w:val="20"/>
        </w:rPr>
        <w:lastRenderedPageBreak/>
        <w:t>reconciliation of the summations of our total operating segment revenues as presented in the discussion below to total revenues as presented per our condensed consolidated statements of operations for all periods presented.</w:t>
      </w:r>
    </w:p>
    <w:p w14:paraId="39DC7DF6"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 addition, research and development expenses, general and administrative expenses, stock-based compensation expenses, amortization of intangible assets, certain other expense allocations, acquisition related and other expenses, restructuring expenses, interest expense, non-operating income, net and provision for income taxes are not attributed to our three operating segments because our management does not view the performance of our</w:t>
      </w:r>
    </w:p>
    <w:p w14:paraId="5AD90694"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30</w:t>
      </w:r>
    </w:p>
    <w:p w14:paraId="52DE4F28"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1BBE23A0">
          <v:rect id="_x0000_i1056" style="width:0;height:1.5pt" o:hralign="center" o:hrstd="t" o:hrnoshade="t" o:hr="t" fillcolor="black" stroked="f"/>
        </w:pict>
      </w:r>
    </w:p>
    <w:p w14:paraId="358F80E2" w14:textId="77777777" w:rsidR="00141675" w:rsidRPr="00141675" w:rsidRDefault="00141675" w:rsidP="00141675">
      <w:pPr>
        <w:widowControl/>
        <w:jc w:val="left"/>
        <w:rPr>
          <w:rFonts w:ascii="Calibri" w:eastAsia="宋体" w:hAnsi="Calibri" w:cs="Calibri"/>
          <w:b/>
          <w:bCs/>
          <w:color w:val="000000"/>
          <w:kern w:val="0"/>
          <w:sz w:val="20"/>
          <w:szCs w:val="20"/>
        </w:rPr>
      </w:pPr>
      <w:hyperlink r:id="rId53" w:anchor="TABLE_CONTENTS" w:history="1">
        <w:r w:rsidRPr="00141675">
          <w:rPr>
            <w:rFonts w:ascii="Calibri" w:eastAsia="宋体" w:hAnsi="Calibri" w:cs="Calibri"/>
            <w:b/>
            <w:bCs/>
            <w:color w:val="0000FF"/>
            <w:kern w:val="0"/>
            <w:sz w:val="20"/>
            <w:szCs w:val="20"/>
            <w:u w:val="single"/>
          </w:rPr>
          <w:t>Table of Contents</w:t>
        </w:r>
      </w:hyperlink>
    </w:p>
    <w:p w14:paraId="5D501F4A"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65CD34C5"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three businesses including such items and/or it is impractical to do so. Refer to “Supplemental Disclosure Related to Certain Charges” below for additional discussion of certain of these items and Note 10 of Notes to Condensed Consolidated Financial Statements included elsewhere in this Quarterly Report for a reconciliation of the summations of total segment margin as presented in the discussion below to total income before provision for income taxes as presented per our condensed consolidated statements of operations for all periods presented.</w:t>
      </w:r>
    </w:p>
    <w:p w14:paraId="0C6E5012" w14:textId="77777777" w:rsidR="00141675" w:rsidRPr="00141675" w:rsidRDefault="00141675" w:rsidP="00141675">
      <w:pPr>
        <w:widowControl/>
        <w:spacing w:before="24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Constant Currency Presentation</w:t>
      </w:r>
    </w:p>
    <w:p w14:paraId="7F028898"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international operations have provided and are expected to continue to provide a significant portion of each of our businesses’ revenues and expenses. As a result, each businesses’ revenues and expenses and our total revenues and expenses will continue to be affected by changes in the U.S. Dollar against major international currencies. In order to provide a framework for assessing how our underlying businesses performed, excluding the effects of foreign currency rate fluctuations, we compare the percent change in the results from one period to another period in this Quarterly Report using constant currency disclosure. To present this information, current and comparative prior period results for entities reporting in currencies other than U.S. Dollars are converted into U.S. Dollars at constant exchange rates (i.e., the rates in effect on May 31, 2019, which was the last day of our prior fiscal year) rather than the actual exchange rates in effect during the respective periods. For example, if an entity reporting in Euros had revenues of 1.0 million Euros from products sold on November 30, 2019 and 2018, our financial statements would reflect reported revenues of $1.10 million in the first half of fiscal 2020 (using 1.10 as the month-end average exchange rate for the period) and $1.13 million in the first half of fiscal 2019 (using 1.13 as the month-end average exchange rate for the period). The constant currency presentation, however, would translate the results for the first half of fiscal 2020 and 2019 using the May 31, 2019 exchange rate and indicate, in this example, no change in revenues during the period. In each of the tables below, we present the percent change based on actual, unrounded results in reported currency and in constant currency.</w:t>
      </w:r>
    </w:p>
    <w:p w14:paraId="1F3F290E" w14:textId="77777777" w:rsidR="00141675" w:rsidRPr="00141675" w:rsidRDefault="00141675" w:rsidP="00141675">
      <w:pPr>
        <w:widowControl/>
        <w:spacing w:before="24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Revenues and Operating Expenses</w:t>
      </w:r>
    </w:p>
    <w:p w14:paraId="5516BF0C" w14:textId="77777777" w:rsidR="00141675" w:rsidRPr="00141675" w:rsidRDefault="00141675" w:rsidP="00141675">
      <w:pPr>
        <w:widowControl/>
        <w:jc w:val="left"/>
        <w:rPr>
          <w:rFonts w:ascii="Calibri" w:eastAsia="宋体" w:hAnsi="Calibri" w:cs="Calibri"/>
          <w:color w:val="000000"/>
          <w:kern w:val="0"/>
          <w:sz w:val="12"/>
          <w:szCs w:val="12"/>
        </w:rPr>
      </w:pPr>
      <w:r w:rsidRPr="00141675">
        <w:rPr>
          <w:rFonts w:ascii="Calibri" w:eastAsia="宋体" w:hAnsi="Calibri" w:cs="Calibri"/>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6966"/>
        <w:gridCol w:w="221"/>
        <w:gridCol w:w="200"/>
        <w:gridCol w:w="1059"/>
        <w:gridCol w:w="200"/>
        <w:gridCol w:w="220"/>
        <w:gridCol w:w="1457"/>
        <w:gridCol w:w="220"/>
        <w:gridCol w:w="1487"/>
        <w:gridCol w:w="220"/>
        <w:gridCol w:w="199"/>
        <w:gridCol w:w="1135"/>
        <w:gridCol w:w="199"/>
        <w:gridCol w:w="220"/>
        <w:gridCol w:w="199"/>
        <w:gridCol w:w="1058"/>
        <w:gridCol w:w="199"/>
        <w:gridCol w:w="220"/>
        <w:gridCol w:w="1457"/>
        <w:gridCol w:w="220"/>
        <w:gridCol w:w="1487"/>
        <w:gridCol w:w="220"/>
        <w:gridCol w:w="199"/>
        <w:gridCol w:w="1151"/>
        <w:gridCol w:w="201"/>
      </w:tblGrid>
      <w:tr w:rsidR="00141675" w:rsidRPr="00141675" w14:paraId="749DC473" w14:textId="77777777" w:rsidTr="00141675">
        <w:tc>
          <w:tcPr>
            <w:tcW w:w="6956" w:type="dxa"/>
            <w:shd w:val="clear" w:color="auto" w:fill="FFFFFF"/>
            <w:tcMar>
              <w:top w:w="15" w:type="dxa"/>
              <w:left w:w="0" w:type="dxa"/>
              <w:bottom w:w="0" w:type="dxa"/>
              <w:right w:w="15" w:type="dxa"/>
            </w:tcMar>
            <w:vAlign w:val="bottom"/>
            <w:hideMark/>
          </w:tcPr>
          <w:p w14:paraId="64AC1BB4" w14:textId="77777777" w:rsidR="00141675" w:rsidRPr="00141675" w:rsidRDefault="00141675" w:rsidP="00141675">
            <w:pPr>
              <w:widowControl/>
              <w:jc w:val="center"/>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39AFBB4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4" w:type="dxa"/>
            <w:gridSpan w:val="10"/>
            <w:tcBorders>
              <w:bottom w:val="single" w:sz="6" w:space="0" w:color="000000"/>
            </w:tcBorders>
            <w:shd w:val="clear" w:color="auto" w:fill="FFFFFF"/>
            <w:tcMar>
              <w:top w:w="15" w:type="dxa"/>
              <w:left w:w="0" w:type="dxa"/>
              <w:bottom w:w="0" w:type="dxa"/>
              <w:right w:w="15" w:type="dxa"/>
            </w:tcMar>
            <w:vAlign w:val="bottom"/>
            <w:hideMark/>
          </w:tcPr>
          <w:p w14:paraId="25AF97E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1" w:type="dxa"/>
            <w:shd w:val="clear" w:color="auto" w:fill="FFFFFF"/>
            <w:noWrap/>
            <w:tcMar>
              <w:top w:w="15" w:type="dxa"/>
              <w:left w:w="0" w:type="dxa"/>
              <w:bottom w:w="0" w:type="dxa"/>
              <w:right w:w="15" w:type="dxa"/>
            </w:tcMar>
            <w:vAlign w:val="bottom"/>
            <w:hideMark/>
          </w:tcPr>
          <w:p w14:paraId="5C63A3A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599" w:type="dxa"/>
            <w:gridSpan w:val="11"/>
            <w:tcBorders>
              <w:bottom w:val="single" w:sz="6" w:space="0" w:color="000000"/>
            </w:tcBorders>
            <w:shd w:val="clear" w:color="auto" w:fill="FFFFFF"/>
            <w:tcMar>
              <w:top w:w="15" w:type="dxa"/>
              <w:left w:w="0" w:type="dxa"/>
              <w:bottom w:w="0" w:type="dxa"/>
              <w:right w:w="15" w:type="dxa"/>
            </w:tcMar>
            <w:vAlign w:val="bottom"/>
            <w:hideMark/>
          </w:tcPr>
          <w:p w14:paraId="758B227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75B67B1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4529CCE" w14:textId="77777777" w:rsidTr="00141675">
        <w:tc>
          <w:tcPr>
            <w:tcW w:w="6956" w:type="dxa"/>
            <w:shd w:val="clear" w:color="auto" w:fill="FFFFFF"/>
            <w:tcMar>
              <w:top w:w="15" w:type="dxa"/>
              <w:left w:w="0" w:type="dxa"/>
              <w:bottom w:w="0" w:type="dxa"/>
              <w:right w:w="15" w:type="dxa"/>
            </w:tcMar>
            <w:vAlign w:val="bottom"/>
            <w:hideMark/>
          </w:tcPr>
          <w:p w14:paraId="6386638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35A5976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2CADFDF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bottom"/>
            <w:hideMark/>
          </w:tcPr>
          <w:p w14:paraId="29F4EBB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3404609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26F9694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48910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7FF070E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628A3C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bottom"/>
            <w:hideMark/>
          </w:tcPr>
          <w:p w14:paraId="201F594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6DB04EF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1FD2E5C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8C4C63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bottom"/>
            <w:hideMark/>
          </w:tcPr>
          <w:p w14:paraId="2FF6546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180FB98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2E4D0A9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C9B420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4B41E3B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9C981A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bottom"/>
            <w:hideMark/>
          </w:tcPr>
          <w:p w14:paraId="0280AB6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1D3C7B4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0ACDD49B" w14:textId="77777777" w:rsidTr="00141675">
        <w:tc>
          <w:tcPr>
            <w:tcW w:w="6956" w:type="dxa"/>
            <w:tcBorders>
              <w:bottom w:val="single" w:sz="6" w:space="0" w:color="000000"/>
            </w:tcBorders>
            <w:shd w:val="clear" w:color="auto" w:fill="FFFFFF"/>
            <w:tcMar>
              <w:top w:w="15" w:type="dxa"/>
              <w:left w:w="0" w:type="dxa"/>
              <w:bottom w:w="0" w:type="dxa"/>
              <w:right w:w="15" w:type="dxa"/>
            </w:tcMar>
            <w:vAlign w:val="bottom"/>
            <w:hideMark/>
          </w:tcPr>
          <w:p w14:paraId="605649E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lastRenderedPageBreak/>
              <w:t>(Dollars in millions)</w:t>
            </w:r>
          </w:p>
        </w:tc>
        <w:tc>
          <w:tcPr>
            <w:tcW w:w="220" w:type="dxa"/>
            <w:shd w:val="clear" w:color="auto" w:fill="FFFFFF"/>
            <w:tcMar>
              <w:top w:w="15" w:type="dxa"/>
              <w:left w:w="0" w:type="dxa"/>
              <w:bottom w:w="0" w:type="dxa"/>
              <w:right w:w="15" w:type="dxa"/>
            </w:tcMar>
            <w:vAlign w:val="bottom"/>
            <w:hideMark/>
          </w:tcPr>
          <w:p w14:paraId="695EE0B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77DEA6B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3AF829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6F31C44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343C76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3A46E00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0DBCF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4618428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2BBDF2B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31161C7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384FF3D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6E49CEA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2088BC5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38AD7AB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249B20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103F471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6978FD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5F759A9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3DB9A11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1566260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1D6ED7E" w14:textId="77777777" w:rsidTr="00141675">
        <w:tc>
          <w:tcPr>
            <w:tcW w:w="6956" w:type="dxa"/>
            <w:tcBorders>
              <w:top w:val="single" w:sz="6" w:space="0" w:color="000000"/>
            </w:tcBorders>
            <w:shd w:val="clear" w:color="auto" w:fill="CFF0FC"/>
            <w:tcMar>
              <w:top w:w="15" w:type="dxa"/>
              <w:left w:w="0" w:type="dxa"/>
              <w:bottom w:w="0" w:type="dxa"/>
              <w:right w:w="15" w:type="dxa"/>
            </w:tcMar>
            <w:hideMark/>
          </w:tcPr>
          <w:p w14:paraId="1561EDAB"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Revenues by Geography:</w:t>
            </w:r>
          </w:p>
        </w:tc>
        <w:tc>
          <w:tcPr>
            <w:tcW w:w="220" w:type="dxa"/>
            <w:shd w:val="clear" w:color="auto" w:fill="CFF0FC"/>
            <w:tcMar>
              <w:top w:w="15" w:type="dxa"/>
              <w:left w:w="0" w:type="dxa"/>
              <w:bottom w:w="0" w:type="dxa"/>
              <w:right w:w="15" w:type="dxa"/>
            </w:tcMar>
            <w:vAlign w:val="bottom"/>
            <w:hideMark/>
          </w:tcPr>
          <w:p w14:paraId="68E764C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01308B5"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4541C160"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6A44D81"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83E083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2ECEAC61"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9B7E32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2E910CF5"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DAACDA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CA121F0"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7C9FE7F3" w14:textId="77777777" w:rsidR="00141675" w:rsidRPr="00141675" w:rsidRDefault="00141675" w:rsidP="00141675">
            <w:pPr>
              <w:widowControl/>
              <w:jc w:val="righ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D92478C" w14:textId="77777777" w:rsidR="00141675" w:rsidRPr="00141675" w:rsidRDefault="00141675" w:rsidP="00141675">
            <w:pPr>
              <w:widowControl/>
              <w:jc w:val="left"/>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FCF797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57469A8" w14:textId="77777777" w:rsidR="00141675" w:rsidRPr="00141675" w:rsidRDefault="00141675" w:rsidP="00141675">
            <w:pPr>
              <w:widowControl/>
              <w:jc w:val="left"/>
              <w:rPr>
                <w:rFonts w:ascii="Calibri" w:eastAsia="宋体" w:hAnsi="Calibri" w:cs="Calibri"/>
                <w:b/>
                <w:bCs/>
                <w:color w:val="000000"/>
                <w:kern w:val="0"/>
                <w:sz w:val="17"/>
                <w:szCs w:val="17"/>
              </w:rPr>
            </w:pPr>
            <w:r w:rsidRPr="00141675">
              <w:rPr>
                <w:rFonts w:ascii="Calibri" w:eastAsia="宋体" w:hAnsi="Calibri" w:cs="Calibri"/>
                <w:b/>
                <w:bCs/>
                <w:color w:val="000000"/>
                <w:kern w:val="0"/>
                <w:sz w:val="17"/>
                <w:szCs w:val="17"/>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7E06232D" w14:textId="77777777" w:rsidR="00141675" w:rsidRPr="00141675" w:rsidRDefault="00141675" w:rsidP="00141675">
            <w:pPr>
              <w:widowControl/>
              <w:jc w:val="right"/>
              <w:rPr>
                <w:rFonts w:ascii="Calibri" w:eastAsia="宋体" w:hAnsi="Calibri" w:cs="Calibri"/>
                <w:b/>
                <w:bCs/>
                <w:color w:val="000000"/>
                <w:kern w:val="0"/>
                <w:sz w:val="17"/>
                <w:szCs w:val="17"/>
              </w:rPr>
            </w:pPr>
            <w:r w:rsidRPr="00141675">
              <w:rPr>
                <w:rFonts w:ascii="Calibri" w:eastAsia="宋体" w:hAnsi="Calibri" w:cs="Calibri"/>
                <w:b/>
                <w:bCs/>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4C806AAF" w14:textId="77777777" w:rsidR="00141675" w:rsidRPr="00141675" w:rsidRDefault="00141675" w:rsidP="00141675">
            <w:pPr>
              <w:widowControl/>
              <w:jc w:val="left"/>
              <w:rPr>
                <w:rFonts w:ascii="Calibri" w:eastAsia="宋体" w:hAnsi="Calibri" w:cs="Calibri"/>
                <w:b/>
                <w:bCs/>
                <w:color w:val="000000"/>
                <w:kern w:val="0"/>
                <w:sz w:val="17"/>
                <w:szCs w:val="17"/>
              </w:rPr>
            </w:pPr>
            <w:r w:rsidRPr="00141675">
              <w:rPr>
                <w:rFonts w:ascii="Calibri" w:eastAsia="宋体" w:hAnsi="Calibri" w:cs="Calibri"/>
                <w:b/>
                <w:bCs/>
                <w:color w:val="000000"/>
                <w:kern w:val="0"/>
                <w:sz w:val="17"/>
                <w:szCs w:val="17"/>
              </w:rPr>
              <w:t> </w:t>
            </w:r>
          </w:p>
        </w:tc>
        <w:tc>
          <w:tcPr>
            <w:tcW w:w="220" w:type="dxa"/>
            <w:shd w:val="clear" w:color="auto" w:fill="CFF0FC"/>
            <w:tcMar>
              <w:top w:w="15" w:type="dxa"/>
              <w:left w:w="0" w:type="dxa"/>
              <w:bottom w:w="0" w:type="dxa"/>
              <w:right w:w="15" w:type="dxa"/>
            </w:tcMar>
            <w:vAlign w:val="bottom"/>
            <w:hideMark/>
          </w:tcPr>
          <w:p w14:paraId="7589A6C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3CD0B72D" w14:textId="77777777" w:rsidR="00141675" w:rsidRPr="00141675" w:rsidRDefault="00141675" w:rsidP="00141675">
            <w:pPr>
              <w:widowControl/>
              <w:jc w:val="right"/>
              <w:rPr>
                <w:rFonts w:ascii="Calibri" w:eastAsia="宋体" w:hAnsi="Calibri" w:cs="Calibri"/>
                <w:b/>
                <w:bCs/>
                <w:color w:val="000000"/>
                <w:kern w:val="0"/>
                <w:sz w:val="17"/>
                <w:szCs w:val="17"/>
              </w:rPr>
            </w:pPr>
            <w:r w:rsidRPr="00141675">
              <w:rPr>
                <w:rFonts w:ascii="Calibri" w:eastAsia="宋体" w:hAnsi="Calibri" w:cs="Calibri"/>
                <w:b/>
                <w:bCs/>
                <w:color w:val="000000"/>
                <w:kern w:val="0"/>
                <w:sz w:val="17"/>
                <w:szCs w:val="17"/>
              </w:rPr>
              <w:t> </w:t>
            </w:r>
          </w:p>
        </w:tc>
        <w:tc>
          <w:tcPr>
            <w:tcW w:w="220" w:type="dxa"/>
            <w:shd w:val="clear" w:color="auto" w:fill="CFF0FC"/>
            <w:tcMar>
              <w:top w:w="15" w:type="dxa"/>
              <w:left w:w="0" w:type="dxa"/>
              <w:bottom w:w="0" w:type="dxa"/>
              <w:right w:w="15" w:type="dxa"/>
            </w:tcMar>
            <w:vAlign w:val="bottom"/>
            <w:hideMark/>
          </w:tcPr>
          <w:p w14:paraId="2E1015E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3A246574" w14:textId="77777777" w:rsidR="00141675" w:rsidRPr="00141675" w:rsidRDefault="00141675" w:rsidP="00141675">
            <w:pPr>
              <w:widowControl/>
              <w:jc w:val="right"/>
              <w:rPr>
                <w:rFonts w:ascii="Calibri" w:eastAsia="宋体" w:hAnsi="Calibri" w:cs="Calibri"/>
                <w:b/>
                <w:bCs/>
                <w:color w:val="000000"/>
                <w:kern w:val="0"/>
                <w:sz w:val="17"/>
                <w:szCs w:val="17"/>
              </w:rPr>
            </w:pPr>
            <w:r w:rsidRPr="00141675">
              <w:rPr>
                <w:rFonts w:ascii="Calibri" w:eastAsia="宋体" w:hAnsi="Calibri" w:cs="Calibri"/>
                <w:b/>
                <w:bCs/>
                <w:color w:val="000000"/>
                <w:kern w:val="0"/>
                <w:sz w:val="17"/>
                <w:szCs w:val="17"/>
              </w:rPr>
              <w:t> </w:t>
            </w:r>
          </w:p>
        </w:tc>
        <w:tc>
          <w:tcPr>
            <w:tcW w:w="220" w:type="dxa"/>
            <w:shd w:val="clear" w:color="auto" w:fill="CFF0FC"/>
            <w:tcMar>
              <w:top w:w="15" w:type="dxa"/>
              <w:left w:w="0" w:type="dxa"/>
              <w:bottom w:w="0" w:type="dxa"/>
              <w:right w:w="15" w:type="dxa"/>
            </w:tcMar>
            <w:vAlign w:val="bottom"/>
            <w:hideMark/>
          </w:tcPr>
          <w:p w14:paraId="2154F1A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2C662D6" w14:textId="77777777" w:rsidR="00141675" w:rsidRPr="00141675" w:rsidRDefault="00141675" w:rsidP="00141675">
            <w:pPr>
              <w:widowControl/>
              <w:jc w:val="left"/>
              <w:rPr>
                <w:rFonts w:ascii="Calibri" w:eastAsia="宋体" w:hAnsi="Calibri" w:cs="Calibri"/>
                <w:b/>
                <w:bCs/>
                <w:color w:val="000000"/>
                <w:kern w:val="0"/>
                <w:sz w:val="17"/>
                <w:szCs w:val="17"/>
              </w:rPr>
            </w:pPr>
            <w:r w:rsidRPr="00141675">
              <w:rPr>
                <w:rFonts w:ascii="Calibri" w:eastAsia="宋体" w:hAnsi="Calibri" w:cs="Calibri"/>
                <w:b/>
                <w:bCs/>
                <w:color w:val="000000"/>
                <w:kern w:val="0"/>
                <w:sz w:val="17"/>
                <w:szCs w:val="17"/>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1FCA922C" w14:textId="77777777" w:rsidR="00141675" w:rsidRPr="00141675" w:rsidRDefault="00141675" w:rsidP="00141675">
            <w:pPr>
              <w:widowControl/>
              <w:jc w:val="right"/>
              <w:rPr>
                <w:rFonts w:ascii="Calibri" w:eastAsia="宋体" w:hAnsi="Calibri" w:cs="Calibri"/>
                <w:b/>
                <w:bCs/>
                <w:color w:val="000000"/>
                <w:kern w:val="0"/>
                <w:sz w:val="17"/>
                <w:szCs w:val="17"/>
              </w:rPr>
            </w:pPr>
            <w:r w:rsidRPr="00141675">
              <w:rPr>
                <w:rFonts w:ascii="Calibri" w:eastAsia="宋体" w:hAnsi="Calibri" w:cs="Calibri"/>
                <w:b/>
                <w:bCs/>
                <w:color w:val="000000"/>
                <w:kern w:val="0"/>
                <w:sz w:val="17"/>
                <w:szCs w:val="17"/>
              </w:rPr>
              <w:t> </w:t>
            </w:r>
          </w:p>
        </w:tc>
        <w:tc>
          <w:tcPr>
            <w:tcW w:w="193" w:type="dxa"/>
            <w:shd w:val="clear" w:color="auto" w:fill="CFF0FC"/>
            <w:noWrap/>
            <w:tcMar>
              <w:top w:w="15" w:type="dxa"/>
              <w:left w:w="0" w:type="dxa"/>
              <w:bottom w:w="0" w:type="dxa"/>
              <w:right w:w="15" w:type="dxa"/>
            </w:tcMar>
            <w:vAlign w:val="bottom"/>
            <w:hideMark/>
          </w:tcPr>
          <w:p w14:paraId="39566113" w14:textId="77777777" w:rsidR="00141675" w:rsidRPr="00141675" w:rsidRDefault="00141675" w:rsidP="00141675">
            <w:pPr>
              <w:widowControl/>
              <w:jc w:val="left"/>
              <w:rPr>
                <w:rFonts w:ascii="Calibri" w:eastAsia="宋体" w:hAnsi="Calibri" w:cs="Calibri"/>
                <w:b/>
                <w:bCs/>
                <w:color w:val="000000"/>
                <w:kern w:val="0"/>
                <w:sz w:val="17"/>
                <w:szCs w:val="17"/>
              </w:rPr>
            </w:pPr>
            <w:r w:rsidRPr="00141675">
              <w:rPr>
                <w:rFonts w:ascii="Calibri" w:eastAsia="宋体" w:hAnsi="Calibri" w:cs="Calibri"/>
                <w:b/>
                <w:bCs/>
                <w:color w:val="000000"/>
                <w:kern w:val="0"/>
                <w:sz w:val="17"/>
                <w:szCs w:val="17"/>
              </w:rPr>
              <w:t> </w:t>
            </w:r>
          </w:p>
        </w:tc>
      </w:tr>
      <w:tr w:rsidR="00141675" w:rsidRPr="00141675" w14:paraId="5154B4C1" w14:textId="77777777" w:rsidTr="00141675">
        <w:tc>
          <w:tcPr>
            <w:tcW w:w="6956" w:type="dxa"/>
            <w:shd w:val="clear" w:color="auto" w:fill="FFFFFF"/>
            <w:tcMar>
              <w:top w:w="15" w:type="dxa"/>
              <w:left w:w="0" w:type="dxa"/>
              <w:bottom w:w="0" w:type="dxa"/>
              <w:right w:w="15" w:type="dxa"/>
            </w:tcMar>
            <w:hideMark/>
          </w:tcPr>
          <w:p w14:paraId="6D61E1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Americas</w:t>
            </w:r>
          </w:p>
        </w:tc>
        <w:tc>
          <w:tcPr>
            <w:tcW w:w="220" w:type="dxa"/>
            <w:shd w:val="clear" w:color="auto" w:fill="FFFFFF"/>
            <w:tcMar>
              <w:top w:w="15" w:type="dxa"/>
              <w:left w:w="0" w:type="dxa"/>
              <w:bottom w:w="0" w:type="dxa"/>
              <w:right w:w="15" w:type="dxa"/>
            </w:tcMar>
            <w:vAlign w:val="bottom"/>
            <w:hideMark/>
          </w:tcPr>
          <w:p w14:paraId="5F17A65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954F4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3B2D1D9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5,304</w:t>
            </w:r>
          </w:p>
        </w:tc>
        <w:tc>
          <w:tcPr>
            <w:tcW w:w="191" w:type="dxa"/>
            <w:shd w:val="clear" w:color="auto" w:fill="FFFFFF"/>
            <w:noWrap/>
            <w:tcMar>
              <w:top w:w="15" w:type="dxa"/>
              <w:left w:w="0" w:type="dxa"/>
              <w:bottom w:w="0" w:type="dxa"/>
              <w:right w:w="15" w:type="dxa"/>
            </w:tcMar>
            <w:vAlign w:val="bottom"/>
            <w:hideMark/>
          </w:tcPr>
          <w:p w14:paraId="4CD602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92E9D5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1C580DA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79112FE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2366FE5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4138389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4DF71F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2B23CF4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5,243</w:t>
            </w:r>
          </w:p>
        </w:tc>
        <w:tc>
          <w:tcPr>
            <w:tcW w:w="191" w:type="dxa"/>
            <w:shd w:val="clear" w:color="auto" w:fill="FFFFFF"/>
            <w:noWrap/>
            <w:tcMar>
              <w:top w:w="15" w:type="dxa"/>
              <w:left w:w="0" w:type="dxa"/>
              <w:bottom w:w="0" w:type="dxa"/>
              <w:right w:w="15" w:type="dxa"/>
            </w:tcMar>
            <w:vAlign w:val="bottom"/>
            <w:hideMark/>
          </w:tcPr>
          <w:p w14:paraId="17D463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A04F34E"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FFFFFF"/>
            <w:noWrap/>
            <w:tcMar>
              <w:top w:w="15" w:type="dxa"/>
              <w:left w:w="0" w:type="dxa"/>
              <w:bottom w:w="0" w:type="dxa"/>
              <w:right w:w="15" w:type="dxa"/>
            </w:tcMar>
            <w:vAlign w:val="bottom"/>
            <w:hideMark/>
          </w:tcPr>
          <w:p w14:paraId="3AF6D6A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2A95539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10,454</w:t>
            </w:r>
          </w:p>
        </w:tc>
        <w:tc>
          <w:tcPr>
            <w:tcW w:w="191" w:type="dxa"/>
            <w:shd w:val="clear" w:color="auto" w:fill="FFFFFF"/>
            <w:noWrap/>
            <w:tcMar>
              <w:top w:w="15" w:type="dxa"/>
              <w:left w:w="0" w:type="dxa"/>
              <w:bottom w:w="0" w:type="dxa"/>
              <w:right w:w="15" w:type="dxa"/>
            </w:tcMar>
            <w:vAlign w:val="bottom"/>
            <w:hideMark/>
          </w:tcPr>
          <w:p w14:paraId="3DB434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54458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69FB995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FFFFFF"/>
            <w:tcMar>
              <w:top w:w="15" w:type="dxa"/>
              <w:left w:w="0" w:type="dxa"/>
              <w:bottom w:w="0" w:type="dxa"/>
              <w:right w:w="15" w:type="dxa"/>
            </w:tcMar>
            <w:vAlign w:val="bottom"/>
            <w:hideMark/>
          </w:tcPr>
          <w:p w14:paraId="7437BBD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192DD0E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0DB488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1EA90B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7EBE522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10,404</w:t>
            </w:r>
          </w:p>
        </w:tc>
        <w:tc>
          <w:tcPr>
            <w:tcW w:w="193" w:type="dxa"/>
            <w:shd w:val="clear" w:color="auto" w:fill="FFFFFF"/>
            <w:noWrap/>
            <w:tcMar>
              <w:top w:w="15" w:type="dxa"/>
              <w:left w:w="0" w:type="dxa"/>
              <w:bottom w:w="0" w:type="dxa"/>
              <w:right w:w="15" w:type="dxa"/>
            </w:tcMar>
            <w:vAlign w:val="bottom"/>
            <w:hideMark/>
          </w:tcPr>
          <w:p w14:paraId="6661CF2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D7D8F7E" w14:textId="77777777" w:rsidTr="00141675">
        <w:tc>
          <w:tcPr>
            <w:tcW w:w="6956" w:type="dxa"/>
            <w:shd w:val="clear" w:color="auto" w:fill="CFF0FC"/>
            <w:tcMar>
              <w:top w:w="15" w:type="dxa"/>
              <w:left w:w="0" w:type="dxa"/>
              <w:bottom w:w="0" w:type="dxa"/>
              <w:right w:w="15" w:type="dxa"/>
            </w:tcMar>
            <w:hideMark/>
          </w:tcPr>
          <w:p w14:paraId="39A722A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EMEA</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vAlign w:val="bottom"/>
            <w:hideMark/>
          </w:tcPr>
          <w:p w14:paraId="5BEA73D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C6B82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536949B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2,695</w:t>
            </w:r>
          </w:p>
        </w:tc>
        <w:tc>
          <w:tcPr>
            <w:tcW w:w="191" w:type="dxa"/>
            <w:shd w:val="clear" w:color="auto" w:fill="CFF0FC"/>
            <w:noWrap/>
            <w:tcMar>
              <w:top w:w="15" w:type="dxa"/>
              <w:left w:w="0" w:type="dxa"/>
              <w:bottom w:w="0" w:type="dxa"/>
              <w:right w:w="15" w:type="dxa"/>
            </w:tcMar>
            <w:vAlign w:val="bottom"/>
            <w:hideMark/>
          </w:tcPr>
          <w:p w14:paraId="093D20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905A1F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3823921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CFF0FC"/>
            <w:tcMar>
              <w:top w:w="15" w:type="dxa"/>
              <w:left w:w="0" w:type="dxa"/>
              <w:bottom w:w="0" w:type="dxa"/>
              <w:right w:w="15" w:type="dxa"/>
            </w:tcMar>
            <w:vAlign w:val="bottom"/>
            <w:hideMark/>
          </w:tcPr>
          <w:p w14:paraId="47A864E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2232F47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17DA36B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971625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7DD5AFD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2,782</w:t>
            </w:r>
          </w:p>
        </w:tc>
        <w:tc>
          <w:tcPr>
            <w:tcW w:w="191" w:type="dxa"/>
            <w:shd w:val="clear" w:color="auto" w:fill="CFF0FC"/>
            <w:noWrap/>
            <w:tcMar>
              <w:top w:w="15" w:type="dxa"/>
              <w:left w:w="0" w:type="dxa"/>
              <w:bottom w:w="0" w:type="dxa"/>
              <w:right w:w="15" w:type="dxa"/>
            </w:tcMar>
            <w:vAlign w:val="bottom"/>
            <w:hideMark/>
          </w:tcPr>
          <w:p w14:paraId="09C7B2F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D29318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405ED2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10B1EE0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5,248</w:t>
            </w:r>
          </w:p>
        </w:tc>
        <w:tc>
          <w:tcPr>
            <w:tcW w:w="191" w:type="dxa"/>
            <w:shd w:val="clear" w:color="auto" w:fill="CFF0FC"/>
            <w:noWrap/>
            <w:tcMar>
              <w:top w:w="15" w:type="dxa"/>
              <w:left w:w="0" w:type="dxa"/>
              <w:bottom w:w="0" w:type="dxa"/>
              <w:right w:w="15" w:type="dxa"/>
            </w:tcMar>
            <w:vAlign w:val="bottom"/>
            <w:hideMark/>
          </w:tcPr>
          <w:p w14:paraId="150548A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6C1EF4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5905A69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CFF0FC"/>
            <w:tcMar>
              <w:top w:w="15" w:type="dxa"/>
              <w:left w:w="0" w:type="dxa"/>
              <w:bottom w:w="0" w:type="dxa"/>
              <w:right w:w="15" w:type="dxa"/>
            </w:tcMar>
            <w:vAlign w:val="bottom"/>
            <w:hideMark/>
          </w:tcPr>
          <w:p w14:paraId="48D434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0FE2E6A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0EB7B75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901453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00C858A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5,358</w:t>
            </w:r>
          </w:p>
        </w:tc>
        <w:tc>
          <w:tcPr>
            <w:tcW w:w="193" w:type="dxa"/>
            <w:shd w:val="clear" w:color="auto" w:fill="CFF0FC"/>
            <w:noWrap/>
            <w:tcMar>
              <w:top w:w="15" w:type="dxa"/>
              <w:left w:w="0" w:type="dxa"/>
              <w:bottom w:w="0" w:type="dxa"/>
              <w:right w:w="15" w:type="dxa"/>
            </w:tcMar>
            <w:vAlign w:val="bottom"/>
            <w:hideMark/>
          </w:tcPr>
          <w:p w14:paraId="20FE793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73E3FA6" w14:textId="77777777" w:rsidTr="00141675">
        <w:tc>
          <w:tcPr>
            <w:tcW w:w="6956" w:type="dxa"/>
            <w:shd w:val="clear" w:color="auto" w:fill="FFFFFF"/>
            <w:tcMar>
              <w:top w:w="15" w:type="dxa"/>
              <w:left w:w="0" w:type="dxa"/>
              <w:bottom w:w="0" w:type="dxa"/>
              <w:right w:w="15" w:type="dxa"/>
            </w:tcMar>
            <w:hideMark/>
          </w:tcPr>
          <w:p w14:paraId="34F6CFE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Asia Pacific</w:t>
            </w:r>
          </w:p>
        </w:tc>
        <w:tc>
          <w:tcPr>
            <w:tcW w:w="220" w:type="dxa"/>
            <w:shd w:val="clear" w:color="auto" w:fill="FFFFFF"/>
            <w:tcMar>
              <w:top w:w="15" w:type="dxa"/>
              <w:left w:w="0" w:type="dxa"/>
              <w:bottom w:w="0" w:type="dxa"/>
              <w:right w:w="15" w:type="dxa"/>
            </w:tcMar>
            <w:vAlign w:val="bottom"/>
            <w:hideMark/>
          </w:tcPr>
          <w:p w14:paraId="7B93452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BD1FB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21AE59E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1,615</w:t>
            </w:r>
          </w:p>
        </w:tc>
        <w:tc>
          <w:tcPr>
            <w:tcW w:w="191" w:type="dxa"/>
            <w:shd w:val="clear" w:color="auto" w:fill="FFFFFF"/>
            <w:noWrap/>
            <w:tcMar>
              <w:top w:w="15" w:type="dxa"/>
              <w:left w:w="0" w:type="dxa"/>
              <w:bottom w:w="0" w:type="dxa"/>
              <w:right w:w="15" w:type="dxa"/>
            </w:tcMar>
            <w:vAlign w:val="bottom"/>
            <w:hideMark/>
          </w:tcPr>
          <w:p w14:paraId="38BCB3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A32127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2DFB78F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220" w:type="dxa"/>
            <w:shd w:val="clear" w:color="auto" w:fill="FFFFFF"/>
            <w:tcMar>
              <w:top w:w="15" w:type="dxa"/>
              <w:left w:w="0" w:type="dxa"/>
              <w:bottom w:w="0" w:type="dxa"/>
              <w:right w:w="15" w:type="dxa"/>
            </w:tcMar>
            <w:vAlign w:val="bottom"/>
            <w:hideMark/>
          </w:tcPr>
          <w:p w14:paraId="235D2AE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48437AB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220" w:type="dxa"/>
            <w:shd w:val="clear" w:color="auto" w:fill="FFFFFF"/>
            <w:tcMar>
              <w:top w:w="15" w:type="dxa"/>
              <w:left w:w="0" w:type="dxa"/>
              <w:bottom w:w="0" w:type="dxa"/>
              <w:right w:w="15" w:type="dxa"/>
            </w:tcMar>
            <w:vAlign w:val="bottom"/>
            <w:hideMark/>
          </w:tcPr>
          <w:p w14:paraId="5FC8A5E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F91C2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05D1F1D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1,537</w:t>
            </w:r>
          </w:p>
        </w:tc>
        <w:tc>
          <w:tcPr>
            <w:tcW w:w="191" w:type="dxa"/>
            <w:shd w:val="clear" w:color="auto" w:fill="FFFFFF"/>
            <w:noWrap/>
            <w:tcMar>
              <w:top w:w="15" w:type="dxa"/>
              <w:left w:w="0" w:type="dxa"/>
              <w:bottom w:w="0" w:type="dxa"/>
              <w:right w:w="15" w:type="dxa"/>
            </w:tcMar>
            <w:vAlign w:val="bottom"/>
            <w:hideMark/>
          </w:tcPr>
          <w:p w14:paraId="62387E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C63994B"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3FC8A4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0A5233F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3,130</w:t>
            </w:r>
          </w:p>
        </w:tc>
        <w:tc>
          <w:tcPr>
            <w:tcW w:w="191" w:type="dxa"/>
            <w:shd w:val="clear" w:color="auto" w:fill="FFFFFF"/>
            <w:noWrap/>
            <w:tcMar>
              <w:top w:w="15" w:type="dxa"/>
              <w:left w:w="0" w:type="dxa"/>
              <w:bottom w:w="0" w:type="dxa"/>
              <w:right w:w="15" w:type="dxa"/>
            </w:tcMar>
            <w:vAlign w:val="bottom"/>
            <w:hideMark/>
          </w:tcPr>
          <w:p w14:paraId="0EA15B7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F3E7C9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7B3E3B3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220" w:type="dxa"/>
            <w:shd w:val="clear" w:color="auto" w:fill="FFFFFF"/>
            <w:tcMar>
              <w:top w:w="15" w:type="dxa"/>
              <w:left w:w="0" w:type="dxa"/>
              <w:bottom w:w="0" w:type="dxa"/>
              <w:right w:w="15" w:type="dxa"/>
            </w:tcMar>
            <w:vAlign w:val="bottom"/>
            <w:hideMark/>
          </w:tcPr>
          <w:p w14:paraId="1D738E9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753130C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220" w:type="dxa"/>
            <w:shd w:val="clear" w:color="auto" w:fill="FFFFFF"/>
            <w:tcMar>
              <w:top w:w="15" w:type="dxa"/>
              <w:left w:w="0" w:type="dxa"/>
              <w:bottom w:w="0" w:type="dxa"/>
              <w:right w:w="15" w:type="dxa"/>
            </w:tcMar>
            <w:vAlign w:val="bottom"/>
            <w:hideMark/>
          </w:tcPr>
          <w:p w14:paraId="7B2A50C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169217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5936410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2,993</w:t>
            </w:r>
          </w:p>
        </w:tc>
        <w:tc>
          <w:tcPr>
            <w:tcW w:w="193" w:type="dxa"/>
            <w:shd w:val="clear" w:color="auto" w:fill="FFFFFF"/>
            <w:noWrap/>
            <w:tcMar>
              <w:top w:w="15" w:type="dxa"/>
              <w:left w:w="0" w:type="dxa"/>
              <w:bottom w:w="0" w:type="dxa"/>
              <w:right w:w="15" w:type="dxa"/>
            </w:tcMar>
            <w:vAlign w:val="bottom"/>
            <w:hideMark/>
          </w:tcPr>
          <w:p w14:paraId="11697F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F0751F7" w14:textId="77777777" w:rsidTr="00141675">
        <w:tc>
          <w:tcPr>
            <w:tcW w:w="6956" w:type="dxa"/>
            <w:shd w:val="clear" w:color="auto" w:fill="CFF0FC"/>
            <w:tcMar>
              <w:top w:w="15" w:type="dxa"/>
              <w:left w:w="0" w:type="dxa"/>
              <w:bottom w:w="0" w:type="dxa"/>
              <w:right w:w="15" w:type="dxa"/>
            </w:tcMar>
            <w:hideMark/>
          </w:tcPr>
          <w:p w14:paraId="4A1C7B0D"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revenues</w:t>
            </w:r>
          </w:p>
        </w:tc>
        <w:tc>
          <w:tcPr>
            <w:tcW w:w="220" w:type="dxa"/>
            <w:shd w:val="clear" w:color="auto" w:fill="CFF0FC"/>
            <w:tcMar>
              <w:top w:w="15" w:type="dxa"/>
              <w:left w:w="0" w:type="dxa"/>
              <w:bottom w:w="0" w:type="dxa"/>
              <w:right w:w="15" w:type="dxa"/>
            </w:tcMar>
            <w:vAlign w:val="bottom"/>
            <w:hideMark/>
          </w:tcPr>
          <w:p w14:paraId="41A980F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EC50BA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085DA91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9,614</w:t>
            </w:r>
          </w:p>
        </w:tc>
        <w:tc>
          <w:tcPr>
            <w:tcW w:w="191" w:type="dxa"/>
            <w:shd w:val="clear" w:color="auto" w:fill="CFF0FC"/>
            <w:noWrap/>
            <w:tcMar>
              <w:top w:w="15" w:type="dxa"/>
              <w:left w:w="0" w:type="dxa"/>
              <w:bottom w:w="0" w:type="dxa"/>
              <w:right w:w="15" w:type="dxa"/>
            </w:tcMar>
            <w:vAlign w:val="bottom"/>
            <w:hideMark/>
          </w:tcPr>
          <w:p w14:paraId="0C2BB4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3A5B1D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06A3EA9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596B246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7E6162A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79139B6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03EAC4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7F64914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9,562</w:t>
            </w:r>
          </w:p>
        </w:tc>
        <w:tc>
          <w:tcPr>
            <w:tcW w:w="191" w:type="dxa"/>
            <w:shd w:val="clear" w:color="auto" w:fill="CFF0FC"/>
            <w:noWrap/>
            <w:tcMar>
              <w:top w:w="15" w:type="dxa"/>
              <w:left w:w="0" w:type="dxa"/>
              <w:bottom w:w="0" w:type="dxa"/>
              <w:right w:w="15" w:type="dxa"/>
            </w:tcMar>
            <w:vAlign w:val="bottom"/>
            <w:hideMark/>
          </w:tcPr>
          <w:p w14:paraId="502687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1336828"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C2FAD5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2C1977D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18,832</w:t>
            </w:r>
          </w:p>
        </w:tc>
        <w:tc>
          <w:tcPr>
            <w:tcW w:w="191" w:type="dxa"/>
            <w:shd w:val="clear" w:color="auto" w:fill="CFF0FC"/>
            <w:noWrap/>
            <w:tcMar>
              <w:top w:w="15" w:type="dxa"/>
              <w:left w:w="0" w:type="dxa"/>
              <w:bottom w:w="0" w:type="dxa"/>
              <w:right w:w="15" w:type="dxa"/>
            </w:tcMar>
            <w:vAlign w:val="bottom"/>
            <w:hideMark/>
          </w:tcPr>
          <w:p w14:paraId="681629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544C88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2ACE001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CFF0FC"/>
            <w:tcMar>
              <w:top w:w="15" w:type="dxa"/>
              <w:left w:w="0" w:type="dxa"/>
              <w:bottom w:w="0" w:type="dxa"/>
              <w:right w:w="15" w:type="dxa"/>
            </w:tcMar>
            <w:vAlign w:val="bottom"/>
            <w:hideMark/>
          </w:tcPr>
          <w:p w14:paraId="3BE667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1127BC3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3C6D81E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01D133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0676395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18,755</w:t>
            </w:r>
          </w:p>
        </w:tc>
        <w:tc>
          <w:tcPr>
            <w:tcW w:w="193" w:type="dxa"/>
            <w:shd w:val="clear" w:color="auto" w:fill="CFF0FC"/>
            <w:noWrap/>
            <w:tcMar>
              <w:top w:w="15" w:type="dxa"/>
              <w:left w:w="0" w:type="dxa"/>
              <w:bottom w:w="0" w:type="dxa"/>
              <w:right w:w="15" w:type="dxa"/>
            </w:tcMar>
            <w:vAlign w:val="bottom"/>
            <w:hideMark/>
          </w:tcPr>
          <w:p w14:paraId="008164D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70ACCD3" w14:textId="77777777" w:rsidTr="00141675">
        <w:tc>
          <w:tcPr>
            <w:tcW w:w="6956" w:type="dxa"/>
            <w:shd w:val="clear" w:color="auto" w:fill="FFFFFF"/>
            <w:tcMar>
              <w:top w:w="15" w:type="dxa"/>
              <w:left w:w="0" w:type="dxa"/>
              <w:bottom w:w="0" w:type="dxa"/>
              <w:right w:w="15" w:type="dxa"/>
            </w:tcMar>
            <w:hideMark/>
          </w:tcPr>
          <w:p w14:paraId="56E06F36"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Operating Expenses</w:t>
            </w:r>
          </w:p>
        </w:tc>
        <w:tc>
          <w:tcPr>
            <w:tcW w:w="220" w:type="dxa"/>
            <w:shd w:val="clear" w:color="auto" w:fill="FFFFFF"/>
            <w:tcMar>
              <w:top w:w="15" w:type="dxa"/>
              <w:left w:w="0" w:type="dxa"/>
              <w:bottom w:w="0" w:type="dxa"/>
              <w:right w:w="15" w:type="dxa"/>
            </w:tcMar>
            <w:vAlign w:val="bottom"/>
            <w:hideMark/>
          </w:tcPr>
          <w:p w14:paraId="7B17410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625D42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3447A6C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6,431</w:t>
            </w:r>
          </w:p>
        </w:tc>
        <w:tc>
          <w:tcPr>
            <w:tcW w:w="191" w:type="dxa"/>
            <w:shd w:val="clear" w:color="auto" w:fill="FFFFFF"/>
            <w:noWrap/>
            <w:tcMar>
              <w:top w:w="15" w:type="dxa"/>
              <w:left w:w="0" w:type="dxa"/>
              <w:bottom w:w="0" w:type="dxa"/>
              <w:right w:w="15" w:type="dxa"/>
            </w:tcMar>
            <w:vAlign w:val="bottom"/>
            <w:hideMark/>
          </w:tcPr>
          <w:p w14:paraId="3BD5908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B17923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22523BA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FFFFFF"/>
            <w:tcMar>
              <w:top w:w="15" w:type="dxa"/>
              <w:left w:w="0" w:type="dxa"/>
              <w:bottom w:w="0" w:type="dxa"/>
              <w:right w:w="15" w:type="dxa"/>
            </w:tcMar>
            <w:vAlign w:val="bottom"/>
            <w:hideMark/>
          </w:tcPr>
          <w:p w14:paraId="47C6409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1BA7D38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FFFFFF"/>
            <w:tcMar>
              <w:top w:w="15" w:type="dxa"/>
              <w:left w:w="0" w:type="dxa"/>
              <w:bottom w:w="0" w:type="dxa"/>
              <w:right w:w="15" w:type="dxa"/>
            </w:tcMar>
            <w:vAlign w:val="bottom"/>
            <w:hideMark/>
          </w:tcPr>
          <w:p w14:paraId="106B3F4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D687BE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2C676F8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6,461</w:t>
            </w:r>
          </w:p>
        </w:tc>
        <w:tc>
          <w:tcPr>
            <w:tcW w:w="191" w:type="dxa"/>
            <w:shd w:val="clear" w:color="auto" w:fill="FFFFFF"/>
            <w:noWrap/>
            <w:tcMar>
              <w:top w:w="15" w:type="dxa"/>
              <w:left w:w="0" w:type="dxa"/>
              <w:bottom w:w="0" w:type="dxa"/>
              <w:right w:w="15" w:type="dxa"/>
            </w:tcMar>
            <w:vAlign w:val="bottom"/>
            <w:hideMark/>
          </w:tcPr>
          <w:p w14:paraId="172EFAB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0561D4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2AEB10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02C9E07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12,772</w:t>
            </w:r>
          </w:p>
        </w:tc>
        <w:tc>
          <w:tcPr>
            <w:tcW w:w="191" w:type="dxa"/>
            <w:shd w:val="clear" w:color="auto" w:fill="FFFFFF"/>
            <w:noWrap/>
            <w:tcMar>
              <w:top w:w="15" w:type="dxa"/>
              <w:left w:w="0" w:type="dxa"/>
              <w:bottom w:w="0" w:type="dxa"/>
              <w:right w:w="15" w:type="dxa"/>
            </w:tcMar>
            <w:vAlign w:val="bottom"/>
            <w:hideMark/>
          </w:tcPr>
          <w:p w14:paraId="15B405D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64FCE0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2EA07D8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5DFBCFF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206664F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FFFFFF"/>
            <w:tcMar>
              <w:top w:w="15" w:type="dxa"/>
              <w:left w:w="0" w:type="dxa"/>
              <w:bottom w:w="0" w:type="dxa"/>
              <w:right w:w="15" w:type="dxa"/>
            </w:tcMar>
            <w:vAlign w:val="bottom"/>
            <w:hideMark/>
          </w:tcPr>
          <w:p w14:paraId="133B311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0D71A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371C62C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12,877</w:t>
            </w:r>
          </w:p>
        </w:tc>
        <w:tc>
          <w:tcPr>
            <w:tcW w:w="193" w:type="dxa"/>
            <w:shd w:val="clear" w:color="auto" w:fill="FFFFFF"/>
            <w:noWrap/>
            <w:tcMar>
              <w:top w:w="15" w:type="dxa"/>
              <w:left w:w="0" w:type="dxa"/>
              <w:bottom w:w="0" w:type="dxa"/>
              <w:right w:w="15" w:type="dxa"/>
            </w:tcMar>
            <w:vAlign w:val="bottom"/>
            <w:hideMark/>
          </w:tcPr>
          <w:p w14:paraId="5705DD6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CB6C1D8" w14:textId="77777777" w:rsidTr="00141675">
        <w:tc>
          <w:tcPr>
            <w:tcW w:w="6956" w:type="dxa"/>
            <w:shd w:val="clear" w:color="auto" w:fill="CFF0FC"/>
            <w:tcMar>
              <w:top w:w="15" w:type="dxa"/>
              <w:left w:w="0" w:type="dxa"/>
              <w:bottom w:w="0" w:type="dxa"/>
              <w:right w:w="15" w:type="dxa"/>
            </w:tcMar>
            <w:hideMark/>
          </w:tcPr>
          <w:p w14:paraId="1460746D"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Operating Margin</w:t>
            </w:r>
          </w:p>
        </w:tc>
        <w:tc>
          <w:tcPr>
            <w:tcW w:w="220" w:type="dxa"/>
            <w:shd w:val="clear" w:color="auto" w:fill="CFF0FC"/>
            <w:tcMar>
              <w:top w:w="15" w:type="dxa"/>
              <w:left w:w="0" w:type="dxa"/>
              <w:bottom w:w="0" w:type="dxa"/>
              <w:right w:w="15" w:type="dxa"/>
            </w:tcMar>
            <w:vAlign w:val="bottom"/>
            <w:hideMark/>
          </w:tcPr>
          <w:p w14:paraId="535F2EC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59320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567B4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3,183</w:t>
            </w:r>
          </w:p>
        </w:tc>
        <w:tc>
          <w:tcPr>
            <w:tcW w:w="191" w:type="dxa"/>
            <w:shd w:val="clear" w:color="auto" w:fill="CFF0FC"/>
            <w:noWrap/>
            <w:tcMar>
              <w:top w:w="15" w:type="dxa"/>
              <w:left w:w="0" w:type="dxa"/>
              <w:bottom w:w="0" w:type="dxa"/>
              <w:right w:w="15" w:type="dxa"/>
            </w:tcMar>
            <w:vAlign w:val="bottom"/>
            <w:hideMark/>
          </w:tcPr>
          <w:p w14:paraId="28C429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87E19C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68AF865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CFF0FC"/>
            <w:tcMar>
              <w:top w:w="15" w:type="dxa"/>
              <w:left w:w="0" w:type="dxa"/>
              <w:bottom w:w="0" w:type="dxa"/>
              <w:right w:w="15" w:type="dxa"/>
            </w:tcMar>
            <w:vAlign w:val="bottom"/>
            <w:hideMark/>
          </w:tcPr>
          <w:p w14:paraId="30C08C8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65DC966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c>
          <w:tcPr>
            <w:tcW w:w="220" w:type="dxa"/>
            <w:shd w:val="clear" w:color="auto" w:fill="CFF0FC"/>
            <w:tcMar>
              <w:top w:w="15" w:type="dxa"/>
              <w:left w:w="0" w:type="dxa"/>
              <w:bottom w:w="0" w:type="dxa"/>
              <w:right w:w="15" w:type="dxa"/>
            </w:tcMar>
            <w:vAlign w:val="bottom"/>
            <w:hideMark/>
          </w:tcPr>
          <w:p w14:paraId="5A82A21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9140C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6F8FE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3,101</w:t>
            </w:r>
          </w:p>
        </w:tc>
        <w:tc>
          <w:tcPr>
            <w:tcW w:w="191" w:type="dxa"/>
            <w:shd w:val="clear" w:color="auto" w:fill="CFF0FC"/>
            <w:noWrap/>
            <w:tcMar>
              <w:top w:w="15" w:type="dxa"/>
              <w:left w:w="0" w:type="dxa"/>
              <w:bottom w:w="0" w:type="dxa"/>
              <w:right w:w="15" w:type="dxa"/>
            </w:tcMar>
            <w:vAlign w:val="bottom"/>
            <w:hideMark/>
          </w:tcPr>
          <w:p w14:paraId="35F14B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4E3429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D7D438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993D11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6,060</w:t>
            </w:r>
          </w:p>
        </w:tc>
        <w:tc>
          <w:tcPr>
            <w:tcW w:w="191" w:type="dxa"/>
            <w:shd w:val="clear" w:color="auto" w:fill="CFF0FC"/>
            <w:noWrap/>
            <w:tcMar>
              <w:top w:w="15" w:type="dxa"/>
              <w:left w:w="0" w:type="dxa"/>
              <w:bottom w:w="0" w:type="dxa"/>
              <w:right w:w="15" w:type="dxa"/>
            </w:tcMar>
            <w:vAlign w:val="bottom"/>
            <w:hideMark/>
          </w:tcPr>
          <w:p w14:paraId="66C8D9F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25E893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3FC2A41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CFF0FC"/>
            <w:tcMar>
              <w:top w:w="15" w:type="dxa"/>
              <w:left w:w="0" w:type="dxa"/>
              <w:bottom w:w="0" w:type="dxa"/>
              <w:right w:w="15" w:type="dxa"/>
            </w:tcMar>
            <w:vAlign w:val="bottom"/>
            <w:hideMark/>
          </w:tcPr>
          <w:p w14:paraId="291E37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0751D88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220" w:type="dxa"/>
            <w:shd w:val="clear" w:color="auto" w:fill="CFF0FC"/>
            <w:tcMar>
              <w:top w:w="15" w:type="dxa"/>
              <w:left w:w="0" w:type="dxa"/>
              <w:bottom w:w="0" w:type="dxa"/>
              <w:right w:w="15" w:type="dxa"/>
            </w:tcMar>
            <w:vAlign w:val="bottom"/>
            <w:hideMark/>
          </w:tcPr>
          <w:p w14:paraId="69EC723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EE639D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144C3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5,878</w:t>
            </w:r>
          </w:p>
        </w:tc>
        <w:tc>
          <w:tcPr>
            <w:tcW w:w="193" w:type="dxa"/>
            <w:shd w:val="clear" w:color="auto" w:fill="CFF0FC"/>
            <w:noWrap/>
            <w:tcMar>
              <w:top w:w="15" w:type="dxa"/>
              <w:left w:w="0" w:type="dxa"/>
              <w:bottom w:w="0" w:type="dxa"/>
              <w:right w:w="15" w:type="dxa"/>
            </w:tcMar>
            <w:vAlign w:val="bottom"/>
            <w:hideMark/>
          </w:tcPr>
          <w:p w14:paraId="560303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53D8A8A" w14:textId="77777777" w:rsidTr="00141675">
        <w:tc>
          <w:tcPr>
            <w:tcW w:w="6956" w:type="dxa"/>
            <w:shd w:val="clear" w:color="auto" w:fill="FFFFFF"/>
            <w:tcMar>
              <w:top w:w="15" w:type="dxa"/>
              <w:left w:w="0" w:type="dxa"/>
              <w:bottom w:w="0" w:type="dxa"/>
              <w:right w:w="15" w:type="dxa"/>
            </w:tcMar>
            <w:hideMark/>
          </w:tcPr>
          <w:p w14:paraId="1A374F8A"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Operating Margin %</w:t>
            </w:r>
          </w:p>
        </w:tc>
        <w:tc>
          <w:tcPr>
            <w:tcW w:w="220" w:type="dxa"/>
            <w:shd w:val="clear" w:color="auto" w:fill="FFFFFF"/>
            <w:tcMar>
              <w:top w:w="15" w:type="dxa"/>
              <w:left w:w="0" w:type="dxa"/>
              <w:bottom w:w="0" w:type="dxa"/>
              <w:right w:w="15" w:type="dxa"/>
            </w:tcMar>
            <w:vAlign w:val="bottom"/>
            <w:hideMark/>
          </w:tcPr>
          <w:p w14:paraId="56F3335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tcBorders>
              <w:top w:val="double" w:sz="6" w:space="0" w:color="000000"/>
            </w:tcBorders>
            <w:shd w:val="clear" w:color="auto" w:fill="FFFFFF"/>
            <w:tcMar>
              <w:top w:w="15" w:type="dxa"/>
              <w:left w:w="0" w:type="dxa"/>
              <w:bottom w:w="0" w:type="dxa"/>
              <w:right w:w="15" w:type="dxa"/>
            </w:tcMar>
            <w:vAlign w:val="bottom"/>
            <w:hideMark/>
          </w:tcPr>
          <w:p w14:paraId="4B05015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33%</w:t>
            </w:r>
          </w:p>
        </w:tc>
        <w:tc>
          <w:tcPr>
            <w:tcW w:w="191" w:type="dxa"/>
            <w:shd w:val="clear" w:color="auto" w:fill="FFFFFF"/>
            <w:noWrap/>
            <w:tcMar>
              <w:top w:w="15" w:type="dxa"/>
              <w:left w:w="0" w:type="dxa"/>
              <w:bottom w:w="0" w:type="dxa"/>
              <w:right w:w="15" w:type="dxa"/>
            </w:tcMar>
            <w:vAlign w:val="bottom"/>
            <w:hideMark/>
          </w:tcPr>
          <w:p w14:paraId="1A107E8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5D2F5C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092BD35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157C11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4E968AC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057F4C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tcBorders>
              <w:top w:val="double" w:sz="6" w:space="0" w:color="000000"/>
            </w:tcBorders>
            <w:shd w:val="clear" w:color="auto" w:fill="FFFFFF"/>
            <w:tcMar>
              <w:top w:w="15" w:type="dxa"/>
              <w:left w:w="0" w:type="dxa"/>
              <w:bottom w:w="0" w:type="dxa"/>
              <w:right w:w="15" w:type="dxa"/>
            </w:tcMar>
            <w:vAlign w:val="bottom"/>
            <w:hideMark/>
          </w:tcPr>
          <w:p w14:paraId="4955438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1" w:type="dxa"/>
            <w:shd w:val="clear" w:color="auto" w:fill="FFFFFF"/>
            <w:noWrap/>
            <w:tcMar>
              <w:top w:w="15" w:type="dxa"/>
              <w:left w:w="0" w:type="dxa"/>
              <w:bottom w:w="0" w:type="dxa"/>
              <w:right w:w="15" w:type="dxa"/>
            </w:tcMar>
            <w:vAlign w:val="bottom"/>
            <w:hideMark/>
          </w:tcPr>
          <w:p w14:paraId="670BE9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F0FBDE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248" w:type="dxa"/>
            <w:gridSpan w:val="2"/>
            <w:tcBorders>
              <w:top w:val="double" w:sz="6" w:space="0" w:color="000000"/>
            </w:tcBorders>
            <w:shd w:val="clear" w:color="auto" w:fill="FFFFFF"/>
            <w:tcMar>
              <w:top w:w="15" w:type="dxa"/>
              <w:left w:w="0" w:type="dxa"/>
              <w:bottom w:w="0" w:type="dxa"/>
              <w:right w:w="15" w:type="dxa"/>
            </w:tcMar>
            <w:vAlign w:val="bottom"/>
            <w:hideMark/>
          </w:tcPr>
          <w:p w14:paraId="29F61C8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1" w:type="dxa"/>
            <w:shd w:val="clear" w:color="auto" w:fill="FFFFFF"/>
            <w:noWrap/>
            <w:tcMar>
              <w:top w:w="15" w:type="dxa"/>
              <w:left w:w="0" w:type="dxa"/>
              <w:bottom w:w="0" w:type="dxa"/>
              <w:right w:w="15" w:type="dxa"/>
            </w:tcMar>
            <w:vAlign w:val="bottom"/>
            <w:hideMark/>
          </w:tcPr>
          <w:p w14:paraId="61B0D19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7664FD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0B1118B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9ECD2E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7D63E6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C84E2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tcBorders>
              <w:top w:val="double" w:sz="6" w:space="0" w:color="000000"/>
            </w:tcBorders>
            <w:shd w:val="clear" w:color="auto" w:fill="FFFFFF"/>
            <w:tcMar>
              <w:top w:w="15" w:type="dxa"/>
              <w:left w:w="0" w:type="dxa"/>
              <w:bottom w:w="0" w:type="dxa"/>
              <w:right w:w="15" w:type="dxa"/>
            </w:tcMar>
            <w:vAlign w:val="bottom"/>
            <w:hideMark/>
          </w:tcPr>
          <w:p w14:paraId="10E5590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31%</w:t>
            </w:r>
          </w:p>
        </w:tc>
        <w:tc>
          <w:tcPr>
            <w:tcW w:w="193" w:type="dxa"/>
            <w:shd w:val="clear" w:color="auto" w:fill="FFFFFF"/>
            <w:noWrap/>
            <w:tcMar>
              <w:top w:w="15" w:type="dxa"/>
              <w:left w:w="0" w:type="dxa"/>
              <w:bottom w:w="0" w:type="dxa"/>
              <w:right w:w="15" w:type="dxa"/>
            </w:tcMar>
            <w:vAlign w:val="bottom"/>
            <w:hideMark/>
          </w:tcPr>
          <w:p w14:paraId="4995071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DD81B38" w14:textId="77777777" w:rsidTr="00141675">
        <w:tc>
          <w:tcPr>
            <w:tcW w:w="6956" w:type="dxa"/>
            <w:shd w:val="clear" w:color="auto" w:fill="CFF0FC"/>
            <w:tcMar>
              <w:top w:w="15" w:type="dxa"/>
              <w:left w:w="0" w:type="dxa"/>
              <w:bottom w:w="0" w:type="dxa"/>
              <w:right w:w="15" w:type="dxa"/>
            </w:tcMar>
            <w:hideMark/>
          </w:tcPr>
          <w:p w14:paraId="54F8CF23"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 Revenues by Geography:</w:t>
            </w:r>
          </w:p>
        </w:tc>
        <w:tc>
          <w:tcPr>
            <w:tcW w:w="220" w:type="dxa"/>
            <w:shd w:val="clear" w:color="auto" w:fill="CFF0FC"/>
            <w:tcMar>
              <w:top w:w="15" w:type="dxa"/>
              <w:left w:w="0" w:type="dxa"/>
              <w:bottom w:w="0" w:type="dxa"/>
              <w:right w:w="15" w:type="dxa"/>
            </w:tcMar>
            <w:vAlign w:val="bottom"/>
            <w:hideMark/>
          </w:tcPr>
          <w:p w14:paraId="682F470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8C5E0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5A2FE3E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A47D94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167855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6B73EAF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90A100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7216822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48D3F8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9CA30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7CB642C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72CC22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B2147B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16C9AAA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51A37FD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86CFC8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821A11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1D2CB59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73FF07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4AFA154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70EEFC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3126F5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4546AE7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CFF0FC"/>
            <w:noWrap/>
            <w:tcMar>
              <w:top w:w="15" w:type="dxa"/>
              <w:left w:w="0" w:type="dxa"/>
              <w:bottom w:w="0" w:type="dxa"/>
              <w:right w:w="15" w:type="dxa"/>
            </w:tcMar>
            <w:vAlign w:val="bottom"/>
            <w:hideMark/>
          </w:tcPr>
          <w:p w14:paraId="43A075E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0AC9511" w14:textId="77777777" w:rsidTr="00141675">
        <w:tc>
          <w:tcPr>
            <w:tcW w:w="6956" w:type="dxa"/>
            <w:shd w:val="clear" w:color="auto" w:fill="FFFFFF"/>
            <w:tcMar>
              <w:top w:w="15" w:type="dxa"/>
              <w:left w:w="0" w:type="dxa"/>
              <w:bottom w:w="0" w:type="dxa"/>
              <w:right w:w="15" w:type="dxa"/>
            </w:tcMar>
            <w:hideMark/>
          </w:tcPr>
          <w:p w14:paraId="669940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Americas</w:t>
            </w:r>
          </w:p>
        </w:tc>
        <w:tc>
          <w:tcPr>
            <w:tcW w:w="220" w:type="dxa"/>
            <w:shd w:val="clear" w:color="auto" w:fill="FFFFFF"/>
            <w:tcMar>
              <w:top w:w="15" w:type="dxa"/>
              <w:left w:w="0" w:type="dxa"/>
              <w:bottom w:w="0" w:type="dxa"/>
              <w:right w:w="15" w:type="dxa"/>
            </w:tcMar>
            <w:vAlign w:val="bottom"/>
            <w:hideMark/>
          </w:tcPr>
          <w:p w14:paraId="20525D0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12C8846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w:t>
            </w:r>
          </w:p>
        </w:tc>
        <w:tc>
          <w:tcPr>
            <w:tcW w:w="191" w:type="dxa"/>
            <w:shd w:val="clear" w:color="auto" w:fill="FFFFFF"/>
            <w:noWrap/>
            <w:tcMar>
              <w:top w:w="15" w:type="dxa"/>
              <w:left w:w="0" w:type="dxa"/>
              <w:bottom w:w="0" w:type="dxa"/>
              <w:right w:w="15" w:type="dxa"/>
            </w:tcMar>
            <w:vAlign w:val="bottom"/>
            <w:hideMark/>
          </w:tcPr>
          <w:p w14:paraId="318C44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D3091F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7B5CE8F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662B1D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034D31B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37809B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6F18ECE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w:t>
            </w:r>
          </w:p>
        </w:tc>
        <w:tc>
          <w:tcPr>
            <w:tcW w:w="191" w:type="dxa"/>
            <w:shd w:val="clear" w:color="auto" w:fill="FFFFFF"/>
            <w:noWrap/>
            <w:tcMar>
              <w:top w:w="15" w:type="dxa"/>
              <w:left w:w="0" w:type="dxa"/>
              <w:bottom w:w="0" w:type="dxa"/>
              <w:right w:w="15" w:type="dxa"/>
            </w:tcMar>
            <w:vAlign w:val="bottom"/>
            <w:hideMark/>
          </w:tcPr>
          <w:p w14:paraId="2A4602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AE885C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248" w:type="dxa"/>
            <w:gridSpan w:val="2"/>
            <w:shd w:val="clear" w:color="auto" w:fill="FFFFFF"/>
            <w:tcMar>
              <w:top w:w="15" w:type="dxa"/>
              <w:left w:w="0" w:type="dxa"/>
              <w:bottom w:w="0" w:type="dxa"/>
              <w:right w:w="15" w:type="dxa"/>
            </w:tcMar>
            <w:vAlign w:val="bottom"/>
            <w:hideMark/>
          </w:tcPr>
          <w:p w14:paraId="256093D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w:t>
            </w:r>
          </w:p>
        </w:tc>
        <w:tc>
          <w:tcPr>
            <w:tcW w:w="191" w:type="dxa"/>
            <w:shd w:val="clear" w:color="auto" w:fill="FFFFFF"/>
            <w:noWrap/>
            <w:tcMar>
              <w:top w:w="15" w:type="dxa"/>
              <w:left w:w="0" w:type="dxa"/>
              <w:bottom w:w="0" w:type="dxa"/>
              <w:right w:w="15" w:type="dxa"/>
            </w:tcMar>
            <w:vAlign w:val="bottom"/>
            <w:hideMark/>
          </w:tcPr>
          <w:p w14:paraId="051528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7C83E3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7806906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EDDA40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07EA121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9C4874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4387360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w:t>
            </w:r>
          </w:p>
        </w:tc>
        <w:tc>
          <w:tcPr>
            <w:tcW w:w="193" w:type="dxa"/>
            <w:shd w:val="clear" w:color="auto" w:fill="FFFFFF"/>
            <w:noWrap/>
            <w:tcMar>
              <w:top w:w="15" w:type="dxa"/>
              <w:left w:w="0" w:type="dxa"/>
              <w:bottom w:w="0" w:type="dxa"/>
              <w:right w:w="15" w:type="dxa"/>
            </w:tcMar>
            <w:vAlign w:val="bottom"/>
            <w:hideMark/>
          </w:tcPr>
          <w:p w14:paraId="353015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1FAD469" w14:textId="77777777" w:rsidTr="00141675">
        <w:tc>
          <w:tcPr>
            <w:tcW w:w="6956" w:type="dxa"/>
            <w:shd w:val="clear" w:color="auto" w:fill="CFF0FC"/>
            <w:tcMar>
              <w:top w:w="15" w:type="dxa"/>
              <w:left w:w="0" w:type="dxa"/>
              <w:bottom w:w="0" w:type="dxa"/>
              <w:right w:w="15" w:type="dxa"/>
            </w:tcMar>
            <w:hideMark/>
          </w:tcPr>
          <w:p w14:paraId="47DF6BF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EMEA</w:t>
            </w:r>
          </w:p>
        </w:tc>
        <w:tc>
          <w:tcPr>
            <w:tcW w:w="220" w:type="dxa"/>
            <w:shd w:val="clear" w:color="auto" w:fill="CFF0FC"/>
            <w:tcMar>
              <w:top w:w="15" w:type="dxa"/>
              <w:left w:w="0" w:type="dxa"/>
              <w:bottom w:w="0" w:type="dxa"/>
              <w:right w:w="15" w:type="dxa"/>
            </w:tcMar>
            <w:vAlign w:val="bottom"/>
            <w:hideMark/>
          </w:tcPr>
          <w:p w14:paraId="613DC4C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19B4307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w:t>
            </w:r>
          </w:p>
        </w:tc>
        <w:tc>
          <w:tcPr>
            <w:tcW w:w="191" w:type="dxa"/>
            <w:shd w:val="clear" w:color="auto" w:fill="CFF0FC"/>
            <w:noWrap/>
            <w:tcMar>
              <w:top w:w="15" w:type="dxa"/>
              <w:left w:w="0" w:type="dxa"/>
              <w:bottom w:w="0" w:type="dxa"/>
              <w:right w:w="15" w:type="dxa"/>
            </w:tcMar>
            <w:vAlign w:val="bottom"/>
            <w:hideMark/>
          </w:tcPr>
          <w:p w14:paraId="30B4E57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6D470C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3EF68A7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132B7FE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06D5A37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CEE00E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61A64A0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w:t>
            </w:r>
          </w:p>
        </w:tc>
        <w:tc>
          <w:tcPr>
            <w:tcW w:w="191" w:type="dxa"/>
            <w:shd w:val="clear" w:color="auto" w:fill="CFF0FC"/>
            <w:noWrap/>
            <w:tcMar>
              <w:top w:w="15" w:type="dxa"/>
              <w:left w:w="0" w:type="dxa"/>
              <w:bottom w:w="0" w:type="dxa"/>
              <w:right w:w="15" w:type="dxa"/>
            </w:tcMar>
            <w:vAlign w:val="bottom"/>
            <w:hideMark/>
          </w:tcPr>
          <w:p w14:paraId="4371F44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5B4776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248" w:type="dxa"/>
            <w:gridSpan w:val="2"/>
            <w:shd w:val="clear" w:color="auto" w:fill="CFF0FC"/>
            <w:tcMar>
              <w:top w:w="15" w:type="dxa"/>
              <w:left w:w="0" w:type="dxa"/>
              <w:bottom w:w="0" w:type="dxa"/>
              <w:right w:w="15" w:type="dxa"/>
            </w:tcMar>
            <w:vAlign w:val="bottom"/>
            <w:hideMark/>
          </w:tcPr>
          <w:p w14:paraId="77553B5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w:t>
            </w:r>
          </w:p>
        </w:tc>
        <w:tc>
          <w:tcPr>
            <w:tcW w:w="191" w:type="dxa"/>
            <w:shd w:val="clear" w:color="auto" w:fill="CFF0FC"/>
            <w:noWrap/>
            <w:tcMar>
              <w:top w:w="15" w:type="dxa"/>
              <w:left w:w="0" w:type="dxa"/>
              <w:bottom w:w="0" w:type="dxa"/>
              <w:right w:w="15" w:type="dxa"/>
            </w:tcMar>
            <w:vAlign w:val="bottom"/>
            <w:hideMark/>
          </w:tcPr>
          <w:p w14:paraId="1BD2C7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03BA72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0B886B7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B8FAE7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2223F0B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7D69EF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5F9D075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w:t>
            </w:r>
          </w:p>
        </w:tc>
        <w:tc>
          <w:tcPr>
            <w:tcW w:w="193" w:type="dxa"/>
            <w:shd w:val="clear" w:color="auto" w:fill="CFF0FC"/>
            <w:noWrap/>
            <w:tcMar>
              <w:top w:w="15" w:type="dxa"/>
              <w:left w:w="0" w:type="dxa"/>
              <w:bottom w:w="0" w:type="dxa"/>
              <w:right w:w="15" w:type="dxa"/>
            </w:tcMar>
            <w:vAlign w:val="bottom"/>
            <w:hideMark/>
          </w:tcPr>
          <w:p w14:paraId="262EF1B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75A1811" w14:textId="77777777" w:rsidTr="00141675">
        <w:tc>
          <w:tcPr>
            <w:tcW w:w="6956" w:type="dxa"/>
            <w:shd w:val="clear" w:color="auto" w:fill="FFFFFF"/>
            <w:tcMar>
              <w:top w:w="15" w:type="dxa"/>
              <w:left w:w="0" w:type="dxa"/>
              <w:bottom w:w="0" w:type="dxa"/>
              <w:right w:w="15" w:type="dxa"/>
            </w:tcMar>
            <w:hideMark/>
          </w:tcPr>
          <w:p w14:paraId="3EB3BA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Asia Pacific</w:t>
            </w:r>
          </w:p>
        </w:tc>
        <w:tc>
          <w:tcPr>
            <w:tcW w:w="220" w:type="dxa"/>
            <w:shd w:val="clear" w:color="auto" w:fill="FFFFFF"/>
            <w:tcMar>
              <w:top w:w="15" w:type="dxa"/>
              <w:left w:w="0" w:type="dxa"/>
              <w:bottom w:w="0" w:type="dxa"/>
              <w:right w:w="15" w:type="dxa"/>
            </w:tcMar>
            <w:vAlign w:val="bottom"/>
            <w:hideMark/>
          </w:tcPr>
          <w:p w14:paraId="1003D23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7DA49A6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w:t>
            </w:r>
          </w:p>
        </w:tc>
        <w:tc>
          <w:tcPr>
            <w:tcW w:w="191" w:type="dxa"/>
            <w:shd w:val="clear" w:color="auto" w:fill="FFFFFF"/>
            <w:noWrap/>
            <w:tcMar>
              <w:top w:w="15" w:type="dxa"/>
              <w:left w:w="0" w:type="dxa"/>
              <w:bottom w:w="0" w:type="dxa"/>
              <w:right w:w="15" w:type="dxa"/>
            </w:tcMar>
            <w:vAlign w:val="bottom"/>
            <w:hideMark/>
          </w:tcPr>
          <w:p w14:paraId="2EC3C55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775B04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68F89DA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4C53EA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3E005EF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F48C1B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153D417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tc>
        <w:tc>
          <w:tcPr>
            <w:tcW w:w="191" w:type="dxa"/>
            <w:shd w:val="clear" w:color="auto" w:fill="FFFFFF"/>
            <w:noWrap/>
            <w:tcMar>
              <w:top w:w="15" w:type="dxa"/>
              <w:left w:w="0" w:type="dxa"/>
              <w:bottom w:w="0" w:type="dxa"/>
              <w:right w:w="15" w:type="dxa"/>
            </w:tcMar>
            <w:vAlign w:val="bottom"/>
            <w:hideMark/>
          </w:tcPr>
          <w:p w14:paraId="6A05F30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1488014"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248" w:type="dxa"/>
            <w:gridSpan w:val="2"/>
            <w:shd w:val="clear" w:color="auto" w:fill="FFFFFF"/>
            <w:tcMar>
              <w:top w:w="15" w:type="dxa"/>
              <w:left w:w="0" w:type="dxa"/>
              <w:bottom w:w="0" w:type="dxa"/>
              <w:right w:w="15" w:type="dxa"/>
            </w:tcMar>
            <w:vAlign w:val="bottom"/>
            <w:hideMark/>
          </w:tcPr>
          <w:p w14:paraId="5566256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w:t>
            </w:r>
          </w:p>
        </w:tc>
        <w:tc>
          <w:tcPr>
            <w:tcW w:w="191" w:type="dxa"/>
            <w:shd w:val="clear" w:color="auto" w:fill="FFFFFF"/>
            <w:noWrap/>
            <w:tcMar>
              <w:top w:w="15" w:type="dxa"/>
              <w:left w:w="0" w:type="dxa"/>
              <w:bottom w:w="0" w:type="dxa"/>
              <w:right w:w="15" w:type="dxa"/>
            </w:tcMar>
            <w:vAlign w:val="bottom"/>
            <w:hideMark/>
          </w:tcPr>
          <w:p w14:paraId="4AB5CBB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B5514F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4A12B16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A2DB7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56E1E09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27178C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4632B95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tc>
        <w:tc>
          <w:tcPr>
            <w:tcW w:w="193" w:type="dxa"/>
            <w:shd w:val="clear" w:color="auto" w:fill="FFFFFF"/>
            <w:noWrap/>
            <w:tcMar>
              <w:top w:w="15" w:type="dxa"/>
              <w:left w:w="0" w:type="dxa"/>
              <w:bottom w:w="0" w:type="dxa"/>
              <w:right w:w="15" w:type="dxa"/>
            </w:tcMar>
            <w:vAlign w:val="bottom"/>
            <w:hideMark/>
          </w:tcPr>
          <w:p w14:paraId="22FE0D8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0D9F82C" w14:textId="77777777" w:rsidTr="00141675">
        <w:tc>
          <w:tcPr>
            <w:tcW w:w="6956" w:type="dxa"/>
            <w:shd w:val="clear" w:color="auto" w:fill="CFF0FC"/>
            <w:tcMar>
              <w:top w:w="15" w:type="dxa"/>
              <w:left w:w="0" w:type="dxa"/>
              <w:bottom w:w="0" w:type="dxa"/>
              <w:right w:w="15" w:type="dxa"/>
            </w:tcMar>
            <w:hideMark/>
          </w:tcPr>
          <w:p w14:paraId="2659E8BE"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Revenues by Business:</w:t>
            </w:r>
          </w:p>
        </w:tc>
        <w:tc>
          <w:tcPr>
            <w:tcW w:w="220" w:type="dxa"/>
            <w:shd w:val="clear" w:color="auto" w:fill="CFF0FC"/>
            <w:tcMar>
              <w:top w:w="15" w:type="dxa"/>
              <w:left w:w="0" w:type="dxa"/>
              <w:bottom w:w="0" w:type="dxa"/>
              <w:right w:w="15" w:type="dxa"/>
            </w:tcMar>
            <w:vAlign w:val="bottom"/>
            <w:hideMark/>
          </w:tcPr>
          <w:p w14:paraId="62428D1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2E2AF9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41BC318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BC444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388DC3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147588E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C117B4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45B3349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6F4C6E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77EEA5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5AF14A2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5B66A5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21AAA4D"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040441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324D3EB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86BE4D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E362D2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3F6FC58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DF8BB8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0A3E354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F8FCB5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A780EC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0ADB1FF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CFF0FC"/>
            <w:noWrap/>
            <w:tcMar>
              <w:top w:w="15" w:type="dxa"/>
              <w:left w:w="0" w:type="dxa"/>
              <w:bottom w:w="0" w:type="dxa"/>
              <w:right w:w="15" w:type="dxa"/>
            </w:tcMar>
            <w:vAlign w:val="bottom"/>
            <w:hideMark/>
          </w:tcPr>
          <w:p w14:paraId="1366FB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95F1654" w14:textId="77777777" w:rsidTr="00141675">
        <w:tc>
          <w:tcPr>
            <w:tcW w:w="6956" w:type="dxa"/>
            <w:shd w:val="clear" w:color="auto" w:fill="FFFFFF"/>
            <w:tcMar>
              <w:top w:w="15" w:type="dxa"/>
              <w:left w:w="0" w:type="dxa"/>
              <w:bottom w:w="0" w:type="dxa"/>
              <w:right w:w="15" w:type="dxa"/>
            </w:tcMar>
            <w:hideMark/>
          </w:tcPr>
          <w:p w14:paraId="75129F7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and license</w:t>
            </w:r>
          </w:p>
        </w:tc>
        <w:tc>
          <w:tcPr>
            <w:tcW w:w="220" w:type="dxa"/>
            <w:shd w:val="clear" w:color="auto" w:fill="FFFFFF"/>
            <w:tcMar>
              <w:top w:w="15" w:type="dxa"/>
              <w:left w:w="0" w:type="dxa"/>
              <w:bottom w:w="0" w:type="dxa"/>
              <w:right w:w="15" w:type="dxa"/>
            </w:tcMar>
            <w:vAlign w:val="bottom"/>
            <w:hideMark/>
          </w:tcPr>
          <w:p w14:paraId="667CEFF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20E15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51492F3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7,937</w:t>
            </w:r>
          </w:p>
        </w:tc>
        <w:tc>
          <w:tcPr>
            <w:tcW w:w="191" w:type="dxa"/>
            <w:shd w:val="clear" w:color="auto" w:fill="FFFFFF"/>
            <w:noWrap/>
            <w:tcMar>
              <w:top w:w="15" w:type="dxa"/>
              <w:left w:w="0" w:type="dxa"/>
              <w:bottom w:w="0" w:type="dxa"/>
              <w:right w:w="15" w:type="dxa"/>
            </w:tcMar>
            <w:vAlign w:val="bottom"/>
            <w:hideMark/>
          </w:tcPr>
          <w:p w14:paraId="7FA444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BE4598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624AB1D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6696126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264CA5D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FFFFFF"/>
            <w:tcMar>
              <w:top w:w="15" w:type="dxa"/>
              <w:left w:w="0" w:type="dxa"/>
              <w:bottom w:w="0" w:type="dxa"/>
              <w:right w:w="15" w:type="dxa"/>
            </w:tcMar>
            <w:vAlign w:val="bottom"/>
            <w:hideMark/>
          </w:tcPr>
          <w:p w14:paraId="65836B0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DAD7BF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0379110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7,854</w:t>
            </w:r>
          </w:p>
        </w:tc>
        <w:tc>
          <w:tcPr>
            <w:tcW w:w="191" w:type="dxa"/>
            <w:shd w:val="clear" w:color="auto" w:fill="FFFFFF"/>
            <w:noWrap/>
            <w:tcMar>
              <w:top w:w="15" w:type="dxa"/>
              <w:left w:w="0" w:type="dxa"/>
              <w:bottom w:w="0" w:type="dxa"/>
              <w:right w:w="15" w:type="dxa"/>
            </w:tcMar>
            <w:vAlign w:val="bottom"/>
            <w:hideMark/>
          </w:tcPr>
          <w:p w14:paraId="568E841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46F5F8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FFFFFF"/>
            <w:noWrap/>
            <w:tcMar>
              <w:top w:w="15" w:type="dxa"/>
              <w:left w:w="0" w:type="dxa"/>
              <w:bottom w:w="0" w:type="dxa"/>
              <w:right w:w="15" w:type="dxa"/>
            </w:tcMar>
            <w:vAlign w:val="bottom"/>
            <w:hideMark/>
          </w:tcPr>
          <w:p w14:paraId="2FB13F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3DEC28D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15,553</w:t>
            </w:r>
          </w:p>
        </w:tc>
        <w:tc>
          <w:tcPr>
            <w:tcW w:w="191" w:type="dxa"/>
            <w:shd w:val="clear" w:color="auto" w:fill="FFFFFF"/>
            <w:noWrap/>
            <w:tcMar>
              <w:top w:w="15" w:type="dxa"/>
              <w:left w:w="0" w:type="dxa"/>
              <w:bottom w:w="0" w:type="dxa"/>
              <w:right w:w="15" w:type="dxa"/>
            </w:tcMar>
            <w:vAlign w:val="bottom"/>
            <w:hideMark/>
          </w:tcPr>
          <w:p w14:paraId="27E706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4E5299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467A657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60947D7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3B9E579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vAlign w:val="bottom"/>
            <w:hideMark/>
          </w:tcPr>
          <w:p w14:paraId="4493CE8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567804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1EB16FE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15,329</w:t>
            </w:r>
          </w:p>
        </w:tc>
        <w:tc>
          <w:tcPr>
            <w:tcW w:w="193" w:type="dxa"/>
            <w:shd w:val="clear" w:color="auto" w:fill="FFFFFF"/>
            <w:noWrap/>
            <w:tcMar>
              <w:top w:w="15" w:type="dxa"/>
              <w:left w:w="0" w:type="dxa"/>
              <w:bottom w:w="0" w:type="dxa"/>
              <w:right w:w="15" w:type="dxa"/>
            </w:tcMar>
            <w:vAlign w:val="bottom"/>
            <w:hideMark/>
          </w:tcPr>
          <w:p w14:paraId="181E9C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34078AD" w14:textId="77777777" w:rsidTr="00141675">
        <w:tc>
          <w:tcPr>
            <w:tcW w:w="6956" w:type="dxa"/>
            <w:shd w:val="clear" w:color="auto" w:fill="CFF0FC"/>
            <w:tcMar>
              <w:top w:w="15" w:type="dxa"/>
              <w:left w:w="0" w:type="dxa"/>
              <w:bottom w:w="0" w:type="dxa"/>
              <w:right w:w="15" w:type="dxa"/>
            </w:tcMar>
            <w:hideMark/>
          </w:tcPr>
          <w:p w14:paraId="7FE884F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Hardware</w:t>
            </w:r>
          </w:p>
        </w:tc>
        <w:tc>
          <w:tcPr>
            <w:tcW w:w="220" w:type="dxa"/>
            <w:shd w:val="clear" w:color="auto" w:fill="CFF0FC"/>
            <w:tcMar>
              <w:top w:w="15" w:type="dxa"/>
              <w:left w:w="0" w:type="dxa"/>
              <w:bottom w:w="0" w:type="dxa"/>
              <w:right w:w="15" w:type="dxa"/>
            </w:tcMar>
            <w:vAlign w:val="bottom"/>
            <w:hideMark/>
          </w:tcPr>
          <w:p w14:paraId="164283A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0C24C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08F6189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871</w:t>
            </w:r>
          </w:p>
        </w:tc>
        <w:tc>
          <w:tcPr>
            <w:tcW w:w="191" w:type="dxa"/>
            <w:shd w:val="clear" w:color="auto" w:fill="CFF0FC"/>
            <w:noWrap/>
            <w:tcMar>
              <w:top w:w="15" w:type="dxa"/>
              <w:left w:w="0" w:type="dxa"/>
              <w:bottom w:w="0" w:type="dxa"/>
              <w:right w:w="15" w:type="dxa"/>
            </w:tcMar>
            <w:vAlign w:val="bottom"/>
            <w:hideMark/>
          </w:tcPr>
          <w:p w14:paraId="641B156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E11E0F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0EF16DC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CFF0FC"/>
            <w:tcMar>
              <w:top w:w="15" w:type="dxa"/>
              <w:left w:w="0" w:type="dxa"/>
              <w:bottom w:w="0" w:type="dxa"/>
              <w:right w:w="15" w:type="dxa"/>
            </w:tcMar>
            <w:vAlign w:val="bottom"/>
            <w:hideMark/>
          </w:tcPr>
          <w:p w14:paraId="5F0D4EB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1C91EA7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24DCE09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8A03F3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46A61CB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891</w:t>
            </w:r>
          </w:p>
        </w:tc>
        <w:tc>
          <w:tcPr>
            <w:tcW w:w="191" w:type="dxa"/>
            <w:shd w:val="clear" w:color="auto" w:fill="CFF0FC"/>
            <w:noWrap/>
            <w:tcMar>
              <w:top w:w="15" w:type="dxa"/>
              <w:left w:w="0" w:type="dxa"/>
              <w:bottom w:w="0" w:type="dxa"/>
              <w:right w:w="15" w:type="dxa"/>
            </w:tcMar>
            <w:vAlign w:val="bottom"/>
            <w:hideMark/>
          </w:tcPr>
          <w:p w14:paraId="6DA7618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9547C56"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shd w:val="clear" w:color="auto" w:fill="CFF0FC"/>
            <w:noWrap/>
            <w:tcMar>
              <w:top w:w="15" w:type="dxa"/>
              <w:left w:w="0" w:type="dxa"/>
              <w:bottom w:w="0" w:type="dxa"/>
              <w:right w:w="15" w:type="dxa"/>
            </w:tcMar>
            <w:vAlign w:val="bottom"/>
            <w:hideMark/>
          </w:tcPr>
          <w:p w14:paraId="4932CD6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3CFFB4C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1,686</w:t>
            </w:r>
          </w:p>
        </w:tc>
        <w:tc>
          <w:tcPr>
            <w:tcW w:w="191" w:type="dxa"/>
            <w:shd w:val="clear" w:color="auto" w:fill="CFF0FC"/>
            <w:noWrap/>
            <w:tcMar>
              <w:top w:w="15" w:type="dxa"/>
              <w:left w:w="0" w:type="dxa"/>
              <w:bottom w:w="0" w:type="dxa"/>
              <w:right w:w="15" w:type="dxa"/>
            </w:tcMar>
            <w:vAlign w:val="bottom"/>
            <w:hideMark/>
          </w:tcPr>
          <w:p w14:paraId="38C7ED0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8DCBC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7742B7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c>
          <w:tcPr>
            <w:tcW w:w="220" w:type="dxa"/>
            <w:shd w:val="clear" w:color="auto" w:fill="CFF0FC"/>
            <w:tcMar>
              <w:top w:w="15" w:type="dxa"/>
              <w:left w:w="0" w:type="dxa"/>
              <w:bottom w:w="0" w:type="dxa"/>
              <w:right w:w="15" w:type="dxa"/>
            </w:tcMar>
            <w:vAlign w:val="bottom"/>
            <w:hideMark/>
          </w:tcPr>
          <w:p w14:paraId="557CB20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2BC6444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220" w:type="dxa"/>
            <w:shd w:val="clear" w:color="auto" w:fill="CFF0FC"/>
            <w:tcMar>
              <w:top w:w="15" w:type="dxa"/>
              <w:left w:w="0" w:type="dxa"/>
              <w:bottom w:w="0" w:type="dxa"/>
              <w:right w:w="15" w:type="dxa"/>
            </w:tcMar>
            <w:vAlign w:val="bottom"/>
            <w:hideMark/>
          </w:tcPr>
          <w:p w14:paraId="703554A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8FE02E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53C24F9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1,796</w:t>
            </w:r>
          </w:p>
        </w:tc>
        <w:tc>
          <w:tcPr>
            <w:tcW w:w="193" w:type="dxa"/>
            <w:shd w:val="clear" w:color="auto" w:fill="CFF0FC"/>
            <w:noWrap/>
            <w:tcMar>
              <w:top w:w="15" w:type="dxa"/>
              <w:left w:w="0" w:type="dxa"/>
              <w:bottom w:w="0" w:type="dxa"/>
              <w:right w:w="15" w:type="dxa"/>
            </w:tcMar>
            <w:vAlign w:val="bottom"/>
            <w:hideMark/>
          </w:tcPr>
          <w:p w14:paraId="6073BDA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0AC2FD4" w14:textId="77777777" w:rsidTr="00141675">
        <w:tc>
          <w:tcPr>
            <w:tcW w:w="6956" w:type="dxa"/>
            <w:shd w:val="clear" w:color="auto" w:fill="FFFFFF"/>
            <w:tcMar>
              <w:top w:w="15" w:type="dxa"/>
              <w:left w:w="0" w:type="dxa"/>
              <w:bottom w:w="0" w:type="dxa"/>
              <w:right w:w="15" w:type="dxa"/>
            </w:tcMar>
            <w:hideMark/>
          </w:tcPr>
          <w:p w14:paraId="6B62751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Services</w:t>
            </w:r>
          </w:p>
        </w:tc>
        <w:tc>
          <w:tcPr>
            <w:tcW w:w="220" w:type="dxa"/>
            <w:shd w:val="clear" w:color="auto" w:fill="FFFFFF"/>
            <w:tcMar>
              <w:top w:w="15" w:type="dxa"/>
              <w:left w:w="0" w:type="dxa"/>
              <w:bottom w:w="0" w:type="dxa"/>
              <w:right w:w="15" w:type="dxa"/>
            </w:tcMar>
            <w:vAlign w:val="bottom"/>
            <w:hideMark/>
          </w:tcPr>
          <w:p w14:paraId="3B32D0F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786827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6E47218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806</w:t>
            </w:r>
          </w:p>
        </w:tc>
        <w:tc>
          <w:tcPr>
            <w:tcW w:w="191" w:type="dxa"/>
            <w:shd w:val="clear" w:color="auto" w:fill="FFFFFF"/>
            <w:noWrap/>
            <w:tcMar>
              <w:top w:w="15" w:type="dxa"/>
              <w:left w:w="0" w:type="dxa"/>
              <w:bottom w:w="0" w:type="dxa"/>
              <w:right w:w="15" w:type="dxa"/>
            </w:tcMar>
            <w:vAlign w:val="bottom"/>
            <w:hideMark/>
          </w:tcPr>
          <w:p w14:paraId="39DE61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353533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4EAD6CD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6E35E6A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24DE470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FFFFFF"/>
            <w:tcMar>
              <w:top w:w="15" w:type="dxa"/>
              <w:left w:w="0" w:type="dxa"/>
              <w:bottom w:w="0" w:type="dxa"/>
              <w:right w:w="15" w:type="dxa"/>
            </w:tcMar>
            <w:vAlign w:val="bottom"/>
            <w:hideMark/>
          </w:tcPr>
          <w:p w14:paraId="7E57670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A194E9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37E7D96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817</w:t>
            </w:r>
          </w:p>
        </w:tc>
        <w:tc>
          <w:tcPr>
            <w:tcW w:w="191" w:type="dxa"/>
            <w:shd w:val="clear" w:color="auto" w:fill="FFFFFF"/>
            <w:noWrap/>
            <w:tcMar>
              <w:top w:w="15" w:type="dxa"/>
              <w:left w:w="0" w:type="dxa"/>
              <w:bottom w:w="0" w:type="dxa"/>
              <w:right w:w="15" w:type="dxa"/>
            </w:tcMar>
            <w:vAlign w:val="bottom"/>
            <w:hideMark/>
          </w:tcPr>
          <w:p w14:paraId="548D392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8D7B350"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606EB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2292608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1,593</w:t>
            </w:r>
          </w:p>
        </w:tc>
        <w:tc>
          <w:tcPr>
            <w:tcW w:w="191" w:type="dxa"/>
            <w:shd w:val="clear" w:color="auto" w:fill="FFFFFF"/>
            <w:noWrap/>
            <w:tcMar>
              <w:top w:w="15" w:type="dxa"/>
              <w:left w:w="0" w:type="dxa"/>
              <w:bottom w:w="0" w:type="dxa"/>
              <w:right w:w="15" w:type="dxa"/>
            </w:tcMar>
            <w:vAlign w:val="bottom"/>
            <w:hideMark/>
          </w:tcPr>
          <w:p w14:paraId="648E41E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0834E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0873E3E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FFFFFF"/>
            <w:tcMar>
              <w:top w:w="15" w:type="dxa"/>
              <w:left w:w="0" w:type="dxa"/>
              <w:bottom w:w="0" w:type="dxa"/>
              <w:right w:w="15" w:type="dxa"/>
            </w:tcMar>
            <w:vAlign w:val="bottom"/>
            <w:hideMark/>
          </w:tcPr>
          <w:p w14:paraId="60FBA47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30E1008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42DE4E0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565311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761966E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1,630</w:t>
            </w:r>
          </w:p>
        </w:tc>
        <w:tc>
          <w:tcPr>
            <w:tcW w:w="193" w:type="dxa"/>
            <w:shd w:val="clear" w:color="auto" w:fill="FFFFFF"/>
            <w:noWrap/>
            <w:tcMar>
              <w:top w:w="15" w:type="dxa"/>
              <w:left w:w="0" w:type="dxa"/>
              <w:bottom w:w="0" w:type="dxa"/>
              <w:right w:w="15" w:type="dxa"/>
            </w:tcMar>
            <w:vAlign w:val="bottom"/>
            <w:hideMark/>
          </w:tcPr>
          <w:p w14:paraId="478D3EB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65ECC1C" w14:textId="77777777" w:rsidTr="00141675">
        <w:tc>
          <w:tcPr>
            <w:tcW w:w="6956" w:type="dxa"/>
            <w:shd w:val="clear" w:color="auto" w:fill="CFF0FC"/>
            <w:tcMar>
              <w:top w:w="15" w:type="dxa"/>
              <w:left w:w="0" w:type="dxa"/>
              <w:bottom w:w="0" w:type="dxa"/>
              <w:right w:w="15" w:type="dxa"/>
            </w:tcMar>
            <w:hideMark/>
          </w:tcPr>
          <w:p w14:paraId="38B38BB8"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revenues</w:t>
            </w:r>
          </w:p>
        </w:tc>
        <w:tc>
          <w:tcPr>
            <w:tcW w:w="220" w:type="dxa"/>
            <w:shd w:val="clear" w:color="auto" w:fill="CFF0FC"/>
            <w:tcMar>
              <w:top w:w="15" w:type="dxa"/>
              <w:left w:w="0" w:type="dxa"/>
              <w:bottom w:w="0" w:type="dxa"/>
              <w:right w:w="15" w:type="dxa"/>
            </w:tcMar>
            <w:vAlign w:val="bottom"/>
            <w:hideMark/>
          </w:tcPr>
          <w:p w14:paraId="5B03D20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C9E567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6855A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9,614</w:t>
            </w:r>
          </w:p>
        </w:tc>
        <w:tc>
          <w:tcPr>
            <w:tcW w:w="191" w:type="dxa"/>
            <w:shd w:val="clear" w:color="auto" w:fill="CFF0FC"/>
            <w:noWrap/>
            <w:tcMar>
              <w:top w:w="15" w:type="dxa"/>
              <w:left w:w="0" w:type="dxa"/>
              <w:bottom w:w="0" w:type="dxa"/>
              <w:right w:w="15" w:type="dxa"/>
            </w:tcMar>
            <w:vAlign w:val="bottom"/>
            <w:hideMark/>
          </w:tcPr>
          <w:p w14:paraId="3AAB68A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CDB695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6866480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36E5878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1E8C801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0F19A6A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1A268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452A8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9,562</w:t>
            </w:r>
          </w:p>
        </w:tc>
        <w:tc>
          <w:tcPr>
            <w:tcW w:w="191" w:type="dxa"/>
            <w:shd w:val="clear" w:color="auto" w:fill="CFF0FC"/>
            <w:noWrap/>
            <w:tcMar>
              <w:top w:w="15" w:type="dxa"/>
              <w:left w:w="0" w:type="dxa"/>
              <w:bottom w:w="0" w:type="dxa"/>
              <w:right w:w="15" w:type="dxa"/>
            </w:tcMar>
            <w:vAlign w:val="bottom"/>
            <w:hideMark/>
          </w:tcPr>
          <w:p w14:paraId="3C7CCE2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1AFCF9CC"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607BBD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1BEBBF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18,832</w:t>
            </w:r>
          </w:p>
        </w:tc>
        <w:tc>
          <w:tcPr>
            <w:tcW w:w="191" w:type="dxa"/>
            <w:shd w:val="clear" w:color="auto" w:fill="CFF0FC"/>
            <w:noWrap/>
            <w:tcMar>
              <w:top w:w="15" w:type="dxa"/>
              <w:left w:w="0" w:type="dxa"/>
              <w:bottom w:w="0" w:type="dxa"/>
              <w:right w:w="15" w:type="dxa"/>
            </w:tcMar>
            <w:vAlign w:val="bottom"/>
            <w:hideMark/>
          </w:tcPr>
          <w:p w14:paraId="2D3DD2D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7CF43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256AB45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CFF0FC"/>
            <w:tcMar>
              <w:top w:w="15" w:type="dxa"/>
              <w:left w:w="0" w:type="dxa"/>
              <w:bottom w:w="0" w:type="dxa"/>
              <w:right w:w="15" w:type="dxa"/>
            </w:tcMar>
            <w:vAlign w:val="bottom"/>
            <w:hideMark/>
          </w:tcPr>
          <w:p w14:paraId="09949B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251DBAE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0097845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FBBAF7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E47C0E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18,755</w:t>
            </w:r>
          </w:p>
        </w:tc>
        <w:tc>
          <w:tcPr>
            <w:tcW w:w="193" w:type="dxa"/>
            <w:shd w:val="clear" w:color="auto" w:fill="CFF0FC"/>
            <w:noWrap/>
            <w:tcMar>
              <w:top w:w="15" w:type="dxa"/>
              <w:left w:w="0" w:type="dxa"/>
              <w:bottom w:w="0" w:type="dxa"/>
              <w:right w:w="15" w:type="dxa"/>
            </w:tcMar>
            <w:vAlign w:val="bottom"/>
            <w:hideMark/>
          </w:tcPr>
          <w:p w14:paraId="51C10EB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3EFAF7F2" w14:textId="77777777" w:rsidTr="00141675">
        <w:tc>
          <w:tcPr>
            <w:tcW w:w="6956" w:type="dxa"/>
            <w:shd w:val="clear" w:color="auto" w:fill="FFFFFF"/>
            <w:tcMar>
              <w:top w:w="15" w:type="dxa"/>
              <w:left w:w="0" w:type="dxa"/>
              <w:bottom w:w="0" w:type="dxa"/>
              <w:right w:w="15" w:type="dxa"/>
            </w:tcMar>
            <w:hideMark/>
          </w:tcPr>
          <w:p w14:paraId="2DC94682"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 Revenues by Business:</w:t>
            </w:r>
          </w:p>
        </w:tc>
        <w:tc>
          <w:tcPr>
            <w:tcW w:w="220" w:type="dxa"/>
            <w:shd w:val="clear" w:color="auto" w:fill="FFFFFF"/>
            <w:tcMar>
              <w:top w:w="15" w:type="dxa"/>
              <w:left w:w="0" w:type="dxa"/>
              <w:bottom w:w="0" w:type="dxa"/>
              <w:right w:w="15" w:type="dxa"/>
            </w:tcMar>
            <w:vAlign w:val="bottom"/>
            <w:hideMark/>
          </w:tcPr>
          <w:p w14:paraId="1DA2B84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0684477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double" w:sz="6" w:space="0" w:color="000000"/>
            </w:tcBorders>
            <w:shd w:val="clear" w:color="auto" w:fill="FFFFFF"/>
            <w:noWrap/>
            <w:tcMar>
              <w:top w:w="15" w:type="dxa"/>
              <w:left w:w="0" w:type="dxa"/>
              <w:bottom w:w="0" w:type="dxa"/>
              <w:right w:w="15" w:type="dxa"/>
            </w:tcMar>
            <w:vAlign w:val="bottom"/>
            <w:hideMark/>
          </w:tcPr>
          <w:p w14:paraId="1BB6B1F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AD635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6D8417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0153653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75ECEA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0B2B27E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1A592C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7FC53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double" w:sz="6" w:space="0" w:color="000000"/>
            </w:tcBorders>
            <w:shd w:val="clear" w:color="auto" w:fill="FFFFFF"/>
            <w:noWrap/>
            <w:tcMar>
              <w:top w:w="15" w:type="dxa"/>
              <w:left w:w="0" w:type="dxa"/>
              <w:bottom w:w="0" w:type="dxa"/>
              <w:right w:w="15" w:type="dxa"/>
            </w:tcMar>
            <w:vAlign w:val="bottom"/>
            <w:hideMark/>
          </w:tcPr>
          <w:p w14:paraId="4620121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762B95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16D5FA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5BFA64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double" w:sz="6" w:space="0" w:color="000000"/>
            </w:tcBorders>
            <w:shd w:val="clear" w:color="auto" w:fill="FFFFFF"/>
            <w:noWrap/>
            <w:tcMar>
              <w:top w:w="15" w:type="dxa"/>
              <w:left w:w="0" w:type="dxa"/>
              <w:bottom w:w="0" w:type="dxa"/>
              <w:right w:w="15" w:type="dxa"/>
            </w:tcMar>
            <w:vAlign w:val="bottom"/>
            <w:hideMark/>
          </w:tcPr>
          <w:p w14:paraId="2FE3DC8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38F71E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112268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705CE0E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62E0D2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1FBAC92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BC414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0C5C979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double" w:sz="6" w:space="0" w:color="000000"/>
            </w:tcBorders>
            <w:shd w:val="clear" w:color="auto" w:fill="FFFFFF"/>
            <w:noWrap/>
            <w:tcMar>
              <w:top w:w="15" w:type="dxa"/>
              <w:left w:w="0" w:type="dxa"/>
              <w:bottom w:w="0" w:type="dxa"/>
              <w:right w:w="15" w:type="dxa"/>
            </w:tcMar>
            <w:vAlign w:val="bottom"/>
            <w:hideMark/>
          </w:tcPr>
          <w:p w14:paraId="57312CA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FFFFFF"/>
            <w:noWrap/>
            <w:tcMar>
              <w:top w:w="15" w:type="dxa"/>
              <w:left w:w="0" w:type="dxa"/>
              <w:bottom w:w="0" w:type="dxa"/>
              <w:right w:w="15" w:type="dxa"/>
            </w:tcMar>
            <w:vAlign w:val="bottom"/>
            <w:hideMark/>
          </w:tcPr>
          <w:p w14:paraId="148B4C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DBA79ED" w14:textId="77777777" w:rsidTr="00141675">
        <w:tc>
          <w:tcPr>
            <w:tcW w:w="6956" w:type="dxa"/>
            <w:shd w:val="clear" w:color="auto" w:fill="CFF0FC"/>
            <w:tcMar>
              <w:top w:w="15" w:type="dxa"/>
              <w:left w:w="0" w:type="dxa"/>
              <w:bottom w:w="0" w:type="dxa"/>
              <w:right w:w="15" w:type="dxa"/>
            </w:tcMar>
            <w:hideMark/>
          </w:tcPr>
          <w:p w14:paraId="3D06CD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and license</w:t>
            </w:r>
          </w:p>
        </w:tc>
        <w:tc>
          <w:tcPr>
            <w:tcW w:w="220" w:type="dxa"/>
            <w:shd w:val="clear" w:color="auto" w:fill="CFF0FC"/>
            <w:tcMar>
              <w:top w:w="15" w:type="dxa"/>
              <w:left w:w="0" w:type="dxa"/>
              <w:bottom w:w="0" w:type="dxa"/>
              <w:right w:w="15" w:type="dxa"/>
            </w:tcMar>
            <w:vAlign w:val="bottom"/>
            <w:hideMark/>
          </w:tcPr>
          <w:p w14:paraId="491288A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6711D55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83%</w:t>
            </w:r>
          </w:p>
        </w:tc>
        <w:tc>
          <w:tcPr>
            <w:tcW w:w="191" w:type="dxa"/>
            <w:shd w:val="clear" w:color="auto" w:fill="CFF0FC"/>
            <w:noWrap/>
            <w:tcMar>
              <w:top w:w="15" w:type="dxa"/>
              <w:left w:w="0" w:type="dxa"/>
              <w:bottom w:w="0" w:type="dxa"/>
              <w:right w:w="15" w:type="dxa"/>
            </w:tcMar>
            <w:vAlign w:val="bottom"/>
            <w:hideMark/>
          </w:tcPr>
          <w:p w14:paraId="323381C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D06176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6DBC335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80A6C8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72F2E58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B5CBF3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601F8F8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82%</w:t>
            </w:r>
          </w:p>
        </w:tc>
        <w:tc>
          <w:tcPr>
            <w:tcW w:w="191" w:type="dxa"/>
            <w:shd w:val="clear" w:color="auto" w:fill="CFF0FC"/>
            <w:noWrap/>
            <w:tcMar>
              <w:top w:w="15" w:type="dxa"/>
              <w:left w:w="0" w:type="dxa"/>
              <w:bottom w:w="0" w:type="dxa"/>
              <w:right w:w="15" w:type="dxa"/>
            </w:tcMar>
            <w:vAlign w:val="bottom"/>
            <w:hideMark/>
          </w:tcPr>
          <w:p w14:paraId="35D2B21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F0814F1"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248" w:type="dxa"/>
            <w:gridSpan w:val="2"/>
            <w:shd w:val="clear" w:color="auto" w:fill="CFF0FC"/>
            <w:tcMar>
              <w:top w:w="15" w:type="dxa"/>
              <w:left w:w="0" w:type="dxa"/>
              <w:bottom w:w="0" w:type="dxa"/>
              <w:right w:w="15" w:type="dxa"/>
            </w:tcMar>
            <w:vAlign w:val="bottom"/>
            <w:hideMark/>
          </w:tcPr>
          <w:p w14:paraId="24185EE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83%</w:t>
            </w:r>
          </w:p>
        </w:tc>
        <w:tc>
          <w:tcPr>
            <w:tcW w:w="191" w:type="dxa"/>
            <w:shd w:val="clear" w:color="auto" w:fill="CFF0FC"/>
            <w:noWrap/>
            <w:tcMar>
              <w:top w:w="15" w:type="dxa"/>
              <w:left w:w="0" w:type="dxa"/>
              <w:bottom w:w="0" w:type="dxa"/>
              <w:right w:w="15" w:type="dxa"/>
            </w:tcMar>
            <w:vAlign w:val="bottom"/>
            <w:hideMark/>
          </w:tcPr>
          <w:p w14:paraId="55FDBFC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2B2F27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260B6E8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1F9D1C7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6959309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1DAA99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34CCD2C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82%</w:t>
            </w:r>
          </w:p>
        </w:tc>
        <w:tc>
          <w:tcPr>
            <w:tcW w:w="193" w:type="dxa"/>
            <w:shd w:val="clear" w:color="auto" w:fill="CFF0FC"/>
            <w:noWrap/>
            <w:tcMar>
              <w:top w:w="15" w:type="dxa"/>
              <w:left w:w="0" w:type="dxa"/>
              <w:bottom w:w="0" w:type="dxa"/>
              <w:right w:w="15" w:type="dxa"/>
            </w:tcMar>
            <w:vAlign w:val="bottom"/>
            <w:hideMark/>
          </w:tcPr>
          <w:p w14:paraId="30BDD5A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9AE0DAE" w14:textId="77777777" w:rsidTr="00141675">
        <w:tc>
          <w:tcPr>
            <w:tcW w:w="6956" w:type="dxa"/>
            <w:shd w:val="clear" w:color="auto" w:fill="FFFFFF"/>
            <w:tcMar>
              <w:top w:w="15" w:type="dxa"/>
              <w:left w:w="0" w:type="dxa"/>
              <w:bottom w:w="0" w:type="dxa"/>
              <w:right w:w="15" w:type="dxa"/>
            </w:tcMar>
            <w:hideMark/>
          </w:tcPr>
          <w:p w14:paraId="75E4688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Hardware</w:t>
            </w:r>
          </w:p>
        </w:tc>
        <w:tc>
          <w:tcPr>
            <w:tcW w:w="220" w:type="dxa"/>
            <w:shd w:val="clear" w:color="auto" w:fill="FFFFFF"/>
            <w:tcMar>
              <w:top w:w="15" w:type="dxa"/>
              <w:left w:w="0" w:type="dxa"/>
              <w:bottom w:w="0" w:type="dxa"/>
              <w:right w:w="15" w:type="dxa"/>
            </w:tcMar>
            <w:vAlign w:val="bottom"/>
            <w:hideMark/>
          </w:tcPr>
          <w:p w14:paraId="568A6DB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179EDBC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tc>
        <w:tc>
          <w:tcPr>
            <w:tcW w:w="191" w:type="dxa"/>
            <w:shd w:val="clear" w:color="auto" w:fill="FFFFFF"/>
            <w:noWrap/>
            <w:tcMar>
              <w:top w:w="15" w:type="dxa"/>
              <w:left w:w="0" w:type="dxa"/>
              <w:bottom w:w="0" w:type="dxa"/>
              <w:right w:w="15" w:type="dxa"/>
            </w:tcMar>
            <w:vAlign w:val="bottom"/>
            <w:hideMark/>
          </w:tcPr>
          <w:p w14:paraId="4461DE7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99F98F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7ABD69D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F91687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1860981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CB7401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2D22596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tc>
        <w:tc>
          <w:tcPr>
            <w:tcW w:w="191" w:type="dxa"/>
            <w:shd w:val="clear" w:color="auto" w:fill="FFFFFF"/>
            <w:noWrap/>
            <w:tcMar>
              <w:top w:w="15" w:type="dxa"/>
              <w:left w:w="0" w:type="dxa"/>
              <w:bottom w:w="0" w:type="dxa"/>
              <w:right w:w="15" w:type="dxa"/>
            </w:tcMar>
            <w:vAlign w:val="bottom"/>
            <w:hideMark/>
          </w:tcPr>
          <w:p w14:paraId="19CC438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C471843"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248" w:type="dxa"/>
            <w:gridSpan w:val="2"/>
            <w:shd w:val="clear" w:color="auto" w:fill="FFFFFF"/>
            <w:tcMar>
              <w:top w:w="15" w:type="dxa"/>
              <w:left w:w="0" w:type="dxa"/>
              <w:bottom w:w="0" w:type="dxa"/>
              <w:right w:w="15" w:type="dxa"/>
            </w:tcMar>
            <w:vAlign w:val="bottom"/>
            <w:hideMark/>
          </w:tcPr>
          <w:p w14:paraId="5E7A9F1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tc>
        <w:tc>
          <w:tcPr>
            <w:tcW w:w="191" w:type="dxa"/>
            <w:shd w:val="clear" w:color="auto" w:fill="FFFFFF"/>
            <w:noWrap/>
            <w:tcMar>
              <w:top w:w="15" w:type="dxa"/>
              <w:left w:w="0" w:type="dxa"/>
              <w:bottom w:w="0" w:type="dxa"/>
              <w:right w:w="15" w:type="dxa"/>
            </w:tcMar>
            <w:vAlign w:val="bottom"/>
            <w:hideMark/>
          </w:tcPr>
          <w:p w14:paraId="21367D5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27344B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5B20706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68521A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3C6884F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0C0EEC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5494872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tc>
        <w:tc>
          <w:tcPr>
            <w:tcW w:w="193" w:type="dxa"/>
            <w:shd w:val="clear" w:color="auto" w:fill="FFFFFF"/>
            <w:noWrap/>
            <w:tcMar>
              <w:top w:w="15" w:type="dxa"/>
              <w:left w:w="0" w:type="dxa"/>
              <w:bottom w:w="0" w:type="dxa"/>
              <w:right w:w="15" w:type="dxa"/>
            </w:tcMar>
            <w:vAlign w:val="bottom"/>
            <w:hideMark/>
          </w:tcPr>
          <w:p w14:paraId="6112CF7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A601732" w14:textId="77777777" w:rsidTr="00141675">
        <w:tc>
          <w:tcPr>
            <w:tcW w:w="6956" w:type="dxa"/>
            <w:shd w:val="clear" w:color="auto" w:fill="CFF0FC"/>
            <w:tcMar>
              <w:top w:w="15" w:type="dxa"/>
              <w:left w:w="0" w:type="dxa"/>
              <w:bottom w:w="0" w:type="dxa"/>
              <w:right w:w="15" w:type="dxa"/>
            </w:tcMar>
            <w:hideMark/>
          </w:tcPr>
          <w:p w14:paraId="154F92F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Services</w:t>
            </w:r>
          </w:p>
        </w:tc>
        <w:tc>
          <w:tcPr>
            <w:tcW w:w="220" w:type="dxa"/>
            <w:shd w:val="clear" w:color="auto" w:fill="CFF0FC"/>
            <w:tcMar>
              <w:top w:w="15" w:type="dxa"/>
              <w:left w:w="0" w:type="dxa"/>
              <w:bottom w:w="0" w:type="dxa"/>
              <w:right w:w="15" w:type="dxa"/>
            </w:tcMar>
            <w:vAlign w:val="bottom"/>
            <w:hideMark/>
          </w:tcPr>
          <w:p w14:paraId="28C5136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2B850BF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191" w:type="dxa"/>
            <w:shd w:val="clear" w:color="auto" w:fill="CFF0FC"/>
            <w:noWrap/>
            <w:tcMar>
              <w:top w:w="15" w:type="dxa"/>
              <w:left w:w="0" w:type="dxa"/>
              <w:bottom w:w="0" w:type="dxa"/>
              <w:right w:w="15" w:type="dxa"/>
            </w:tcMar>
            <w:vAlign w:val="bottom"/>
            <w:hideMark/>
          </w:tcPr>
          <w:p w14:paraId="2A28BE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813933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220395E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E9A683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049C6FF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07FAE3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3D4A83B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tc>
        <w:tc>
          <w:tcPr>
            <w:tcW w:w="191" w:type="dxa"/>
            <w:shd w:val="clear" w:color="auto" w:fill="CFF0FC"/>
            <w:noWrap/>
            <w:tcMar>
              <w:top w:w="15" w:type="dxa"/>
              <w:left w:w="0" w:type="dxa"/>
              <w:bottom w:w="0" w:type="dxa"/>
              <w:right w:w="15" w:type="dxa"/>
            </w:tcMar>
            <w:vAlign w:val="bottom"/>
            <w:hideMark/>
          </w:tcPr>
          <w:p w14:paraId="6EACBFC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4452919" w14:textId="77777777" w:rsidR="00141675" w:rsidRPr="00141675" w:rsidRDefault="00141675" w:rsidP="00141675">
            <w:pPr>
              <w:widowControl/>
              <w:jc w:val="left"/>
              <w:rPr>
                <w:rFonts w:ascii="Calibri" w:eastAsia="宋体" w:hAnsi="Calibri" w:cs="Calibri"/>
                <w:color w:val="000000"/>
                <w:kern w:val="0"/>
                <w:sz w:val="17"/>
                <w:szCs w:val="17"/>
              </w:rPr>
            </w:pPr>
            <w:r w:rsidRPr="00141675">
              <w:rPr>
                <w:rFonts w:ascii="Calibri" w:eastAsia="宋体" w:hAnsi="Calibri" w:cs="Calibri"/>
                <w:color w:val="000000"/>
                <w:kern w:val="0"/>
                <w:sz w:val="17"/>
                <w:szCs w:val="17"/>
              </w:rPr>
              <w:t> </w:t>
            </w:r>
          </w:p>
        </w:tc>
        <w:tc>
          <w:tcPr>
            <w:tcW w:w="1248" w:type="dxa"/>
            <w:gridSpan w:val="2"/>
            <w:shd w:val="clear" w:color="auto" w:fill="CFF0FC"/>
            <w:tcMar>
              <w:top w:w="15" w:type="dxa"/>
              <w:left w:w="0" w:type="dxa"/>
              <w:bottom w:w="0" w:type="dxa"/>
              <w:right w:w="15" w:type="dxa"/>
            </w:tcMar>
            <w:vAlign w:val="bottom"/>
            <w:hideMark/>
          </w:tcPr>
          <w:p w14:paraId="1C46AA2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191" w:type="dxa"/>
            <w:shd w:val="clear" w:color="auto" w:fill="CFF0FC"/>
            <w:noWrap/>
            <w:tcMar>
              <w:top w:w="15" w:type="dxa"/>
              <w:left w:w="0" w:type="dxa"/>
              <w:bottom w:w="0" w:type="dxa"/>
              <w:right w:w="15" w:type="dxa"/>
            </w:tcMar>
            <w:vAlign w:val="bottom"/>
            <w:hideMark/>
          </w:tcPr>
          <w:p w14:paraId="5DF98C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983928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579952B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007BC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33CEE2A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2DA325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27C99E8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tc>
        <w:tc>
          <w:tcPr>
            <w:tcW w:w="193" w:type="dxa"/>
            <w:shd w:val="clear" w:color="auto" w:fill="CFF0FC"/>
            <w:noWrap/>
            <w:tcMar>
              <w:top w:w="15" w:type="dxa"/>
              <w:left w:w="0" w:type="dxa"/>
              <w:bottom w:w="0" w:type="dxa"/>
              <w:right w:w="15" w:type="dxa"/>
            </w:tcMar>
            <w:vAlign w:val="bottom"/>
            <w:hideMark/>
          </w:tcPr>
          <w:p w14:paraId="7CD45F7C"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5366E2CE" w14:textId="77777777" w:rsidR="00141675" w:rsidRPr="00141675" w:rsidRDefault="00141675" w:rsidP="00141675">
      <w:pPr>
        <w:widowControl/>
        <w:pBdr>
          <w:bottom w:val="single" w:sz="6" w:space="1" w:color="auto"/>
        </w:pBdr>
        <w:ind w:right="18324"/>
        <w:jc w:val="left"/>
        <w:rPr>
          <w:rFonts w:ascii="Times New Roman" w:eastAsia="宋体" w:hAnsi="Times New Roman" w:cs="Times New Roman"/>
          <w:color w:val="000000"/>
          <w:kern w:val="0"/>
          <w:sz w:val="8"/>
          <w:szCs w:val="8"/>
        </w:rPr>
      </w:pPr>
      <w:r w:rsidRPr="00141675">
        <w:rPr>
          <w:rFonts w:ascii="Times New Roman" w:eastAsia="宋体" w:hAnsi="Times New Roman" w:cs="Times New Roman"/>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6F50CDDF" w14:textId="77777777" w:rsidTr="00141675">
        <w:tc>
          <w:tcPr>
            <w:tcW w:w="794" w:type="dxa"/>
            <w:noWrap/>
            <w:hideMark/>
          </w:tcPr>
          <w:p w14:paraId="2D17EC9A"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09DC9BC7"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Comprised of Europe, the Middle East and Africa</w:t>
            </w:r>
          </w:p>
        </w:tc>
      </w:tr>
    </w:tbl>
    <w:p w14:paraId="09F6E724"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600DFEC2" w14:textId="77777777" w:rsidR="00141675" w:rsidRPr="00141675" w:rsidRDefault="00141675" w:rsidP="00141675">
      <w:pPr>
        <w:widowControl/>
        <w:spacing w:before="240"/>
        <w:jc w:val="center"/>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t>31</w:t>
      </w:r>
    </w:p>
    <w:p w14:paraId="13F3388A"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6869625A">
          <v:rect id="_x0000_i1057" style="width:0;height:1.5pt" o:hralign="center" o:hrstd="t" o:hrnoshade="t" o:hr="t" fillcolor="black" stroked="f"/>
        </w:pict>
      </w:r>
    </w:p>
    <w:p w14:paraId="74CCB45C" w14:textId="77777777" w:rsidR="00141675" w:rsidRPr="00141675" w:rsidRDefault="00141675" w:rsidP="00141675">
      <w:pPr>
        <w:widowControl/>
        <w:jc w:val="left"/>
        <w:rPr>
          <w:rFonts w:ascii="Calibri" w:eastAsia="宋体" w:hAnsi="Calibri" w:cs="Calibri"/>
          <w:b/>
          <w:bCs/>
          <w:color w:val="000000"/>
          <w:kern w:val="0"/>
          <w:sz w:val="20"/>
          <w:szCs w:val="20"/>
        </w:rPr>
      </w:pPr>
      <w:hyperlink r:id="rId54" w:anchor="TABLE_CONTENTS" w:history="1">
        <w:r w:rsidRPr="00141675">
          <w:rPr>
            <w:rFonts w:ascii="Calibri" w:eastAsia="宋体" w:hAnsi="Calibri" w:cs="Calibri"/>
            <w:b/>
            <w:bCs/>
            <w:color w:val="0000FF"/>
            <w:kern w:val="0"/>
            <w:sz w:val="20"/>
            <w:szCs w:val="20"/>
            <w:u w:val="single"/>
          </w:rPr>
          <w:t>Table of Contents</w:t>
        </w:r>
      </w:hyperlink>
    </w:p>
    <w:p w14:paraId="6C303065"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0FBD8004" w14:textId="77777777" w:rsidR="00141675" w:rsidRPr="00141675" w:rsidRDefault="00141675" w:rsidP="00141675">
      <w:pPr>
        <w:widowControl/>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Excluding the effects of currency rate fluctuations, our total revenues increased in the fiscal 2020 periods presented relative to the corresponding prior year periods, due to growth in our cloud and license business’ revenues, which were partially offset by decreases in our hardware revenues and services revenues. The constant currency increases in our cloud and license revenues during the fiscal 2020 periods presented were attributable to growth in our cloud services and license support revenues as customers purchased our applications and infrastructure technologies via cloud deployment models and license deployment models and renewed their related cloud and license support contracts to continue to gain access to our latest technology and support services. The constant currency decreases in our hardware revenues during the fiscal 2020 periods presented were due to reductions in our hardware products revenues and hardware support revenues primarily due to the emphasis we placed on the marketing and sale of our cloud-based infrastructure technologies, which resulted in reduced sales volumes of certain of our hardware product lines and also impacted the volume of customers that purchased hardware support contracts. The constant currency decreases in our services revenues </w:t>
      </w:r>
      <w:r w:rsidRPr="00141675">
        <w:rPr>
          <w:rFonts w:ascii="Calibri" w:eastAsia="宋体" w:hAnsi="Calibri" w:cs="Calibri"/>
          <w:color w:val="000000"/>
          <w:kern w:val="0"/>
          <w:sz w:val="20"/>
          <w:szCs w:val="20"/>
        </w:rPr>
        <w:lastRenderedPageBreak/>
        <w:t>during the fiscal 2020 periods were primarily attributable to decreases in our education services revenues, partially offset by increases in our consulting revenues and advanced customer services revenues. In constant currency, total revenue growth in the Americas and Asia Pacific regions was partially offset by a decline in revenues in the EMEA region during the second quarter of fiscal 2020. In constant currency, the Americas, EMEA and Asia Pacific regions contributed 28%, 15% and 57%, respectively, to the growth in our total revenues during the first half of fiscal 2020.</w:t>
      </w:r>
    </w:p>
    <w:p w14:paraId="73E4CD87"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Excluding the effects of currency rate fluctuations, our total operating expenses were flat in the fiscal 2020 periods presented relative to the corresponding prior year periods. We incurred higher constant currency cloud services and license support expenses and higher constant currency cloud and license related sales and marketing expenses, both of which resulted primarily from increased headcount and infrastructure expenses to support the increases in our cloud and license business’ revenues; higher constant currency services expenses; and higher constant currency research and development expenses; in each case during the fiscal 2020 periods presented relative to the corresponding prior year periods. These constant currency expense increases were partially offset by certain expense decreases during the fiscal 2020 periods presented relative to the corresponding prior year periods, primarily lower hardware products costs and a related decrease in hardware sales and marketing costs, both of which aligned to lower hardware revenues; lower restructuring expenses; and lower amortization of intangible assets.</w:t>
      </w:r>
    </w:p>
    <w:p w14:paraId="2BAD971A"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 constant currency, our total operating margin and operating margin as a percentage of total revenues increased slightly during the fiscal 2020 periods presented due to the constant currency increases in our total revenues</w:t>
      </w:r>
      <w:r w:rsidRPr="00141675">
        <w:rPr>
          <w:rFonts w:ascii="Calibri" w:eastAsia="宋体" w:hAnsi="Calibri" w:cs="Calibri"/>
          <w:color w:val="000000"/>
          <w:kern w:val="0"/>
          <w:sz w:val="24"/>
          <w:szCs w:val="24"/>
        </w:rPr>
        <w:t>.</w:t>
      </w:r>
    </w:p>
    <w:p w14:paraId="3D8A7904"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Supplemental Disclosure Related to Certain Charges</w:t>
      </w:r>
    </w:p>
    <w:p w14:paraId="04516D9E"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 supplement our condensed consolidated financial information, we believe that the following information is helpful to an overall understanding of our past financial performance and prospects for the future.</w:t>
      </w:r>
    </w:p>
    <w:p w14:paraId="42E6EDBC"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operating results reported pursuant to GAAP included the following business combination accounting adjustments, expenses related to acquisitions, certain other expenses, and certain income items that affected our GAAP net income:</w:t>
      </w:r>
      <w:r w:rsidRPr="00141675">
        <w:rPr>
          <w:rFonts w:ascii="Calibri" w:eastAsia="宋体" w:hAnsi="Calibri" w:cs="Calibri"/>
          <w:color w:val="000000"/>
          <w:kern w:val="0"/>
          <w:sz w:val="24"/>
          <w:szCs w:val="24"/>
        </w:rPr>
        <w:t> </w:t>
      </w:r>
    </w:p>
    <w:p w14:paraId="303B2D00"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1608"/>
        <w:gridCol w:w="118"/>
        <w:gridCol w:w="200"/>
        <w:gridCol w:w="1676"/>
        <w:gridCol w:w="200"/>
        <w:gridCol w:w="117"/>
        <w:gridCol w:w="199"/>
        <w:gridCol w:w="1720"/>
        <w:gridCol w:w="199"/>
        <w:gridCol w:w="267"/>
        <w:gridCol w:w="199"/>
        <w:gridCol w:w="1675"/>
        <w:gridCol w:w="199"/>
        <w:gridCol w:w="117"/>
        <w:gridCol w:w="199"/>
        <w:gridCol w:w="1720"/>
        <w:gridCol w:w="201"/>
      </w:tblGrid>
      <w:tr w:rsidR="00141675" w:rsidRPr="00141675" w14:paraId="146C3B5B" w14:textId="77777777" w:rsidTr="00141675">
        <w:tc>
          <w:tcPr>
            <w:tcW w:w="11584" w:type="dxa"/>
            <w:shd w:val="clear" w:color="auto" w:fill="FFFFFF"/>
            <w:tcMar>
              <w:top w:w="15" w:type="dxa"/>
              <w:left w:w="0" w:type="dxa"/>
              <w:bottom w:w="0" w:type="dxa"/>
              <w:right w:w="15" w:type="dxa"/>
            </w:tcMar>
            <w:vAlign w:val="bottom"/>
            <w:hideMark/>
          </w:tcPr>
          <w:p w14:paraId="693A1B76" w14:textId="77777777" w:rsidR="00141675" w:rsidRPr="00141675" w:rsidRDefault="00141675" w:rsidP="00141675">
            <w:pPr>
              <w:widowControl/>
              <w:jc w:val="center"/>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117" w:type="dxa"/>
            <w:shd w:val="clear" w:color="auto" w:fill="FFFFFF"/>
            <w:tcMar>
              <w:top w:w="15" w:type="dxa"/>
              <w:left w:w="0" w:type="dxa"/>
              <w:bottom w:w="0" w:type="dxa"/>
              <w:right w:w="15" w:type="dxa"/>
            </w:tcMar>
            <w:vAlign w:val="bottom"/>
            <w:hideMark/>
          </w:tcPr>
          <w:p w14:paraId="753C5C2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4079" w:type="dxa"/>
            <w:gridSpan w:val="6"/>
            <w:tcBorders>
              <w:bottom w:val="single" w:sz="6" w:space="0" w:color="000000"/>
            </w:tcBorders>
            <w:shd w:val="clear" w:color="auto" w:fill="FFFFFF"/>
            <w:tcMar>
              <w:top w:w="15" w:type="dxa"/>
              <w:left w:w="0" w:type="dxa"/>
              <w:bottom w:w="0" w:type="dxa"/>
              <w:right w:w="15" w:type="dxa"/>
            </w:tcMar>
            <w:vAlign w:val="bottom"/>
            <w:hideMark/>
          </w:tcPr>
          <w:p w14:paraId="27A724C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523B729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4DA8B5F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66" w:type="dxa"/>
            <w:shd w:val="clear" w:color="auto" w:fill="FFFFFF"/>
            <w:tcMar>
              <w:top w:w="15" w:type="dxa"/>
              <w:left w:w="0" w:type="dxa"/>
              <w:bottom w:w="0" w:type="dxa"/>
              <w:right w:w="15" w:type="dxa"/>
            </w:tcMar>
            <w:vAlign w:val="bottom"/>
            <w:hideMark/>
          </w:tcPr>
          <w:p w14:paraId="5C59C92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4079" w:type="dxa"/>
            <w:gridSpan w:val="6"/>
            <w:tcBorders>
              <w:bottom w:val="single" w:sz="6" w:space="0" w:color="000000"/>
            </w:tcBorders>
            <w:shd w:val="clear" w:color="auto" w:fill="FFFFFF"/>
            <w:tcMar>
              <w:top w:w="15" w:type="dxa"/>
              <w:left w:w="0" w:type="dxa"/>
              <w:bottom w:w="0" w:type="dxa"/>
              <w:right w:w="15" w:type="dxa"/>
            </w:tcMar>
            <w:vAlign w:val="bottom"/>
            <w:hideMark/>
          </w:tcPr>
          <w:p w14:paraId="7B85CF4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576CC96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3" w:type="dxa"/>
            <w:shd w:val="clear" w:color="auto" w:fill="FFFFFF"/>
            <w:noWrap/>
            <w:tcMar>
              <w:top w:w="15" w:type="dxa"/>
              <w:left w:w="0" w:type="dxa"/>
              <w:bottom w:w="0" w:type="dxa"/>
              <w:right w:w="15" w:type="dxa"/>
            </w:tcMar>
            <w:vAlign w:val="bottom"/>
            <w:hideMark/>
          </w:tcPr>
          <w:p w14:paraId="037757B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50FADF21" w14:textId="77777777" w:rsidTr="00141675">
        <w:tc>
          <w:tcPr>
            <w:tcW w:w="11584" w:type="dxa"/>
            <w:tcBorders>
              <w:bottom w:val="single" w:sz="6" w:space="0" w:color="000000"/>
            </w:tcBorders>
            <w:shd w:val="clear" w:color="auto" w:fill="FFFFFF"/>
            <w:tcMar>
              <w:top w:w="15" w:type="dxa"/>
              <w:left w:w="0" w:type="dxa"/>
              <w:bottom w:w="0" w:type="dxa"/>
              <w:right w:w="15" w:type="dxa"/>
            </w:tcMar>
            <w:vAlign w:val="bottom"/>
            <w:hideMark/>
          </w:tcPr>
          <w:p w14:paraId="172DD6E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w:t>
            </w:r>
          </w:p>
        </w:tc>
        <w:tc>
          <w:tcPr>
            <w:tcW w:w="117" w:type="dxa"/>
            <w:shd w:val="clear" w:color="auto" w:fill="FFFFFF"/>
            <w:tcMar>
              <w:top w:w="15" w:type="dxa"/>
              <w:left w:w="0" w:type="dxa"/>
              <w:bottom w:w="0" w:type="dxa"/>
              <w:right w:w="15" w:type="dxa"/>
            </w:tcMar>
            <w:vAlign w:val="bottom"/>
            <w:hideMark/>
          </w:tcPr>
          <w:p w14:paraId="549ACC7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86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1A1C11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578CE5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17" w:type="dxa"/>
            <w:tcBorders>
              <w:top w:val="single" w:sz="6" w:space="0" w:color="000000"/>
            </w:tcBorders>
            <w:shd w:val="clear" w:color="auto" w:fill="FFFFFF"/>
            <w:tcMar>
              <w:top w:w="15" w:type="dxa"/>
              <w:left w:w="0" w:type="dxa"/>
              <w:bottom w:w="0" w:type="dxa"/>
              <w:right w:w="15" w:type="dxa"/>
            </w:tcMar>
            <w:vAlign w:val="bottom"/>
            <w:hideMark/>
          </w:tcPr>
          <w:p w14:paraId="468FE02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86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897132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76C5C67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66" w:type="dxa"/>
            <w:shd w:val="clear" w:color="auto" w:fill="FFFFFF"/>
            <w:tcMar>
              <w:top w:w="15" w:type="dxa"/>
              <w:left w:w="0" w:type="dxa"/>
              <w:bottom w:w="0" w:type="dxa"/>
              <w:right w:w="15" w:type="dxa"/>
            </w:tcMar>
            <w:vAlign w:val="bottom"/>
            <w:hideMark/>
          </w:tcPr>
          <w:p w14:paraId="1C5B5EC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86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850D8A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50956ED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17" w:type="dxa"/>
            <w:tcBorders>
              <w:top w:val="single" w:sz="6" w:space="0" w:color="000000"/>
            </w:tcBorders>
            <w:shd w:val="clear" w:color="auto" w:fill="FFFFFF"/>
            <w:tcMar>
              <w:top w:w="15" w:type="dxa"/>
              <w:left w:w="0" w:type="dxa"/>
              <w:bottom w:w="0" w:type="dxa"/>
              <w:right w:w="15" w:type="dxa"/>
            </w:tcMar>
            <w:vAlign w:val="bottom"/>
            <w:hideMark/>
          </w:tcPr>
          <w:p w14:paraId="0FCB049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863"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7C6C7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125B3B3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E6C18E8" w14:textId="77777777" w:rsidTr="00141675">
        <w:tc>
          <w:tcPr>
            <w:tcW w:w="11584" w:type="dxa"/>
            <w:tcBorders>
              <w:top w:val="single" w:sz="6" w:space="0" w:color="000000"/>
            </w:tcBorders>
            <w:shd w:val="clear" w:color="auto" w:fill="CFF0FC"/>
            <w:tcMar>
              <w:top w:w="15" w:type="dxa"/>
              <w:left w:w="0" w:type="dxa"/>
              <w:bottom w:w="0" w:type="dxa"/>
              <w:right w:w="15" w:type="dxa"/>
            </w:tcMar>
            <w:hideMark/>
          </w:tcPr>
          <w:p w14:paraId="434ED9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Cloud services and license support deferred revenues</w:t>
            </w:r>
            <w:r w:rsidRPr="00141675">
              <w:rPr>
                <w:rFonts w:ascii="Calibri" w:eastAsia="宋体" w:hAnsi="Calibri" w:cs="Calibri"/>
                <w:color w:val="000000"/>
                <w:kern w:val="0"/>
                <w:sz w:val="18"/>
                <w:szCs w:val="18"/>
                <w:vertAlign w:val="superscript"/>
              </w:rPr>
              <w:t>(1)</w:t>
            </w:r>
          </w:p>
        </w:tc>
        <w:tc>
          <w:tcPr>
            <w:tcW w:w="117" w:type="dxa"/>
            <w:shd w:val="clear" w:color="auto" w:fill="CFF0FC"/>
            <w:tcMar>
              <w:top w:w="15" w:type="dxa"/>
              <w:left w:w="0" w:type="dxa"/>
              <w:bottom w:w="0" w:type="dxa"/>
              <w:right w:w="15" w:type="dxa"/>
            </w:tcMar>
            <w:vAlign w:val="center"/>
            <w:hideMark/>
          </w:tcPr>
          <w:p w14:paraId="42F6BA7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E5BC7E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7" w:type="dxa"/>
            <w:tcBorders>
              <w:top w:val="single" w:sz="6" w:space="0" w:color="000000"/>
            </w:tcBorders>
            <w:shd w:val="clear" w:color="auto" w:fill="CFF0FC"/>
            <w:noWrap/>
            <w:tcMar>
              <w:top w:w="15" w:type="dxa"/>
              <w:left w:w="0" w:type="dxa"/>
              <w:bottom w:w="0" w:type="dxa"/>
              <w:right w:w="15" w:type="dxa"/>
            </w:tcMar>
            <w:vAlign w:val="bottom"/>
            <w:hideMark/>
          </w:tcPr>
          <w:p w14:paraId="7211125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191" w:type="dxa"/>
            <w:shd w:val="clear" w:color="auto" w:fill="CFF0FC"/>
            <w:noWrap/>
            <w:tcMar>
              <w:top w:w="15" w:type="dxa"/>
              <w:left w:w="0" w:type="dxa"/>
              <w:bottom w:w="0" w:type="dxa"/>
              <w:right w:w="15" w:type="dxa"/>
            </w:tcMar>
            <w:vAlign w:val="bottom"/>
            <w:hideMark/>
          </w:tcPr>
          <w:p w14:paraId="13F914C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CFF0FC"/>
            <w:tcMar>
              <w:top w:w="15" w:type="dxa"/>
              <w:left w:w="0" w:type="dxa"/>
              <w:bottom w:w="0" w:type="dxa"/>
              <w:right w:w="15" w:type="dxa"/>
            </w:tcMar>
            <w:vAlign w:val="center"/>
            <w:hideMark/>
          </w:tcPr>
          <w:p w14:paraId="559FF91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52350B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7" w:type="dxa"/>
            <w:tcBorders>
              <w:top w:val="single" w:sz="6" w:space="0" w:color="000000"/>
            </w:tcBorders>
            <w:shd w:val="clear" w:color="auto" w:fill="CFF0FC"/>
            <w:noWrap/>
            <w:tcMar>
              <w:top w:w="15" w:type="dxa"/>
              <w:left w:w="0" w:type="dxa"/>
              <w:bottom w:w="0" w:type="dxa"/>
              <w:right w:w="15" w:type="dxa"/>
            </w:tcMar>
            <w:vAlign w:val="bottom"/>
            <w:hideMark/>
          </w:tcPr>
          <w:p w14:paraId="66DCCEF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191" w:type="dxa"/>
            <w:shd w:val="clear" w:color="auto" w:fill="CFF0FC"/>
            <w:noWrap/>
            <w:tcMar>
              <w:top w:w="15" w:type="dxa"/>
              <w:left w:w="0" w:type="dxa"/>
              <w:bottom w:w="0" w:type="dxa"/>
              <w:right w:w="15" w:type="dxa"/>
            </w:tcMar>
            <w:vAlign w:val="bottom"/>
            <w:hideMark/>
          </w:tcPr>
          <w:p w14:paraId="3FFC495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6" w:type="dxa"/>
            <w:shd w:val="clear" w:color="auto" w:fill="CFF0FC"/>
            <w:tcMar>
              <w:top w:w="15" w:type="dxa"/>
              <w:left w:w="0" w:type="dxa"/>
              <w:bottom w:w="0" w:type="dxa"/>
              <w:right w:w="15" w:type="dxa"/>
            </w:tcMar>
            <w:vAlign w:val="bottom"/>
            <w:hideMark/>
          </w:tcPr>
          <w:p w14:paraId="4C95B11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25B7CB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7" w:type="dxa"/>
            <w:tcBorders>
              <w:top w:val="single" w:sz="6" w:space="0" w:color="000000"/>
            </w:tcBorders>
            <w:shd w:val="clear" w:color="auto" w:fill="CFF0FC"/>
            <w:noWrap/>
            <w:tcMar>
              <w:top w:w="15" w:type="dxa"/>
              <w:left w:w="0" w:type="dxa"/>
              <w:bottom w:w="0" w:type="dxa"/>
              <w:right w:w="15" w:type="dxa"/>
            </w:tcMar>
            <w:vAlign w:val="bottom"/>
            <w:hideMark/>
          </w:tcPr>
          <w:p w14:paraId="17088DE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1" w:type="dxa"/>
            <w:shd w:val="clear" w:color="auto" w:fill="CFF0FC"/>
            <w:noWrap/>
            <w:tcMar>
              <w:top w:w="15" w:type="dxa"/>
              <w:left w:w="0" w:type="dxa"/>
              <w:bottom w:w="0" w:type="dxa"/>
              <w:right w:w="15" w:type="dxa"/>
            </w:tcMar>
            <w:vAlign w:val="bottom"/>
            <w:hideMark/>
          </w:tcPr>
          <w:p w14:paraId="3E39B5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CFF0FC"/>
            <w:tcMar>
              <w:top w:w="15" w:type="dxa"/>
              <w:left w:w="0" w:type="dxa"/>
              <w:bottom w:w="0" w:type="dxa"/>
              <w:right w:w="15" w:type="dxa"/>
            </w:tcMar>
            <w:vAlign w:val="center"/>
            <w:hideMark/>
          </w:tcPr>
          <w:p w14:paraId="46FAD1D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F50D6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7" w:type="dxa"/>
            <w:tcBorders>
              <w:top w:val="single" w:sz="6" w:space="0" w:color="000000"/>
            </w:tcBorders>
            <w:shd w:val="clear" w:color="auto" w:fill="CFF0FC"/>
            <w:noWrap/>
            <w:tcMar>
              <w:top w:w="15" w:type="dxa"/>
              <w:left w:w="0" w:type="dxa"/>
              <w:bottom w:w="0" w:type="dxa"/>
              <w:right w:w="15" w:type="dxa"/>
            </w:tcMar>
            <w:vAlign w:val="bottom"/>
            <w:hideMark/>
          </w:tcPr>
          <w:p w14:paraId="7B41216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193" w:type="dxa"/>
            <w:shd w:val="clear" w:color="auto" w:fill="CFF0FC"/>
            <w:noWrap/>
            <w:tcMar>
              <w:top w:w="15" w:type="dxa"/>
              <w:left w:w="0" w:type="dxa"/>
              <w:bottom w:w="0" w:type="dxa"/>
              <w:right w:w="15" w:type="dxa"/>
            </w:tcMar>
            <w:vAlign w:val="bottom"/>
            <w:hideMark/>
          </w:tcPr>
          <w:p w14:paraId="0CAC05E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A857A58" w14:textId="77777777" w:rsidTr="00141675">
        <w:tc>
          <w:tcPr>
            <w:tcW w:w="11584" w:type="dxa"/>
            <w:shd w:val="clear" w:color="auto" w:fill="FFFFFF"/>
            <w:tcMar>
              <w:top w:w="15" w:type="dxa"/>
              <w:left w:w="0" w:type="dxa"/>
              <w:bottom w:w="0" w:type="dxa"/>
              <w:right w:w="15" w:type="dxa"/>
            </w:tcMar>
            <w:hideMark/>
          </w:tcPr>
          <w:p w14:paraId="540464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Amortization of intangible assets</w:t>
            </w:r>
            <w:r w:rsidRPr="00141675">
              <w:rPr>
                <w:rFonts w:ascii="Calibri" w:eastAsia="宋体" w:hAnsi="Calibri" w:cs="Calibri"/>
                <w:color w:val="000000"/>
                <w:kern w:val="0"/>
                <w:sz w:val="18"/>
                <w:szCs w:val="18"/>
                <w:vertAlign w:val="superscript"/>
              </w:rPr>
              <w:t>(2)</w:t>
            </w:r>
          </w:p>
        </w:tc>
        <w:tc>
          <w:tcPr>
            <w:tcW w:w="117" w:type="dxa"/>
            <w:shd w:val="clear" w:color="auto" w:fill="FFFFFF"/>
            <w:tcMar>
              <w:top w:w="15" w:type="dxa"/>
              <w:left w:w="0" w:type="dxa"/>
              <w:bottom w:w="0" w:type="dxa"/>
              <w:right w:w="15" w:type="dxa"/>
            </w:tcMar>
            <w:vAlign w:val="bottom"/>
            <w:hideMark/>
          </w:tcPr>
          <w:p w14:paraId="479EFB7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9218AA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56D1DA2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407</w:t>
            </w:r>
          </w:p>
        </w:tc>
        <w:tc>
          <w:tcPr>
            <w:tcW w:w="191" w:type="dxa"/>
            <w:shd w:val="clear" w:color="auto" w:fill="FFFFFF"/>
            <w:noWrap/>
            <w:tcMar>
              <w:top w:w="15" w:type="dxa"/>
              <w:left w:w="0" w:type="dxa"/>
              <w:bottom w:w="0" w:type="dxa"/>
              <w:right w:w="15" w:type="dxa"/>
            </w:tcMar>
            <w:vAlign w:val="bottom"/>
            <w:hideMark/>
          </w:tcPr>
          <w:p w14:paraId="4BAAD2B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FFFFFF"/>
            <w:tcMar>
              <w:top w:w="15" w:type="dxa"/>
              <w:left w:w="0" w:type="dxa"/>
              <w:bottom w:w="0" w:type="dxa"/>
              <w:right w:w="15" w:type="dxa"/>
            </w:tcMar>
            <w:vAlign w:val="bottom"/>
            <w:hideMark/>
          </w:tcPr>
          <w:p w14:paraId="7361F04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F4B7FB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5E6EE0F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424</w:t>
            </w:r>
          </w:p>
        </w:tc>
        <w:tc>
          <w:tcPr>
            <w:tcW w:w="191" w:type="dxa"/>
            <w:shd w:val="clear" w:color="auto" w:fill="FFFFFF"/>
            <w:noWrap/>
            <w:tcMar>
              <w:top w:w="15" w:type="dxa"/>
              <w:left w:w="0" w:type="dxa"/>
              <w:bottom w:w="0" w:type="dxa"/>
              <w:right w:w="15" w:type="dxa"/>
            </w:tcMar>
            <w:vAlign w:val="bottom"/>
            <w:hideMark/>
          </w:tcPr>
          <w:p w14:paraId="5EB8ABD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6" w:type="dxa"/>
            <w:shd w:val="clear" w:color="auto" w:fill="FFFFFF"/>
            <w:tcMar>
              <w:top w:w="15" w:type="dxa"/>
              <w:left w:w="0" w:type="dxa"/>
              <w:bottom w:w="0" w:type="dxa"/>
              <w:right w:w="15" w:type="dxa"/>
            </w:tcMar>
            <w:vAlign w:val="bottom"/>
            <w:hideMark/>
          </w:tcPr>
          <w:p w14:paraId="6DA4F73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6CAE29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706E251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821</w:t>
            </w:r>
          </w:p>
        </w:tc>
        <w:tc>
          <w:tcPr>
            <w:tcW w:w="191" w:type="dxa"/>
            <w:shd w:val="clear" w:color="auto" w:fill="FFFFFF"/>
            <w:noWrap/>
            <w:tcMar>
              <w:top w:w="15" w:type="dxa"/>
              <w:left w:w="0" w:type="dxa"/>
              <w:bottom w:w="0" w:type="dxa"/>
              <w:right w:w="15" w:type="dxa"/>
            </w:tcMar>
            <w:vAlign w:val="bottom"/>
            <w:hideMark/>
          </w:tcPr>
          <w:p w14:paraId="4C91044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FFFFFF"/>
            <w:tcMar>
              <w:top w:w="15" w:type="dxa"/>
              <w:left w:w="0" w:type="dxa"/>
              <w:bottom w:w="0" w:type="dxa"/>
              <w:right w:w="15" w:type="dxa"/>
            </w:tcMar>
            <w:vAlign w:val="bottom"/>
            <w:hideMark/>
          </w:tcPr>
          <w:p w14:paraId="725DB81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06C08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1B9C333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858</w:t>
            </w:r>
          </w:p>
        </w:tc>
        <w:tc>
          <w:tcPr>
            <w:tcW w:w="193" w:type="dxa"/>
            <w:shd w:val="clear" w:color="auto" w:fill="FFFFFF"/>
            <w:noWrap/>
            <w:tcMar>
              <w:top w:w="15" w:type="dxa"/>
              <w:left w:w="0" w:type="dxa"/>
              <w:bottom w:w="0" w:type="dxa"/>
              <w:right w:w="15" w:type="dxa"/>
            </w:tcMar>
            <w:vAlign w:val="bottom"/>
            <w:hideMark/>
          </w:tcPr>
          <w:p w14:paraId="5264A7C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ABE0D28" w14:textId="77777777" w:rsidTr="00141675">
        <w:tc>
          <w:tcPr>
            <w:tcW w:w="11584" w:type="dxa"/>
            <w:shd w:val="clear" w:color="auto" w:fill="CFF0FC"/>
            <w:tcMar>
              <w:top w:w="15" w:type="dxa"/>
              <w:left w:w="0" w:type="dxa"/>
              <w:bottom w:w="0" w:type="dxa"/>
              <w:right w:w="15" w:type="dxa"/>
            </w:tcMar>
            <w:hideMark/>
          </w:tcPr>
          <w:p w14:paraId="6DB388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Acquisition related and other</w:t>
            </w:r>
            <w:r w:rsidRPr="00141675">
              <w:rPr>
                <w:rFonts w:ascii="Calibri" w:eastAsia="宋体" w:hAnsi="Calibri" w:cs="Calibri"/>
                <w:color w:val="000000"/>
                <w:kern w:val="0"/>
                <w:sz w:val="18"/>
                <w:szCs w:val="18"/>
                <w:vertAlign w:val="superscript"/>
              </w:rPr>
              <w:t>(3)(5)</w:t>
            </w:r>
          </w:p>
        </w:tc>
        <w:tc>
          <w:tcPr>
            <w:tcW w:w="117" w:type="dxa"/>
            <w:shd w:val="clear" w:color="auto" w:fill="CFF0FC"/>
            <w:tcMar>
              <w:top w:w="15" w:type="dxa"/>
              <w:left w:w="0" w:type="dxa"/>
              <w:bottom w:w="0" w:type="dxa"/>
              <w:right w:w="15" w:type="dxa"/>
            </w:tcMar>
            <w:vAlign w:val="bottom"/>
            <w:hideMark/>
          </w:tcPr>
          <w:p w14:paraId="1B7E792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DFBBE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1DCD66C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w:t>
            </w:r>
          </w:p>
        </w:tc>
        <w:tc>
          <w:tcPr>
            <w:tcW w:w="191" w:type="dxa"/>
            <w:shd w:val="clear" w:color="auto" w:fill="CFF0FC"/>
            <w:noWrap/>
            <w:tcMar>
              <w:top w:w="15" w:type="dxa"/>
              <w:left w:w="0" w:type="dxa"/>
              <w:bottom w:w="0" w:type="dxa"/>
              <w:right w:w="15" w:type="dxa"/>
            </w:tcMar>
            <w:vAlign w:val="bottom"/>
            <w:hideMark/>
          </w:tcPr>
          <w:p w14:paraId="6BEBD76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CFF0FC"/>
            <w:tcMar>
              <w:top w:w="15" w:type="dxa"/>
              <w:left w:w="0" w:type="dxa"/>
              <w:bottom w:w="0" w:type="dxa"/>
              <w:right w:w="15" w:type="dxa"/>
            </w:tcMar>
            <w:vAlign w:val="bottom"/>
            <w:hideMark/>
          </w:tcPr>
          <w:p w14:paraId="51B3435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52C226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693168B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w:t>
            </w:r>
          </w:p>
        </w:tc>
        <w:tc>
          <w:tcPr>
            <w:tcW w:w="191" w:type="dxa"/>
            <w:shd w:val="clear" w:color="auto" w:fill="CFF0FC"/>
            <w:noWrap/>
            <w:tcMar>
              <w:top w:w="15" w:type="dxa"/>
              <w:left w:w="0" w:type="dxa"/>
              <w:bottom w:w="0" w:type="dxa"/>
              <w:right w:w="15" w:type="dxa"/>
            </w:tcMar>
            <w:vAlign w:val="bottom"/>
            <w:hideMark/>
          </w:tcPr>
          <w:p w14:paraId="278A37E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6" w:type="dxa"/>
            <w:shd w:val="clear" w:color="auto" w:fill="CFF0FC"/>
            <w:tcMar>
              <w:top w:w="15" w:type="dxa"/>
              <w:left w:w="0" w:type="dxa"/>
              <w:bottom w:w="0" w:type="dxa"/>
              <w:right w:w="15" w:type="dxa"/>
            </w:tcMar>
            <w:vAlign w:val="bottom"/>
            <w:hideMark/>
          </w:tcPr>
          <w:p w14:paraId="7C8E639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7D8F82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0581EEF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37</w:t>
            </w:r>
          </w:p>
        </w:tc>
        <w:tc>
          <w:tcPr>
            <w:tcW w:w="191" w:type="dxa"/>
            <w:shd w:val="clear" w:color="auto" w:fill="CFF0FC"/>
            <w:noWrap/>
            <w:tcMar>
              <w:top w:w="15" w:type="dxa"/>
              <w:left w:w="0" w:type="dxa"/>
              <w:bottom w:w="0" w:type="dxa"/>
              <w:right w:w="15" w:type="dxa"/>
            </w:tcMar>
            <w:vAlign w:val="bottom"/>
            <w:hideMark/>
          </w:tcPr>
          <w:p w14:paraId="64B91B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CFF0FC"/>
            <w:tcMar>
              <w:top w:w="15" w:type="dxa"/>
              <w:left w:w="0" w:type="dxa"/>
              <w:bottom w:w="0" w:type="dxa"/>
              <w:right w:w="15" w:type="dxa"/>
            </w:tcMar>
            <w:vAlign w:val="bottom"/>
            <w:hideMark/>
          </w:tcPr>
          <w:p w14:paraId="2C61BA7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3C3A8E4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2D7195C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3" w:type="dxa"/>
            <w:shd w:val="clear" w:color="auto" w:fill="CFF0FC"/>
            <w:noWrap/>
            <w:tcMar>
              <w:top w:w="15" w:type="dxa"/>
              <w:left w:w="0" w:type="dxa"/>
              <w:bottom w:w="0" w:type="dxa"/>
              <w:right w:w="15" w:type="dxa"/>
            </w:tcMar>
            <w:vAlign w:val="bottom"/>
            <w:hideMark/>
          </w:tcPr>
          <w:p w14:paraId="798BFEE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595E6AE" w14:textId="77777777" w:rsidTr="00141675">
        <w:tc>
          <w:tcPr>
            <w:tcW w:w="11584" w:type="dxa"/>
            <w:shd w:val="clear" w:color="auto" w:fill="FFFFFF"/>
            <w:tcMar>
              <w:top w:w="15" w:type="dxa"/>
              <w:left w:w="0" w:type="dxa"/>
              <w:bottom w:w="0" w:type="dxa"/>
              <w:right w:w="15" w:type="dxa"/>
            </w:tcMar>
            <w:hideMark/>
          </w:tcPr>
          <w:p w14:paraId="380B5E1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Restructuring</w:t>
            </w:r>
            <w:r w:rsidRPr="00141675">
              <w:rPr>
                <w:rFonts w:ascii="Calibri" w:eastAsia="宋体" w:hAnsi="Calibri" w:cs="Calibri"/>
                <w:color w:val="000000"/>
                <w:kern w:val="0"/>
                <w:sz w:val="18"/>
                <w:szCs w:val="18"/>
                <w:vertAlign w:val="superscript"/>
              </w:rPr>
              <w:t>(4)</w:t>
            </w:r>
          </w:p>
        </w:tc>
        <w:tc>
          <w:tcPr>
            <w:tcW w:w="117" w:type="dxa"/>
            <w:shd w:val="clear" w:color="auto" w:fill="FFFFFF"/>
            <w:tcMar>
              <w:top w:w="15" w:type="dxa"/>
              <w:left w:w="0" w:type="dxa"/>
              <w:bottom w:w="0" w:type="dxa"/>
              <w:right w:w="15" w:type="dxa"/>
            </w:tcMar>
            <w:vAlign w:val="bottom"/>
            <w:hideMark/>
          </w:tcPr>
          <w:p w14:paraId="272693A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DFAE64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6D5FFFC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42</w:t>
            </w:r>
          </w:p>
        </w:tc>
        <w:tc>
          <w:tcPr>
            <w:tcW w:w="191" w:type="dxa"/>
            <w:shd w:val="clear" w:color="auto" w:fill="FFFFFF"/>
            <w:noWrap/>
            <w:tcMar>
              <w:top w:w="15" w:type="dxa"/>
              <w:left w:w="0" w:type="dxa"/>
              <w:bottom w:w="0" w:type="dxa"/>
              <w:right w:w="15" w:type="dxa"/>
            </w:tcMar>
            <w:vAlign w:val="bottom"/>
            <w:hideMark/>
          </w:tcPr>
          <w:p w14:paraId="16E3C5D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FFFFFF"/>
            <w:tcMar>
              <w:top w:w="15" w:type="dxa"/>
              <w:left w:w="0" w:type="dxa"/>
              <w:bottom w:w="0" w:type="dxa"/>
              <w:right w:w="15" w:type="dxa"/>
            </w:tcMar>
            <w:vAlign w:val="bottom"/>
            <w:hideMark/>
          </w:tcPr>
          <w:p w14:paraId="3B2A8A0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69FDE0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4BA3CDB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143</w:t>
            </w:r>
          </w:p>
        </w:tc>
        <w:tc>
          <w:tcPr>
            <w:tcW w:w="191" w:type="dxa"/>
            <w:shd w:val="clear" w:color="auto" w:fill="FFFFFF"/>
            <w:noWrap/>
            <w:tcMar>
              <w:top w:w="15" w:type="dxa"/>
              <w:left w:w="0" w:type="dxa"/>
              <w:bottom w:w="0" w:type="dxa"/>
              <w:right w:w="15" w:type="dxa"/>
            </w:tcMar>
            <w:vAlign w:val="bottom"/>
            <w:hideMark/>
          </w:tcPr>
          <w:p w14:paraId="6616AB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6" w:type="dxa"/>
            <w:shd w:val="clear" w:color="auto" w:fill="FFFFFF"/>
            <w:tcMar>
              <w:top w:w="15" w:type="dxa"/>
              <w:left w:w="0" w:type="dxa"/>
              <w:bottom w:w="0" w:type="dxa"/>
              <w:right w:w="15" w:type="dxa"/>
            </w:tcMar>
            <w:vAlign w:val="bottom"/>
            <w:hideMark/>
          </w:tcPr>
          <w:p w14:paraId="0EC43A4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18FB8A8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04FD6E3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120</w:t>
            </w:r>
          </w:p>
        </w:tc>
        <w:tc>
          <w:tcPr>
            <w:tcW w:w="191" w:type="dxa"/>
            <w:shd w:val="clear" w:color="auto" w:fill="FFFFFF"/>
            <w:noWrap/>
            <w:tcMar>
              <w:top w:w="15" w:type="dxa"/>
              <w:left w:w="0" w:type="dxa"/>
              <w:bottom w:w="0" w:type="dxa"/>
              <w:right w:w="15" w:type="dxa"/>
            </w:tcMar>
            <w:vAlign w:val="bottom"/>
            <w:hideMark/>
          </w:tcPr>
          <w:p w14:paraId="097A68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FFFFFF"/>
            <w:tcMar>
              <w:top w:w="15" w:type="dxa"/>
              <w:left w:w="0" w:type="dxa"/>
              <w:bottom w:w="0" w:type="dxa"/>
              <w:right w:w="15" w:type="dxa"/>
            </w:tcMar>
            <w:vAlign w:val="bottom"/>
            <w:hideMark/>
          </w:tcPr>
          <w:p w14:paraId="37F8C72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DFBDF0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22A7150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233</w:t>
            </w:r>
          </w:p>
        </w:tc>
        <w:tc>
          <w:tcPr>
            <w:tcW w:w="193" w:type="dxa"/>
            <w:shd w:val="clear" w:color="auto" w:fill="FFFFFF"/>
            <w:noWrap/>
            <w:tcMar>
              <w:top w:w="15" w:type="dxa"/>
              <w:left w:w="0" w:type="dxa"/>
              <w:bottom w:w="0" w:type="dxa"/>
              <w:right w:w="15" w:type="dxa"/>
            </w:tcMar>
            <w:vAlign w:val="bottom"/>
            <w:hideMark/>
          </w:tcPr>
          <w:p w14:paraId="7EDED4C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8276C6A" w14:textId="77777777" w:rsidTr="00141675">
        <w:tc>
          <w:tcPr>
            <w:tcW w:w="11584" w:type="dxa"/>
            <w:shd w:val="clear" w:color="auto" w:fill="CFF0FC"/>
            <w:tcMar>
              <w:top w:w="15" w:type="dxa"/>
              <w:left w:w="0" w:type="dxa"/>
              <w:bottom w:w="0" w:type="dxa"/>
              <w:right w:w="15" w:type="dxa"/>
            </w:tcMar>
            <w:hideMark/>
          </w:tcPr>
          <w:p w14:paraId="22BF7B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Stock-based compensation, operating segments</w:t>
            </w:r>
            <w:r w:rsidRPr="00141675">
              <w:rPr>
                <w:rFonts w:ascii="Calibri" w:eastAsia="宋体" w:hAnsi="Calibri" w:cs="Calibri"/>
                <w:color w:val="000000"/>
                <w:kern w:val="0"/>
                <w:sz w:val="18"/>
                <w:szCs w:val="18"/>
                <w:vertAlign w:val="superscript"/>
              </w:rPr>
              <w:t>(5)</w:t>
            </w:r>
          </w:p>
        </w:tc>
        <w:tc>
          <w:tcPr>
            <w:tcW w:w="117" w:type="dxa"/>
            <w:shd w:val="clear" w:color="auto" w:fill="CFF0FC"/>
            <w:tcMar>
              <w:top w:w="15" w:type="dxa"/>
              <w:left w:w="0" w:type="dxa"/>
              <w:bottom w:w="0" w:type="dxa"/>
              <w:right w:w="15" w:type="dxa"/>
            </w:tcMar>
            <w:vAlign w:val="bottom"/>
            <w:hideMark/>
          </w:tcPr>
          <w:p w14:paraId="2702F1D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704B9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4B578D4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84</w:t>
            </w:r>
          </w:p>
        </w:tc>
        <w:tc>
          <w:tcPr>
            <w:tcW w:w="191" w:type="dxa"/>
            <w:shd w:val="clear" w:color="auto" w:fill="CFF0FC"/>
            <w:noWrap/>
            <w:tcMar>
              <w:top w:w="15" w:type="dxa"/>
              <w:left w:w="0" w:type="dxa"/>
              <w:bottom w:w="0" w:type="dxa"/>
              <w:right w:w="15" w:type="dxa"/>
            </w:tcMar>
            <w:vAlign w:val="bottom"/>
            <w:hideMark/>
          </w:tcPr>
          <w:p w14:paraId="78D417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CFF0FC"/>
            <w:tcMar>
              <w:top w:w="15" w:type="dxa"/>
              <w:left w:w="0" w:type="dxa"/>
              <w:bottom w:w="0" w:type="dxa"/>
              <w:right w:w="15" w:type="dxa"/>
            </w:tcMar>
            <w:vAlign w:val="bottom"/>
            <w:hideMark/>
          </w:tcPr>
          <w:p w14:paraId="7B9F8EE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33A9E8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6AE0235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131</w:t>
            </w:r>
          </w:p>
        </w:tc>
        <w:tc>
          <w:tcPr>
            <w:tcW w:w="191" w:type="dxa"/>
            <w:shd w:val="clear" w:color="auto" w:fill="CFF0FC"/>
            <w:noWrap/>
            <w:tcMar>
              <w:top w:w="15" w:type="dxa"/>
              <w:left w:w="0" w:type="dxa"/>
              <w:bottom w:w="0" w:type="dxa"/>
              <w:right w:w="15" w:type="dxa"/>
            </w:tcMar>
            <w:vAlign w:val="bottom"/>
            <w:hideMark/>
          </w:tcPr>
          <w:p w14:paraId="33B998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6" w:type="dxa"/>
            <w:shd w:val="clear" w:color="auto" w:fill="CFF0FC"/>
            <w:tcMar>
              <w:top w:w="15" w:type="dxa"/>
              <w:left w:w="0" w:type="dxa"/>
              <w:bottom w:w="0" w:type="dxa"/>
              <w:right w:w="15" w:type="dxa"/>
            </w:tcMar>
            <w:vAlign w:val="bottom"/>
            <w:hideMark/>
          </w:tcPr>
          <w:p w14:paraId="7228C22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20AE04E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4EFFC42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220</w:t>
            </w:r>
          </w:p>
        </w:tc>
        <w:tc>
          <w:tcPr>
            <w:tcW w:w="191" w:type="dxa"/>
            <w:shd w:val="clear" w:color="auto" w:fill="CFF0FC"/>
            <w:noWrap/>
            <w:tcMar>
              <w:top w:w="15" w:type="dxa"/>
              <w:left w:w="0" w:type="dxa"/>
              <w:bottom w:w="0" w:type="dxa"/>
              <w:right w:w="15" w:type="dxa"/>
            </w:tcMar>
            <w:vAlign w:val="bottom"/>
            <w:hideMark/>
          </w:tcPr>
          <w:p w14:paraId="4514CD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CFF0FC"/>
            <w:tcMar>
              <w:top w:w="15" w:type="dxa"/>
              <w:left w:w="0" w:type="dxa"/>
              <w:bottom w:w="0" w:type="dxa"/>
              <w:right w:w="15" w:type="dxa"/>
            </w:tcMar>
            <w:vAlign w:val="bottom"/>
            <w:hideMark/>
          </w:tcPr>
          <w:p w14:paraId="4A2276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7262FF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7F0B77B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266</w:t>
            </w:r>
          </w:p>
        </w:tc>
        <w:tc>
          <w:tcPr>
            <w:tcW w:w="193" w:type="dxa"/>
            <w:shd w:val="clear" w:color="auto" w:fill="CFF0FC"/>
            <w:noWrap/>
            <w:tcMar>
              <w:top w:w="15" w:type="dxa"/>
              <w:left w:w="0" w:type="dxa"/>
              <w:bottom w:w="0" w:type="dxa"/>
              <w:right w:w="15" w:type="dxa"/>
            </w:tcMar>
            <w:vAlign w:val="bottom"/>
            <w:hideMark/>
          </w:tcPr>
          <w:p w14:paraId="75FD796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506429D" w14:textId="77777777" w:rsidTr="00141675">
        <w:tc>
          <w:tcPr>
            <w:tcW w:w="11584" w:type="dxa"/>
            <w:shd w:val="clear" w:color="auto" w:fill="FFFFFF"/>
            <w:tcMar>
              <w:top w:w="15" w:type="dxa"/>
              <w:left w:w="0" w:type="dxa"/>
              <w:bottom w:w="0" w:type="dxa"/>
              <w:right w:w="15" w:type="dxa"/>
            </w:tcMar>
            <w:hideMark/>
          </w:tcPr>
          <w:p w14:paraId="3B76EC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Stock-based compensation, R&amp;D and G&amp;A</w:t>
            </w:r>
            <w:r w:rsidRPr="00141675">
              <w:rPr>
                <w:rFonts w:ascii="Calibri" w:eastAsia="宋体" w:hAnsi="Calibri" w:cs="Calibri"/>
                <w:color w:val="000000"/>
                <w:kern w:val="0"/>
                <w:sz w:val="18"/>
                <w:szCs w:val="18"/>
                <w:vertAlign w:val="superscript"/>
              </w:rPr>
              <w:t>(5)</w:t>
            </w:r>
          </w:p>
        </w:tc>
        <w:tc>
          <w:tcPr>
            <w:tcW w:w="117" w:type="dxa"/>
            <w:shd w:val="clear" w:color="auto" w:fill="FFFFFF"/>
            <w:tcMar>
              <w:top w:w="15" w:type="dxa"/>
              <w:left w:w="0" w:type="dxa"/>
              <w:bottom w:w="0" w:type="dxa"/>
              <w:right w:w="15" w:type="dxa"/>
            </w:tcMar>
            <w:vAlign w:val="bottom"/>
            <w:hideMark/>
          </w:tcPr>
          <w:p w14:paraId="5C4AD53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DE269A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31FD3C1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313</w:t>
            </w:r>
          </w:p>
        </w:tc>
        <w:tc>
          <w:tcPr>
            <w:tcW w:w="191" w:type="dxa"/>
            <w:shd w:val="clear" w:color="auto" w:fill="FFFFFF"/>
            <w:noWrap/>
            <w:tcMar>
              <w:top w:w="15" w:type="dxa"/>
              <w:left w:w="0" w:type="dxa"/>
              <w:bottom w:w="0" w:type="dxa"/>
              <w:right w:w="15" w:type="dxa"/>
            </w:tcMar>
            <w:vAlign w:val="bottom"/>
            <w:hideMark/>
          </w:tcPr>
          <w:p w14:paraId="5AF6E5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FFFFFF"/>
            <w:tcMar>
              <w:top w:w="15" w:type="dxa"/>
              <w:left w:w="0" w:type="dxa"/>
              <w:bottom w:w="0" w:type="dxa"/>
              <w:right w:w="15" w:type="dxa"/>
            </w:tcMar>
            <w:vAlign w:val="bottom"/>
            <w:hideMark/>
          </w:tcPr>
          <w:p w14:paraId="4CDC5EB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D2B7F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48CB3C5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265</w:t>
            </w:r>
          </w:p>
        </w:tc>
        <w:tc>
          <w:tcPr>
            <w:tcW w:w="191" w:type="dxa"/>
            <w:shd w:val="clear" w:color="auto" w:fill="FFFFFF"/>
            <w:noWrap/>
            <w:tcMar>
              <w:top w:w="15" w:type="dxa"/>
              <w:left w:w="0" w:type="dxa"/>
              <w:bottom w:w="0" w:type="dxa"/>
              <w:right w:w="15" w:type="dxa"/>
            </w:tcMar>
            <w:vAlign w:val="bottom"/>
            <w:hideMark/>
          </w:tcPr>
          <w:p w14:paraId="37D5D58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6" w:type="dxa"/>
            <w:shd w:val="clear" w:color="auto" w:fill="FFFFFF"/>
            <w:tcMar>
              <w:top w:w="15" w:type="dxa"/>
              <w:left w:w="0" w:type="dxa"/>
              <w:bottom w:w="0" w:type="dxa"/>
              <w:right w:w="15" w:type="dxa"/>
            </w:tcMar>
            <w:vAlign w:val="bottom"/>
            <w:hideMark/>
          </w:tcPr>
          <w:p w14:paraId="216E722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251E9D5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2286AB2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623</w:t>
            </w:r>
          </w:p>
        </w:tc>
        <w:tc>
          <w:tcPr>
            <w:tcW w:w="191" w:type="dxa"/>
            <w:shd w:val="clear" w:color="auto" w:fill="FFFFFF"/>
            <w:noWrap/>
            <w:tcMar>
              <w:top w:w="15" w:type="dxa"/>
              <w:left w:w="0" w:type="dxa"/>
              <w:bottom w:w="0" w:type="dxa"/>
              <w:right w:w="15" w:type="dxa"/>
            </w:tcMar>
            <w:vAlign w:val="bottom"/>
            <w:hideMark/>
          </w:tcPr>
          <w:p w14:paraId="2361F3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FFFFFF"/>
            <w:tcMar>
              <w:top w:w="15" w:type="dxa"/>
              <w:left w:w="0" w:type="dxa"/>
              <w:bottom w:w="0" w:type="dxa"/>
              <w:right w:w="15" w:type="dxa"/>
            </w:tcMar>
            <w:vAlign w:val="bottom"/>
            <w:hideMark/>
          </w:tcPr>
          <w:p w14:paraId="7FD0159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CDA093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FFFFFF"/>
            <w:noWrap/>
            <w:tcMar>
              <w:top w:w="15" w:type="dxa"/>
              <w:left w:w="0" w:type="dxa"/>
              <w:bottom w:w="0" w:type="dxa"/>
              <w:right w:w="15" w:type="dxa"/>
            </w:tcMar>
            <w:vAlign w:val="bottom"/>
            <w:hideMark/>
          </w:tcPr>
          <w:p w14:paraId="03A0737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566</w:t>
            </w:r>
          </w:p>
        </w:tc>
        <w:tc>
          <w:tcPr>
            <w:tcW w:w="193" w:type="dxa"/>
            <w:shd w:val="clear" w:color="auto" w:fill="FFFFFF"/>
            <w:noWrap/>
            <w:tcMar>
              <w:top w:w="15" w:type="dxa"/>
              <w:left w:w="0" w:type="dxa"/>
              <w:bottom w:w="0" w:type="dxa"/>
              <w:right w:w="15" w:type="dxa"/>
            </w:tcMar>
            <w:vAlign w:val="bottom"/>
            <w:hideMark/>
          </w:tcPr>
          <w:p w14:paraId="3D79CEF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F7A2292" w14:textId="77777777" w:rsidTr="00141675">
        <w:tc>
          <w:tcPr>
            <w:tcW w:w="11584" w:type="dxa"/>
            <w:shd w:val="clear" w:color="auto" w:fill="CFF0FC"/>
            <w:tcMar>
              <w:top w:w="15" w:type="dxa"/>
              <w:left w:w="0" w:type="dxa"/>
              <w:bottom w:w="0" w:type="dxa"/>
              <w:right w:w="15" w:type="dxa"/>
            </w:tcMar>
            <w:hideMark/>
          </w:tcPr>
          <w:p w14:paraId="5C3622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Income tax effects</w:t>
            </w:r>
            <w:r w:rsidRPr="00141675">
              <w:rPr>
                <w:rFonts w:ascii="Calibri" w:eastAsia="宋体" w:hAnsi="Calibri" w:cs="Calibri"/>
                <w:color w:val="000000"/>
                <w:kern w:val="0"/>
                <w:sz w:val="18"/>
                <w:szCs w:val="18"/>
                <w:vertAlign w:val="superscript"/>
              </w:rPr>
              <w:t>(6)</w:t>
            </w:r>
          </w:p>
        </w:tc>
        <w:tc>
          <w:tcPr>
            <w:tcW w:w="117" w:type="dxa"/>
            <w:shd w:val="clear" w:color="auto" w:fill="CFF0FC"/>
            <w:tcMar>
              <w:top w:w="15" w:type="dxa"/>
              <w:left w:w="0" w:type="dxa"/>
              <w:bottom w:w="0" w:type="dxa"/>
              <w:right w:w="15" w:type="dxa"/>
            </w:tcMar>
            <w:vAlign w:val="bottom"/>
            <w:hideMark/>
          </w:tcPr>
          <w:p w14:paraId="23E2F5C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54FBE08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5DE1AA4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(189</w:t>
            </w:r>
          </w:p>
        </w:tc>
        <w:tc>
          <w:tcPr>
            <w:tcW w:w="191" w:type="dxa"/>
            <w:shd w:val="clear" w:color="auto" w:fill="CFF0FC"/>
            <w:noWrap/>
            <w:tcMar>
              <w:top w:w="15" w:type="dxa"/>
              <w:left w:w="0" w:type="dxa"/>
              <w:bottom w:w="0" w:type="dxa"/>
              <w:right w:w="15" w:type="dxa"/>
            </w:tcMar>
            <w:vAlign w:val="bottom"/>
            <w:hideMark/>
          </w:tcPr>
          <w:p w14:paraId="354F579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7" w:type="dxa"/>
            <w:shd w:val="clear" w:color="auto" w:fill="CFF0FC"/>
            <w:tcMar>
              <w:top w:w="15" w:type="dxa"/>
              <w:left w:w="0" w:type="dxa"/>
              <w:bottom w:w="0" w:type="dxa"/>
              <w:right w:w="15" w:type="dxa"/>
            </w:tcMar>
            <w:vAlign w:val="bottom"/>
            <w:hideMark/>
          </w:tcPr>
          <w:p w14:paraId="3FDF185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CB6749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2EA37F4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(258</w:t>
            </w:r>
          </w:p>
        </w:tc>
        <w:tc>
          <w:tcPr>
            <w:tcW w:w="191" w:type="dxa"/>
            <w:shd w:val="clear" w:color="auto" w:fill="CFF0FC"/>
            <w:noWrap/>
            <w:tcMar>
              <w:top w:w="15" w:type="dxa"/>
              <w:left w:w="0" w:type="dxa"/>
              <w:bottom w:w="0" w:type="dxa"/>
              <w:right w:w="15" w:type="dxa"/>
            </w:tcMar>
            <w:vAlign w:val="bottom"/>
            <w:hideMark/>
          </w:tcPr>
          <w:p w14:paraId="51577A8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66" w:type="dxa"/>
            <w:shd w:val="clear" w:color="auto" w:fill="CFF0FC"/>
            <w:tcMar>
              <w:top w:w="15" w:type="dxa"/>
              <w:left w:w="0" w:type="dxa"/>
              <w:bottom w:w="0" w:type="dxa"/>
              <w:right w:w="15" w:type="dxa"/>
            </w:tcMar>
            <w:vAlign w:val="bottom"/>
            <w:hideMark/>
          </w:tcPr>
          <w:p w14:paraId="2404407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5229201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0EC1FC6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(528</w:t>
            </w:r>
          </w:p>
        </w:tc>
        <w:tc>
          <w:tcPr>
            <w:tcW w:w="191" w:type="dxa"/>
            <w:shd w:val="clear" w:color="auto" w:fill="CFF0FC"/>
            <w:noWrap/>
            <w:tcMar>
              <w:top w:w="15" w:type="dxa"/>
              <w:left w:w="0" w:type="dxa"/>
              <w:bottom w:w="0" w:type="dxa"/>
              <w:right w:w="15" w:type="dxa"/>
            </w:tcMar>
            <w:vAlign w:val="bottom"/>
            <w:hideMark/>
          </w:tcPr>
          <w:p w14:paraId="42FD15F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17" w:type="dxa"/>
            <w:shd w:val="clear" w:color="auto" w:fill="CFF0FC"/>
            <w:tcMar>
              <w:top w:w="15" w:type="dxa"/>
              <w:left w:w="0" w:type="dxa"/>
              <w:bottom w:w="0" w:type="dxa"/>
              <w:right w:w="15" w:type="dxa"/>
            </w:tcMar>
            <w:vAlign w:val="bottom"/>
            <w:hideMark/>
          </w:tcPr>
          <w:p w14:paraId="0241A6E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BAD193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shd w:val="clear" w:color="auto" w:fill="CFF0FC"/>
            <w:noWrap/>
            <w:tcMar>
              <w:top w:w="15" w:type="dxa"/>
              <w:left w:w="0" w:type="dxa"/>
              <w:bottom w:w="0" w:type="dxa"/>
              <w:right w:w="15" w:type="dxa"/>
            </w:tcMar>
            <w:vAlign w:val="bottom"/>
            <w:hideMark/>
          </w:tcPr>
          <w:p w14:paraId="2AADA51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(503</w:t>
            </w:r>
          </w:p>
        </w:tc>
        <w:tc>
          <w:tcPr>
            <w:tcW w:w="193" w:type="dxa"/>
            <w:shd w:val="clear" w:color="auto" w:fill="CFF0FC"/>
            <w:noWrap/>
            <w:tcMar>
              <w:top w:w="15" w:type="dxa"/>
              <w:left w:w="0" w:type="dxa"/>
              <w:bottom w:w="0" w:type="dxa"/>
              <w:right w:w="15" w:type="dxa"/>
            </w:tcMar>
            <w:vAlign w:val="bottom"/>
            <w:hideMark/>
          </w:tcPr>
          <w:p w14:paraId="62A2ED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07288B94" w14:textId="77777777" w:rsidTr="00141675">
        <w:tc>
          <w:tcPr>
            <w:tcW w:w="11584" w:type="dxa"/>
            <w:shd w:val="clear" w:color="auto" w:fill="FFFFFF"/>
            <w:tcMar>
              <w:top w:w="15" w:type="dxa"/>
              <w:left w:w="0" w:type="dxa"/>
              <w:bottom w:w="0" w:type="dxa"/>
              <w:right w:w="15" w:type="dxa"/>
            </w:tcMar>
            <w:hideMark/>
          </w:tcPr>
          <w:p w14:paraId="2B8CFD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Income tax reform</w:t>
            </w:r>
            <w:r w:rsidRPr="00141675">
              <w:rPr>
                <w:rFonts w:ascii="Calibri" w:eastAsia="宋体" w:hAnsi="Calibri" w:cs="Calibri"/>
                <w:color w:val="000000"/>
                <w:kern w:val="0"/>
                <w:sz w:val="18"/>
                <w:szCs w:val="18"/>
                <w:vertAlign w:val="superscript"/>
              </w:rPr>
              <w:t>(7)</w:t>
            </w:r>
          </w:p>
        </w:tc>
        <w:tc>
          <w:tcPr>
            <w:tcW w:w="117" w:type="dxa"/>
            <w:shd w:val="clear" w:color="auto" w:fill="FFFFFF"/>
            <w:tcMar>
              <w:top w:w="15" w:type="dxa"/>
              <w:left w:w="0" w:type="dxa"/>
              <w:bottom w:w="0" w:type="dxa"/>
              <w:right w:w="15" w:type="dxa"/>
            </w:tcMar>
            <w:vAlign w:val="bottom"/>
            <w:hideMark/>
          </w:tcPr>
          <w:p w14:paraId="5AE8D5A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1586A8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tcBorders>
              <w:bottom w:val="single" w:sz="6" w:space="0" w:color="000000"/>
            </w:tcBorders>
            <w:shd w:val="clear" w:color="auto" w:fill="FFFFFF"/>
            <w:noWrap/>
            <w:tcMar>
              <w:top w:w="15" w:type="dxa"/>
              <w:left w:w="0" w:type="dxa"/>
              <w:bottom w:w="0" w:type="dxa"/>
              <w:right w:w="15" w:type="dxa"/>
            </w:tcMar>
            <w:vAlign w:val="bottom"/>
            <w:hideMark/>
          </w:tcPr>
          <w:p w14:paraId="27FBFCF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09233D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FFFFFF"/>
            <w:tcMar>
              <w:top w:w="15" w:type="dxa"/>
              <w:left w:w="0" w:type="dxa"/>
              <w:bottom w:w="0" w:type="dxa"/>
              <w:right w:w="15" w:type="dxa"/>
            </w:tcMar>
            <w:vAlign w:val="bottom"/>
            <w:hideMark/>
          </w:tcPr>
          <w:p w14:paraId="28003D6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C40722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tcBorders>
              <w:bottom w:val="single" w:sz="6" w:space="0" w:color="000000"/>
            </w:tcBorders>
            <w:shd w:val="clear" w:color="auto" w:fill="FFFFFF"/>
            <w:noWrap/>
            <w:tcMar>
              <w:top w:w="15" w:type="dxa"/>
              <w:left w:w="0" w:type="dxa"/>
              <w:bottom w:w="0" w:type="dxa"/>
              <w:right w:w="15" w:type="dxa"/>
            </w:tcMar>
            <w:vAlign w:val="bottom"/>
            <w:hideMark/>
          </w:tcPr>
          <w:p w14:paraId="3F693FC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43C092C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6" w:type="dxa"/>
            <w:shd w:val="clear" w:color="auto" w:fill="FFFFFF"/>
            <w:tcMar>
              <w:top w:w="15" w:type="dxa"/>
              <w:left w:w="0" w:type="dxa"/>
              <w:bottom w:w="0" w:type="dxa"/>
              <w:right w:w="15" w:type="dxa"/>
            </w:tcMar>
            <w:vAlign w:val="bottom"/>
            <w:hideMark/>
          </w:tcPr>
          <w:p w14:paraId="4DCCB6B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1894D3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tcBorders>
              <w:bottom w:val="single" w:sz="6" w:space="0" w:color="000000"/>
            </w:tcBorders>
            <w:shd w:val="clear" w:color="auto" w:fill="FFFFFF"/>
            <w:noWrap/>
            <w:tcMar>
              <w:top w:w="15" w:type="dxa"/>
              <w:left w:w="0" w:type="dxa"/>
              <w:bottom w:w="0" w:type="dxa"/>
              <w:right w:w="15" w:type="dxa"/>
            </w:tcMar>
            <w:vAlign w:val="bottom"/>
            <w:hideMark/>
          </w:tcPr>
          <w:p w14:paraId="4B63F13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91" w:type="dxa"/>
            <w:shd w:val="clear" w:color="auto" w:fill="FFFFFF"/>
            <w:noWrap/>
            <w:tcMar>
              <w:top w:w="15" w:type="dxa"/>
              <w:left w:w="0" w:type="dxa"/>
              <w:bottom w:w="0" w:type="dxa"/>
              <w:right w:w="15" w:type="dxa"/>
            </w:tcMar>
            <w:vAlign w:val="bottom"/>
            <w:hideMark/>
          </w:tcPr>
          <w:p w14:paraId="5429108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FFFFFF"/>
            <w:tcMar>
              <w:top w:w="15" w:type="dxa"/>
              <w:left w:w="0" w:type="dxa"/>
              <w:bottom w:w="0" w:type="dxa"/>
              <w:right w:w="15" w:type="dxa"/>
            </w:tcMar>
            <w:vAlign w:val="bottom"/>
            <w:hideMark/>
          </w:tcPr>
          <w:p w14:paraId="466C3DE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18F6A2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57" w:type="dxa"/>
            <w:tcBorders>
              <w:bottom w:val="single" w:sz="6" w:space="0" w:color="000000"/>
            </w:tcBorders>
            <w:shd w:val="clear" w:color="auto" w:fill="FFFFFF"/>
            <w:noWrap/>
            <w:tcMar>
              <w:top w:w="15" w:type="dxa"/>
              <w:left w:w="0" w:type="dxa"/>
              <w:bottom w:w="0" w:type="dxa"/>
              <w:right w:w="15" w:type="dxa"/>
            </w:tcMar>
            <w:vAlign w:val="bottom"/>
            <w:hideMark/>
          </w:tcPr>
          <w:p w14:paraId="35E7826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(153</w:t>
            </w:r>
          </w:p>
        </w:tc>
        <w:tc>
          <w:tcPr>
            <w:tcW w:w="193" w:type="dxa"/>
            <w:shd w:val="clear" w:color="auto" w:fill="FFFFFF"/>
            <w:noWrap/>
            <w:tcMar>
              <w:top w:w="15" w:type="dxa"/>
              <w:left w:w="0" w:type="dxa"/>
              <w:bottom w:w="0" w:type="dxa"/>
              <w:right w:w="15" w:type="dxa"/>
            </w:tcMar>
            <w:vAlign w:val="bottom"/>
            <w:hideMark/>
          </w:tcPr>
          <w:p w14:paraId="0D8374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7067E751" w14:textId="77777777" w:rsidTr="00141675">
        <w:tc>
          <w:tcPr>
            <w:tcW w:w="11584" w:type="dxa"/>
            <w:shd w:val="clear" w:color="auto" w:fill="CFF0FC"/>
            <w:tcMar>
              <w:top w:w="15" w:type="dxa"/>
              <w:left w:w="0" w:type="dxa"/>
              <w:bottom w:w="0" w:type="dxa"/>
              <w:right w:w="15" w:type="dxa"/>
            </w:tcMar>
            <w:hideMark/>
          </w:tcPr>
          <w:p w14:paraId="397F4F1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CFF0FC"/>
            <w:tcMar>
              <w:top w:w="15" w:type="dxa"/>
              <w:left w:w="0" w:type="dxa"/>
              <w:bottom w:w="0" w:type="dxa"/>
              <w:right w:w="15" w:type="dxa"/>
            </w:tcMar>
            <w:vAlign w:val="bottom"/>
            <w:hideMark/>
          </w:tcPr>
          <w:p w14:paraId="6409B9C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42A2A9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B0CE6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670</w:t>
            </w:r>
          </w:p>
        </w:tc>
        <w:tc>
          <w:tcPr>
            <w:tcW w:w="191" w:type="dxa"/>
            <w:shd w:val="clear" w:color="auto" w:fill="CFF0FC"/>
            <w:noWrap/>
            <w:tcMar>
              <w:top w:w="15" w:type="dxa"/>
              <w:left w:w="0" w:type="dxa"/>
              <w:bottom w:w="0" w:type="dxa"/>
              <w:right w:w="15" w:type="dxa"/>
            </w:tcMar>
            <w:vAlign w:val="bottom"/>
            <w:hideMark/>
          </w:tcPr>
          <w:p w14:paraId="59EA2B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CFF0FC"/>
            <w:tcMar>
              <w:top w:w="15" w:type="dxa"/>
              <w:left w:w="0" w:type="dxa"/>
              <w:bottom w:w="0" w:type="dxa"/>
              <w:right w:w="15" w:type="dxa"/>
            </w:tcMar>
            <w:vAlign w:val="bottom"/>
            <w:hideMark/>
          </w:tcPr>
          <w:p w14:paraId="079FBCD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61BEAE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810851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728</w:t>
            </w:r>
          </w:p>
        </w:tc>
        <w:tc>
          <w:tcPr>
            <w:tcW w:w="191" w:type="dxa"/>
            <w:shd w:val="clear" w:color="auto" w:fill="CFF0FC"/>
            <w:noWrap/>
            <w:tcMar>
              <w:top w:w="15" w:type="dxa"/>
              <w:left w:w="0" w:type="dxa"/>
              <w:bottom w:w="0" w:type="dxa"/>
              <w:right w:w="15" w:type="dxa"/>
            </w:tcMar>
            <w:vAlign w:val="bottom"/>
            <w:hideMark/>
          </w:tcPr>
          <w:p w14:paraId="3CCF0BB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66" w:type="dxa"/>
            <w:shd w:val="clear" w:color="auto" w:fill="CFF0FC"/>
            <w:tcMar>
              <w:top w:w="15" w:type="dxa"/>
              <w:left w:w="0" w:type="dxa"/>
              <w:bottom w:w="0" w:type="dxa"/>
              <w:right w:w="15" w:type="dxa"/>
            </w:tcMar>
            <w:vAlign w:val="bottom"/>
            <w:hideMark/>
          </w:tcPr>
          <w:p w14:paraId="6E013A1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01DFF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9ED78A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1,296</w:t>
            </w:r>
          </w:p>
        </w:tc>
        <w:tc>
          <w:tcPr>
            <w:tcW w:w="191" w:type="dxa"/>
            <w:shd w:val="clear" w:color="auto" w:fill="CFF0FC"/>
            <w:noWrap/>
            <w:tcMar>
              <w:top w:w="15" w:type="dxa"/>
              <w:left w:w="0" w:type="dxa"/>
              <w:bottom w:w="0" w:type="dxa"/>
              <w:right w:w="15" w:type="dxa"/>
            </w:tcMar>
            <w:vAlign w:val="bottom"/>
            <w:hideMark/>
          </w:tcPr>
          <w:p w14:paraId="063AA7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17" w:type="dxa"/>
            <w:shd w:val="clear" w:color="auto" w:fill="CFF0FC"/>
            <w:tcMar>
              <w:top w:w="15" w:type="dxa"/>
              <w:left w:w="0" w:type="dxa"/>
              <w:bottom w:w="0" w:type="dxa"/>
              <w:right w:w="15" w:type="dxa"/>
            </w:tcMar>
            <w:vAlign w:val="bottom"/>
            <w:hideMark/>
          </w:tcPr>
          <w:p w14:paraId="1343B34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4225F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57"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FB6D61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1,312</w:t>
            </w:r>
          </w:p>
        </w:tc>
        <w:tc>
          <w:tcPr>
            <w:tcW w:w="193" w:type="dxa"/>
            <w:shd w:val="clear" w:color="auto" w:fill="CFF0FC"/>
            <w:noWrap/>
            <w:tcMar>
              <w:top w:w="15" w:type="dxa"/>
              <w:left w:w="0" w:type="dxa"/>
              <w:bottom w:w="0" w:type="dxa"/>
              <w:right w:w="15" w:type="dxa"/>
            </w:tcMar>
            <w:vAlign w:val="bottom"/>
            <w:hideMark/>
          </w:tcPr>
          <w:p w14:paraId="143FD8AB"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5D220E67"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lastRenderedPageBreak/>
        <w:t>32</w:t>
      </w:r>
    </w:p>
    <w:p w14:paraId="7E8F688B"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2DEEFD80">
          <v:rect id="_x0000_i1058" style="width:0;height:1.5pt" o:hralign="center" o:hrstd="t" o:hrnoshade="t" o:hr="t" fillcolor="black" stroked="f"/>
        </w:pict>
      </w:r>
    </w:p>
    <w:p w14:paraId="5EAAA89C" w14:textId="77777777" w:rsidR="00141675" w:rsidRPr="00141675" w:rsidRDefault="00141675" w:rsidP="00141675">
      <w:pPr>
        <w:widowControl/>
        <w:jc w:val="left"/>
        <w:rPr>
          <w:rFonts w:ascii="Calibri" w:eastAsia="宋体" w:hAnsi="Calibri" w:cs="Calibri"/>
          <w:b/>
          <w:bCs/>
          <w:color w:val="000000"/>
          <w:kern w:val="0"/>
          <w:sz w:val="20"/>
          <w:szCs w:val="20"/>
        </w:rPr>
      </w:pPr>
      <w:hyperlink r:id="rId55" w:anchor="TABLE_CONTENTS" w:history="1">
        <w:r w:rsidRPr="00141675">
          <w:rPr>
            <w:rFonts w:ascii="Calibri" w:eastAsia="宋体" w:hAnsi="Calibri" w:cs="Calibri"/>
            <w:b/>
            <w:bCs/>
            <w:color w:val="0000FF"/>
            <w:kern w:val="0"/>
            <w:sz w:val="20"/>
            <w:szCs w:val="20"/>
            <w:u w:val="single"/>
          </w:rPr>
          <w:t>Table of Contents</w:t>
        </w:r>
      </w:hyperlink>
    </w:p>
    <w:p w14:paraId="54135C49"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05C840C7" w14:textId="77777777" w:rsidR="00141675" w:rsidRPr="00141675" w:rsidRDefault="00141675" w:rsidP="00141675">
      <w:pPr>
        <w:widowControl/>
        <w:pBdr>
          <w:bottom w:val="single" w:sz="6" w:space="1" w:color="auto"/>
        </w:pBdr>
        <w:ind w:right="18324"/>
        <w:jc w:val="left"/>
        <w:rPr>
          <w:rFonts w:ascii="Times New Roman" w:eastAsia="宋体" w:hAnsi="Times New Roman" w:cs="Times New Roman"/>
          <w:color w:val="000000"/>
          <w:kern w:val="0"/>
          <w:sz w:val="12"/>
          <w:szCs w:val="12"/>
        </w:rPr>
      </w:pPr>
      <w:r w:rsidRPr="00141675">
        <w:rPr>
          <w:rFonts w:ascii="Times New Roman" w:eastAsia="宋体" w:hAnsi="Times New Roman" w:cs="Times New Roman"/>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45D1B795" w14:textId="77777777" w:rsidTr="00141675">
        <w:tc>
          <w:tcPr>
            <w:tcW w:w="794" w:type="dxa"/>
            <w:noWrap/>
            <w:hideMark/>
          </w:tcPr>
          <w:p w14:paraId="6E69C71D"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6B08A5E8"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In connection with our acquisitions, we have estimated the fair values of the cloud services and license support contracts assumed. Due to our application of business combination accounting rules, we did not recognize the cloud services and license support revenue amounts as presented in the above table that would have otherwise been recorded by the acquired businesses as independent entities upon delivery of the contractual obligations. To the extent customers for which these contractual obligations pertain renew these contracts with us, we expect to recognize revenues for the full contracts’ values over the respective contracts’ renewal periods.</w:t>
            </w:r>
          </w:p>
        </w:tc>
      </w:tr>
      <w:tr w:rsidR="00141675" w:rsidRPr="00141675" w14:paraId="38E1D697" w14:textId="77777777" w:rsidTr="00141675">
        <w:tc>
          <w:tcPr>
            <w:tcW w:w="794" w:type="dxa"/>
            <w:noWrap/>
            <w:hideMark/>
          </w:tcPr>
          <w:p w14:paraId="197CA42D"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8"/>
                <w:szCs w:val="18"/>
                <w:vertAlign w:val="superscript"/>
              </w:rPr>
              <w:t>(2)</w:t>
            </w:r>
          </w:p>
        </w:tc>
        <w:tc>
          <w:tcPr>
            <w:tcW w:w="0" w:type="auto"/>
            <w:hideMark/>
          </w:tcPr>
          <w:p w14:paraId="5DB30C0A"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5"/>
                <w:szCs w:val="15"/>
              </w:rPr>
              <w:t>Represents the amortization of intangible assets, substantially all of which were acquired in connection with our acquisitions. As of November 30, 2019, estimated future amortization related to intangible assets was as follows (in millions):</w:t>
            </w:r>
          </w:p>
        </w:tc>
      </w:tr>
    </w:tbl>
    <w:p w14:paraId="4AF23B77" w14:textId="77777777" w:rsidR="00141675" w:rsidRPr="00141675" w:rsidRDefault="00141675" w:rsidP="00141675">
      <w:pPr>
        <w:widowControl/>
        <w:ind w:left="794" w:hanging="471"/>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808"/>
        <w:gridCol w:w="16887"/>
        <w:gridCol w:w="328"/>
        <w:gridCol w:w="200"/>
        <w:gridCol w:w="2190"/>
        <w:gridCol w:w="201"/>
      </w:tblGrid>
      <w:tr w:rsidR="00141675" w:rsidRPr="00141675" w14:paraId="7391C029" w14:textId="77777777" w:rsidTr="00141675">
        <w:tc>
          <w:tcPr>
            <w:tcW w:w="806" w:type="dxa"/>
            <w:shd w:val="clear" w:color="auto" w:fill="FFFFFF"/>
            <w:tcMar>
              <w:top w:w="15" w:type="dxa"/>
              <w:left w:w="0" w:type="dxa"/>
              <w:bottom w:w="0" w:type="dxa"/>
              <w:right w:w="15" w:type="dxa"/>
            </w:tcMar>
            <w:vAlign w:val="bottom"/>
            <w:hideMark/>
          </w:tcPr>
          <w:p w14:paraId="49E0318D"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16834" w:type="dxa"/>
            <w:shd w:val="clear" w:color="auto" w:fill="CFF0FC"/>
            <w:tcMar>
              <w:top w:w="15" w:type="dxa"/>
              <w:left w:w="0" w:type="dxa"/>
              <w:bottom w:w="0" w:type="dxa"/>
              <w:right w:w="15" w:type="dxa"/>
            </w:tcMar>
            <w:hideMark/>
          </w:tcPr>
          <w:p w14:paraId="38D9C89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Remainder of fiscal 2020</w:t>
            </w:r>
          </w:p>
        </w:tc>
        <w:tc>
          <w:tcPr>
            <w:tcW w:w="327" w:type="dxa"/>
            <w:shd w:val="clear" w:color="auto" w:fill="CFF0FC"/>
            <w:tcMar>
              <w:top w:w="15" w:type="dxa"/>
              <w:left w:w="0" w:type="dxa"/>
              <w:bottom w:w="0" w:type="dxa"/>
              <w:right w:w="15" w:type="dxa"/>
            </w:tcMar>
            <w:vAlign w:val="bottom"/>
            <w:hideMark/>
          </w:tcPr>
          <w:p w14:paraId="15F0FE9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96356A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2175" w:type="dxa"/>
            <w:shd w:val="clear" w:color="auto" w:fill="CFF0FC"/>
            <w:noWrap/>
            <w:tcMar>
              <w:top w:w="15" w:type="dxa"/>
              <w:left w:w="0" w:type="dxa"/>
              <w:bottom w:w="0" w:type="dxa"/>
              <w:right w:w="15" w:type="dxa"/>
            </w:tcMar>
            <w:vAlign w:val="bottom"/>
            <w:hideMark/>
          </w:tcPr>
          <w:p w14:paraId="5300D555"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766</w:t>
            </w:r>
          </w:p>
        </w:tc>
        <w:tc>
          <w:tcPr>
            <w:tcW w:w="192" w:type="dxa"/>
            <w:shd w:val="clear" w:color="auto" w:fill="CFF0FC"/>
            <w:noWrap/>
            <w:tcMar>
              <w:top w:w="15" w:type="dxa"/>
              <w:left w:w="0" w:type="dxa"/>
              <w:bottom w:w="0" w:type="dxa"/>
              <w:right w:w="15" w:type="dxa"/>
            </w:tcMar>
            <w:vAlign w:val="bottom"/>
            <w:hideMark/>
          </w:tcPr>
          <w:p w14:paraId="6204F75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31555228" w14:textId="77777777" w:rsidTr="00141675">
        <w:tc>
          <w:tcPr>
            <w:tcW w:w="806" w:type="dxa"/>
            <w:shd w:val="clear" w:color="auto" w:fill="FFFFFF"/>
            <w:tcMar>
              <w:top w:w="15" w:type="dxa"/>
              <w:left w:w="0" w:type="dxa"/>
              <w:bottom w:w="0" w:type="dxa"/>
              <w:right w:w="15" w:type="dxa"/>
            </w:tcMar>
            <w:vAlign w:val="bottom"/>
            <w:hideMark/>
          </w:tcPr>
          <w:p w14:paraId="3985D2E4" w14:textId="77777777" w:rsidR="00141675" w:rsidRPr="00141675" w:rsidRDefault="00141675" w:rsidP="00141675">
            <w:pPr>
              <w:widowControl/>
              <w:jc w:val="lef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16834" w:type="dxa"/>
            <w:shd w:val="clear" w:color="auto" w:fill="FFFFFF"/>
            <w:tcMar>
              <w:top w:w="15" w:type="dxa"/>
              <w:left w:w="0" w:type="dxa"/>
              <w:bottom w:w="0" w:type="dxa"/>
              <w:right w:w="15" w:type="dxa"/>
            </w:tcMar>
            <w:hideMark/>
          </w:tcPr>
          <w:p w14:paraId="5DF8412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Fiscal 2021</w:t>
            </w:r>
          </w:p>
        </w:tc>
        <w:tc>
          <w:tcPr>
            <w:tcW w:w="327" w:type="dxa"/>
            <w:shd w:val="clear" w:color="auto" w:fill="FFFFFF"/>
            <w:tcMar>
              <w:top w:w="15" w:type="dxa"/>
              <w:left w:w="0" w:type="dxa"/>
              <w:bottom w:w="0" w:type="dxa"/>
              <w:right w:w="15" w:type="dxa"/>
            </w:tcMar>
            <w:vAlign w:val="bottom"/>
            <w:hideMark/>
          </w:tcPr>
          <w:p w14:paraId="17E95F1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EF11BD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175" w:type="dxa"/>
            <w:shd w:val="clear" w:color="auto" w:fill="FFFFFF"/>
            <w:noWrap/>
            <w:tcMar>
              <w:top w:w="15" w:type="dxa"/>
              <w:left w:w="0" w:type="dxa"/>
              <w:bottom w:w="0" w:type="dxa"/>
              <w:right w:w="15" w:type="dxa"/>
            </w:tcMar>
            <w:vAlign w:val="bottom"/>
            <w:hideMark/>
          </w:tcPr>
          <w:p w14:paraId="32C4F871"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1,347</w:t>
            </w:r>
          </w:p>
        </w:tc>
        <w:tc>
          <w:tcPr>
            <w:tcW w:w="192" w:type="dxa"/>
            <w:shd w:val="clear" w:color="auto" w:fill="FFFFFF"/>
            <w:noWrap/>
            <w:tcMar>
              <w:top w:w="15" w:type="dxa"/>
              <w:left w:w="0" w:type="dxa"/>
              <w:bottom w:w="0" w:type="dxa"/>
              <w:right w:w="15" w:type="dxa"/>
            </w:tcMar>
            <w:vAlign w:val="bottom"/>
            <w:hideMark/>
          </w:tcPr>
          <w:p w14:paraId="497BE6E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6F8C3792" w14:textId="77777777" w:rsidTr="00141675">
        <w:tc>
          <w:tcPr>
            <w:tcW w:w="806" w:type="dxa"/>
            <w:shd w:val="clear" w:color="auto" w:fill="FFFFFF"/>
            <w:tcMar>
              <w:top w:w="15" w:type="dxa"/>
              <w:left w:w="0" w:type="dxa"/>
              <w:bottom w:w="0" w:type="dxa"/>
              <w:right w:w="15" w:type="dxa"/>
            </w:tcMar>
            <w:vAlign w:val="bottom"/>
            <w:hideMark/>
          </w:tcPr>
          <w:p w14:paraId="313D8B25" w14:textId="77777777" w:rsidR="00141675" w:rsidRPr="00141675" w:rsidRDefault="00141675" w:rsidP="00141675">
            <w:pPr>
              <w:widowControl/>
              <w:jc w:val="lef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16834" w:type="dxa"/>
            <w:shd w:val="clear" w:color="auto" w:fill="CFF0FC"/>
            <w:tcMar>
              <w:top w:w="15" w:type="dxa"/>
              <w:left w:w="0" w:type="dxa"/>
              <w:bottom w:w="0" w:type="dxa"/>
              <w:right w:w="15" w:type="dxa"/>
            </w:tcMar>
            <w:hideMark/>
          </w:tcPr>
          <w:p w14:paraId="210FD04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Fiscal 2022</w:t>
            </w:r>
          </w:p>
        </w:tc>
        <w:tc>
          <w:tcPr>
            <w:tcW w:w="327" w:type="dxa"/>
            <w:shd w:val="clear" w:color="auto" w:fill="CFF0FC"/>
            <w:tcMar>
              <w:top w:w="15" w:type="dxa"/>
              <w:left w:w="0" w:type="dxa"/>
              <w:bottom w:w="0" w:type="dxa"/>
              <w:right w:w="15" w:type="dxa"/>
            </w:tcMar>
            <w:vAlign w:val="bottom"/>
            <w:hideMark/>
          </w:tcPr>
          <w:p w14:paraId="76B5F25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D1F809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175" w:type="dxa"/>
            <w:shd w:val="clear" w:color="auto" w:fill="CFF0FC"/>
            <w:noWrap/>
            <w:tcMar>
              <w:top w:w="15" w:type="dxa"/>
              <w:left w:w="0" w:type="dxa"/>
              <w:bottom w:w="0" w:type="dxa"/>
              <w:right w:w="15" w:type="dxa"/>
            </w:tcMar>
            <w:vAlign w:val="bottom"/>
            <w:hideMark/>
          </w:tcPr>
          <w:p w14:paraId="7C954B04"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1,098</w:t>
            </w:r>
          </w:p>
        </w:tc>
        <w:tc>
          <w:tcPr>
            <w:tcW w:w="192" w:type="dxa"/>
            <w:shd w:val="clear" w:color="auto" w:fill="CFF0FC"/>
            <w:noWrap/>
            <w:tcMar>
              <w:top w:w="15" w:type="dxa"/>
              <w:left w:w="0" w:type="dxa"/>
              <w:bottom w:w="0" w:type="dxa"/>
              <w:right w:w="15" w:type="dxa"/>
            </w:tcMar>
            <w:vAlign w:val="bottom"/>
            <w:hideMark/>
          </w:tcPr>
          <w:p w14:paraId="066BC5B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3AD16242" w14:textId="77777777" w:rsidTr="00141675">
        <w:tc>
          <w:tcPr>
            <w:tcW w:w="806" w:type="dxa"/>
            <w:shd w:val="clear" w:color="auto" w:fill="FFFFFF"/>
            <w:tcMar>
              <w:top w:w="15" w:type="dxa"/>
              <w:left w:w="0" w:type="dxa"/>
              <w:bottom w:w="0" w:type="dxa"/>
              <w:right w:w="15" w:type="dxa"/>
            </w:tcMar>
            <w:vAlign w:val="bottom"/>
            <w:hideMark/>
          </w:tcPr>
          <w:p w14:paraId="713CCA2E" w14:textId="77777777" w:rsidR="00141675" w:rsidRPr="00141675" w:rsidRDefault="00141675" w:rsidP="00141675">
            <w:pPr>
              <w:widowControl/>
              <w:jc w:val="lef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16834" w:type="dxa"/>
            <w:shd w:val="clear" w:color="auto" w:fill="FFFFFF"/>
            <w:tcMar>
              <w:top w:w="15" w:type="dxa"/>
              <w:left w:w="0" w:type="dxa"/>
              <w:bottom w:w="0" w:type="dxa"/>
              <w:right w:w="15" w:type="dxa"/>
            </w:tcMar>
            <w:hideMark/>
          </w:tcPr>
          <w:p w14:paraId="4425478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Fiscal 2023</w:t>
            </w:r>
          </w:p>
        </w:tc>
        <w:tc>
          <w:tcPr>
            <w:tcW w:w="327" w:type="dxa"/>
            <w:shd w:val="clear" w:color="auto" w:fill="FFFFFF"/>
            <w:tcMar>
              <w:top w:w="15" w:type="dxa"/>
              <w:left w:w="0" w:type="dxa"/>
              <w:bottom w:w="0" w:type="dxa"/>
              <w:right w:w="15" w:type="dxa"/>
            </w:tcMar>
            <w:vAlign w:val="bottom"/>
            <w:hideMark/>
          </w:tcPr>
          <w:p w14:paraId="65354F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9402B9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175" w:type="dxa"/>
            <w:shd w:val="clear" w:color="auto" w:fill="FFFFFF"/>
            <w:noWrap/>
            <w:tcMar>
              <w:top w:w="15" w:type="dxa"/>
              <w:left w:w="0" w:type="dxa"/>
              <w:bottom w:w="0" w:type="dxa"/>
              <w:right w:w="15" w:type="dxa"/>
            </w:tcMar>
            <w:vAlign w:val="bottom"/>
            <w:hideMark/>
          </w:tcPr>
          <w:p w14:paraId="3DD559AF"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675</w:t>
            </w:r>
          </w:p>
        </w:tc>
        <w:tc>
          <w:tcPr>
            <w:tcW w:w="192" w:type="dxa"/>
            <w:shd w:val="clear" w:color="auto" w:fill="FFFFFF"/>
            <w:noWrap/>
            <w:tcMar>
              <w:top w:w="15" w:type="dxa"/>
              <w:left w:w="0" w:type="dxa"/>
              <w:bottom w:w="0" w:type="dxa"/>
              <w:right w:w="15" w:type="dxa"/>
            </w:tcMar>
            <w:vAlign w:val="bottom"/>
            <w:hideMark/>
          </w:tcPr>
          <w:p w14:paraId="3CDE64E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07CFAEAB" w14:textId="77777777" w:rsidTr="00141675">
        <w:tc>
          <w:tcPr>
            <w:tcW w:w="806" w:type="dxa"/>
            <w:shd w:val="clear" w:color="auto" w:fill="FFFFFF"/>
            <w:tcMar>
              <w:top w:w="15" w:type="dxa"/>
              <w:left w:w="0" w:type="dxa"/>
              <w:bottom w:w="0" w:type="dxa"/>
              <w:right w:w="15" w:type="dxa"/>
            </w:tcMar>
            <w:vAlign w:val="bottom"/>
            <w:hideMark/>
          </w:tcPr>
          <w:p w14:paraId="0DB3593E" w14:textId="77777777" w:rsidR="00141675" w:rsidRPr="00141675" w:rsidRDefault="00141675" w:rsidP="00141675">
            <w:pPr>
              <w:widowControl/>
              <w:jc w:val="lef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16834" w:type="dxa"/>
            <w:shd w:val="clear" w:color="auto" w:fill="CFF0FC"/>
            <w:tcMar>
              <w:top w:w="15" w:type="dxa"/>
              <w:left w:w="0" w:type="dxa"/>
              <w:bottom w:w="0" w:type="dxa"/>
              <w:right w:w="15" w:type="dxa"/>
            </w:tcMar>
            <w:hideMark/>
          </w:tcPr>
          <w:p w14:paraId="34735C2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Fiscal 2024</w:t>
            </w:r>
          </w:p>
        </w:tc>
        <w:tc>
          <w:tcPr>
            <w:tcW w:w="327" w:type="dxa"/>
            <w:shd w:val="clear" w:color="auto" w:fill="CFF0FC"/>
            <w:tcMar>
              <w:top w:w="15" w:type="dxa"/>
              <w:left w:w="0" w:type="dxa"/>
              <w:bottom w:w="0" w:type="dxa"/>
              <w:right w:w="15" w:type="dxa"/>
            </w:tcMar>
            <w:vAlign w:val="bottom"/>
            <w:hideMark/>
          </w:tcPr>
          <w:p w14:paraId="48A2A8E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23362E8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175" w:type="dxa"/>
            <w:shd w:val="clear" w:color="auto" w:fill="CFF0FC"/>
            <w:noWrap/>
            <w:tcMar>
              <w:top w:w="15" w:type="dxa"/>
              <w:left w:w="0" w:type="dxa"/>
              <w:bottom w:w="0" w:type="dxa"/>
              <w:right w:w="15" w:type="dxa"/>
            </w:tcMar>
            <w:vAlign w:val="bottom"/>
            <w:hideMark/>
          </w:tcPr>
          <w:p w14:paraId="70A41356"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445</w:t>
            </w:r>
          </w:p>
        </w:tc>
        <w:tc>
          <w:tcPr>
            <w:tcW w:w="192" w:type="dxa"/>
            <w:shd w:val="clear" w:color="auto" w:fill="CFF0FC"/>
            <w:noWrap/>
            <w:tcMar>
              <w:top w:w="15" w:type="dxa"/>
              <w:left w:w="0" w:type="dxa"/>
              <w:bottom w:w="0" w:type="dxa"/>
              <w:right w:w="15" w:type="dxa"/>
            </w:tcMar>
            <w:vAlign w:val="bottom"/>
            <w:hideMark/>
          </w:tcPr>
          <w:p w14:paraId="6186B4B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66AE4213" w14:textId="77777777" w:rsidTr="00141675">
        <w:tc>
          <w:tcPr>
            <w:tcW w:w="806" w:type="dxa"/>
            <w:shd w:val="clear" w:color="auto" w:fill="FFFFFF"/>
            <w:tcMar>
              <w:top w:w="15" w:type="dxa"/>
              <w:left w:w="0" w:type="dxa"/>
              <w:bottom w:w="0" w:type="dxa"/>
              <w:right w:w="15" w:type="dxa"/>
            </w:tcMar>
            <w:vAlign w:val="bottom"/>
            <w:hideMark/>
          </w:tcPr>
          <w:p w14:paraId="456C95F6" w14:textId="77777777" w:rsidR="00141675" w:rsidRPr="00141675" w:rsidRDefault="00141675" w:rsidP="00141675">
            <w:pPr>
              <w:widowControl/>
              <w:jc w:val="lef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16834" w:type="dxa"/>
            <w:shd w:val="clear" w:color="auto" w:fill="FFFFFF"/>
            <w:tcMar>
              <w:top w:w="15" w:type="dxa"/>
              <w:left w:w="0" w:type="dxa"/>
              <w:bottom w:w="0" w:type="dxa"/>
              <w:right w:w="15" w:type="dxa"/>
            </w:tcMar>
            <w:hideMark/>
          </w:tcPr>
          <w:p w14:paraId="71C1CEE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Fiscal 2025</w:t>
            </w:r>
          </w:p>
        </w:tc>
        <w:tc>
          <w:tcPr>
            <w:tcW w:w="327" w:type="dxa"/>
            <w:shd w:val="clear" w:color="auto" w:fill="FFFFFF"/>
            <w:tcMar>
              <w:top w:w="15" w:type="dxa"/>
              <w:left w:w="0" w:type="dxa"/>
              <w:bottom w:w="0" w:type="dxa"/>
              <w:right w:w="15" w:type="dxa"/>
            </w:tcMar>
            <w:vAlign w:val="bottom"/>
            <w:hideMark/>
          </w:tcPr>
          <w:p w14:paraId="332BCA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216253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175" w:type="dxa"/>
            <w:shd w:val="clear" w:color="auto" w:fill="FFFFFF"/>
            <w:noWrap/>
            <w:tcMar>
              <w:top w:w="15" w:type="dxa"/>
              <w:left w:w="0" w:type="dxa"/>
              <w:bottom w:w="0" w:type="dxa"/>
              <w:right w:w="15" w:type="dxa"/>
            </w:tcMar>
            <w:vAlign w:val="bottom"/>
            <w:hideMark/>
          </w:tcPr>
          <w:p w14:paraId="169DC33D"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126</w:t>
            </w:r>
          </w:p>
        </w:tc>
        <w:tc>
          <w:tcPr>
            <w:tcW w:w="192" w:type="dxa"/>
            <w:shd w:val="clear" w:color="auto" w:fill="FFFFFF"/>
            <w:noWrap/>
            <w:tcMar>
              <w:top w:w="15" w:type="dxa"/>
              <w:left w:w="0" w:type="dxa"/>
              <w:bottom w:w="0" w:type="dxa"/>
              <w:right w:w="15" w:type="dxa"/>
            </w:tcMar>
            <w:vAlign w:val="bottom"/>
            <w:hideMark/>
          </w:tcPr>
          <w:p w14:paraId="3D57A6F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3C3091B5" w14:textId="77777777" w:rsidTr="00141675">
        <w:tc>
          <w:tcPr>
            <w:tcW w:w="806" w:type="dxa"/>
            <w:shd w:val="clear" w:color="auto" w:fill="FFFFFF"/>
            <w:tcMar>
              <w:top w:w="15" w:type="dxa"/>
              <w:left w:w="0" w:type="dxa"/>
              <w:bottom w:w="0" w:type="dxa"/>
              <w:right w:w="15" w:type="dxa"/>
            </w:tcMar>
            <w:vAlign w:val="bottom"/>
            <w:hideMark/>
          </w:tcPr>
          <w:p w14:paraId="4629D102" w14:textId="77777777" w:rsidR="00141675" w:rsidRPr="00141675" w:rsidRDefault="00141675" w:rsidP="00141675">
            <w:pPr>
              <w:widowControl/>
              <w:jc w:val="lef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16834" w:type="dxa"/>
            <w:shd w:val="clear" w:color="auto" w:fill="CFF0FC"/>
            <w:tcMar>
              <w:top w:w="15" w:type="dxa"/>
              <w:left w:w="0" w:type="dxa"/>
              <w:bottom w:w="0" w:type="dxa"/>
              <w:right w:w="15" w:type="dxa"/>
            </w:tcMar>
            <w:hideMark/>
          </w:tcPr>
          <w:p w14:paraId="4D44081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Thereafter</w:t>
            </w:r>
          </w:p>
        </w:tc>
        <w:tc>
          <w:tcPr>
            <w:tcW w:w="327" w:type="dxa"/>
            <w:shd w:val="clear" w:color="auto" w:fill="CFF0FC"/>
            <w:tcMar>
              <w:top w:w="15" w:type="dxa"/>
              <w:left w:w="0" w:type="dxa"/>
              <w:bottom w:w="0" w:type="dxa"/>
              <w:right w:w="15" w:type="dxa"/>
            </w:tcMar>
            <w:vAlign w:val="bottom"/>
            <w:hideMark/>
          </w:tcPr>
          <w:p w14:paraId="45F7A72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48D3AD7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175" w:type="dxa"/>
            <w:tcBorders>
              <w:bottom w:val="single" w:sz="6" w:space="0" w:color="000000"/>
            </w:tcBorders>
            <w:shd w:val="clear" w:color="auto" w:fill="CFF0FC"/>
            <w:noWrap/>
            <w:tcMar>
              <w:top w:w="15" w:type="dxa"/>
              <w:left w:w="0" w:type="dxa"/>
              <w:bottom w:w="0" w:type="dxa"/>
              <w:right w:w="15" w:type="dxa"/>
            </w:tcMar>
            <w:vAlign w:val="bottom"/>
            <w:hideMark/>
          </w:tcPr>
          <w:p w14:paraId="7BB1F668"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35</w:t>
            </w:r>
          </w:p>
        </w:tc>
        <w:tc>
          <w:tcPr>
            <w:tcW w:w="192" w:type="dxa"/>
            <w:shd w:val="clear" w:color="auto" w:fill="CFF0FC"/>
            <w:noWrap/>
            <w:tcMar>
              <w:top w:w="15" w:type="dxa"/>
              <w:left w:w="0" w:type="dxa"/>
              <w:bottom w:w="0" w:type="dxa"/>
              <w:right w:w="15" w:type="dxa"/>
            </w:tcMar>
            <w:vAlign w:val="bottom"/>
            <w:hideMark/>
          </w:tcPr>
          <w:p w14:paraId="7546E79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4176D345" w14:textId="77777777" w:rsidTr="00141675">
        <w:tc>
          <w:tcPr>
            <w:tcW w:w="806" w:type="dxa"/>
            <w:shd w:val="clear" w:color="auto" w:fill="FFFFFF"/>
            <w:tcMar>
              <w:top w:w="15" w:type="dxa"/>
              <w:left w:w="0" w:type="dxa"/>
              <w:bottom w:w="0" w:type="dxa"/>
              <w:right w:w="15" w:type="dxa"/>
            </w:tcMar>
            <w:vAlign w:val="bottom"/>
            <w:hideMark/>
          </w:tcPr>
          <w:p w14:paraId="2E52A997" w14:textId="77777777" w:rsidR="00141675" w:rsidRPr="00141675" w:rsidRDefault="00141675" w:rsidP="00141675">
            <w:pPr>
              <w:widowControl/>
              <w:jc w:val="left"/>
              <w:rPr>
                <w:rFonts w:ascii="Times New Roman" w:eastAsia="宋体" w:hAnsi="Times New Roman" w:cs="Times New Roman"/>
                <w:color w:val="000000"/>
                <w:kern w:val="0"/>
                <w:sz w:val="17"/>
                <w:szCs w:val="17"/>
              </w:rPr>
            </w:pPr>
            <w:r w:rsidRPr="00141675">
              <w:rPr>
                <w:rFonts w:ascii="Times New Roman" w:eastAsia="宋体" w:hAnsi="Times New Roman" w:cs="Times New Roman"/>
                <w:color w:val="000000"/>
                <w:kern w:val="0"/>
                <w:sz w:val="17"/>
                <w:szCs w:val="17"/>
              </w:rPr>
              <w:t> </w:t>
            </w:r>
          </w:p>
        </w:tc>
        <w:tc>
          <w:tcPr>
            <w:tcW w:w="16834" w:type="dxa"/>
            <w:shd w:val="clear" w:color="auto" w:fill="FFFFFF"/>
            <w:tcMar>
              <w:top w:w="15" w:type="dxa"/>
              <w:left w:w="0" w:type="dxa"/>
              <w:bottom w:w="0" w:type="dxa"/>
              <w:right w:w="15" w:type="dxa"/>
            </w:tcMar>
            <w:hideMark/>
          </w:tcPr>
          <w:p w14:paraId="3440E1B8" w14:textId="77777777" w:rsidR="00141675" w:rsidRPr="00141675" w:rsidRDefault="00141675" w:rsidP="00141675">
            <w:pPr>
              <w:widowControl/>
              <w:ind w:left="410"/>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Total intangible assets, net</w:t>
            </w:r>
          </w:p>
        </w:tc>
        <w:tc>
          <w:tcPr>
            <w:tcW w:w="327" w:type="dxa"/>
            <w:shd w:val="clear" w:color="auto" w:fill="FFFFFF"/>
            <w:tcMar>
              <w:top w:w="15" w:type="dxa"/>
              <w:left w:w="0" w:type="dxa"/>
              <w:bottom w:w="0" w:type="dxa"/>
              <w:right w:w="15" w:type="dxa"/>
            </w:tcMar>
            <w:vAlign w:val="bottom"/>
            <w:hideMark/>
          </w:tcPr>
          <w:p w14:paraId="38201DD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325C4A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2175"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AF71F8E"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4,492</w:t>
            </w:r>
          </w:p>
        </w:tc>
        <w:tc>
          <w:tcPr>
            <w:tcW w:w="192" w:type="dxa"/>
            <w:shd w:val="clear" w:color="auto" w:fill="FFFFFF"/>
            <w:noWrap/>
            <w:tcMar>
              <w:top w:w="15" w:type="dxa"/>
              <w:left w:w="0" w:type="dxa"/>
              <w:bottom w:w="0" w:type="dxa"/>
              <w:right w:w="15" w:type="dxa"/>
            </w:tcMar>
            <w:vAlign w:val="bottom"/>
            <w:hideMark/>
          </w:tcPr>
          <w:p w14:paraId="158243FC"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0693C4CD"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02F1CF94" w14:textId="77777777" w:rsidTr="00141675">
        <w:tc>
          <w:tcPr>
            <w:tcW w:w="794" w:type="dxa"/>
            <w:noWrap/>
            <w:hideMark/>
          </w:tcPr>
          <w:p w14:paraId="6DF1B1EE" w14:textId="77777777" w:rsidR="00141675" w:rsidRPr="00141675" w:rsidRDefault="00141675" w:rsidP="00141675">
            <w:pPr>
              <w:widowControl/>
              <w:rPr>
                <w:rFonts w:ascii="Calibri" w:eastAsia="宋体" w:hAnsi="Calibri" w:cs="Calibri" w:hint="eastAsia"/>
                <w:kern w:val="0"/>
                <w:sz w:val="15"/>
                <w:szCs w:val="15"/>
              </w:rPr>
            </w:pPr>
            <w:r w:rsidRPr="00141675">
              <w:rPr>
                <w:rFonts w:ascii="Calibri" w:eastAsia="宋体" w:hAnsi="Calibri" w:cs="Calibri"/>
                <w:kern w:val="0"/>
                <w:sz w:val="18"/>
                <w:szCs w:val="18"/>
                <w:vertAlign w:val="superscript"/>
              </w:rPr>
              <w:t>(3)</w:t>
            </w:r>
          </w:p>
        </w:tc>
        <w:tc>
          <w:tcPr>
            <w:tcW w:w="0" w:type="auto"/>
            <w:hideMark/>
          </w:tcPr>
          <w:p w14:paraId="6C43DFE9" w14:textId="77777777" w:rsidR="00141675" w:rsidRPr="00141675" w:rsidRDefault="00141675" w:rsidP="00141675">
            <w:pPr>
              <w:widowControl/>
              <w:rPr>
                <w:rFonts w:ascii="Calibri" w:eastAsia="宋体" w:hAnsi="Calibri" w:cs="Calibri"/>
                <w:kern w:val="0"/>
                <w:sz w:val="15"/>
                <w:szCs w:val="15"/>
              </w:rPr>
            </w:pPr>
            <w:r w:rsidRPr="00141675">
              <w:rPr>
                <w:rFonts w:ascii="Calibri" w:eastAsia="宋体" w:hAnsi="Calibri" w:cs="Calibri"/>
                <w:kern w:val="0"/>
                <w:sz w:val="15"/>
                <w:szCs w:val="15"/>
              </w:rPr>
              <w:t>Acquisition related and other expenses primarily consist of personnel related costs for transitional and certain other employees, integration related professional services, certain business combination adjustments including certain adjustments after the measurement period has ended and certain other operating items, net.</w:t>
            </w:r>
          </w:p>
        </w:tc>
      </w:tr>
      <w:tr w:rsidR="00141675" w:rsidRPr="00141675" w14:paraId="566B57D0" w14:textId="77777777" w:rsidTr="00141675">
        <w:tc>
          <w:tcPr>
            <w:tcW w:w="794" w:type="dxa"/>
            <w:noWrap/>
            <w:hideMark/>
          </w:tcPr>
          <w:p w14:paraId="11B523D4"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8"/>
                <w:szCs w:val="18"/>
                <w:vertAlign w:val="superscript"/>
              </w:rPr>
              <w:t>(4)</w:t>
            </w:r>
          </w:p>
        </w:tc>
        <w:tc>
          <w:tcPr>
            <w:tcW w:w="0" w:type="auto"/>
            <w:hideMark/>
          </w:tcPr>
          <w:p w14:paraId="6D2C454C"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5"/>
                <w:szCs w:val="15"/>
              </w:rPr>
              <w:t>Restructuring expenses during the first half of fiscal 2020 and 2019 both primarily related to employee severance in connection with our Fiscal 2019 Oracle Restructuring Plan (2019 Restructuring Plan). Additional information regarding certain of our restructuring plans is provided in management’s discussion below under “Restructuring Expenses”, in Note 5 of Notes to Condensed Consolidated Financial Statements included elsewhere in this Quarterly Report, and in Note 8 of Notes to Consolidated Financial Statements included in our Annual Report on Form 10-K for the fiscal year ended May 31, 2019.</w:t>
            </w:r>
          </w:p>
        </w:tc>
      </w:tr>
    </w:tbl>
    <w:p w14:paraId="6F14B348"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66EE8873" w14:textId="77777777" w:rsidTr="00141675">
        <w:tc>
          <w:tcPr>
            <w:tcW w:w="794" w:type="dxa"/>
            <w:noWrap/>
            <w:hideMark/>
          </w:tcPr>
          <w:p w14:paraId="082EC081"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8"/>
                <w:szCs w:val="18"/>
                <w:vertAlign w:val="superscript"/>
              </w:rPr>
              <w:t>(5)</w:t>
            </w:r>
          </w:p>
        </w:tc>
        <w:tc>
          <w:tcPr>
            <w:tcW w:w="0" w:type="auto"/>
            <w:hideMark/>
          </w:tcPr>
          <w:p w14:paraId="049BC559"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5"/>
                <w:szCs w:val="15"/>
              </w:rPr>
              <w:t>Stock-based compensation was included in the following operating expense line items of our condensed consolidated statements of operations (in millions):</w:t>
            </w:r>
          </w:p>
        </w:tc>
      </w:tr>
    </w:tbl>
    <w:p w14:paraId="67F5888E" w14:textId="77777777" w:rsidR="00141675" w:rsidRPr="00141675" w:rsidRDefault="00141675" w:rsidP="00141675">
      <w:pPr>
        <w:widowControl/>
        <w:ind w:left="794" w:hanging="471"/>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809"/>
        <w:gridCol w:w="10999"/>
        <w:gridCol w:w="249"/>
        <w:gridCol w:w="200"/>
        <w:gridCol w:w="1568"/>
        <w:gridCol w:w="200"/>
        <w:gridCol w:w="249"/>
        <w:gridCol w:w="200"/>
        <w:gridCol w:w="1612"/>
        <w:gridCol w:w="200"/>
        <w:gridCol w:w="249"/>
        <w:gridCol w:w="200"/>
        <w:gridCol w:w="1568"/>
        <w:gridCol w:w="200"/>
        <w:gridCol w:w="249"/>
        <w:gridCol w:w="200"/>
        <w:gridCol w:w="1612"/>
        <w:gridCol w:w="50"/>
      </w:tblGrid>
      <w:tr w:rsidR="00141675" w:rsidRPr="00141675" w14:paraId="00494999" w14:textId="77777777" w:rsidTr="00141675">
        <w:tc>
          <w:tcPr>
            <w:tcW w:w="808" w:type="dxa"/>
            <w:shd w:val="clear" w:color="auto" w:fill="FFFFFF"/>
            <w:tcMar>
              <w:top w:w="15" w:type="dxa"/>
              <w:left w:w="0" w:type="dxa"/>
              <w:bottom w:w="0" w:type="dxa"/>
              <w:right w:w="15" w:type="dxa"/>
            </w:tcMar>
            <w:vAlign w:val="bottom"/>
            <w:hideMark/>
          </w:tcPr>
          <w:p w14:paraId="51849530" w14:textId="77777777" w:rsidR="00141675" w:rsidRPr="00141675" w:rsidRDefault="00141675" w:rsidP="00141675">
            <w:pPr>
              <w:widowControl/>
              <w:jc w:val="center"/>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10970" w:type="dxa"/>
            <w:shd w:val="clear" w:color="auto" w:fill="FFFFFF"/>
            <w:tcMar>
              <w:top w:w="15" w:type="dxa"/>
              <w:left w:w="0" w:type="dxa"/>
              <w:bottom w:w="0" w:type="dxa"/>
              <w:right w:w="15" w:type="dxa"/>
            </w:tcMar>
            <w:vAlign w:val="bottom"/>
            <w:hideMark/>
          </w:tcPr>
          <w:p w14:paraId="665C37F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7ADBDD4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993" w:type="dxa"/>
            <w:gridSpan w:val="6"/>
            <w:tcBorders>
              <w:bottom w:val="single" w:sz="6" w:space="0" w:color="000000"/>
            </w:tcBorders>
            <w:shd w:val="clear" w:color="auto" w:fill="FFFFFF"/>
            <w:tcMar>
              <w:top w:w="15" w:type="dxa"/>
              <w:left w:w="0" w:type="dxa"/>
              <w:bottom w:w="0" w:type="dxa"/>
              <w:right w:w="15" w:type="dxa"/>
            </w:tcMar>
            <w:vAlign w:val="bottom"/>
            <w:hideMark/>
          </w:tcPr>
          <w:p w14:paraId="5FC5429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w:t>
            </w:r>
          </w:p>
          <w:p w14:paraId="2D9770B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191" w:type="dxa"/>
            <w:shd w:val="clear" w:color="auto" w:fill="FFFFFF"/>
            <w:noWrap/>
            <w:tcMar>
              <w:top w:w="15" w:type="dxa"/>
              <w:left w:w="0" w:type="dxa"/>
              <w:bottom w:w="0" w:type="dxa"/>
              <w:right w:w="15" w:type="dxa"/>
            </w:tcMar>
            <w:vAlign w:val="bottom"/>
            <w:hideMark/>
          </w:tcPr>
          <w:p w14:paraId="25CB231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7D0E460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993" w:type="dxa"/>
            <w:gridSpan w:val="6"/>
            <w:tcBorders>
              <w:bottom w:val="single" w:sz="6" w:space="0" w:color="000000"/>
            </w:tcBorders>
            <w:shd w:val="clear" w:color="auto" w:fill="FFFFFF"/>
            <w:tcMar>
              <w:top w:w="15" w:type="dxa"/>
              <w:left w:w="0" w:type="dxa"/>
              <w:bottom w:w="0" w:type="dxa"/>
              <w:right w:w="15" w:type="dxa"/>
            </w:tcMar>
            <w:vAlign w:val="bottom"/>
            <w:hideMark/>
          </w:tcPr>
          <w:p w14:paraId="27A1737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w:t>
            </w:r>
          </w:p>
          <w:p w14:paraId="77D7EFC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tc>
        <w:tc>
          <w:tcPr>
            <w:tcW w:w="42" w:type="dxa"/>
            <w:shd w:val="clear" w:color="auto" w:fill="FFFFFF"/>
            <w:noWrap/>
            <w:tcMar>
              <w:top w:w="15" w:type="dxa"/>
              <w:left w:w="0" w:type="dxa"/>
              <w:bottom w:w="0" w:type="dxa"/>
              <w:right w:w="15" w:type="dxa"/>
            </w:tcMar>
            <w:vAlign w:val="bottom"/>
            <w:hideMark/>
          </w:tcPr>
          <w:p w14:paraId="3215903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F842FC8" w14:textId="77777777" w:rsidTr="00141675">
        <w:tc>
          <w:tcPr>
            <w:tcW w:w="808" w:type="dxa"/>
            <w:shd w:val="clear" w:color="auto" w:fill="FFFFFF"/>
            <w:tcMar>
              <w:top w:w="15" w:type="dxa"/>
              <w:left w:w="0" w:type="dxa"/>
              <w:bottom w:w="0" w:type="dxa"/>
              <w:right w:w="15" w:type="dxa"/>
            </w:tcMar>
            <w:vAlign w:val="bottom"/>
            <w:hideMark/>
          </w:tcPr>
          <w:p w14:paraId="169922F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970" w:type="dxa"/>
            <w:shd w:val="clear" w:color="auto" w:fill="FFFFFF"/>
            <w:tcMar>
              <w:top w:w="15" w:type="dxa"/>
              <w:left w:w="0" w:type="dxa"/>
              <w:bottom w:w="0" w:type="dxa"/>
              <w:right w:w="15" w:type="dxa"/>
            </w:tcMar>
            <w:vAlign w:val="bottom"/>
            <w:hideMark/>
          </w:tcPr>
          <w:p w14:paraId="0BE0046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2C169A8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5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A3208C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C87BC5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48" w:type="dxa"/>
            <w:tcBorders>
              <w:top w:val="single" w:sz="6" w:space="0" w:color="000000"/>
            </w:tcBorders>
            <w:shd w:val="clear" w:color="auto" w:fill="FFFFFF"/>
            <w:tcMar>
              <w:top w:w="15" w:type="dxa"/>
              <w:left w:w="0" w:type="dxa"/>
              <w:bottom w:w="0" w:type="dxa"/>
              <w:right w:w="15" w:type="dxa"/>
            </w:tcMar>
            <w:vAlign w:val="bottom"/>
            <w:hideMark/>
          </w:tcPr>
          <w:p w14:paraId="2E52489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5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5B714E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7BAACD0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62881B7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5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A93B98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040E9C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48" w:type="dxa"/>
            <w:tcBorders>
              <w:top w:val="single" w:sz="6" w:space="0" w:color="000000"/>
            </w:tcBorders>
            <w:shd w:val="clear" w:color="auto" w:fill="FFFFFF"/>
            <w:tcMar>
              <w:top w:w="15" w:type="dxa"/>
              <w:left w:w="0" w:type="dxa"/>
              <w:bottom w:w="0" w:type="dxa"/>
              <w:right w:w="15" w:type="dxa"/>
            </w:tcMar>
            <w:vAlign w:val="bottom"/>
            <w:hideMark/>
          </w:tcPr>
          <w:p w14:paraId="45543AB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75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B5CB79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42" w:type="dxa"/>
            <w:shd w:val="clear" w:color="auto" w:fill="FFFFFF"/>
            <w:noWrap/>
            <w:tcMar>
              <w:top w:w="15" w:type="dxa"/>
              <w:left w:w="0" w:type="dxa"/>
              <w:bottom w:w="0" w:type="dxa"/>
              <w:right w:w="15" w:type="dxa"/>
            </w:tcMar>
            <w:vAlign w:val="bottom"/>
            <w:hideMark/>
          </w:tcPr>
          <w:p w14:paraId="3EFC48D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AB09C36" w14:textId="77777777" w:rsidTr="00141675">
        <w:tc>
          <w:tcPr>
            <w:tcW w:w="808" w:type="dxa"/>
            <w:shd w:val="clear" w:color="auto" w:fill="FFFFFF"/>
            <w:tcMar>
              <w:top w:w="15" w:type="dxa"/>
              <w:left w:w="0" w:type="dxa"/>
              <w:bottom w:w="0" w:type="dxa"/>
              <w:right w:w="15" w:type="dxa"/>
            </w:tcMar>
            <w:vAlign w:val="bottom"/>
            <w:hideMark/>
          </w:tcPr>
          <w:p w14:paraId="3D2A024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970" w:type="dxa"/>
            <w:shd w:val="clear" w:color="auto" w:fill="CFF0FC"/>
            <w:tcMar>
              <w:top w:w="15" w:type="dxa"/>
              <w:left w:w="0" w:type="dxa"/>
              <w:bottom w:w="0" w:type="dxa"/>
              <w:right w:w="15" w:type="dxa"/>
            </w:tcMar>
            <w:hideMark/>
          </w:tcPr>
          <w:p w14:paraId="0FA5D93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Cloud services and license support</w:t>
            </w:r>
          </w:p>
        </w:tc>
        <w:tc>
          <w:tcPr>
            <w:tcW w:w="248" w:type="dxa"/>
            <w:shd w:val="clear" w:color="auto" w:fill="CFF0FC"/>
            <w:tcMar>
              <w:top w:w="15" w:type="dxa"/>
              <w:left w:w="0" w:type="dxa"/>
              <w:bottom w:w="0" w:type="dxa"/>
              <w:right w:w="15" w:type="dxa"/>
            </w:tcMar>
            <w:vAlign w:val="bottom"/>
            <w:hideMark/>
          </w:tcPr>
          <w:p w14:paraId="688B367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FB5A6D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549" w:type="dxa"/>
            <w:tcBorders>
              <w:top w:val="single" w:sz="6" w:space="0" w:color="000000"/>
            </w:tcBorders>
            <w:shd w:val="clear" w:color="auto" w:fill="CFF0FC"/>
            <w:noWrap/>
            <w:tcMar>
              <w:top w:w="15" w:type="dxa"/>
              <w:left w:w="0" w:type="dxa"/>
              <w:bottom w:w="0" w:type="dxa"/>
              <w:right w:w="15" w:type="dxa"/>
            </w:tcMar>
            <w:vAlign w:val="bottom"/>
            <w:hideMark/>
          </w:tcPr>
          <w:p w14:paraId="36CE2248"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30</w:t>
            </w:r>
          </w:p>
        </w:tc>
        <w:tc>
          <w:tcPr>
            <w:tcW w:w="191" w:type="dxa"/>
            <w:shd w:val="clear" w:color="auto" w:fill="CFF0FC"/>
            <w:noWrap/>
            <w:tcMar>
              <w:top w:w="15" w:type="dxa"/>
              <w:left w:w="0" w:type="dxa"/>
              <w:bottom w:w="0" w:type="dxa"/>
              <w:right w:w="15" w:type="dxa"/>
            </w:tcMar>
            <w:vAlign w:val="bottom"/>
            <w:hideMark/>
          </w:tcPr>
          <w:p w14:paraId="1D05E30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05E31FD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54A547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549" w:type="dxa"/>
            <w:tcBorders>
              <w:top w:val="single" w:sz="6" w:space="0" w:color="000000"/>
            </w:tcBorders>
            <w:shd w:val="clear" w:color="auto" w:fill="CFF0FC"/>
            <w:noWrap/>
            <w:tcMar>
              <w:top w:w="15" w:type="dxa"/>
              <w:left w:w="0" w:type="dxa"/>
              <w:bottom w:w="0" w:type="dxa"/>
              <w:right w:w="15" w:type="dxa"/>
            </w:tcMar>
            <w:vAlign w:val="bottom"/>
            <w:hideMark/>
          </w:tcPr>
          <w:p w14:paraId="3F96A096"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24</w:t>
            </w:r>
          </w:p>
        </w:tc>
        <w:tc>
          <w:tcPr>
            <w:tcW w:w="191" w:type="dxa"/>
            <w:shd w:val="clear" w:color="auto" w:fill="CFF0FC"/>
            <w:noWrap/>
            <w:tcMar>
              <w:top w:w="15" w:type="dxa"/>
              <w:left w:w="0" w:type="dxa"/>
              <w:bottom w:w="0" w:type="dxa"/>
              <w:right w:w="15" w:type="dxa"/>
            </w:tcMar>
            <w:vAlign w:val="bottom"/>
            <w:hideMark/>
          </w:tcPr>
          <w:p w14:paraId="109B680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34F347C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414CE8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549" w:type="dxa"/>
            <w:tcBorders>
              <w:top w:val="single" w:sz="6" w:space="0" w:color="000000"/>
            </w:tcBorders>
            <w:shd w:val="clear" w:color="auto" w:fill="CFF0FC"/>
            <w:noWrap/>
            <w:tcMar>
              <w:top w:w="15" w:type="dxa"/>
              <w:left w:w="0" w:type="dxa"/>
              <w:bottom w:w="0" w:type="dxa"/>
              <w:right w:w="15" w:type="dxa"/>
            </w:tcMar>
            <w:vAlign w:val="bottom"/>
            <w:hideMark/>
          </w:tcPr>
          <w:p w14:paraId="5D448801"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61</w:t>
            </w:r>
          </w:p>
        </w:tc>
        <w:tc>
          <w:tcPr>
            <w:tcW w:w="191" w:type="dxa"/>
            <w:shd w:val="clear" w:color="auto" w:fill="CFF0FC"/>
            <w:noWrap/>
            <w:tcMar>
              <w:top w:w="15" w:type="dxa"/>
              <w:left w:w="0" w:type="dxa"/>
              <w:bottom w:w="0" w:type="dxa"/>
              <w:right w:w="15" w:type="dxa"/>
            </w:tcMar>
            <w:vAlign w:val="bottom"/>
            <w:hideMark/>
          </w:tcPr>
          <w:p w14:paraId="2922829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2BF8370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6C645B3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549" w:type="dxa"/>
            <w:tcBorders>
              <w:top w:val="single" w:sz="6" w:space="0" w:color="000000"/>
            </w:tcBorders>
            <w:shd w:val="clear" w:color="auto" w:fill="CFF0FC"/>
            <w:noWrap/>
            <w:tcMar>
              <w:top w:w="15" w:type="dxa"/>
              <w:left w:w="0" w:type="dxa"/>
              <w:bottom w:w="0" w:type="dxa"/>
              <w:right w:w="15" w:type="dxa"/>
            </w:tcMar>
            <w:vAlign w:val="bottom"/>
            <w:hideMark/>
          </w:tcPr>
          <w:p w14:paraId="610C2BFD"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48</w:t>
            </w:r>
          </w:p>
        </w:tc>
        <w:tc>
          <w:tcPr>
            <w:tcW w:w="42" w:type="dxa"/>
            <w:shd w:val="clear" w:color="auto" w:fill="CFF0FC"/>
            <w:noWrap/>
            <w:tcMar>
              <w:top w:w="15" w:type="dxa"/>
              <w:left w:w="0" w:type="dxa"/>
              <w:bottom w:w="0" w:type="dxa"/>
              <w:right w:w="15" w:type="dxa"/>
            </w:tcMar>
            <w:vAlign w:val="bottom"/>
            <w:hideMark/>
          </w:tcPr>
          <w:p w14:paraId="2B006F0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715539CB" w14:textId="77777777" w:rsidTr="00141675">
        <w:tc>
          <w:tcPr>
            <w:tcW w:w="808" w:type="dxa"/>
            <w:shd w:val="clear" w:color="auto" w:fill="FFFFFF"/>
            <w:tcMar>
              <w:top w:w="15" w:type="dxa"/>
              <w:left w:w="0" w:type="dxa"/>
              <w:bottom w:w="0" w:type="dxa"/>
              <w:right w:w="15" w:type="dxa"/>
            </w:tcMar>
            <w:vAlign w:val="bottom"/>
            <w:hideMark/>
          </w:tcPr>
          <w:p w14:paraId="7465ABB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970" w:type="dxa"/>
            <w:shd w:val="clear" w:color="auto" w:fill="FFFFFF"/>
            <w:tcMar>
              <w:top w:w="15" w:type="dxa"/>
              <w:left w:w="0" w:type="dxa"/>
              <w:bottom w:w="0" w:type="dxa"/>
              <w:right w:w="15" w:type="dxa"/>
            </w:tcMar>
            <w:hideMark/>
          </w:tcPr>
          <w:p w14:paraId="7B788A9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Hardware</w:t>
            </w:r>
          </w:p>
        </w:tc>
        <w:tc>
          <w:tcPr>
            <w:tcW w:w="248" w:type="dxa"/>
            <w:shd w:val="clear" w:color="auto" w:fill="FFFFFF"/>
            <w:tcMar>
              <w:top w:w="15" w:type="dxa"/>
              <w:left w:w="0" w:type="dxa"/>
              <w:bottom w:w="0" w:type="dxa"/>
              <w:right w:w="15" w:type="dxa"/>
            </w:tcMar>
            <w:vAlign w:val="bottom"/>
            <w:hideMark/>
          </w:tcPr>
          <w:p w14:paraId="5A6A25F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53F3D7D"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FFFFFF"/>
            <w:noWrap/>
            <w:tcMar>
              <w:top w:w="15" w:type="dxa"/>
              <w:left w:w="0" w:type="dxa"/>
              <w:bottom w:w="0" w:type="dxa"/>
              <w:right w:w="15" w:type="dxa"/>
            </w:tcMar>
            <w:vAlign w:val="bottom"/>
            <w:hideMark/>
          </w:tcPr>
          <w:p w14:paraId="5626A632"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w:t>
            </w:r>
          </w:p>
        </w:tc>
        <w:tc>
          <w:tcPr>
            <w:tcW w:w="191" w:type="dxa"/>
            <w:shd w:val="clear" w:color="auto" w:fill="FFFFFF"/>
            <w:noWrap/>
            <w:tcMar>
              <w:top w:w="15" w:type="dxa"/>
              <w:left w:w="0" w:type="dxa"/>
              <w:bottom w:w="0" w:type="dxa"/>
              <w:right w:w="15" w:type="dxa"/>
            </w:tcMar>
            <w:vAlign w:val="bottom"/>
            <w:hideMark/>
          </w:tcPr>
          <w:p w14:paraId="23C2B87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002A663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5A061C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FFFFFF"/>
            <w:noWrap/>
            <w:tcMar>
              <w:top w:w="15" w:type="dxa"/>
              <w:left w:w="0" w:type="dxa"/>
              <w:bottom w:w="0" w:type="dxa"/>
              <w:right w:w="15" w:type="dxa"/>
            </w:tcMar>
            <w:vAlign w:val="bottom"/>
            <w:hideMark/>
          </w:tcPr>
          <w:p w14:paraId="24D35381"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w:t>
            </w:r>
          </w:p>
        </w:tc>
        <w:tc>
          <w:tcPr>
            <w:tcW w:w="191" w:type="dxa"/>
            <w:shd w:val="clear" w:color="auto" w:fill="FFFFFF"/>
            <w:noWrap/>
            <w:tcMar>
              <w:top w:w="15" w:type="dxa"/>
              <w:left w:w="0" w:type="dxa"/>
              <w:bottom w:w="0" w:type="dxa"/>
              <w:right w:w="15" w:type="dxa"/>
            </w:tcMar>
            <w:vAlign w:val="bottom"/>
            <w:hideMark/>
          </w:tcPr>
          <w:p w14:paraId="5A373FA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1492921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55FB1F5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FFFFFF"/>
            <w:noWrap/>
            <w:tcMar>
              <w:top w:w="15" w:type="dxa"/>
              <w:left w:w="0" w:type="dxa"/>
              <w:bottom w:w="0" w:type="dxa"/>
              <w:right w:w="15" w:type="dxa"/>
            </w:tcMar>
            <w:vAlign w:val="bottom"/>
            <w:hideMark/>
          </w:tcPr>
          <w:p w14:paraId="1DEE6C81"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6</w:t>
            </w:r>
          </w:p>
        </w:tc>
        <w:tc>
          <w:tcPr>
            <w:tcW w:w="191" w:type="dxa"/>
            <w:shd w:val="clear" w:color="auto" w:fill="FFFFFF"/>
            <w:noWrap/>
            <w:tcMar>
              <w:top w:w="15" w:type="dxa"/>
              <w:left w:w="0" w:type="dxa"/>
              <w:bottom w:w="0" w:type="dxa"/>
              <w:right w:w="15" w:type="dxa"/>
            </w:tcMar>
            <w:vAlign w:val="bottom"/>
            <w:hideMark/>
          </w:tcPr>
          <w:p w14:paraId="5EC55C2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546DA62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FFFFFF"/>
            <w:noWrap/>
            <w:tcMar>
              <w:top w:w="15" w:type="dxa"/>
              <w:left w:w="0" w:type="dxa"/>
              <w:bottom w:w="0" w:type="dxa"/>
              <w:right w:w="15" w:type="dxa"/>
            </w:tcMar>
            <w:vAlign w:val="bottom"/>
            <w:hideMark/>
          </w:tcPr>
          <w:p w14:paraId="0D8BF96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FFFFFF"/>
            <w:noWrap/>
            <w:tcMar>
              <w:top w:w="15" w:type="dxa"/>
              <w:left w:w="0" w:type="dxa"/>
              <w:bottom w:w="0" w:type="dxa"/>
              <w:right w:w="15" w:type="dxa"/>
            </w:tcMar>
            <w:vAlign w:val="bottom"/>
            <w:hideMark/>
          </w:tcPr>
          <w:p w14:paraId="4DEC29C7"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5</w:t>
            </w:r>
          </w:p>
        </w:tc>
        <w:tc>
          <w:tcPr>
            <w:tcW w:w="42" w:type="dxa"/>
            <w:shd w:val="clear" w:color="auto" w:fill="FFFFFF"/>
            <w:noWrap/>
            <w:tcMar>
              <w:top w:w="15" w:type="dxa"/>
              <w:left w:w="0" w:type="dxa"/>
              <w:bottom w:w="0" w:type="dxa"/>
              <w:right w:w="15" w:type="dxa"/>
            </w:tcMar>
            <w:vAlign w:val="bottom"/>
            <w:hideMark/>
          </w:tcPr>
          <w:p w14:paraId="780BA21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101C8AA7" w14:textId="77777777" w:rsidTr="00141675">
        <w:tc>
          <w:tcPr>
            <w:tcW w:w="808" w:type="dxa"/>
            <w:shd w:val="clear" w:color="auto" w:fill="FFFFFF"/>
            <w:tcMar>
              <w:top w:w="15" w:type="dxa"/>
              <w:left w:w="0" w:type="dxa"/>
              <w:bottom w:w="0" w:type="dxa"/>
              <w:right w:w="15" w:type="dxa"/>
            </w:tcMar>
            <w:vAlign w:val="bottom"/>
            <w:hideMark/>
          </w:tcPr>
          <w:p w14:paraId="6D9715D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970" w:type="dxa"/>
            <w:shd w:val="clear" w:color="auto" w:fill="CFF0FC"/>
            <w:tcMar>
              <w:top w:w="15" w:type="dxa"/>
              <w:left w:w="0" w:type="dxa"/>
              <w:bottom w:w="0" w:type="dxa"/>
              <w:right w:w="15" w:type="dxa"/>
            </w:tcMar>
            <w:hideMark/>
          </w:tcPr>
          <w:p w14:paraId="582E6F2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Services</w:t>
            </w:r>
          </w:p>
        </w:tc>
        <w:tc>
          <w:tcPr>
            <w:tcW w:w="248" w:type="dxa"/>
            <w:shd w:val="clear" w:color="auto" w:fill="CFF0FC"/>
            <w:tcMar>
              <w:top w:w="15" w:type="dxa"/>
              <w:left w:w="0" w:type="dxa"/>
              <w:bottom w:w="0" w:type="dxa"/>
              <w:right w:w="15" w:type="dxa"/>
            </w:tcMar>
            <w:vAlign w:val="bottom"/>
            <w:hideMark/>
          </w:tcPr>
          <w:p w14:paraId="086B7AC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E52A41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CFF0FC"/>
            <w:noWrap/>
            <w:tcMar>
              <w:top w:w="15" w:type="dxa"/>
              <w:left w:w="0" w:type="dxa"/>
              <w:bottom w:w="0" w:type="dxa"/>
              <w:right w:w="15" w:type="dxa"/>
            </w:tcMar>
            <w:vAlign w:val="bottom"/>
            <w:hideMark/>
          </w:tcPr>
          <w:p w14:paraId="636E3191"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14</w:t>
            </w:r>
          </w:p>
        </w:tc>
        <w:tc>
          <w:tcPr>
            <w:tcW w:w="191" w:type="dxa"/>
            <w:shd w:val="clear" w:color="auto" w:fill="CFF0FC"/>
            <w:noWrap/>
            <w:tcMar>
              <w:top w:w="15" w:type="dxa"/>
              <w:left w:w="0" w:type="dxa"/>
              <w:bottom w:w="0" w:type="dxa"/>
              <w:right w:w="15" w:type="dxa"/>
            </w:tcMar>
            <w:vAlign w:val="bottom"/>
            <w:hideMark/>
          </w:tcPr>
          <w:p w14:paraId="1570636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13A1B36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D6BE8C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CFF0FC"/>
            <w:noWrap/>
            <w:tcMar>
              <w:top w:w="15" w:type="dxa"/>
              <w:left w:w="0" w:type="dxa"/>
              <w:bottom w:w="0" w:type="dxa"/>
              <w:right w:w="15" w:type="dxa"/>
            </w:tcMar>
            <w:vAlign w:val="bottom"/>
            <w:hideMark/>
          </w:tcPr>
          <w:p w14:paraId="6FCE183F"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12</w:t>
            </w:r>
          </w:p>
        </w:tc>
        <w:tc>
          <w:tcPr>
            <w:tcW w:w="191" w:type="dxa"/>
            <w:shd w:val="clear" w:color="auto" w:fill="CFF0FC"/>
            <w:noWrap/>
            <w:tcMar>
              <w:top w:w="15" w:type="dxa"/>
              <w:left w:w="0" w:type="dxa"/>
              <w:bottom w:w="0" w:type="dxa"/>
              <w:right w:w="15" w:type="dxa"/>
            </w:tcMar>
            <w:vAlign w:val="bottom"/>
            <w:hideMark/>
          </w:tcPr>
          <w:p w14:paraId="50850FB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1BB7B4D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71A291F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CFF0FC"/>
            <w:noWrap/>
            <w:tcMar>
              <w:top w:w="15" w:type="dxa"/>
              <w:left w:w="0" w:type="dxa"/>
              <w:bottom w:w="0" w:type="dxa"/>
              <w:right w:w="15" w:type="dxa"/>
            </w:tcMar>
            <w:vAlign w:val="bottom"/>
            <w:hideMark/>
          </w:tcPr>
          <w:p w14:paraId="04C7CC51"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28</w:t>
            </w:r>
          </w:p>
        </w:tc>
        <w:tc>
          <w:tcPr>
            <w:tcW w:w="191" w:type="dxa"/>
            <w:shd w:val="clear" w:color="auto" w:fill="CFF0FC"/>
            <w:noWrap/>
            <w:tcMar>
              <w:top w:w="15" w:type="dxa"/>
              <w:left w:w="0" w:type="dxa"/>
              <w:bottom w:w="0" w:type="dxa"/>
              <w:right w:w="15" w:type="dxa"/>
            </w:tcMar>
            <w:vAlign w:val="bottom"/>
            <w:hideMark/>
          </w:tcPr>
          <w:p w14:paraId="7FF5E97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180A29E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58F5B10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CFF0FC"/>
            <w:noWrap/>
            <w:tcMar>
              <w:top w:w="15" w:type="dxa"/>
              <w:left w:w="0" w:type="dxa"/>
              <w:bottom w:w="0" w:type="dxa"/>
              <w:right w:w="15" w:type="dxa"/>
            </w:tcMar>
            <w:vAlign w:val="bottom"/>
            <w:hideMark/>
          </w:tcPr>
          <w:p w14:paraId="6494F890"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25</w:t>
            </w:r>
          </w:p>
        </w:tc>
        <w:tc>
          <w:tcPr>
            <w:tcW w:w="42" w:type="dxa"/>
            <w:shd w:val="clear" w:color="auto" w:fill="CFF0FC"/>
            <w:noWrap/>
            <w:tcMar>
              <w:top w:w="15" w:type="dxa"/>
              <w:left w:w="0" w:type="dxa"/>
              <w:bottom w:w="0" w:type="dxa"/>
              <w:right w:w="15" w:type="dxa"/>
            </w:tcMar>
            <w:vAlign w:val="bottom"/>
            <w:hideMark/>
          </w:tcPr>
          <w:p w14:paraId="42108DC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75E48894" w14:textId="77777777" w:rsidTr="00141675">
        <w:tc>
          <w:tcPr>
            <w:tcW w:w="808" w:type="dxa"/>
            <w:shd w:val="clear" w:color="auto" w:fill="FFFFFF"/>
            <w:tcMar>
              <w:top w:w="15" w:type="dxa"/>
              <w:left w:w="0" w:type="dxa"/>
              <w:bottom w:w="0" w:type="dxa"/>
              <w:right w:w="15" w:type="dxa"/>
            </w:tcMar>
            <w:vAlign w:val="bottom"/>
            <w:hideMark/>
          </w:tcPr>
          <w:p w14:paraId="31FFDD5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970" w:type="dxa"/>
            <w:shd w:val="clear" w:color="auto" w:fill="FFFFFF"/>
            <w:tcMar>
              <w:top w:w="15" w:type="dxa"/>
              <w:left w:w="0" w:type="dxa"/>
              <w:bottom w:w="0" w:type="dxa"/>
              <w:right w:w="15" w:type="dxa"/>
            </w:tcMar>
            <w:hideMark/>
          </w:tcPr>
          <w:p w14:paraId="3FDB470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Sales and marketing</w:t>
            </w:r>
          </w:p>
        </w:tc>
        <w:tc>
          <w:tcPr>
            <w:tcW w:w="248" w:type="dxa"/>
            <w:shd w:val="clear" w:color="auto" w:fill="FFFFFF"/>
            <w:tcMar>
              <w:top w:w="15" w:type="dxa"/>
              <w:left w:w="0" w:type="dxa"/>
              <w:bottom w:w="0" w:type="dxa"/>
              <w:right w:w="15" w:type="dxa"/>
            </w:tcMar>
            <w:vAlign w:val="bottom"/>
            <w:hideMark/>
          </w:tcPr>
          <w:p w14:paraId="5A41552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76D739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bottom w:val="single" w:sz="6" w:space="0" w:color="000000"/>
            </w:tcBorders>
            <w:shd w:val="clear" w:color="auto" w:fill="FFFFFF"/>
            <w:noWrap/>
            <w:tcMar>
              <w:top w:w="15" w:type="dxa"/>
              <w:left w:w="0" w:type="dxa"/>
              <w:bottom w:w="0" w:type="dxa"/>
              <w:right w:w="15" w:type="dxa"/>
            </w:tcMar>
            <w:vAlign w:val="bottom"/>
            <w:hideMark/>
          </w:tcPr>
          <w:p w14:paraId="5CF761CF"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37</w:t>
            </w:r>
          </w:p>
        </w:tc>
        <w:tc>
          <w:tcPr>
            <w:tcW w:w="191" w:type="dxa"/>
            <w:shd w:val="clear" w:color="auto" w:fill="FFFFFF"/>
            <w:noWrap/>
            <w:tcMar>
              <w:top w:w="15" w:type="dxa"/>
              <w:left w:w="0" w:type="dxa"/>
              <w:bottom w:w="0" w:type="dxa"/>
              <w:right w:w="15" w:type="dxa"/>
            </w:tcMar>
            <w:vAlign w:val="bottom"/>
            <w:hideMark/>
          </w:tcPr>
          <w:p w14:paraId="19701DC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center"/>
            <w:hideMark/>
          </w:tcPr>
          <w:p w14:paraId="7D329A5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957763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bottom w:val="single" w:sz="6" w:space="0" w:color="000000"/>
            </w:tcBorders>
            <w:shd w:val="clear" w:color="auto" w:fill="FFFFFF"/>
            <w:noWrap/>
            <w:tcMar>
              <w:top w:w="15" w:type="dxa"/>
              <w:left w:w="0" w:type="dxa"/>
              <w:bottom w:w="0" w:type="dxa"/>
              <w:right w:w="15" w:type="dxa"/>
            </w:tcMar>
            <w:vAlign w:val="bottom"/>
            <w:hideMark/>
          </w:tcPr>
          <w:p w14:paraId="4B5ECC75"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93</w:t>
            </w:r>
          </w:p>
        </w:tc>
        <w:tc>
          <w:tcPr>
            <w:tcW w:w="191" w:type="dxa"/>
            <w:shd w:val="clear" w:color="auto" w:fill="FFFFFF"/>
            <w:noWrap/>
            <w:tcMar>
              <w:top w:w="15" w:type="dxa"/>
              <w:left w:w="0" w:type="dxa"/>
              <w:bottom w:w="0" w:type="dxa"/>
              <w:right w:w="15" w:type="dxa"/>
            </w:tcMar>
            <w:vAlign w:val="bottom"/>
            <w:hideMark/>
          </w:tcPr>
          <w:p w14:paraId="0ED6925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58B9451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69D28C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bottom w:val="single" w:sz="6" w:space="0" w:color="000000"/>
            </w:tcBorders>
            <w:shd w:val="clear" w:color="auto" w:fill="FFFFFF"/>
            <w:noWrap/>
            <w:tcMar>
              <w:top w:w="15" w:type="dxa"/>
              <w:left w:w="0" w:type="dxa"/>
              <w:bottom w:w="0" w:type="dxa"/>
              <w:right w:w="15" w:type="dxa"/>
            </w:tcMar>
            <w:vAlign w:val="bottom"/>
            <w:hideMark/>
          </w:tcPr>
          <w:p w14:paraId="66321975"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125</w:t>
            </w:r>
          </w:p>
        </w:tc>
        <w:tc>
          <w:tcPr>
            <w:tcW w:w="191" w:type="dxa"/>
            <w:shd w:val="clear" w:color="auto" w:fill="FFFFFF"/>
            <w:noWrap/>
            <w:tcMar>
              <w:top w:w="15" w:type="dxa"/>
              <w:left w:w="0" w:type="dxa"/>
              <w:bottom w:w="0" w:type="dxa"/>
              <w:right w:w="15" w:type="dxa"/>
            </w:tcMar>
            <w:vAlign w:val="bottom"/>
            <w:hideMark/>
          </w:tcPr>
          <w:p w14:paraId="2B077C1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center"/>
            <w:hideMark/>
          </w:tcPr>
          <w:p w14:paraId="592F547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7C9481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bottom w:val="single" w:sz="6" w:space="0" w:color="000000"/>
            </w:tcBorders>
            <w:shd w:val="clear" w:color="auto" w:fill="FFFFFF"/>
            <w:noWrap/>
            <w:tcMar>
              <w:top w:w="15" w:type="dxa"/>
              <w:left w:w="0" w:type="dxa"/>
              <w:bottom w:w="0" w:type="dxa"/>
              <w:right w:w="15" w:type="dxa"/>
            </w:tcMar>
            <w:vAlign w:val="bottom"/>
            <w:hideMark/>
          </w:tcPr>
          <w:p w14:paraId="4FDF0D18"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188</w:t>
            </w:r>
          </w:p>
        </w:tc>
        <w:tc>
          <w:tcPr>
            <w:tcW w:w="42" w:type="dxa"/>
            <w:shd w:val="clear" w:color="auto" w:fill="FFFFFF"/>
            <w:noWrap/>
            <w:tcMar>
              <w:top w:w="15" w:type="dxa"/>
              <w:left w:w="0" w:type="dxa"/>
              <w:bottom w:w="0" w:type="dxa"/>
              <w:right w:w="15" w:type="dxa"/>
            </w:tcMar>
            <w:vAlign w:val="bottom"/>
            <w:hideMark/>
          </w:tcPr>
          <w:p w14:paraId="3B0625C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145F39D2" w14:textId="77777777" w:rsidTr="00141675">
        <w:tc>
          <w:tcPr>
            <w:tcW w:w="808" w:type="dxa"/>
            <w:shd w:val="clear" w:color="auto" w:fill="FFFFFF"/>
            <w:tcMar>
              <w:top w:w="15" w:type="dxa"/>
              <w:left w:w="0" w:type="dxa"/>
              <w:bottom w:w="0" w:type="dxa"/>
              <w:right w:w="15" w:type="dxa"/>
            </w:tcMar>
            <w:vAlign w:val="bottom"/>
            <w:hideMark/>
          </w:tcPr>
          <w:p w14:paraId="5B58799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970" w:type="dxa"/>
            <w:shd w:val="clear" w:color="auto" w:fill="CFF0FC"/>
            <w:tcMar>
              <w:top w:w="15" w:type="dxa"/>
              <w:left w:w="0" w:type="dxa"/>
              <w:bottom w:w="0" w:type="dxa"/>
              <w:right w:w="15" w:type="dxa"/>
            </w:tcMar>
            <w:hideMark/>
          </w:tcPr>
          <w:p w14:paraId="6C3CADC7" w14:textId="77777777" w:rsidR="00141675" w:rsidRPr="00141675" w:rsidRDefault="00141675" w:rsidP="00141675">
            <w:pPr>
              <w:widowControl/>
              <w:ind w:left="410"/>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Stock-based compensation, operating segments</w:t>
            </w:r>
          </w:p>
        </w:tc>
        <w:tc>
          <w:tcPr>
            <w:tcW w:w="248" w:type="dxa"/>
            <w:shd w:val="clear" w:color="auto" w:fill="CFF0FC"/>
            <w:tcMar>
              <w:top w:w="15" w:type="dxa"/>
              <w:left w:w="0" w:type="dxa"/>
              <w:bottom w:w="0" w:type="dxa"/>
              <w:right w:w="15" w:type="dxa"/>
            </w:tcMar>
            <w:vAlign w:val="bottom"/>
            <w:hideMark/>
          </w:tcPr>
          <w:p w14:paraId="6EE3A00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D7F2CB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2E46D23"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84</w:t>
            </w:r>
          </w:p>
        </w:tc>
        <w:tc>
          <w:tcPr>
            <w:tcW w:w="191" w:type="dxa"/>
            <w:shd w:val="clear" w:color="auto" w:fill="CFF0FC"/>
            <w:noWrap/>
            <w:tcMar>
              <w:top w:w="15" w:type="dxa"/>
              <w:left w:w="0" w:type="dxa"/>
              <w:bottom w:w="0" w:type="dxa"/>
              <w:right w:w="15" w:type="dxa"/>
            </w:tcMar>
            <w:vAlign w:val="bottom"/>
            <w:hideMark/>
          </w:tcPr>
          <w:p w14:paraId="103B91B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5851BD3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2D516D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3D9F57E"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131</w:t>
            </w:r>
          </w:p>
        </w:tc>
        <w:tc>
          <w:tcPr>
            <w:tcW w:w="191" w:type="dxa"/>
            <w:shd w:val="clear" w:color="auto" w:fill="CFF0FC"/>
            <w:noWrap/>
            <w:tcMar>
              <w:top w:w="15" w:type="dxa"/>
              <w:left w:w="0" w:type="dxa"/>
              <w:bottom w:w="0" w:type="dxa"/>
              <w:right w:w="15" w:type="dxa"/>
            </w:tcMar>
            <w:vAlign w:val="bottom"/>
            <w:hideMark/>
          </w:tcPr>
          <w:p w14:paraId="6BABD63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3A46B87A"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62003C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553CB803"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220</w:t>
            </w:r>
          </w:p>
        </w:tc>
        <w:tc>
          <w:tcPr>
            <w:tcW w:w="191" w:type="dxa"/>
            <w:shd w:val="clear" w:color="auto" w:fill="CFF0FC"/>
            <w:noWrap/>
            <w:tcMar>
              <w:top w:w="15" w:type="dxa"/>
              <w:left w:w="0" w:type="dxa"/>
              <w:bottom w:w="0" w:type="dxa"/>
              <w:right w:w="15" w:type="dxa"/>
            </w:tcMar>
            <w:vAlign w:val="bottom"/>
            <w:hideMark/>
          </w:tcPr>
          <w:p w14:paraId="156C2E1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7230405A"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021B86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8AC1D0F"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266</w:t>
            </w:r>
          </w:p>
        </w:tc>
        <w:tc>
          <w:tcPr>
            <w:tcW w:w="42" w:type="dxa"/>
            <w:shd w:val="clear" w:color="auto" w:fill="CFF0FC"/>
            <w:noWrap/>
            <w:tcMar>
              <w:top w:w="15" w:type="dxa"/>
              <w:left w:w="0" w:type="dxa"/>
              <w:bottom w:w="0" w:type="dxa"/>
              <w:right w:w="15" w:type="dxa"/>
            </w:tcMar>
            <w:vAlign w:val="bottom"/>
            <w:hideMark/>
          </w:tcPr>
          <w:p w14:paraId="2DE3B9E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250476E6" w14:textId="77777777" w:rsidTr="00141675">
        <w:tc>
          <w:tcPr>
            <w:tcW w:w="808" w:type="dxa"/>
            <w:shd w:val="clear" w:color="auto" w:fill="FFFFFF"/>
            <w:tcMar>
              <w:top w:w="15" w:type="dxa"/>
              <w:left w:w="0" w:type="dxa"/>
              <w:bottom w:w="0" w:type="dxa"/>
              <w:right w:w="15" w:type="dxa"/>
            </w:tcMar>
            <w:vAlign w:val="bottom"/>
            <w:hideMark/>
          </w:tcPr>
          <w:p w14:paraId="2439E68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970" w:type="dxa"/>
            <w:shd w:val="clear" w:color="auto" w:fill="FFFFFF"/>
            <w:tcMar>
              <w:top w:w="15" w:type="dxa"/>
              <w:left w:w="0" w:type="dxa"/>
              <w:bottom w:w="0" w:type="dxa"/>
              <w:right w:w="15" w:type="dxa"/>
            </w:tcMar>
            <w:hideMark/>
          </w:tcPr>
          <w:p w14:paraId="5C4DE6E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Research and development</w:t>
            </w:r>
          </w:p>
        </w:tc>
        <w:tc>
          <w:tcPr>
            <w:tcW w:w="248" w:type="dxa"/>
            <w:shd w:val="clear" w:color="auto" w:fill="FFFFFF"/>
            <w:tcMar>
              <w:top w:w="15" w:type="dxa"/>
              <w:left w:w="0" w:type="dxa"/>
              <w:bottom w:w="0" w:type="dxa"/>
              <w:right w:w="15" w:type="dxa"/>
            </w:tcMar>
            <w:vAlign w:val="bottom"/>
            <w:hideMark/>
          </w:tcPr>
          <w:p w14:paraId="33A0945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267DF0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top w:val="single" w:sz="6" w:space="0" w:color="000000"/>
            </w:tcBorders>
            <w:shd w:val="clear" w:color="auto" w:fill="FFFFFF"/>
            <w:noWrap/>
            <w:tcMar>
              <w:top w:w="15" w:type="dxa"/>
              <w:left w:w="0" w:type="dxa"/>
              <w:bottom w:w="0" w:type="dxa"/>
              <w:right w:w="15" w:type="dxa"/>
            </w:tcMar>
            <w:vAlign w:val="bottom"/>
            <w:hideMark/>
          </w:tcPr>
          <w:p w14:paraId="55E47220"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272</w:t>
            </w:r>
          </w:p>
        </w:tc>
        <w:tc>
          <w:tcPr>
            <w:tcW w:w="191" w:type="dxa"/>
            <w:shd w:val="clear" w:color="auto" w:fill="FFFFFF"/>
            <w:noWrap/>
            <w:tcMar>
              <w:top w:w="15" w:type="dxa"/>
              <w:left w:w="0" w:type="dxa"/>
              <w:bottom w:w="0" w:type="dxa"/>
              <w:right w:w="15" w:type="dxa"/>
            </w:tcMar>
            <w:vAlign w:val="bottom"/>
            <w:hideMark/>
          </w:tcPr>
          <w:p w14:paraId="37FB1A4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372B074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08C31C9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top w:val="single" w:sz="6" w:space="0" w:color="000000"/>
            </w:tcBorders>
            <w:shd w:val="clear" w:color="auto" w:fill="FFFFFF"/>
            <w:noWrap/>
            <w:tcMar>
              <w:top w:w="15" w:type="dxa"/>
              <w:left w:w="0" w:type="dxa"/>
              <w:bottom w:w="0" w:type="dxa"/>
              <w:right w:w="15" w:type="dxa"/>
            </w:tcMar>
            <w:vAlign w:val="bottom"/>
            <w:hideMark/>
          </w:tcPr>
          <w:p w14:paraId="402B9E1F"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222</w:t>
            </w:r>
          </w:p>
        </w:tc>
        <w:tc>
          <w:tcPr>
            <w:tcW w:w="191" w:type="dxa"/>
            <w:shd w:val="clear" w:color="auto" w:fill="FFFFFF"/>
            <w:noWrap/>
            <w:tcMar>
              <w:top w:w="15" w:type="dxa"/>
              <w:left w:w="0" w:type="dxa"/>
              <w:bottom w:w="0" w:type="dxa"/>
              <w:right w:w="15" w:type="dxa"/>
            </w:tcMar>
            <w:vAlign w:val="bottom"/>
            <w:hideMark/>
          </w:tcPr>
          <w:p w14:paraId="645DF4F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038C4CB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3867511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top w:val="single" w:sz="6" w:space="0" w:color="000000"/>
            </w:tcBorders>
            <w:shd w:val="clear" w:color="auto" w:fill="FFFFFF"/>
            <w:noWrap/>
            <w:tcMar>
              <w:top w:w="15" w:type="dxa"/>
              <w:left w:w="0" w:type="dxa"/>
              <w:bottom w:w="0" w:type="dxa"/>
              <w:right w:w="15" w:type="dxa"/>
            </w:tcMar>
            <w:vAlign w:val="bottom"/>
            <w:hideMark/>
          </w:tcPr>
          <w:p w14:paraId="6E9F7018"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543</w:t>
            </w:r>
          </w:p>
        </w:tc>
        <w:tc>
          <w:tcPr>
            <w:tcW w:w="191" w:type="dxa"/>
            <w:shd w:val="clear" w:color="auto" w:fill="FFFFFF"/>
            <w:noWrap/>
            <w:tcMar>
              <w:top w:w="15" w:type="dxa"/>
              <w:left w:w="0" w:type="dxa"/>
              <w:bottom w:w="0" w:type="dxa"/>
              <w:right w:w="15" w:type="dxa"/>
            </w:tcMar>
            <w:vAlign w:val="bottom"/>
            <w:hideMark/>
          </w:tcPr>
          <w:p w14:paraId="759C292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02E38E5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6ED7887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tcBorders>
              <w:top w:val="single" w:sz="6" w:space="0" w:color="000000"/>
            </w:tcBorders>
            <w:shd w:val="clear" w:color="auto" w:fill="FFFFFF"/>
            <w:noWrap/>
            <w:tcMar>
              <w:top w:w="15" w:type="dxa"/>
              <w:left w:w="0" w:type="dxa"/>
              <w:bottom w:w="0" w:type="dxa"/>
              <w:right w:w="15" w:type="dxa"/>
            </w:tcMar>
            <w:vAlign w:val="bottom"/>
            <w:hideMark/>
          </w:tcPr>
          <w:p w14:paraId="5D9B7C00"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479</w:t>
            </w:r>
          </w:p>
        </w:tc>
        <w:tc>
          <w:tcPr>
            <w:tcW w:w="42" w:type="dxa"/>
            <w:shd w:val="clear" w:color="auto" w:fill="FFFFFF"/>
            <w:noWrap/>
            <w:tcMar>
              <w:top w:w="15" w:type="dxa"/>
              <w:left w:w="0" w:type="dxa"/>
              <w:bottom w:w="0" w:type="dxa"/>
              <w:right w:w="15" w:type="dxa"/>
            </w:tcMar>
            <w:vAlign w:val="bottom"/>
            <w:hideMark/>
          </w:tcPr>
          <w:p w14:paraId="30F0E81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06FD7F1F" w14:textId="77777777" w:rsidTr="00141675">
        <w:tc>
          <w:tcPr>
            <w:tcW w:w="808" w:type="dxa"/>
            <w:shd w:val="clear" w:color="auto" w:fill="FFFFFF"/>
            <w:tcMar>
              <w:top w:w="15" w:type="dxa"/>
              <w:left w:w="0" w:type="dxa"/>
              <w:bottom w:w="0" w:type="dxa"/>
              <w:right w:w="15" w:type="dxa"/>
            </w:tcMar>
            <w:vAlign w:val="bottom"/>
            <w:hideMark/>
          </w:tcPr>
          <w:p w14:paraId="3752266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970" w:type="dxa"/>
            <w:shd w:val="clear" w:color="auto" w:fill="CFF0FC"/>
            <w:tcMar>
              <w:top w:w="15" w:type="dxa"/>
              <w:left w:w="0" w:type="dxa"/>
              <w:bottom w:w="0" w:type="dxa"/>
              <w:right w:w="15" w:type="dxa"/>
            </w:tcMar>
            <w:hideMark/>
          </w:tcPr>
          <w:p w14:paraId="659816E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General and administrative</w:t>
            </w:r>
          </w:p>
        </w:tc>
        <w:tc>
          <w:tcPr>
            <w:tcW w:w="248" w:type="dxa"/>
            <w:shd w:val="clear" w:color="auto" w:fill="CFF0FC"/>
            <w:tcMar>
              <w:top w:w="15" w:type="dxa"/>
              <w:left w:w="0" w:type="dxa"/>
              <w:bottom w:w="0" w:type="dxa"/>
              <w:right w:w="15" w:type="dxa"/>
            </w:tcMar>
            <w:vAlign w:val="bottom"/>
            <w:hideMark/>
          </w:tcPr>
          <w:p w14:paraId="16B2B1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048783D"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CFF0FC"/>
            <w:noWrap/>
            <w:tcMar>
              <w:top w:w="15" w:type="dxa"/>
              <w:left w:w="0" w:type="dxa"/>
              <w:bottom w:w="0" w:type="dxa"/>
              <w:right w:w="15" w:type="dxa"/>
            </w:tcMar>
            <w:vAlign w:val="bottom"/>
            <w:hideMark/>
          </w:tcPr>
          <w:p w14:paraId="5739AEE0"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41</w:t>
            </w:r>
          </w:p>
        </w:tc>
        <w:tc>
          <w:tcPr>
            <w:tcW w:w="191" w:type="dxa"/>
            <w:shd w:val="clear" w:color="auto" w:fill="CFF0FC"/>
            <w:noWrap/>
            <w:tcMar>
              <w:top w:w="15" w:type="dxa"/>
              <w:left w:w="0" w:type="dxa"/>
              <w:bottom w:w="0" w:type="dxa"/>
              <w:right w:w="15" w:type="dxa"/>
            </w:tcMar>
            <w:vAlign w:val="bottom"/>
            <w:hideMark/>
          </w:tcPr>
          <w:p w14:paraId="5AF6A4B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431AA69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0752CE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CFF0FC"/>
            <w:noWrap/>
            <w:tcMar>
              <w:top w:w="15" w:type="dxa"/>
              <w:left w:w="0" w:type="dxa"/>
              <w:bottom w:w="0" w:type="dxa"/>
              <w:right w:w="15" w:type="dxa"/>
            </w:tcMar>
            <w:vAlign w:val="bottom"/>
            <w:hideMark/>
          </w:tcPr>
          <w:p w14:paraId="5A491334"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43</w:t>
            </w:r>
          </w:p>
        </w:tc>
        <w:tc>
          <w:tcPr>
            <w:tcW w:w="191" w:type="dxa"/>
            <w:shd w:val="clear" w:color="auto" w:fill="CFF0FC"/>
            <w:noWrap/>
            <w:tcMar>
              <w:top w:w="15" w:type="dxa"/>
              <w:left w:w="0" w:type="dxa"/>
              <w:bottom w:w="0" w:type="dxa"/>
              <w:right w:w="15" w:type="dxa"/>
            </w:tcMar>
            <w:vAlign w:val="bottom"/>
            <w:hideMark/>
          </w:tcPr>
          <w:p w14:paraId="4072980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073EC16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0D8E27C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CFF0FC"/>
            <w:noWrap/>
            <w:tcMar>
              <w:top w:w="15" w:type="dxa"/>
              <w:left w:w="0" w:type="dxa"/>
              <w:bottom w:w="0" w:type="dxa"/>
              <w:right w:w="15" w:type="dxa"/>
            </w:tcMar>
            <w:vAlign w:val="bottom"/>
            <w:hideMark/>
          </w:tcPr>
          <w:p w14:paraId="21986F82"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80</w:t>
            </w:r>
          </w:p>
        </w:tc>
        <w:tc>
          <w:tcPr>
            <w:tcW w:w="191" w:type="dxa"/>
            <w:shd w:val="clear" w:color="auto" w:fill="CFF0FC"/>
            <w:noWrap/>
            <w:tcMar>
              <w:top w:w="15" w:type="dxa"/>
              <w:left w:w="0" w:type="dxa"/>
              <w:bottom w:w="0" w:type="dxa"/>
              <w:right w:w="15" w:type="dxa"/>
            </w:tcMar>
            <w:vAlign w:val="bottom"/>
            <w:hideMark/>
          </w:tcPr>
          <w:p w14:paraId="6FFA97E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CFF0FC"/>
            <w:tcMar>
              <w:top w:w="15" w:type="dxa"/>
              <w:left w:w="0" w:type="dxa"/>
              <w:bottom w:w="0" w:type="dxa"/>
              <w:right w:w="15" w:type="dxa"/>
            </w:tcMar>
            <w:vAlign w:val="bottom"/>
            <w:hideMark/>
          </w:tcPr>
          <w:p w14:paraId="7BA181C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shd w:val="clear" w:color="auto" w:fill="CFF0FC"/>
            <w:noWrap/>
            <w:tcMar>
              <w:top w:w="15" w:type="dxa"/>
              <w:left w:w="0" w:type="dxa"/>
              <w:bottom w:w="0" w:type="dxa"/>
              <w:right w:w="15" w:type="dxa"/>
            </w:tcMar>
            <w:vAlign w:val="bottom"/>
            <w:hideMark/>
          </w:tcPr>
          <w:p w14:paraId="7DFCB6F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549" w:type="dxa"/>
            <w:shd w:val="clear" w:color="auto" w:fill="CFF0FC"/>
            <w:noWrap/>
            <w:tcMar>
              <w:top w:w="15" w:type="dxa"/>
              <w:left w:w="0" w:type="dxa"/>
              <w:bottom w:w="0" w:type="dxa"/>
              <w:right w:w="15" w:type="dxa"/>
            </w:tcMar>
            <w:vAlign w:val="bottom"/>
            <w:hideMark/>
          </w:tcPr>
          <w:p w14:paraId="6304DFF3"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87</w:t>
            </w:r>
          </w:p>
        </w:tc>
        <w:tc>
          <w:tcPr>
            <w:tcW w:w="42" w:type="dxa"/>
            <w:shd w:val="clear" w:color="auto" w:fill="CFF0FC"/>
            <w:noWrap/>
            <w:tcMar>
              <w:top w:w="15" w:type="dxa"/>
              <w:left w:w="0" w:type="dxa"/>
              <w:bottom w:w="0" w:type="dxa"/>
              <w:right w:w="15" w:type="dxa"/>
            </w:tcMar>
            <w:vAlign w:val="bottom"/>
            <w:hideMark/>
          </w:tcPr>
          <w:p w14:paraId="4D10579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0ED635FA" w14:textId="77777777" w:rsidTr="00141675">
        <w:tc>
          <w:tcPr>
            <w:tcW w:w="808" w:type="dxa"/>
            <w:shd w:val="clear" w:color="auto" w:fill="FFFFFF"/>
            <w:tcMar>
              <w:top w:w="15" w:type="dxa"/>
              <w:left w:w="0" w:type="dxa"/>
              <w:bottom w:w="0" w:type="dxa"/>
              <w:right w:w="15" w:type="dxa"/>
            </w:tcMar>
            <w:vAlign w:val="bottom"/>
            <w:hideMark/>
          </w:tcPr>
          <w:p w14:paraId="4602896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970" w:type="dxa"/>
            <w:shd w:val="clear" w:color="auto" w:fill="FFFFFF"/>
            <w:tcMar>
              <w:top w:w="15" w:type="dxa"/>
              <w:left w:w="0" w:type="dxa"/>
              <w:bottom w:w="0" w:type="dxa"/>
              <w:right w:w="15" w:type="dxa"/>
            </w:tcMar>
            <w:hideMark/>
          </w:tcPr>
          <w:p w14:paraId="6A5CFBCB" w14:textId="77777777" w:rsidR="00141675" w:rsidRPr="00141675" w:rsidRDefault="00141675" w:rsidP="00141675">
            <w:pPr>
              <w:widowControl/>
              <w:ind w:left="410"/>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Total stock-based compensation</w:t>
            </w:r>
          </w:p>
        </w:tc>
        <w:tc>
          <w:tcPr>
            <w:tcW w:w="248" w:type="dxa"/>
            <w:shd w:val="clear" w:color="auto" w:fill="FFFFFF"/>
            <w:tcMar>
              <w:top w:w="15" w:type="dxa"/>
              <w:left w:w="0" w:type="dxa"/>
              <w:bottom w:w="0" w:type="dxa"/>
              <w:right w:w="15" w:type="dxa"/>
            </w:tcMar>
            <w:vAlign w:val="bottom"/>
            <w:hideMark/>
          </w:tcPr>
          <w:p w14:paraId="0C34855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5ED533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54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9D7C29"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397</w:t>
            </w:r>
          </w:p>
        </w:tc>
        <w:tc>
          <w:tcPr>
            <w:tcW w:w="191" w:type="dxa"/>
            <w:shd w:val="clear" w:color="auto" w:fill="FFFFFF"/>
            <w:noWrap/>
            <w:tcMar>
              <w:top w:w="15" w:type="dxa"/>
              <w:left w:w="0" w:type="dxa"/>
              <w:bottom w:w="0" w:type="dxa"/>
              <w:right w:w="15" w:type="dxa"/>
            </w:tcMar>
            <w:vAlign w:val="bottom"/>
            <w:hideMark/>
          </w:tcPr>
          <w:p w14:paraId="10B0DFF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6C8C49D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CF896E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54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7C26DA4"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396</w:t>
            </w:r>
          </w:p>
        </w:tc>
        <w:tc>
          <w:tcPr>
            <w:tcW w:w="191" w:type="dxa"/>
            <w:shd w:val="clear" w:color="auto" w:fill="FFFFFF"/>
            <w:noWrap/>
            <w:tcMar>
              <w:top w:w="15" w:type="dxa"/>
              <w:left w:w="0" w:type="dxa"/>
              <w:bottom w:w="0" w:type="dxa"/>
              <w:right w:w="15" w:type="dxa"/>
            </w:tcMar>
            <w:vAlign w:val="bottom"/>
            <w:hideMark/>
          </w:tcPr>
          <w:p w14:paraId="08F5163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3D628D4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8D1DCD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54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6110E79"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843</w:t>
            </w:r>
          </w:p>
        </w:tc>
        <w:tc>
          <w:tcPr>
            <w:tcW w:w="191" w:type="dxa"/>
            <w:shd w:val="clear" w:color="auto" w:fill="FFFFFF"/>
            <w:noWrap/>
            <w:tcMar>
              <w:top w:w="15" w:type="dxa"/>
              <w:left w:w="0" w:type="dxa"/>
              <w:bottom w:w="0" w:type="dxa"/>
              <w:right w:w="15" w:type="dxa"/>
            </w:tcMar>
            <w:vAlign w:val="bottom"/>
            <w:hideMark/>
          </w:tcPr>
          <w:p w14:paraId="07651BE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248" w:type="dxa"/>
            <w:shd w:val="clear" w:color="auto" w:fill="FFFFFF"/>
            <w:tcMar>
              <w:top w:w="15" w:type="dxa"/>
              <w:left w:w="0" w:type="dxa"/>
              <w:bottom w:w="0" w:type="dxa"/>
              <w:right w:w="15" w:type="dxa"/>
            </w:tcMar>
            <w:vAlign w:val="bottom"/>
            <w:hideMark/>
          </w:tcPr>
          <w:p w14:paraId="4CEC9F7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AEB90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154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5FD13BD" w14:textId="77777777" w:rsidR="00141675" w:rsidRPr="00141675" w:rsidRDefault="00141675" w:rsidP="00141675">
            <w:pPr>
              <w:widowControl/>
              <w:jc w:val="righ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832</w:t>
            </w:r>
          </w:p>
        </w:tc>
        <w:tc>
          <w:tcPr>
            <w:tcW w:w="42" w:type="dxa"/>
            <w:shd w:val="clear" w:color="auto" w:fill="FFFFFF"/>
            <w:noWrap/>
            <w:tcMar>
              <w:top w:w="15" w:type="dxa"/>
              <w:left w:w="0" w:type="dxa"/>
              <w:bottom w:w="0" w:type="dxa"/>
              <w:right w:w="15" w:type="dxa"/>
            </w:tcMar>
            <w:vAlign w:val="bottom"/>
            <w:hideMark/>
          </w:tcPr>
          <w:p w14:paraId="18EB1D78"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4AE15FD5"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6F6FC50F" w14:textId="77777777" w:rsidTr="00141675">
        <w:tc>
          <w:tcPr>
            <w:tcW w:w="794" w:type="dxa"/>
            <w:noWrap/>
            <w:hideMark/>
          </w:tcPr>
          <w:p w14:paraId="43264811" w14:textId="77777777" w:rsidR="00141675" w:rsidRPr="00141675" w:rsidRDefault="00141675" w:rsidP="00141675">
            <w:pPr>
              <w:widowControl/>
              <w:spacing w:before="60"/>
              <w:rPr>
                <w:rFonts w:ascii="Calibri" w:eastAsia="宋体" w:hAnsi="Calibri" w:cs="Calibri" w:hint="eastAsia"/>
                <w:kern w:val="0"/>
                <w:sz w:val="15"/>
                <w:szCs w:val="15"/>
              </w:rPr>
            </w:pPr>
            <w:r w:rsidRPr="00141675">
              <w:rPr>
                <w:rFonts w:ascii="Calibri" w:eastAsia="宋体" w:hAnsi="Calibri" w:cs="Calibri"/>
                <w:kern w:val="0"/>
                <w:sz w:val="18"/>
                <w:szCs w:val="18"/>
                <w:vertAlign w:val="superscript"/>
              </w:rPr>
              <w:t>(6)</w:t>
            </w:r>
          </w:p>
        </w:tc>
        <w:tc>
          <w:tcPr>
            <w:tcW w:w="0" w:type="auto"/>
            <w:hideMark/>
          </w:tcPr>
          <w:p w14:paraId="2EA79E47"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5"/>
                <w:szCs w:val="15"/>
              </w:rPr>
              <w:t>For the second quarter and first half of fiscal 2020, the applicable jurisdictional tax rates applied to our income before provision for income taxes after adjusting for the effects of items within the table above, such as for stock-based compensation, amortization of intangible assets, restructuring, and certain other acquisition related items, resulted in an effective tax rate of 18.8% and 19.3%, respectively, instead of 17.7% and 16.0%, respectively, as derived per our condensed consolidated statements of operations. For the second quarter and first half of fiscal 2019, the applicable jurisdictional tax rates applied to our income before provision for income taxes after adjusting for the effects of items within the table above, such as for stock-based compensation, amortization of intangible assets, restructuring, and certain other acquisition related items, and after excluding the effects of income tax reform (see footnote (7) below), resulted in an effective tax rate of 18.6% and 18.8%, respectively, instead of 15.9% and 13.5%, respectively, which represented our effective tax rates as derived per our condensed consolidated statements of operations.</w:t>
            </w:r>
          </w:p>
        </w:tc>
      </w:tr>
      <w:tr w:rsidR="00141675" w:rsidRPr="00141675" w14:paraId="621F2AC6" w14:textId="77777777" w:rsidTr="00141675">
        <w:tc>
          <w:tcPr>
            <w:tcW w:w="794" w:type="dxa"/>
            <w:noWrap/>
            <w:hideMark/>
          </w:tcPr>
          <w:p w14:paraId="2DE7C44A"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8"/>
                <w:szCs w:val="18"/>
                <w:vertAlign w:val="superscript"/>
              </w:rPr>
              <w:t>(7)</w:t>
            </w:r>
          </w:p>
        </w:tc>
        <w:tc>
          <w:tcPr>
            <w:tcW w:w="0" w:type="auto"/>
            <w:hideMark/>
          </w:tcPr>
          <w:p w14:paraId="2F621DD4"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5"/>
                <w:szCs w:val="15"/>
              </w:rPr>
              <w:t>The income tax reform adjustment presented in the table above was due to an income tax expense adjustment made pursuant to SEC Staff Accounting Bulletin No. 118 (SAB 118) during the first half of fiscal 2019 related to the enactment of the U.S. Tax Cuts and Jobs Act of 2017 (the Tax Act). The more significant provisions of the Tax Act as applicable to us are described in our Annual Report on Form 10-K for the fiscal year ended May 31, 2019.</w:t>
            </w:r>
          </w:p>
        </w:tc>
      </w:tr>
    </w:tbl>
    <w:p w14:paraId="60B8E92F"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lastRenderedPageBreak/>
        <w:t>Cloud and License Business</w:t>
      </w:r>
    </w:p>
    <w:p w14:paraId="30D6A88F"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cloud and license business engages in the sale, marketing and delivery of our applications and infrastructure technologies through various deployment models, including license support offerings; Oracle Cloud Services offerings; and cloud license and on-premise license offerings. License support revenues are typically generated through the sale of license support contracts related to cloud licenses and on-premise licenses, are purchased by our customers at their option and are generally recognized as revenues ratably over the contractual term, which is generally one year. Our cloud services deliver applications and infrastructure technologies on a subscription basis</w:t>
      </w:r>
    </w:p>
    <w:p w14:paraId="360D52C9"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33</w:t>
      </w:r>
    </w:p>
    <w:p w14:paraId="382DC4E2"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447FD311">
          <v:rect id="_x0000_i1059" style="width:0;height:1.5pt" o:hralign="center" o:hrstd="t" o:hrnoshade="t" o:hr="t" fillcolor="black" stroked="f"/>
        </w:pict>
      </w:r>
    </w:p>
    <w:p w14:paraId="4EE6E01A" w14:textId="77777777" w:rsidR="00141675" w:rsidRPr="00141675" w:rsidRDefault="00141675" w:rsidP="00141675">
      <w:pPr>
        <w:widowControl/>
        <w:jc w:val="left"/>
        <w:rPr>
          <w:rFonts w:ascii="Calibri" w:eastAsia="宋体" w:hAnsi="Calibri" w:cs="Calibri"/>
          <w:b/>
          <w:bCs/>
          <w:color w:val="000000"/>
          <w:kern w:val="0"/>
          <w:sz w:val="20"/>
          <w:szCs w:val="20"/>
        </w:rPr>
      </w:pPr>
      <w:hyperlink r:id="rId56" w:anchor="TABLE_CONTENTS" w:history="1">
        <w:r w:rsidRPr="00141675">
          <w:rPr>
            <w:rFonts w:ascii="Calibri" w:eastAsia="宋体" w:hAnsi="Calibri" w:cs="Calibri"/>
            <w:b/>
            <w:bCs/>
            <w:color w:val="0000FF"/>
            <w:kern w:val="0"/>
            <w:sz w:val="20"/>
            <w:szCs w:val="20"/>
            <w:u w:val="single"/>
          </w:rPr>
          <w:t>Table of Contents</w:t>
        </w:r>
      </w:hyperlink>
    </w:p>
    <w:p w14:paraId="0A3022A9"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73AE5F5E"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via cloud-based deployment models that we develop, provide unspecified updates and enhancements for, host, manage and support, and revenues are generally recognized over the contractual term, which is generally one to three years, or in the case of usage model contracts, as the cloud services are consumed. Cloud license and on-premise license revenues represent fees earned from granting customers licenses, generally on a perpetual basis, to use our database and middleware and our applications software products within cloud and on-premise IT environments and are generally recognized up front at the point in time when the software is made available to the customer to download and use. We continue to place significant emphasis, both domestically and internationally, on direct sales through our own sales force. We also continue to market certain of our offerings through indirect channels. Costs associated with our cloud and license business are included in cloud services and license support expenses, and sales and marketing expenses. These costs are largely personnel and infrastructure related including the cost of providing our cloud services and license support offerings, salaries and commissions earned by our sales force for the sale of our cloud and license offerings, and marketing program costs.</w:t>
      </w:r>
    </w:p>
    <w:p w14:paraId="038D9F46"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71"/>
        <w:gridCol w:w="221"/>
        <w:gridCol w:w="200"/>
        <w:gridCol w:w="1060"/>
        <w:gridCol w:w="200"/>
        <w:gridCol w:w="221"/>
        <w:gridCol w:w="1459"/>
        <w:gridCol w:w="221"/>
        <w:gridCol w:w="1488"/>
        <w:gridCol w:w="220"/>
        <w:gridCol w:w="199"/>
        <w:gridCol w:w="1136"/>
        <w:gridCol w:w="199"/>
        <w:gridCol w:w="220"/>
        <w:gridCol w:w="199"/>
        <w:gridCol w:w="1059"/>
        <w:gridCol w:w="199"/>
        <w:gridCol w:w="220"/>
        <w:gridCol w:w="1458"/>
        <w:gridCol w:w="220"/>
        <w:gridCol w:w="1488"/>
        <w:gridCol w:w="220"/>
        <w:gridCol w:w="199"/>
        <w:gridCol w:w="1136"/>
        <w:gridCol w:w="201"/>
      </w:tblGrid>
      <w:tr w:rsidR="00141675" w:rsidRPr="00141675" w14:paraId="055CEFB8" w14:textId="77777777" w:rsidTr="00141675">
        <w:tc>
          <w:tcPr>
            <w:tcW w:w="6956" w:type="dxa"/>
            <w:shd w:val="clear" w:color="auto" w:fill="FFFFFF"/>
            <w:tcMar>
              <w:top w:w="15" w:type="dxa"/>
              <w:left w:w="0" w:type="dxa"/>
              <w:bottom w:w="0" w:type="dxa"/>
              <w:right w:w="15" w:type="dxa"/>
            </w:tcMar>
            <w:vAlign w:val="center"/>
            <w:hideMark/>
          </w:tcPr>
          <w:p w14:paraId="6B23F94C"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5E1FD3A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4" w:type="dxa"/>
            <w:gridSpan w:val="10"/>
            <w:tcBorders>
              <w:bottom w:val="single" w:sz="6" w:space="0" w:color="000000"/>
            </w:tcBorders>
            <w:shd w:val="clear" w:color="auto" w:fill="FFFFFF"/>
            <w:tcMar>
              <w:top w:w="15" w:type="dxa"/>
              <w:left w:w="0" w:type="dxa"/>
              <w:bottom w:w="0" w:type="dxa"/>
              <w:right w:w="15" w:type="dxa"/>
            </w:tcMar>
            <w:vAlign w:val="bottom"/>
            <w:hideMark/>
          </w:tcPr>
          <w:p w14:paraId="06071E5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1" w:type="dxa"/>
            <w:shd w:val="clear" w:color="auto" w:fill="FFFFFF"/>
            <w:noWrap/>
            <w:tcMar>
              <w:top w:w="15" w:type="dxa"/>
              <w:left w:w="0" w:type="dxa"/>
              <w:bottom w:w="0" w:type="dxa"/>
              <w:right w:w="15" w:type="dxa"/>
            </w:tcMar>
            <w:vAlign w:val="bottom"/>
            <w:hideMark/>
          </w:tcPr>
          <w:p w14:paraId="5A228D7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A9A2D7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4" w:type="dxa"/>
            <w:gridSpan w:val="10"/>
            <w:tcBorders>
              <w:bottom w:val="single" w:sz="6" w:space="0" w:color="000000"/>
            </w:tcBorders>
            <w:shd w:val="clear" w:color="auto" w:fill="FFFFFF"/>
            <w:tcMar>
              <w:top w:w="15" w:type="dxa"/>
              <w:left w:w="0" w:type="dxa"/>
              <w:bottom w:w="0" w:type="dxa"/>
              <w:right w:w="15" w:type="dxa"/>
            </w:tcMar>
            <w:vAlign w:val="bottom"/>
            <w:hideMark/>
          </w:tcPr>
          <w:p w14:paraId="07CE947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1B2213C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4F2085D" w14:textId="77777777" w:rsidTr="00141675">
        <w:tc>
          <w:tcPr>
            <w:tcW w:w="6956" w:type="dxa"/>
            <w:shd w:val="clear" w:color="auto" w:fill="FFFFFF"/>
            <w:tcMar>
              <w:top w:w="15" w:type="dxa"/>
              <w:left w:w="0" w:type="dxa"/>
              <w:bottom w:w="0" w:type="dxa"/>
              <w:right w:w="15" w:type="dxa"/>
            </w:tcMar>
            <w:vAlign w:val="center"/>
            <w:hideMark/>
          </w:tcPr>
          <w:p w14:paraId="59650B1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467090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4FD2610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54E143A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60EE208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2A62F5B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17883E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776937B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1A8C536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14689F7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0CBA542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633C01C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101E5CA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77D4850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2F01012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54967FF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B94E6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5C00929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1D03886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bottom"/>
            <w:hideMark/>
          </w:tcPr>
          <w:p w14:paraId="2B9505C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0F0B70C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234CCD40" w14:textId="77777777" w:rsidTr="00141675">
        <w:tc>
          <w:tcPr>
            <w:tcW w:w="6956" w:type="dxa"/>
            <w:tcBorders>
              <w:bottom w:val="single" w:sz="6" w:space="0" w:color="000000"/>
            </w:tcBorders>
            <w:shd w:val="clear" w:color="auto" w:fill="FFFFFF"/>
            <w:tcMar>
              <w:top w:w="15" w:type="dxa"/>
              <w:left w:w="0" w:type="dxa"/>
              <w:bottom w:w="0" w:type="dxa"/>
              <w:right w:w="15" w:type="dxa"/>
            </w:tcMar>
            <w:vAlign w:val="bottom"/>
            <w:hideMark/>
          </w:tcPr>
          <w:p w14:paraId="1437A69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35FF8BC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27A3559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016A5E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center"/>
            <w:hideMark/>
          </w:tcPr>
          <w:p w14:paraId="3FE8071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647AE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00CB0A2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51D3D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center"/>
            <w:hideMark/>
          </w:tcPr>
          <w:p w14:paraId="463885C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0170B16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5B5325B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FDBDBF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509368C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2277B6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FB5E17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F97F4F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039D741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A7B271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71967E0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356ED8D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7881B6C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5131D49" w14:textId="77777777" w:rsidTr="00141675">
        <w:tc>
          <w:tcPr>
            <w:tcW w:w="6956" w:type="dxa"/>
            <w:tcBorders>
              <w:top w:val="single" w:sz="6" w:space="0" w:color="000000"/>
            </w:tcBorders>
            <w:shd w:val="clear" w:color="auto" w:fill="CFF0FC"/>
            <w:tcMar>
              <w:top w:w="15" w:type="dxa"/>
              <w:left w:w="0" w:type="dxa"/>
              <w:bottom w:w="0" w:type="dxa"/>
              <w:right w:w="15" w:type="dxa"/>
            </w:tcMar>
            <w:hideMark/>
          </w:tcPr>
          <w:p w14:paraId="546AE07F" w14:textId="77777777" w:rsidR="00141675" w:rsidRPr="00141675" w:rsidRDefault="00141675" w:rsidP="00141675">
            <w:pPr>
              <w:widowControl/>
              <w:jc w:val="left"/>
              <w:rPr>
                <w:rFonts w:ascii="Calibri" w:eastAsia="宋体" w:hAnsi="Calibri" w:cs="Calibri"/>
                <w:b/>
                <w:bCs/>
                <w:i/>
                <w:iCs/>
                <w:color w:val="000000"/>
                <w:kern w:val="0"/>
                <w:sz w:val="18"/>
                <w:szCs w:val="18"/>
              </w:rPr>
            </w:pPr>
            <w:r w:rsidRPr="00141675">
              <w:rPr>
                <w:rFonts w:ascii="Calibri" w:eastAsia="宋体" w:hAnsi="Calibri" w:cs="Calibri"/>
                <w:b/>
                <w:bCs/>
                <w:i/>
                <w:iCs/>
                <w:color w:val="000000"/>
                <w:kern w:val="0"/>
                <w:sz w:val="18"/>
                <w:szCs w:val="18"/>
              </w:rPr>
              <w:t>Cloud and License Revenues:</w:t>
            </w:r>
          </w:p>
        </w:tc>
        <w:tc>
          <w:tcPr>
            <w:tcW w:w="220" w:type="dxa"/>
            <w:shd w:val="clear" w:color="auto" w:fill="CFF0FC"/>
            <w:tcMar>
              <w:top w:w="15" w:type="dxa"/>
              <w:left w:w="0" w:type="dxa"/>
              <w:bottom w:w="0" w:type="dxa"/>
              <w:right w:w="15" w:type="dxa"/>
            </w:tcMar>
            <w:vAlign w:val="bottom"/>
            <w:hideMark/>
          </w:tcPr>
          <w:p w14:paraId="2333569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38D61E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61F2AC1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5C0FD3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47C01C4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300980B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79C042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37577EC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2A70D2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DAF825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6128AEF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70CCB4E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8461D0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4D548A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7551DD4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0A3C59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05E0EE9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212D75B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680AA28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7B0B2C0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6A5E25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4E8E19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0522804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3" w:type="dxa"/>
            <w:shd w:val="clear" w:color="auto" w:fill="CFF0FC"/>
            <w:noWrap/>
            <w:tcMar>
              <w:top w:w="15" w:type="dxa"/>
              <w:left w:w="0" w:type="dxa"/>
              <w:bottom w:w="0" w:type="dxa"/>
              <w:right w:w="15" w:type="dxa"/>
            </w:tcMar>
            <w:vAlign w:val="bottom"/>
            <w:hideMark/>
          </w:tcPr>
          <w:p w14:paraId="179FB5E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57B6C667" w14:textId="77777777" w:rsidTr="00141675">
        <w:tc>
          <w:tcPr>
            <w:tcW w:w="6956" w:type="dxa"/>
            <w:shd w:val="clear" w:color="auto" w:fill="FFFFFF"/>
            <w:tcMar>
              <w:top w:w="15" w:type="dxa"/>
              <w:left w:w="0" w:type="dxa"/>
              <w:bottom w:w="0" w:type="dxa"/>
              <w:right w:w="15" w:type="dxa"/>
            </w:tcMar>
            <w:hideMark/>
          </w:tcPr>
          <w:p w14:paraId="295771B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Americas</w:t>
            </w:r>
            <w:r w:rsidRPr="00141675">
              <w:rPr>
                <w:rFonts w:ascii="Calibri" w:eastAsia="宋体" w:hAnsi="Calibri" w:cs="Calibri"/>
                <w:color w:val="000000"/>
                <w:kern w:val="0"/>
                <w:sz w:val="18"/>
                <w:szCs w:val="18"/>
                <w:vertAlign w:val="superscript"/>
              </w:rPr>
              <w:t>(1)</w:t>
            </w:r>
          </w:p>
        </w:tc>
        <w:tc>
          <w:tcPr>
            <w:tcW w:w="220" w:type="dxa"/>
            <w:shd w:val="clear" w:color="auto" w:fill="FFFFFF"/>
            <w:tcMar>
              <w:top w:w="15" w:type="dxa"/>
              <w:left w:w="0" w:type="dxa"/>
              <w:bottom w:w="0" w:type="dxa"/>
              <w:right w:w="15" w:type="dxa"/>
            </w:tcMar>
            <w:vAlign w:val="bottom"/>
            <w:hideMark/>
          </w:tcPr>
          <w:p w14:paraId="1AB1EDB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6F971D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FFFFFF"/>
            <w:noWrap/>
            <w:tcMar>
              <w:top w:w="15" w:type="dxa"/>
              <w:left w:w="0" w:type="dxa"/>
              <w:bottom w:w="0" w:type="dxa"/>
              <w:right w:w="15" w:type="dxa"/>
            </w:tcMar>
            <w:vAlign w:val="bottom"/>
            <w:hideMark/>
          </w:tcPr>
          <w:p w14:paraId="1A909E8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4,470</w:t>
            </w:r>
          </w:p>
        </w:tc>
        <w:tc>
          <w:tcPr>
            <w:tcW w:w="191" w:type="dxa"/>
            <w:shd w:val="clear" w:color="auto" w:fill="FFFFFF"/>
            <w:noWrap/>
            <w:tcMar>
              <w:top w:w="15" w:type="dxa"/>
              <w:left w:w="0" w:type="dxa"/>
              <w:bottom w:w="0" w:type="dxa"/>
              <w:right w:w="15" w:type="dxa"/>
            </w:tcMar>
            <w:vAlign w:val="bottom"/>
            <w:hideMark/>
          </w:tcPr>
          <w:p w14:paraId="391E194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52BB8A4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FB4EAC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FFFFFF"/>
            <w:tcMar>
              <w:top w:w="15" w:type="dxa"/>
              <w:left w:w="0" w:type="dxa"/>
              <w:bottom w:w="0" w:type="dxa"/>
              <w:right w:w="15" w:type="dxa"/>
            </w:tcMar>
            <w:vAlign w:val="bottom"/>
            <w:hideMark/>
          </w:tcPr>
          <w:p w14:paraId="5A9FF9C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463F5D7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FFFFFF"/>
            <w:tcMar>
              <w:top w:w="15" w:type="dxa"/>
              <w:left w:w="0" w:type="dxa"/>
              <w:bottom w:w="0" w:type="dxa"/>
              <w:right w:w="15" w:type="dxa"/>
            </w:tcMar>
            <w:vAlign w:val="bottom"/>
            <w:hideMark/>
          </w:tcPr>
          <w:p w14:paraId="07F2050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AB708F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FFFFFF"/>
            <w:noWrap/>
            <w:tcMar>
              <w:top w:w="15" w:type="dxa"/>
              <w:left w:w="0" w:type="dxa"/>
              <w:bottom w:w="0" w:type="dxa"/>
              <w:right w:w="15" w:type="dxa"/>
            </w:tcMar>
            <w:vAlign w:val="bottom"/>
            <w:hideMark/>
          </w:tcPr>
          <w:p w14:paraId="0ADF295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4,395</w:t>
            </w:r>
          </w:p>
        </w:tc>
        <w:tc>
          <w:tcPr>
            <w:tcW w:w="191" w:type="dxa"/>
            <w:shd w:val="clear" w:color="auto" w:fill="FFFFFF"/>
            <w:noWrap/>
            <w:tcMar>
              <w:top w:w="15" w:type="dxa"/>
              <w:left w:w="0" w:type="dxa"/>
              <w:bottom w:w="0" w:type="dxa"/>
              <w:right w:w="15" w:type="dxa"/>
            </w:tcMar>
            <w:vAlign w:val="bottom"/>
            <w:hideMark/>
          </w:tcPr>
          <w:p w14:paraId="2E41F15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32D5087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1B2F0A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FFFFFF"/>
            <w:noWrap/>
            <w:tcMar>
              <w:top w:w="15" w:type="dxa"/>
              <w:left w:w="0" w:type="dxa"/>
              <w:bottom w:w="0" w:type="dxa"/>
              <w:right w:w="15" w:type="dxa"/>
            </w:tcMar>
            <w:vAlign w:val="bottom"/>
            <w:hideMark/>
          </w:tcPr>
          <w:p w14:paraId="38C8448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8,827</w:t>
            </w:r>
          </w:p>
        </w:tc>
        <w:tc>
          <w:tcPr>
            <w:tcW w:w="191" w:type="dxa"/>
            <w:shd w:val="clear" w:color="auto" w:fill="FFFFFF"/>
            <w:noWrap/>
            <w:tcMar>
              <w:top w:w="15" w:type="dxa"/>
              <w:left w:w="0" w:type="dxa"/>
              <w:bottom w:w="0" w:type="dxa"/>
              <w:right w:w="15" w:type="dxa"/>
            </w:tcMar>
            <w:vAlign w:val="bottom"/>
            <w:hideMark/>
          </w:tcPr>
          <w:p w14:paraId="75FA293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190CF17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20980FB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FFFFFF"/>
            <w:tcMar>
              <w:top w:w="15" w:type="dxa"/>
              <w:left w:w="0" w:type="dxa"/>
              <w:bottom w:w="0" w:type="dxa"/>
              <w:right w:w="15" w:type="dxa"/>
            </w:tcMar>
            <w:vAlign w:val="bottom"/>
            <w:hideMark/>
          </w:tcPr>
          <w:p w14:paraId="049F9CC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A4E21B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FFFFFF"/>
            <w:tcMar>
              <w:top w:w="15" w:type="dxa"/>
              <w:left w:w="0" w:type="dxa"/>
              <w:bottom w:w="0" w:type="dxa"/>
              <w:right w:w="15" w:type="dxa"/>
            </w:tcMar>
            <w:vAlign w:val="bottom"/>
            <w:hideMark/>
          </w:tcPr>
          <w:p w14:paraId="2270FFE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4168CF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FFFFFF"/>
            <w:noWrap/>
            <w:tcMar>
              <w:top w:w="15" w:type="dxa"/>
              <w:left w:w="0" w:type="dxa"/>
              <w:bottom w:w="0" w:type="dxa"/>
              <w:right w:w="15" w:type="dxa"/>
            </w:tcMar>
            <w:vAlign w:val="bottom"/>
            <w:hideMark/>
          </w:tcPr>
          <w:p w14:paraId="502A110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8,687</w:t>
            </w:r>
          </w:p>
        </w:tc>
        <w:tc>
          <w:tcPr>
            <w:tcW w:w="193" w:type="dxa"/>
            <w:shd w:val="clear" w:color="auto" w:fill="FFFFFF"/>
            <w:noWrap/>
            <w:tcMar>
              <w:top w:w="15" w:type="dxa"/>
              <w:left w:w="0" w:type="dxa"/>
              <w:bottom w:w="0" w:type="dxa"/>
              <w:right w:w="15" w:type="dxa"/>
            </w:tcMar>
            <w:vAlign w:val="bottom"/>
            <w:hideMark/>
          </w:tcPr>
          <w:p w14:paraId="78DD2A9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2151458" w14:textId="77777777" w:rsidTr="00141675">
        <w:tc>
          <w:tcPr>
            <w:tcW w:w="6956" w:type="dxa"/>
            <w:shd w:val="clear" w:color="auto" w:fill="CFF0FC"/>
            <w:tcMar>
              <w:top w:w="15" w:type="dxa"/>
              <w:left w:w="0" w:type="dxa"/>
              <w:bottom w:w="0" w:type="dxa"/>
              <w:right w:w="15" w:type="dxa"/>
            </w:tcMar>
            <w:hideMark/>
          </w:tcPr>
          <w:p w14:paraId="19E6536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EMEA</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vAlign w:val="bottom"/>
            <w:hideMark/>
          </w:tcPr>
          <w:p w14:paraId="341B800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E0B309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CFF0FC"/>
            <w:noWrap/>
            <w:tcMar>
              <w:top w:w="15" w:type="dxa"/>
              <w:left w:w="0" w:type="dxa"/>
              <w:bottom w:w="0" w:type="dxa"/>
              <w:right w:w="15" w:type="dxa"/>
            </w:tcMar>
            <w:vAlign w:val="bottom"/>
            <w:hideMark/>
          </w:tcPr>
          <w:p w14:paraId="2E53AC2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2,200</w:t>
            </w:r>
          </w:p>
        </w:tc>
        <w:tc>
          <w:tcPr>
            <w:tcW w:w="191" w:type="dxa"/>
            <w:shd w:val="clear" w:color="auto" w:fill="CFF0FC"/>
            <w:noWrap/>
            <w:tcMar>
              <w:top w:w="15" w:type="dxa"/>
              <w:left w:w="0" w:type="dxa"/>
              <w:bottom w:w="0" w:type="dxa"/>
              <w:right w:w="15" w:type="dxa"/>
            </w:tcMar>
            <w:vAlign w:val="bottom"/>
            <w:hideMark/>
          </w:tcPr>
          <w:p w14:paraId="5AFF4C5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0F1FD9E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53F847C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220" w:type="dxa"/>
            <w:shd w:val="clear" w:color="auto" w:fill="CFF0FC"/>
            <w:tcMar>
              <w:top w:w="15" w:type="dxa"/>
              <w:left w:w="0" w:type="dxa"/>
              <w:bottom w:w="0" w:type="dxa"/>
              <w:right w:w="15" w:type="dxa"/>
            </w:tcMar>
            <w:vAlign w:val="bottom"/>
            <w:hideMark/>
          </w:tcPr>
          <w:p w14:paraId="76E60EE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72D6B8E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w:t>
            </w:r>
          </w:p>
        </w:tc>
        <w:tc>
          <w:tcPr>
            <w:tcW w:w="220" w:type="dxa"/>
            <w:shd w:val="clear" w:color="auto" w:fill="CFF0FC"/>
            <w:tcMar>
              <w:top w:w="15" w:type="dxa"/>
              <w:left w:w="0" w:type="dxa"/>
              <w:bottom w:w="0" w:type="dxa"/>
              <w:right w:w="15" w:type="dxa"/>
            </w:tcMar>
            <w:vAlign w:val="bottom"/>
            <w:hideMark/>
          </w:tcPr>
          <w:p w14:paraId="3280D2B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321352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CFF0FC"/>
            <w:noWrap/>
            <w:tcMar>
              <w:top w:w="15" w:type="dxa"/>
              <w:left w:w="0" w:type="dxa"/>
              <w:bottom w:w="0" w:type="dxa"/>
              <w:right w:w="15" w:type="dxa"/>
            </w:tcMar>
            <w:vAlign w:val="bottom"/>
            <w:hideMark/>
          </w:tcPr>
          <w:p w14:paraId="7C014EF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2,262</w:t>
            </w:r>
          </w:p>
        </w:tc>
        <w:tc>
          <w:tcPr>
            <w:tcW w:w="191" w:type="dxa"/>
            <w:shd w:val="clear" w:color="auto" w:fill="CFF0FC"/>
            <w:noWrap/>
            <w:tcMar>
              <w:top w:w="15" w:type="dxa"/>
              <w:left w:w="0" w:type="dxa"/>
              <w:bottom w:w="0" w:type="dxa"/>
              <w:right w:w="15" w:type="dxa"/>
            </w:tcMar>
            <w:vAlign w:val="bottom"/>
            <w:hideMark/>
          </w:tcPr>
          <w:p w14:paraId="593E66B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49F75B5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178D34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CFF0FC"/>
            <w:noWrap/>
            <w:tcMar>
              <w:top w:w="15" w:type="dxa"/>
              <w:left w:w="0" w:type="dxa"/>
              <w:bottom w:w="0" w:type="dxa"/>
              <w:right w:w="15" w:type="dxa"/>
            </w:tcMar>
            <w:vAlign w:val="bottom"/>
            <w:hideMark/>
          </w:tcPr>
          <w:p w14:paraId="034F2CF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4,270</w:t>
            </w:r>
          </w:p>
        </w:tc>
        <w:tc>
          <w:tcPr>
            <w:tcW w:w="191" w:type="dxa"/>
            <w:shd w:val="clear" w:color="auto" w:fill="CFF0FC"/>
            <w:noWrap/>
            <w:tcMar>
              <w:top w:w="15" w:type="dxa"/>
              <w:left w:w="0" w:type="dxa"/>
              <w:bottom w:w="0" w:type="dxa"/>
              <w:right w:w="15" w:type="dxa"/>
            </w:tcMar>
            <w:vAlign w:val="bottom"/>
            <w:hideMark/>
          </w:tcPr>
          <w:p w14:paraId="0F7D644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87C385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3089E52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CFF0FC"/>
            <w:tcMar>
              <w:top w:w="15" w:type="dxa"/>
              <w:left w:w="0" w:type="dxa"/>
              <w:bottom w:w="0" w:type="dxa"/>
              <w:right w:w="15" w:type="dxa"/>
            </w:tcMar>
            <w:vAlign w:val="bottom"/>
            <w:hideMark/>
          </w:tcPr>
          <w:p w14:paraId="3527EB1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5771E15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CFF0FC"/>
            <w:tcMar>
              <w:top w:w="15" w:type="dxa"/>
              <w:left w:w="0" w:type="dxa"/>
              <w:bottom w:w="0" w:type="dxa"/>
              <w:right w:w="15" w:type="dxa"/>
            </w:tcMar>
            <w:vAlign w:val="bottom"/>
            <w:hideMark/>
          </w:tcPr>
          <w:p w14:paraId="46DE8B3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2908BA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CFF0FC"/>
            <w:noWrap/>
            <w:tcMar>
              <w:top w:w="15" w:type="dxa"/>
              <w:left w:w="0" w:type="dxa"/>
              <w:bottom w:w="0" w:type="dxa"/>
              <w:right w:w="15" w:type="dxa"/>
            </w:tcMar>
            <w:vAlign w:val="bottom"/>
            <w:hideMark/>
          </w:tcPr>
          <w:p w14:paraId="5E4BA15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4,325</w:t>
            </w:r>
          </w:p>
        </w:tc>
        <w:tc>
          <w:tcPr>
            <w:tcW w:w="193" w:type="dxa"/>
            <w:shd w:val="clear" w:color="auto" w:fill="CFF0FC"/>
            <w:noWrap/>
            <w:tcMar>
              <w:top w:w="15" w:type="dxa"/>
              <w:left w:w="0" w:type="dxa"/>
              <w:bottom w:w="0" w:type="dxa"/>
              <w:right w:w="15" w:type="dxa"/>
            </w:tcMar>
            <w:vAlign w:val="bottom"/>
            <w:hideMark/>
          </w:tcPr>
          <w:p w14:paraId="1678C47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6DE18134" w14:textId="77777777" w:rsidTr="00141675">
        <w:tc>
          <w:tcPr>
            <w:tcW w:w="6956" w:type="dxa"/>
            <w:shd w:val="clear" w:color="auto" w:fill="FFFFFF"/>
            <w:tcMar>
              <w:top w:w="15" w:type="dxa"/>
              <w:left w:w="0" w:type="dxa"/>
              <w:bottom w:w="0" w:type="dxa"/>
              <w:right w:w="15" w:type="dxa"/>
            </w:tcMar>
            <w:hideMark/>
          </w:tcPr>
          <w:p w14:paraId="6DBA400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Asia Pacific</w:t>
            </w:r>
            <w:r w:rsidRPr="00141675">
              <w:rPr>
                <w:rFonts w:ascii="Calibri" w:eastAsia="宋体" w:hAnsi="Calibri" w:cs="Calibri"/>
                <w:color w:val="000000"/>
                <w:kern w:val="0"/>
                <w:sz w:val="18"/>
                <w:szCs w:val="18"/>
                <w:vertAlign w:val="superscript"/>
              </w:rPr>
              <w:t>(1)</w:t>
            </w:r>
          </w:p>
        </w:tc>
        <w:tc>
          <w:tcPr>
            <w:tcW w:w="220" w:type="dxa"/>
            <w:shd w:val="clear" w:color="auto" w:fill="FFFFFF"/>
            <w:tcMar>
              <w:top w:w="15" w:type="dxa"/>
              <w:left w:w="0" w:type="dxa"/>
              <w:bottom w:w="0" w:type="dxa"/>
              <w:right w:w="15" w:type="dxa"/>
            </w:tcMar>
            <w:vAlign w:val="bottom"/>
            <w:hideMark/>
          </w:tcPr>
          <w:p w14:paraId="1D36E7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E625BA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7E63931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1,268</w:t>
            </w:r>
          </w:p>
        </w:tc>
        <w:tc>
          <w:tcPr>
            <w:tcW w:w="191" w:type="dxa"/>
            <w:shd w:val="clear" w:color="auto" w:fill="FFFFFF"/>
            <w:noWrap/>
            <w:tcMar>
              <w:top w:w="15" w:type="dxa"/>
              <w:left w:w="0" w:type="dxa"/>
              <w:bottom w:w="0" w:type="dxa"/>
              <w:right w:w="15" w:type="dxa"/>
            </w:tcMar>
            <w:vAlign w:val="bottom"/>
            <w:hideMark/>
          </w:tcPr>
          <w:p w14:paraId="4D0E259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32C48B5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392243A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w:t>
            </w:r>
          </w:p>
        </w:tc>
        <w:tc>
          <w:tcPr>
            <w:tcW w:w="220" w:type="dxa"/>
            <w:shd w:val="clear" w:color="auto" w:fill="FFFFFF"/>
            <w:tcMar>
              <w:top w:w="15" w:type="dxa"/>
              <w:left w:w="0" w:type="dxa"/>
              <w:bottom w:w="0" w:type="dxa"/>
              <w:right w:w="15" w:type="dxa"/>
            </w:tcMar>
            <w:vAlign w:val="bottom"/>
            <w:hideMark/>
          </w:tcPr>
          <w:p w14:paraId="728A163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3684015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w:t>
            </w:r>
          </w:p>
        </w:tc>
        <w:tc>
          <w:tcPr>
            <w:tcW w:w="220" w:type="dxa"/>
            <w:shd w:val="clear" w:color="auto" w:fill="FFFFFF"/>
            <w:tcMar>
              <w:top w:w="15" w:type="dxa"/>
              <w:left w:w="0" w:type="dxa"/>
              <w:bottom w:w="0" w:type="dxa"/>
              <w:right w:w="15" w:type="dxa"/>
            </w:tcMar>
            <w:vAlign w:val="bottom"/>
            <w:hideMark/>
          </w:tcPr>
          <w:p w14:paraId="013374A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2E0E86D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7E5839C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1,202</w:t>
            </w:r>
          </w:p>
        </w:tc>
        <w:tc>
          <w:tcPr>
            <w:tcW w:w="191" w:type="dxa"/>
            <w:shd w:val="clear" w:color="auto" w:fill="FFFFFF"/>
            <w:noWrap/>
            <w:tcMar>
              <w:top w:w="15" w:type="dxa"/>
              <w:left w:w="0" w:type="dxa"/>
              <w:bottom w:w="0" w:type="dxa"/>
              <w:right w:w="15" w:type="dxa"/>
            </w:tcMar>
            <w:vAlign w:val="bottom"/>
            <w:hideMark/>
          </w:tcPr>
          <w:p w14:paraId="19AD71C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DF3BA4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A3E632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466F9B5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2,459</w:t>
            </w:r>
          </w:p>
        </w:tc>
        <w:tc>
          <w:tcPr>
            <w:tcW w:w="191" w:type="dxa"/>
            <w:shd w:val="clear" w:color="auto" w:fill="FFFFFF"/>
            <w:noWrap/>
            <w:tcMar>
              <w:top w:w="15" w:type="dxa"/>
              <w:left w:w="0" w:type="dxa"/>
              <w:bottom w:w="0" w:type="dxa"/>
              <w:right w:w="15" w:type="dxa"/>
            </w:tcMar>
            <w:vAlign w:val="bottom"/>
            <w:hideMark/>
          </w:tcPr>
          <w:p w14:paraId="42A6A13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0D844BB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2759B24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w:t>
            </w:r>
          </w:p>
        </w:tc>
        <w:tc>
          <w:tcPr>
            <w:tcW w:w="220" w:type="dxa"/>
            <w:shd w:val="clear" w:color="auto" w:fill="FFFFFF"/>
            <w:tcMar>
              <w:top w:w="15" w:type="dxa"/>
              <w:left w:w="0" w:type="dxa"/>
              <w:bottom w:w="0" w:type="dxa"/>
              <w:right w:w="15" w:type="dxa"/>
            </w:tcMar>
            <w:vAlign w:val="bottom"/>
            <w:hideMark/>
          </w:tcPr>
          <w:p w14:paraId="37191ED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59C1F2A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w:t>
            </w:r>
          </w:p>
        </w:tc>
        <w:tc>
          <w:tcPr>
            <w:tcW w:w="220" w:type="dxa"/>
            <w:shd w:val="clear" w:color="auto" w:fill="FFFFFF"/>
            <w:tcMar>
              <w:top w:w="15" w:type="dxa"/>
              <w:left w:w="0" w:type="dxa"/>
              <w:bottom w:w="0" w:type="dxa"/>
              <w:right w:w="15" w:type="dxa"/>
            </w:tcMar>
            <w:vAlign w:val="bottom"/>
            <w:hideMark/>
          </w:tcPr>
          <w:p w14:paraId="0086DFD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146EA0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288D69C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2,330</w:t>
            </w:r>
          </w:p>
        </w:tc>
        <w:tc>
          <w:tcPr>
            <w:tcW w:w="193" w:type="dxa"/>
            <w:shd w:val="clear" w:color="auto" w:fill="FFFFFF"/>
            <w:noWrap/>
            <w:tcMar>
              <w:top w:w="15" w:type="dxa"/>
              <w:left w:w="0" w:type="dxa"/>
              <w:bottom w:w="0" w:type="dxa"/>
              <w:right w:w="15" w:type="dxa"/>
            </w:tcMar>
            <w:vAlign w:val="bottom"/>
            <w:hideMark/>
          </w:tcPr>
          <w:p w14:paraId="5420156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DBFC848" w14:textId="77777777" w:rsidTr="00141675">
        <w:tc>
          <w:tcPr>
            <w:tcW w:w="6956" w:type="dxa"/>
            <w:shd w:val="clear" w:color="auto" w:fill="CFF0FC"/>
            <w:tcMar>
              <w:top w:w="15" w:type="dxa"/>
              <w:left w:w="0" w:type="dxa"/>
              <w:bottom w:w="0" w:type="dxa"/>
              <w:right w:w="15" w:type="dxa"/>
            </w:tcMar>
            <w:hideMark/>
          </w:tcPr>
          <w:p w14:paraId="7F26ACF6"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revenues</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vAlign w:val="bottom"/>
            <w:hideMark/>
          </w:tcPr>
          <w:p w14:paraId="09C649F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71122B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076C812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7,938</w:t>
            </w:r>
          </w:p>
        </w:tc>
        <w:tc>
          <w:tcPr>
            <w:tcW w:w="191" w:type="dxa"/>
            <w:shd w:val="clear" w:color="auto" w:fill="CFF0FC"/>
            <w:noWrap/>
            <w:tcMar>
              <w:top w:w="15" w:type="dxa"/>
              <w:left w:w="0" w:type="dxa"/>
              <w:bottom w:w="0" w:type="dxa"/>
              <w:right w:w="15" w:type="dxa"/>
            </w:tcMar>
            <w:vAlign w:val="bottom"/>
            <w:hideMark/>
          </w:tcPr>
          <w:p w14:paraId="68A24B2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52A805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3A8A940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CFF0FC"/>
            <w:tcMar>
              <w:top w:w="15" w:type="dxa"/>
              <w:left w:w="0" w:type="dxa"/>
              <w:bottom w:w="0" w:type="dxa"/>
              <w:right w:w="15" w:type="dxa"/>
            </w:tcMar>
            <w:vAlign w:val="bottom"/>
            <w:hideMark/>
          </w:tcPr>
          <w:p w14:paraId="715C8A4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0631D48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CFF0FC"/>
            <w:tcMar>
              <w:top w:w="15" w:type="dxa"/>
              <w:left w:w="0" w:type="dxa"/>
              <w:bottom w:w="0" w:type="dxa"/>
              <w:right w:w="15" w:type="dxa"/>
            </w:tcMar>
            <w:vAlign w:val="bottom"/>
            <w:hideMark/>
          </w:tcPr>
          <w:p w14:paraId="40B3404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7B663C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6B1D82C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7,859</w:t>
            </w:r>
          </w:p>
        </w:tc>
        <w:tc>
          <w:tcPr>
            <w:tcW w:w="191" w:type="dxa"/>
            <w:shd w:val="clear" w:color="auto" w:fill="CFF0FC"/>
            <w:noWrap/>
            <w:tcMar>
              <w:top w:w="15" w:type="dxa"/>
              <w:left w:w="0" w:type="dxa"/>
              <w:bottom w:w="0" w:type="dxa"/>
              <w:right w:w="15" w:type="dxa"/>
            </w:tcMar>
            <w:vAlign w:val="bottom"/>
            <w:hideMark/>
          </w:tcPr>
          <w:p w14:paraId="663012A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D49117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72F2EC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4821BB5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15,556</w:t>
            </w:r>
          </w:p>
        </w:tc>
        <w:tc>
          <w:tcPr>
            <w:tcW w:w="191" w:type="dxa"/>
            <w:shd w:val="clear" w:color="auto" w:fill="CFF0FC"/>
            <w:noWrap/>
            <w:tcMar>
              <w:top w:w="15" w:type="dxa"/>
              <w:left w:w="0" w:type="dxa"/>
              <w:bottom w:w="0" w:type="dxa"/>
              <w:right w:w="15" w:type="dxa"/>
            </w:tcMar>
            <w:vAlign w:val="bottom"/>
            <w:hideMark/>
          </w:tcPr>
          <w:p w14:paraId="511CE3E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C5FF2F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67F852E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CFF0FC"/>
            <w:tcMar>
              <w:top w:w="15" w:type="dxa"/>
              <w:left w:w="0" w:type="dxa"/>
              <w:bottom w:w="0" w:type="dxa"/>
              <w:right w:w="15" w:type="dxa"/>
            </w:tcMar>
            <w:vAlign w:val="bottom"/>
            <w:hideMark/>
          </w:tcPr>
          <w:p w14:paraId="3C91671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312C00B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CFF0FC"/>
            <w:tcMar>
              <w:top w:w="15" w:type="dxa"/>
              <w:left w:w="0" w:type="dxa"/>
              <w:bottom w:w="0" w:type="dxa"/>
              <w:right w:w="15" w:type="dxa"/>
            </w:tcMar>
            <w:vAlign w:val="bottom"/>
            <w:hideMark/>
          </w:tcPr>
          <w:p w14:paraId="002565C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5BD195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328301D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15,342</w:t>
            </w:r>
          </w:p>
        </w:tc>
        <w:tc>
          <w:tcPr>
            <w:tcW w:w="193" w:type="dxa"/>
            <w:shd w:val="clear" w:color="auto" w:fill="CFF0FC"/>
            <w:noWrap/>
            <w:tcMar>
              <w:top w:w="15" w:type="dxa"/>
              <w:left w:w="0" w:type="dxa"/>
              <w:bottom w:w="0" w:type="dxa"/>
              <w:right w:w="15" w:type="dxa"/>
            </w:tcMar>
            <w:vAlign w:val="bottom"/>
            <w:hideMark/>
          </w:tcPr>
          <w:p w14:paraId="66EA836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734DE741" w14:textId="77777777" w:rsidTr="00141675">
        <w:tc>
          <w:tcPr>
            <w:tcW w:w="6956" w:type="dxa"/>
            <w:shd w:val="clear" w:color="auto" w:fill="FFFFFF"/>
            <w:tcMar>
              <w:top w:w="15" w:type="dxa"/>
              <w:left w:w="0" w:type="dxa"/>
              <w:bottom w:w="0" w:type="dxa"/>
              <w:right w:w="15" w:type="dxa"/>
            </w:tcMar>
            <w:hideMark/>
          </w:tcPr>
          <w:p w14:paraId="51733F08" w14:textId="77777777" w:rsidR="00141675" w:rsidRPr="00141675" w:rsidRDefault="00141675" w:rsidP="00141675">
            <w:pPr>
              <w:widowControl/>
              <w:jc w:val="left"/>
              <w:rPr>
                <w:rFonts w:ascii="Calibri" w:eastAsia="宋体" w:hAnsi="Calibri" w:cs="Calibri"/>
                <w:b/>
                <w:bCs/>
                <w:i/>
                <w:iCs/>
                <w:color w:val="000000"/>
                <w:kern w:val="0"/>
                <w:sz w:val="18"/>
                <w:szCs w:val="18"/>
              </w:rPr>
            </w:pPr>
            <w:r w:rsidRPr="00141675">
              <w:rPr>
                <w:rFonts w:ascii="Calibri" w:eastAsia="宋体" w:hAnsi="Calibri" w:cs="Calibri"/>
                <w:b/>
                <w:bCs/>
                <w:i/>
                <w:iCs/>
                <w:color w:val="000000"/>
                <w:kern w:val="0"/>
                <w:sz w:val="18"/>
                <w:szCs w:val="18"/>
              </w:rPr>
              <w:t>Expenses:</w:t>
            </w:r>
          </w:p>
        </w:tc>
        <w:tc>
          <w:tcPr>
            <w:tcW w:w="220" w:type="dxa"/>
            <w:shd w:val="clear" w:color="auto" w:fill="FFFFFF"/>
            <w:tcMar>
              <w:top w:w="15" w:type="dxa"/>
              <w:left w:w="0" w:type="dxa"/>
              <w:bottom w:w="0" w:type="dxa"/>
              <w:right w:w="15" w:type="dxa"/>
            </w:tcMar>
            <w:vAlign w:val="bottom"/>
            <w:hideMark/>
          </w:tcPr>
          <w:p w14:paraId="4D45FDA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121EC0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5D67BC8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FB768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6A1F5D4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5049C98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39C41E8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33D2D6A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3A81FA2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76634B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1701DB3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D440C1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7691E91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6A8CDE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24F11FE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16248E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429360D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2AF613C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3D61C20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6A5DC01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99E1C2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1A9CA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59BEC07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3" w:type="dxa"/>
            <w:shd w:val="clear" w:color="auto" w:fill="FFFFFF"/>
            <w:noWrap/>
            <w:tcMar>
              <w:top w:w="15" w:type="dxa"/>
              <w:left w:w="0" w:type="dxa"/>
              <w:bottom w:w="0" w:type="dxa"/>
              <w:right w:w="15" w:type="dxa"/>
            </w:tcMar>
            <w:vAlign w:val="bottom"/>
            <w:hideMark/>
          </w:tcPr>
          <w:p w14:paraId="05E9BEE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56201A9D" w14:textId="77777777" w:rsidTr="00141675">
        <w:tc>
          <w:tcPr>
            <w:tcW w:w="6956" w:type="dxa"/>
            <w:shd w:val="clear" w:color="auto" w:fill="CFF0FC"/>
            <w:tcMar>
              <w:top w:w="15" w:type="dxa"/>
              <w:left w:w="0" w:type="dxa"/>
              <w:bottom w:w="0" w:type="dxa"/>
              <w:right w:w="15" w:type="dxa"/>
            </w:tcMar>
            <w:hideMark/>
          </w:tcPr>
          <w:p w14:paraId="0EAD971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Cloud services and license support</w:t>
            </w:r>
            <w:r w:rsidRPr="00141675">
              <w:rPr>
                <w:rFonts w:ascii="Calibri" w:eastAsia="宋体" w:hAnsi="Calibri" w:cs="Calibri"/>
                <w:color w:val="000000"/>
                <w:kern w:val="0"/>
                <w:sz w:val="18"/>
                <w:szCs w:val="18"/>
                <w:vertAlign w:val="superscript"/>
              </w:rPr>
              <w:t>(2)</w:t>
            </w:r>
          </w:p>
        </w:tc>
        <w:tc>
          <w:tcPr>
            <w:tcW w:w="220" w:type="dxa"/>
            <w:shd w:val="clear" w:color="auto" w:fill="CFF0FC"/>
            <w:tcMar>
              <w:top w:w="15" w:type="dxa"/>
              <w:left w:w="0" w:type="dxa"/>
              <w:bottom w:w="0" w:type="dxa"/>
              <w:right w:w="15" w:type="dxa"/>
            </w:tcMar>
            <w:vAlign w:val="bottom"/>
            <w:hideMark/>
          </w:tcPr>
          <w:p w14:paraId="3488EA6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3951DA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CFF0FC"/>
            <w:noWrap/>
            <w:tcMar>
              <w:top w:w="15" w:type="dxa"/>
              <w:left w:w="0" w:type="dxa"/>
              <w:bottom w:w="0" w:type="dxa"/>
              <w:right w:w="15" w:type="dxa"/>
            </w:tcMar>
            <w:vAlign w:val="bottom"/>
            <w:hideMark/>
          </w:tcPr>
          <w:p w14:paraId="0A9E636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970</w:t>
            </w:r>
          </w:p>
        </w:tc>
        <w:tc>
          <w:tcPr>
            <w:tcW w:w="191" w:type="dxa"/>
            <w:shd w:val="clear" w:color="auto" w:fill="CFF0FC"/>
            <w:noWrap/>
            <w:tcMar>
              <w:top w:w="15" w:type="dxa"/>
              <w:left w:w="0" w:type="dxa"/>
              <w:bottom w:w="0" w:type="dxa"/>
              <w:right w:w="15" w:type="dxa"/>
            </w:tcMar>
            <w:vAlign w:val="bottom"/>
            <w:hideMark/>
          </w:tcPr>
          <w:p w14:paraId="7958764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1BE786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131DF5F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w:t>
            </w:r>
          </w:p>
        </w:tc>
        <w:tc>
          <w:tcPr>
            <w:tcW w:w="220" w:type="dxa"/>
            <w:shd w:val="clear" w:color="auto" w:fill="CFF0FC"/>
            <w:tcMar>
              <w:top w:w="15" w:type="dxa"/>
              <w:left w:w="0" w:type="dxa"/>
              <w:bottom w:w="0" w:type="dxa"/>
              <w:right w:w="15" w:type="dxa"/>
            </w:tcMar>
            <w:vAlign w:val="bottom"/>
            <w:hideMark/>
          </w:tcPr>
          <w:p w14:paraId="7F70CEF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25C04D8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220" w:type="dxa"/>
            <w:shd w:val="clear" w:color="auto" w:fill="CFF0FC"/>
            <w:tcMar>
              <w:top w:w="15" w:type="dxa"/>
              <w:left w:w="0" w:type="dxa"/>
              <w:bottom w:w="0" w:type="dxa"/>
              <w:right w:w="15" w:type="dxa"/>
            </w:tcMar>
            <w:vAlign w:val="bottom"/>
            <w:hideMark/>
          </w:tcPr>
          <w:p w14:paraId="5D6AA9E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005D54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CFF0FC"/>
            <w:noWrap/>
            <w:tcMar>
              <w:top w:w="15" w:type="dxa"/>
              <w:left w:w="0" w:type="dxa"/>
              <w:bottom w:w="0" w:type="dxa"/>
              <w:right w:w="15" w:type="dxa"/>
            </w:tcMar>
            <w:vAlign w:val="bottom"/>
            <w:hideMark/>
          </w:tcPr>
          <w:p w14:paraId="5AD4832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912</w:t>
            </w:r>
          </w:p>
        </w:tc>
        <w:tc>
          <w:tcPr>
            <w:tcW w:w="191" w:type="dxa"/>
            <w:shd w:val="clear" w:color="auto" w:fill="CFF0FC"/>
            <w:noWrap/>
            <w:tcMar>
              <w:top w:w="15" w:type="dxa"/>
              <w:left w:w="0" w:type="dxa"/>
              <w:bottom w:w="0" w:type="dxa"/>
              <w:right w:w="15" w:type="dxa"/>
            </w:tcMar>
            <w:vAlign w:val="bottom"/>
            <w:hideMark/>
          </w:tcPr>
          <w:p w14:paraId="25B9228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4A6E4B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046522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CFF0FC"/>
            <w:noWrap/>
            <w:tcMar>
              <w:top w:w="15" w:type="dxa"/>
              <w:left w:w="0" w:type="dxa"/>
              <w:bottom w:w="0" w:type="dxa"/>
              <w:right w:w="15" w:type="dxa"/>
            </w:tcMar>
            <w:vAlign w:val="bottom"/>
            <w:hideMark/>
          </w:tcPr>
          <w:p w14:paraId="36D7B54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1,901</w:t>
            </w:r>
          </w:p>
        </w:tc>
        <w:tc>
          <w:tcPr>
            <w:tcW w:w="191" w:type="dxa"/>
            <w:shd w:val="clear" w:color="auto" w:fill="CFF0FC"/>
            <w:noWrap/>
            <w:tcMar>
              <w:top w:w="15" w:type="dxa"/>
              <w:left w:w="0" w:type="dxa"/>
              <w:bottom w:w="0" w:type="dxa"/>
              <w:right w:w="15" w:type="dxa"/>
            </w:tcMar>
            <w:vAlign w:val="bottom"/>
            <w:hideMark/>
          </w:tcPr>
          <w:p w14:paraId="0C51F78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F91B94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547CC9D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220" w:type="dxa"/>
            <w:shd w:val="clear" w:color="auto" w:fill="CFF0FC"/>
            <w:tcMar>
              <w:top w:w="15" w:type="dxa"/>
              <w:left w:w="0" w:type="dxa"/>
              <w:bottom w:w="0" w:type="dxa"/>
              <w:right w:w="15" w:type="dxa"/>
            </w:tcMar>
            <w:vAlign w:val="bottom"/>
            <w:hideMark/>
          </w:tcPr>
          <w:p w14:paraId="5257B45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09AE3DC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w:t>
            </w:r>
          </w:p>
        </w:tc>
        <w:tc>
          <w:tcPr>
            <w:tcW w:w="220" w:type="dxa"/>
            <w:shd w:val="clear" w:color="auto" w:fill="CFF0FC"/>
            <w:tcMar>
              <w:top w:w="15" w:type="dxa"/>
              <w:left w:w="0" w:type="dxa"/>
              <w:bottom w:w="0" w:type="dxa"/>
              <w:right w:w="15" w:type="dxa"/>
            </w:tcMar>
            <w:vAlign w:val="bottom"/>
            <w:hideMark/>
          </w:tcPr>
          <w:p w14:paraId="7C84E2C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10FC737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CFF0FC"/>
            <w:noWrap/>
            <w:tcMar>
              <w:top w:w="15" w:type="dxa"/>
              <w:left w:w="0" w:type="dxa"/>
              <w:bottom w:w="0" w:type="dxa"/>
              <w:right w:w="15" w:type="dxa"/>
            </w:tcMar>
            <w:vAlign w:val="bottom"/>
            <w:hideMark/>
          </w:tcPr>
          <w:p w14:paraId="3FE746A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1,779</w:t>
            </w:r>
          </w:p>
        </w:tc>
        <w:tc>
          <w:tcPr>
            <w:tcW w:w="193" w:type="dxa"/>
            <w:shd w:val="clear" w:color="auto" w:fill="CFF0FC"/>
            <w:noWrap/>
            <w:tcMar>
              <w:top w:w="15" w:type="dxa"/>
              <w:left w:w="0" w:type="dxa"/>
              <w:bottom w:w="0" w:type="dxa"/>
              <w:right w:w="15" w:type="dxa"/>
            </w:tcMar>
            <w:vAlign w:val="bottom"/>
            <w:hideMark/>
          </w:tcPr>
          <w:p w14:paraId="268EFA2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A7E1E20" w14:textId="77777777" w:rsidTr="00141675">
        <w:tc>
          <w:tcPr>
            <w:tcW w:w="6956" w:type="dxa"/>
            <w:shd w:val="clear" w:color="auto" w:fill="FFFFFF"/>
            <w:tcMar>
              <w:top w:w="15" w:type="dxa"/>
              <w:left w:w="0" w:type="dxa"/>
              <w:bottom w:w="0" w:type="dxa"/>
              <w:right w:w="15" w:type="dxa"/>
            </w:tcMar>
            <w:hideMark/>
          </w:tcPr>
          <w:p w14:paraId="28A9CE7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Sales and marketing</w:t>
            </w:r>
            <w:r w:rsidRPr="00141675">
              <w:rPr>
                <w:rFonts w:ascii="Calibri" w:eastAsia="宋体" w:hAnsi="Calibri" w:cs="Calibri"/>
                <w:color w:val="000000"/>
                <w:kern w:val="0"/>
                <w:sz w:val="18"/>
                <w:szCs w:val="18"/>
                <w:vertAlign w:val="superscript"/>
              </w:rPr>
              <w:t>(2)</w:t>
            </w:r>
          </w:p>
        </w:tc>
        <w:tc>
          <w:tcPr>
            <w:tcW w:w="220" w:type="dxa"/>
            <w:shd w:val="clear" w:color="auto" w:fill="FFFFFF"/>
            <w:tcMar>
              <w:top w:w="15" w:type="dxa"/>
              <w:left w:w="0" w:type="dxa"/>
              <w:bottom w:w="0" w:type="dxa"/>
              <w:right w:w="15" w:type="dxa"/>
            </w:tcMar>
            <w:vAlign w:val="bottom"/>
            <w:hideMark/>
          </w:tcPr>
          <w:p w14:paraId="156214A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EC017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5A46DE0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1,856</w:t>
            </w:r>
          </w:p>
        </w:tc>
        <w:tc>
          <w:tcPr>
            <w:tcW w:w="191" w:type="dxa"/>
            <w:shd w:val="clear" w:color="auto" w:fill="FFFFFF"/>
            <w:noWrap/>
            <w:tcMar>
              <w:top w:w="15" w:type="dxa"/>
              <w:left w:w="0" w:type="dxa"/>
              <w:bottom w:w="0" w:type="dxa"/>
              <w:right w:w="15" w:type="dxa"/>
            </w:tcMar>
            <w:vAlign w:val="bottom"/>
            <w:hideMark/>
          </w:tcPr>
          <w:p w14:paraId="6BBFF4E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3E2222C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3E9CC0E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FFFFFF"/>
            <w:tcMar>
              <w:top w:w="15" w:type="dxa"/>
              <w:left w:w="0" w:type="dxa"/>
              <w:bottom w:w="0" w:type="dxa"/>
              <w:right w:w="15" w:type="dxa"/>
            </w:tcMar>
            <w:vAlign w:val="bottom"/>
            <w:hideMark/>
          </w:tcPr>
          <w:p w14:paraId="1EA10F8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23DD449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FFFFFF"/>
            <w:tcMar>
              <w:top w:w="15" w:type="dxa"/>
              <w:left w:w="0" w:type="dxa"/>
              <w:bottom w:w="0" w:type="dxa"/>
              <w:right w:w="15" w:type="dxa"/>
            </w:tcMar>
            <w:vAlign w:val="bottom"/>
            <w:hideMark/>
          </w:tcPr>
          <w:p w14:paraId="7A9D6EE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4B4A58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213E1D0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1,834</w:t>
            </w:r>
          </w:p>
        </w:tc>
        <w:tc>
          <w:tcPr>
            <w:tcW w:w="191" w:type="dxa"/>
            <w:shd w:val="clear" w:color="auto" w:fill="FFFFFF"/>
            <w:noWrap/>
            <w:tcMar>
              <w:top w:w="15" w:type="dxa"/>
              <w:left w:w="0" w:type="dxa"/>
              <w:bottom w:w="0" w:type="dxa"/>
              <w:right w:w="15" w:type="dxa"/>
            </w:tcMar>
            <w:vAlign w:val="bottom"/>
            <w:hideMark/>
          </w:tcPr>
          <w:p w14:paraId="66EB92B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7668712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FC932D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04AF535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3,612</w:t>
            </w:r>
          </w:p>
        </w:tc>
        <w:tc>
          <w:tcPr>
            <w:tcW w:w="191" w:type="dxa"/>
            <w:shd w:val="clear" w:color="auto" w:fill="FFFFFF"/>
            <w:noWrap/>
            <w:tcMar>
              <w:top w:w="15" w:type="dxa"/>
              <w:left w:w="0" w:type="dxa"/>
              <w:bottom w:w="0" w:type="dxa"/>
              <w:right w:w="15" w:type="dxa"/>
            </w:tcMar>
            <w:vAlign w:val="bottom"/>
            <w:hideMark/>
          </w:tcPr>
          <w:p w14:paraId="551E160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7E3F5B4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5F9D01F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FFFFFF"/>
            <w:tcMar>
              <w:top w:w="15" w:type="dxa"/>
              <w:left w:w="0" w:type="dxa"/>
              <w:bottom w:w="0" w:type="dxa"/>
              <w:right w:w="15" w:type="dxa"/>
            </w:tcMar>
            <w:vAlign w:val="bottom"/>
            <w:hideMark/>
          </w:tcPr>
          <w:p w14:paraId="256043E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919EE7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FFFFFF"/>
            <w:tcMar>
              <w:top w:w="15" w:type="dxa"/>
              <w:left w:w="0" w:type="dxa"/>
              <w:bottom w:w="0" w:type="dxa"/>
              <w:right w:w="15" w:type="dxa"/>
            </w:tcMar>
            <w:vAlign w:val="bottom"/>
            <w:hideMark/>
          </w:tcPr>
          <w:p w14:paraId="72DDA37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BD4150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52373B1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3,577</w:t>
            </w:r>
          </w:p>
        </w:tc>
        <w:tc>
          <w:tcPr>
            <w:tcW w:w="193" w:type="dxa"/>
            <w:shd w:val="clear" w:color="auto" w:fill="FFFFFF"/>
            <w:noWrap/>
            <w:tcMar>
              <w:top w:w="15" w:type="dxa"/>
              <w:left w:w="0" w:type="dxa"/>
              <w:bottom w:w="0" w:type="dxa"/>
              <w:right w:w="15" w:type="dxa"/>
            </w:tcMar>
            <w:vAlign w:val="bottom"/>
            <w:hideMark/>
          </w:tcPr>
          <w:p w14:paraId="2BE34FE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602BF829" w14:textId="77777777" w:rsidTr="00141675">
        <w:tc>
          <w:tcPr>
            <w:tcW w:w="6956" w:type="dxa"/>
            <w:shd w:val="clear" w:color="auto" w:fill="CFF0FC"/>
            <w:tcMar>
              <w:top w:w="15" w:type="dxa"/>
              <w:left w:w="0" w:type="dxa"/>
              <w:bottom w:w="0" w:type="dxa"/>
              <w:right w:w="15" w:type="dxa"/>
            </w:tcMar>
            <w:hideMark/>
          </w:tcPr>
          <w:p w14:paraId="63568219"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expenses</w:t>
            </w:r>
            <w:r w:rsidRPr="00141675">
              <w:rPr>
                <w:rFonts w:ascii="Calibri" w:eastAsia="宋体" w:hAnsi="Calibri" w:cs="Calibri"/>
                <w:color w:val="000000"/>
                <w:kern w:val="0"/>
                <w:sz w:val="18"/>
                <w:szCs w:val="18"/>
                <w:vertAlign w:val="superscript"/>
              </w:rPr>
              <w:t>(2)</w:t>
            </w:r>
          </w:p>
        </w:tc>
        <w:tc>
          <w:tcPr>
            <w:tcW w:w="220" w:type="dxa"/>
            <w:shd w:val="clear" w:color="auto" w:fill="CFF0FC"/>
            <w:tcMar>
              <w:top w:w="15" w:type="dxa"/>
              <w:left w:w="0" w:type="dxa"/>
              <w:bottom w:w="0" w:type="dxa"/>
              <w:right w:w="15" w:type="dxa"/>
            </w:tcMar>
            <w:vAlign w:val="bottom"/>
            <w:hideMark/>
          </w:tcPr>
          <w:p w14:paraId="08C9D61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22633F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EA4C39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2,826</w:t>
            </w:r>
          </w:p>
        </w:tc>
        <w:tc>
          <w:tcPr>
            <w:tcW w:w="191" w:type="dxa"/>
            <w:shd w:val="clear" w:color="auto" w:fill="CFF0FC"/>
            <w:noWrap/>
            <w:tcMar>
              <w:top w:w="15" w:type="dxa"/>
              <w:left w:w="0" w:type="dxa"/>
              <w:bottom w:w="0" w:type="dxa"/>
              <w:right w:w="15" w:type="dxa"/>
            </w:tcMar>
            <w:vAlign w:val="bottom"/>
            <w:hideMark/>
          </w:tcPr>
          <w:p w14:paraId="21EFE2B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0AD9CAD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6048838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220" w:type="dxa"/>
            <w:shd w:val="clear" w:color="auto" w:fill="CFF0FC"/>
            <w:tcMar>
              <w:top w:w="15" w:type="dxa"/>
              <w:left w:w="0" w:type="dxa"/>
              <w:bottom w:w="0" w:type="dxa"/>
              <w:right w:w="15" w:type="dxa"/>
            </w:tcMar>
            <w:vAlign w:val="bottom"/>
            <w:hideMark/>
          </w:tcPr>
          <w:p w14:paraId="58EBE7C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6D27AD8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CFF0FC"/>
            <w:tcMar>
              <w:top w:w="15" w:type="dxa"/>
              <w:left w:w="0" w:type="dxa"/>
              <w:bottom w:w="0" w:type="dxa"/>
              <w:right w:w="15" w:type="dxa"/>
            </w:tcMar>
            <w:vAlign w:val="bottom"/>
            <w:hideMark/>
          </w:tcPr>
          <w:p w14:paraId="26393E5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D19FDF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9304BC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2,746</w:t>
            </w:r>
          </w:p>
        </w:tc>
        <w:tc>
          <w:tcPr>
            <w:tcW w:w="191" w:type="dxa"/>
            <w:shd w:val="clear" w:color="auto" w:fill="CFF0FC"/>
            <w:noWrap/>
            <w:tcMar>
              <w:top w:w="15" w:type="dxa"/>
              <w:left w:w="0" w:type="dxa"/>
              <w:bottom w:w="0" w:type="dxa"/>
              <w:right w:w="15" w:type="dxa"/>
            </w:tcMar>
            <w:vAlign w:val="bottom"/>
            <w:hideMark/>
          </w:tcPr>
          <w:p w14:paraId="7CD754A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6BD84CB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403B04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7C8E0BE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5,513</w:t>
            </w:r>
          </w:p>
        </w:tc>
        <w:tc>
          <w:tcPr>
            <w:tcW w:w="191" w:type="dxa"/>
            <w:shd w:val="clear" w:color="auto" w:fill="CFF0FC"/>
            <w:noWrap/>
            <w:tcMar>
              <w:top w:w="15" w:type="dxa"/>
              <w:left w:w="0" w:type="dxa"/>
              <w:bottom w:w="0" w:type="dxa"/>
              <w:right w:w="15" w:type="dxa"/>
            </w:tcMar>
            <w:vAlign w:val="bottom"/>
            <w:hideMark/>
          </w:tcPr>
          <w:p w14:paraId="706C5A2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07CBD9C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326F272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220" w:type="dxa"/>
            <w:shd w:val="clear" w:color="auto" w:fill="CFF0FC"/>
            <w:tcMar>
              <w:top w:w="15" w:type="dxa"/>
              <w:left w:w="0" w:type="dxa"/>
              <w:bottom w:w="0" w:type="dxa"/>
              <w:right w:w="15" w:type="dxa"/>
            </w:tcMar>
            <w:vAlign w:val="bottom"/>
            <w:hideMark/>
          </w:tcPr>
          <w:p w14:paraId="6D3EA86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17D0A84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CFF0FC"/>
            <w:tcMar>
              <w:top w:w="15" w:type="dxa"/>
              <w:left w:w="0" w:type="dxa"/>
              <w:bottom w:w="0" w:type="dxa"/>
              <w:right w:w="15" w:type="dxa"/>
            </w:tcMar>
            <w:vAlign w:val="bottom"/>
            <w:hideMark/>
          </w:tcPr>
          <w:p w14:paraId="3AD492A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80B930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F140C0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5,356</w:t>
            </w:r>
          </w:p>
        </w:tc>
        <w:tc>
          <w:tcPr>
            <w:tcW w:w="193" w:type="dxa"/>
            <w:shd w:val="clear" w:color="auto" w:fill="CFF0FC"/>
            <w:noWrap/>
            <w:tcMar>
              <w:top w:w="15" w:type="dxa"/>
              <w:left w:w="0" w:type="dxa"/>
              <w:bottom w:w="0" w:type="dxa"/>
              <w:right w:w="15" w:type="dxa"/>
            </w:tcMar>
            <w:vAlign w:val="bottom"/>
            <w:hideMark/>
          </w:tcPr>
          <w:p w14:paraId="7F1EEB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1072612" w14:textId="77777777" w:rsidTr="00141675">
        <w:tc>
          <w:tcPr>
            <w:tcW w:w="6956" w:type="dxa"/>
            <w:shd w:val="clear" w:color="auto" w:fill="FFFFFF"/>
            <w:tcMar>
              <w:top w:w="15" w:type="dxa"/>
              <w:left w:w="0" w:type="dxa"/>
              <w:bottom w:w="0" w:type="dxa"/>
              <w:right w:w="15" w:type="dxa"/>
            </w:tcMar>
            <w:hideMark/>
          </w:tcPr>
          <w:p w14:paraId="11DC1DC8" w14:textId="77777777" w:rsidR="00141675" w:rsidRPr="00141675" w:rsidRDefault="00141675" w:rsidP="00141675">
            <w:pPr>
              <w:widowControl/>
              <w:jc w:val="left"/>
              <w:rPr>
                <w:rFonts w:ascii="Calibri" w:eastAsia="宋体" w:hAnsi="Calibri" w:cs="Calibri"/>
                <w:b/>
                <w:bCs/>
                <w:i/>
                <w:iCs/>
                <w:color w:val="000000"/>
                <w:kern w:val="0"/>
                <w:sz w:val="18"/>
                <w:szCs w:val="18"/>
              </w:rPr>
            </w:pPr>
            <w:r w:rsidRPr="00141675">
              <w:rPr>
                <w:rFonts w:ascii="Calibri" w:eastAsia="宋体" w:hAnsi="Calibri" w:cs="Calibri"/>
                <w:b/>
                <w:bCs/>
                <w:i/>
                <w:iCs/>
                <w:color w:val="000000"/>
                <w:kern w:val="0"/>
                <w:sz w:val="18"/>
                <w:szCs w:val="18"/>
              </w:rPr>
              <w:t>Total Margin</w:t>
            </w:r>
          </w:p>
        </w:tc>
        <w:tc>
          <w:tcPr>
            <w:tcW w:w="220" w:type="dxa"/>
            <w:shd w:val="clear" w:color="auto" w:fill="FFFFFF"/>
            <w:tcMar>
              <w:top w:w="15" w:type="dxa"/>
              <w:left w:w="0" w:type="dxa"/>
              <w:bottom w:w="0" w:type="dxa"/>
              <w:right w:w="15" w:type="dxa"/>
            </w:tcMar>
            <w:vAlign w:val="bottom"/>
            <w:hideMark/>
          </w:tcPr>
          <w:p w14:paraId="446F2F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88A143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436005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5,112</w:t>
            </w:r>
          </w:p>
        </w:tc>
        <w:tc>
          <w:tcPr>
            <w:tcW w:w="191" w:type="dxa"/>
            <w:shd w:val="clear" w:color="auto" w:fill="FFFFFF"/>
            <w:noWrap/>
            <w:tcMar>
              <w:top w:w="15" w:type="dxa"/>
              <w:left w:w="0" w:type="dxa"/>
              <w:bottom w:w="0" w:type="dxa"/>
              <w:right w:w="15" w:type="dxa"/>
            </w:tcMar>
            <w:vAlign w:val="bottom"/>
            <w:hideMark/>
          </w:tcPr>
          <w:p w14:paraId="06B7970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4C2961F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6AA162E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w:t>
            </w:r>
          </w:p>
        </w:tc>
        <w:tc>
          <w:tcPr>
            <w:tcW w:w="220" w:type="dxa"/>
            <w:shd w:val="clear" w:color="auto" w:fill="FFFFFF"/>
            <w:tcMar>
              <w:top w:w="15" w:type="dxa"/>
              <w:left w:w="0" w:type="dxa"/>
              <w:bottom w:w="0" w:type="dxa"/>
              <w:right w:w="15" w:type="dxa"/>
            </w:tcMar>
            <w:vAlign w:val="bottom"/>
            <w:hideMark/>
          </w:tcPr>
          <w:p w14:paraId="4C5C2E0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075DC06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FFFFFF"/>
            <w:tcMar>
              <w:top w:w="15" w:type="dxa"/>
              <w:left w:w="0" w:type="dxa"/>
              <w:bottom w:w="0" w:type="dxa"/>
              <w:right w:w="15" w:type="dxa"/>
            </w:tcMar>
            <w:vAlign w:val="bottom"/>
            <w:hideMark/>
          </w:tcPr>
          <w:p w14:paraId="32AAA8F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82140D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EC1063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5,113</w:t>
            </w:r>
          </w:p>
        </w:tc>
        <w:tc>
          <w:tcPr>
            <w:tcW w:w="191" w:type="dxa"/>
            <w:shd w:val="clear" w:color="auto" w:fill="FFFFFF"/>
            <w:noWrap/>
            <w:tcMar>
              <w:top w:w="15" w:type="dxa"/>
              <w:left w:w="0" w:type="dxa"/>
              <w:bottom w:w="0" w:type="dxa"/>
              <w:right w:w="15" w:type="dxa"/>
            </w:tcMar>
            <w:vAlign w:val="bottom"/>
            <w:hideMark/>
          </w:tcPr>
          <w:p w14:paraId="1E17655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02975E6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40E285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E2E093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10,043</w:t>
            </w:r>
          </w:p>
        </w:tc>
        <w:tc>
          <w:tcPr>
            <w:tcW w:w="191" w:type="dxa"/>
            <w:shd w:val="clear" w:color="auto" w:fill="FFFFFF"/>
            <w:noWrap/>
            <w:tcMar>
              <w:top w:w="15" w:type="dxa"/>
              <w:left w:w="0" w:type="dxa"/>
              <w:bottom w:w="0" w:type="dxa"/>
              <w:right w:w="15" w:type="dxa"/>
            </w:tcMar>
            <w:vAlign w:val="bottom"/>
            <w:hideMark/>
          </w:tcPr>
          <w:p w14:paraId="372466A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0A81E90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34D6362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FFFFFF"/>
            <w:tcMar>
              <w:top w:w="15" w:type="dxa"/>
              <w:left w:w="0" w:type="dxa"/>
              <w:bottom w:w="0" w:type="dxa"/>
              <w:right w:w="15" w:type="dxa"/>
            </w:tcMar>
            <w:vAlign w:val="bottom"/>
            <w:hideMark/>
          </w:tcPr>
          <w:p w14:paraId="18E7F98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165D03A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FFFFFF"/>
            <w:tcMar>
              <w:top w:w="15" w:type="dxa"/>
              <w:left w:w="0" w:type="dxa"/>
              <w:bottom w:w="0" w:type="dxa"/>
              <w:right w:w="15" w:type="dxa"/>
            </w:tcMar>
            <w:vAlign w:val="bottom"/>
            <w:hideMark/>
          </w:tcPr>
          <w:p w14:paraId="0961829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CDCD1A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63968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9,986</w:t>
            </w:r>
          </w:p>
        </w:tc>
        <w:tc>
          <w:tcPr>
            <w:tcW w:w="193" w:type="dxa"/>
            <w:shd w:val="clear" w:color="auto" w:fill="FFFFFF"/>
            <w:noWrap/>
            <w:tcMar>
              <w:top w:w="15" w:type="dxa"/>
              <w:left w:w="0" w:type="dxa"/>
              <w:bottom w:w="0" w:type="dxa"/>
              <w:right w:w="15" w:type="dxa"/>
            </w:tcMar>
            <w:vAlign w:val="bottom"/>
            <w:hideMark/>
          </w:tcPr>
          <w:p w14:paraId="0D91E4E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21ADFFA4" w14:textId="77777777" w:rsidTr="00141675">
        <w:tc>
          <w:tcPr>
            <w:tcW w:w="6956" w:type="dxa"/>
            <w:shd w:val="clear" w:color="auto" w:fill="CFF0FC"/>
            <w:tcMar>
              <w:top w:w="15" w:type="dxa"/>
              <w:left w:w="0" w:type="dxa"/>
              <w:bottom w:w="0" w:type="dxa"/>
              <w:right w:w="15" w:type="dxa"/>
            </w:tcMar>
            <w:hideMark/>
          </w:tcPr>
          <w:p w14:paraId="7A4C4432" w14:textId="77777777" w:rsidR="00141675" w:rsidRPr="00141675" w:rsidRDefault="00141675" w:rsidP="00141675">
            <w:pPr>
              <w:widowControl/>
              <w:jc w:val="left"/>
              <w:rPr>
                <w:rFonts w:ascii="Calibri" w:eastAsia="宋体" w:hAnsi="Calibri" w:cs="Calibri"/>
                <w:b/>
                <w:bCs/>
                <w:i/>
                <w:iCs/>
                <w:color w:val="000000"/>
                <w:kern w:val="0"/>
                <w:sz w:val="18"/>
                <w:szCs w:val="18"/>
              </w:rPr>
            </w:pPr>
            <w:r w:rsidRPr="00141675">
              <w:rPr>
                <w:rFonts w:ascii="Calibri" w:eastAsia="宋体" w:hAnsi="Calibri" w:cs="Calibri"/>
                <w:b/>
                <w:bCs/>
                <w:i/>
                <w:iCs/>
                <w:color w:val="000000"/>
                <w:kern w:val="0"/>
                <w:sz w:val="18"/>
                <w:szCs w:val="18"/>
              </w:rPr>
              <w:t>Total Margin %</w:t>
            </w:r>
          </w:p>
        </w:tc>
        <w:tc>
          <w:tcPr>
            <w:tcW w:w="220" w:type="dxa"/>
            <w:shd w:val="clear" w:color="auto" w:fill="CFF0FC"/>
            <w:tcMar>
              <w:top w:w="15" w:type="dxa"/>
              <w:left w:w="0" w:type="dxa"/>
              <w:bottom w:w="0" w:type="dxa"/>
              <w:right w:w="15" w:type="dxa"/>
            </w:tcMar>
            <w:vAlign w:val="bottom"/>
            <w:hideMark/>
          </w:tcPr>
          <w:p w14:paraId="5AE133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tcBorders>
              <w:top w:val="double" w:sz="6" w:space="0" w:color="000000"/>
            </w:tcBorders>
            <w:shd w:val="clear" w:color="auto" w:fill="CFF0FC"/>
            <w:tcMar>
              <w:top w:w="15" w:type="dxa"/>
              <w:left w:w="0" w:type="dxa"/>
              <w:bottom w:w="0" w:type="dxa"/>
              <w:right w:w="15" w:type="dxa"/>
            </w:tcMar>
            <w:vAlign w:val="bottom"/>
            <w:hideMark/>
          </w:tcPr>
          <w:p w14:paraId="0C75B08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64%</w:t>
            </w:r>
          </w:p>
        </w:tc>
        <w:tc>
          <w:tcPr>
            <w:tcW w:w="191" w:type="dxa"/>
            <w:shd w:val="clear" w:color="auto" w:fill="CFF0FC"/>
            <w:noWrap/>
            <w:tcMar>
              <w:top w:w="15" w:type="dxa"/>
              <w:left w:w="0" w:type="dxa"/>
              <w:bottom w:w="0" w:type="dxa"/>
              <w:right w:w="15" w:type="dxa"/>
            </w:tcMar>
            <w:vAlign w:val="bottom"/>
            <w:hideMark/>
          </w:tcPr>
          <w:p w14:paraId="1A02CB3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83AED7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07B420E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245F2CB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72441AE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9CA3F9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tcBorders>
              <w:top w:val="double" w:sz="6" w:space="0" w:color="000000"/>
            </w:tcBorders>
            <w:shd w:val="clear" w:color="auto" w:fill="CFF0FC"/>
            <w:tcMar>
              <w:top w:w="15" w:type="dxa"/>
              <w:left w:w="0" w:type="dxa"/>
              <w:bottom w:w="0" w:type="dxa"/>
              <w:right w:w="15" w:type="dxa"/>
            </w:tcMar>
            <w:vAlign w:val="bottom"/>
            <w:hideMark/>
          </w:tcPr>
          <w:p w14:paraId="1EF5FB3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65%</w:t>
            </w:r>
          </w:p>
        </w:tc>
        <w:tc>
          <w:tcPr>
            <w:tcW w:w="191" w:type="dxa"/>
            <w:shd w:val="clear" w:color="auto" w:fill="CFF0FC"/>
            <w:noWrap/>
            <w:tcMar>
              <w:top w:w="15" w:type="dxa"/>
              <w:left w:w="0" w:type="dxa"/>
              <w:bottom w:w="0" w:type="dxa"/>
              <w:right w:w="15" w:type="dxa"/>
            </w:tcMar>
            <w:vAlign w:val="bottom"/>
            <w:hideMark/>
          </w:tcPr>
          <w:p w14:paraId="5DB4314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64D303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tcBorders>
              <w:top w:val="double" w:sz="6" w:space="0" w:color="000000"/>
            </w:tcBorders>
            <w:shd w:val="clear" w:color="auto" w:fill="CFF0FC"/>
            <w:tcMar>
              <w:top w:w="15" w:type="dxa"/>
              <w:left w:w="0" w:type="dxa"/>
              <w:bottom w:w="0" w:type="dxa"/>
              <w:right w:w="15" w:type="dxa"/>
            </w:tcMar>
            <w:vAlign w:val="bottom"/>
            <w:hideMark/>
          </w:tcPr>
          <w:p w14:paraId="0E3275A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65%</w:t>
            </w:r>
          </w:p>
        </w:tc>
        <w:tc>
          <w:tcPr>
            <w:tcW w:w="191" w:type="dxa"/>
            <w:shd w:val="clear" w:color="auto" w:fill="CFF0FC"/>
            <w:noWrap/>
            <w:tcMar>
              <w:top w:w="15" w:type="dxa"/>
              <w:left w:w="0" w:type="dxa"/>
              <w:bottom w:w="0" w:type="dxa"/>
              <w:right w:w="15" w:type="dxa"/>
            </w:tcMar>
            <w:vAlign w:val="bottom"/>
            <w:hideMark/>
          </w:tcPr>
          <w:p w14:paraId="40D7F82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857FFB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22FA83A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F9A360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5A185F0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4023BF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tcBorders>
              <w:top w:val="double" w:sz="6" w:space="0" w:color="000000"/>
            </w:tcBorders>
            <w:shd w:val="clear" w:color="auto" w:fill="CFF0FC"/>
            <w:tcMar>
              <w:top w:w="15" w:type="dxa"/>
              <w:left w:w="0" w:type="dxa"/>
              <w:bottom w:w="0" w:type="dxa"/>
              <w:right w:w="15" w:type="dxa"/>
            </w:tcMar>
            <w:vAlign w:val="bottom"/>
            <w:hideMark/>
          </w:tcPr>
          <w:p w14:paraId="14C3B4A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65%</w:t>
            </w:r>
          </w:p>
        </w:tc>
        <w:tc>
          <w:tcPr>
            <w:tcW w:w="193" w:type="dxa"/>
            <w:shd w:val="clear" w:color="auto" w:fill="CFF0FC"/>
            <w:noWrap/>
            <w:tcMar>
              <w:top w:w="15" w:type="dxa"/>
              <w:left w:w="0" w:type="dxa"/>
              <w:bottom w:w="0" w:type="dxa"/>
              <w:right w:w="15" w:type="dxa"/>
            </w:tcMar>
            <w:vAlign w:val="bottom"/>
            <w:hideMark/>
          </w:tcPr>
          <w:p w14:paraId="32F5FB1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FF3CE0D" w14:textId="77777777" w:rsidTr="00141675">
        <w:tc>
          <w:tcPr>
            <w:tcW w:w="6956" w:type="dxa"/>
            <w:shd w:val="clear" w:color="auto" w:fill="FFFFFF"/>
            <w:tcMar>
              <w:top w:w="15" w:type="dxa"/>
              <w:left w:w="0" w:type="dxa"/>
              <w:bottom w:w="0" w:type="dxa"/>
              <w:right w:w="15" w:type="dxa"/>
            </w:tcMar>
            <w:hideMark/>
          </w:tcPr>
          <w:p w14:paraId="2B34F419" w14:textId="77777777" w:rsidR="00141675" w:rsidRPr="00141675" w:rsidRDefault="00141675" w:rsidP="00141675">
            <w:pPr>
              <w:widowControl/>
              <w:jc w:val="left"/>
              <w:rPr>
                <w:rFonts w:ascii="Calibri" w:eastAsia="宋体" w:hAnsi="Calibri" w:cs="Calibri"/>
                <w:b/>
                <w:bCs/>
                <w:i/>
                <w:iCs/>
                <w:color w:val="000000"/>
                <w:kern w:val="0"/>
                <w:sz w:val="18"/>
                <w:szCs w:val="18"/>
              </w:rPr>
            </w:pPr>
            <w:r w:rsidRPr="00141675">
              <w:rPr>
                <w:rFonts w:ascii="Calibri" w:eastAsia="宋体" w:hAnsi="Calibri" w:cs="Calibri"/>
                <w:b/>
                <w:bCs/>
                <w:i/>
                <w:iCs/>
                <w:color w:val="000000"/>
                <w:kern w:val="0"/>
                <w:sz w:val="18"/>
                <w:szCs w:val="18"/>
              </w:rPr>
              <w:t>% Revenues by Geography:</w:t>
            </w:r>
          </w:p>
        </w:tc>
        <w:tc>
          <w:tcPr>
            <w:tcW w:w="220" w:type="dxa"/>
            <w:shd w:val="clear" w:color="auto" w:fill="FFFFFF"/>
            <w:tcMar>
              <w:top w:w="15" w:type="dxa"/>
              <w:left w:w="0" w:type="dxa"/>
              <w:bottom w:w="0" w:type="dxa"/>
              <w:right w:w="15" w:type="dxa"/>
            </w:tcMar>
            <w:vAlign w:val="bottom"/>
            <w:hideMark/>
          </w:tcPr>
          <w:p w14:paraId="29851B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727A153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508CB90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1A3C1B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424BB12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6CD8AC1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4F4ED6A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1E8DBEE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3EE07B0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4DCABB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60B43BB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D64743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11CC12F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CFF65D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4CF1DA9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55BC09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5BF997E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1146958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5BE4010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5507B22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34B12E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2212E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1E09F38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3" w:type="dxa"/>
            <w:shd w:val="clear" w:color="auto" w:fill="FFFFFF"/>
            <w:noWrap/>
            <w:tcMar>
              <w:top w:w="15" w:type="dxa"/>
              <w:left w:w="0" w:type="dxa"/>
              <w:bottom w:w="0" w:type="dxa"/>
              <w:right w:w="15" w:type="dxa"/>
            </w:tcMar>
            <w:vAlign w:val="bottom"/>
            <w:hideMark/>
          </w:tcPr>
          <w:p w14:paraId="7ED1569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462BE80" w14:textId="77777777" w:rsidTr="00141675">
        <w:tc>
          <w:tcPr>
            <w:tcW w:w="6956" w:type="dxa"/>
            <w:shd w:val="clear" w:color="auto" w:fill="CFF0FC"/>
            <w:tcMar>
              <w:top w:w="15" w:type="dxa"/>
              <w:left w:w="0" w:type="dxa"/>
              <w:bottom w:w="0" w:type="dxa"/>
              <w:right w:w="15" w:type="dxa"/>
            </w:tcMar>
            <w:hideMark/>
          </w:tcPr>
          <w:p w14:paraId="0734917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lastRenderedPageBreak/>
              <w:t>Americas</w:t>
            </w:r>
          </w:p>
        </w:tc>
        <w:tc>
          <w:tcPr>
            <w:tcW w:w="220" w:type="dxa"/>
            <w:shd w:val="clear" w:color="auto" w:fill="CFF0FC"/>
            <w:tcMar>
              <w:top w:w="15" w:type="dxa"/>
              <w:left w:w="0" w:type="dxa"/>
              <w:bottom w:w="0" w:type="dxa"/>
              <w:right w:w="15" w:type="dxa"/>
            </w:tcMar>
            <w:vAlign w:val="bottom"/>
            <w:hideMark/>
          </w:tcPr>
          <w:p w14:paraId="06BDDD7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3CE630D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56%</w:t>
            </w:r>
          </w:p>
        </w:tc>
        <w:tc>
          <w:tcPr>
            <w:tcW w:w="191" w:type="dxa"/>
            <w:shd w:val="clear" w:color="auto" w:fill="CFF0FC"/>
            <w:noWrap/>
            <w:tcMar>
              <w:top w:w="15" w:type="dxa"/>
              <w:left w:w="0" w:type="dxa"/>
              <w:bottom w:w="0" w:type="dxa"/>
              <w:right w:w="15" w:type="dxa"/>
            </w:tcMar>
            <w:vAlign w:val="bottom"/>
            <w:hideMark/>
          </w:tcPr>
          <w:p w14:paraId="65ED7A2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6275262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43449DA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A60C51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2D75F0C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20A1D71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shd w:val="clear" w:color="auto" w:fill="CFF0FC"/>
            <w:tcMar>
              <w:top w:w="15" w:type="dxa"/>
              <w:left w:w="0" w:type="dxa"/>
              <w:bottom w:w="0" w:type="dxa"/>
              <w:right w:w="15" w:type="dxa"/>
            </w:tcMar>
            <w:vAlign w:val="bottom"/>
            <w:hideMark/>
          </w:tcPr>
          <w:p w14:paraId="7BC5189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56%</w:t>
            </w:r>
          </w:p>
        </w:tc>
        <w:tc>
          <w:tcPr>
            <w:tcW w:w="191" w:type="dxa"/>
            <w:shd w:val="clear" w:color="auto" w:fill="CFF0FC"/>
            <w:noWrap/>
            <w:tcMar>
              <w:top w:w="15" w:type="dxa"/>
              <w:left w:w="0" w:type="dxa"/>
              <w:bottom w:w="0" w:type="dxa"/>
              <w:right w:w="15" w:type="dxa"/>
            </w:tcMar>
            <w:vAlign w:val="bottom"/>
            <w:hideMark/>
          </w:tcPr>
          <w:p w14:paraId="534D627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AC895E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shd w:val="clear" w:color="auto" w:fill="CFF0FC"/>
            <w:tcMar>
              <w:top w:w="15" w:type="dxa"/>
              <w:left w:w="0" w:type="dxa"/>
              <w:bottom w:w="0" w:type="dxa"/>
              <w:right w:w="15" w:type="dxa"/>
            </w:tcMar>
            <w:vAlign w:val="bottom"/>
            <w:hideMark/>
          </w:tcPr>
          <w:p w14:paraId="5C2B8AB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57%</w:t>
            </w:r>
          </w:p>
        </w:tc>
        <w:tc>
          <w:tcPr>
            <w:tcW w:w="191" w:type="dxa"/>
            <w:shd w:val="clear" w:color="auto" w:fill="CFF0FC"/>
            <w:noWrap/>
            <w:tcMar>
              <w:top w:w="15" w:type="dxa"/>
              <w:left w:w="0" w:type="dxa"/>
              <w:bottom w:w="0" w:type="dxa"/>
              <w:right w:w="15" w:type="dxa"/>
            </w:tcMar>
            <w:vAlign w:val="bottom"/>
            <w:hideMark/>
          </w:tcPr>
          <w:p w14:paraId="0D76945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19255DA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4986317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C24C11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690FF91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24D4364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shd w:val="clear" w:color="auto" w:fill="CFF0FC"/>
            <w:tcMar>
              <w:top w:w="15" w:type="dxa"/>
              <w:left w:w="0" w:type="dxa"/>
              <w:bottom w:w="0" w:type="dxa"/>
              <w:right w:w="15" w:type="dxa"/>
            </w:tcMar>
            <w:vAlign w:val="bottom"/>
            <w:hideMark/>
          </w:tcPr>
          <w:p w14:paraId="7C3442B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57%</w:t>
            </w:r>
          </w:p>
        </w:tc>
        <w:tc>
          <w:tcPr>
            <w:tcW w:w="193" w:type="dxa"/>
            <w:shd w:val="clear" w:color="auto" w:fill="CFF0FC"/>
            <w:noWrap/>
            <w:tcMar>
              <w:top w:w="15" w:type="dxa"/>
              <w:left w:w="0" w:type="dxa"/>
              <w:bottom w:w="0" w:type="dxa"/>
              <w:right w:w="15" w:type="dxa"/>
            </w:tcMar>
            <w:vAlign w:val="bottom"/>
            <w:hideMark/>
          </w:tcPr>
          <w:p w14:paraId="7BEFAA3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36390EC" w14:textId="77777777" w:rsidTr="00141675">
        <w:tc>
          <w:tcPr>
            <w:tcW w:w="6956" w:type="dxa"/>
            <w:shd w:val="clear" w:color="auto" w:fill="FFFFFF"/>
            <w:tcMar>
              <w:top w:w="15" w:type="dxa"/>
              <w:left w:w="0" w:type="dxa"/>
              <w:bottom w:w="0" w:type="dxa"/>
              <w:right w:w="15" w:type="dxa"/>
            </w:tcMar>
            <w:hideMark/>
          </w:tcPr>
          <w:p w14:paraId="4B33145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EMEA</w:t>
            </w:r>
          </w:p>
        </w:tc>
        <w:tc>
          <w:tcPr>
            <w:tcW w:w="220" w:type="dxa"/>
            <w:shd w:val="clear" w:color="auto" w:fill="FFFFFF"/>
            <w:tcMar>
              <w:top w:w="15" w:type="dxa"/>
              <w:left w:w="0" w:type="dxa"/>
              <w:bottom w:w="0" w:type="dxa"/>
              <w:right w:w="15" w:type="dxa"/>
            </w:tcMar>
            <w:vAlign w:val="bottom"/>
            <w:hideMark/>
          </w:tcPr>
          <w:p w14:paraId="019FE6E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6E6B216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w:t>
            </w:r>
          </w:p>
        </w:tc>
        <w:tc>
          <w:tcPr>
            <w:tcW w:w="191" w:type="dxa"/>
            <w:shd w:val="clear" w:color="auto" w:fill="FFFFFF"/>
            <w:noWrap/>
            <w:tcMar>
              <w:top w:w="15" w:type="dxa"/>
              <w:left w:w="0" w:type="dxa"/>
              <w:bottom w:w="0" w:type="dxa"/>
              <w:right w:w="15" w:type="dxa"/>
            </w:tcMar>
            <w:vAlign w:val="bottom"/>
            <w:hideMark/>
          </w:tcPr>
          <w:p w14:paraId="1EEE8B8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406B5DC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1F9B42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1380DE4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51DB7CB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6C4B6FA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shd w:val="clear" w:color="auto" w:fill="FFFFFF"/>
            <w:tcMar>
              <w:top w:w="15" w:type="dxa"/>
              <w:left w:w="0" w:type="dxa"/>
              <w:bottom w:w="0" w:type="dxa"/>
              <w:right w:w="15" w:type="dxa"/>
            </w:tcMar>
            <w:vAlign w:val="bottom"/>
            <w:hideMark/>
          </w:tcPr>
          <w:p w14:paraId="25078CA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29%</w:t>
            </w:r>
          </w:p>
        </w:tc>
        <w:tc>
          <w:tcPr>
            <w:tcW w:w="191" w:type="dxa"/>
            <w:shd w:val="clear" w:color="auto" w:fill="FFFFFF"/>
            <w:noWrap/>
            <w:tcMar>
              <w:top w:w="15" w:type="dxa"/>
              <w:left w:w="0" w:type="dxa"/>
              <w:bottom w:w="0" w:type="dxa"/>
              <w:right w:w="15" w:type="dxa"/>
            </w:tcMar>
            <w:vAlign w:val="bottom"/>
            <w:hideMark/>
          </w:tcPr>
          <w:p w14:paraId="2DAC7A1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4CD411B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shd w:val="clear" w:color="auto" w:fill="FFFFFF"/>
            <w:tcMar>
              <w:top w:w="15" w:type="dxa"/>
              <w:left w:w="0" w:type="dxa"/>
              <w:bottom w:w="0" w:type="dxa"/>
              <w:right w:w="15" w:type="dxa"/>
            </w:tcMar>
            <w:vAlign w:val="bottom"/>
            <w:hideMark/>
          </w:tcPr>
          <w:p w14:paraId="7EB8085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27%</w:t>
            </w:r>
          </w:p>
        </w:tc>
        <w:tc>
          <w:tcPr>
            <w:tcW w:w="191" w:type="dxa"/>
            <w:shd w:val="clear" w:color="auto" w:fill="FFFFFF"/>
            <w:noWrap/>
            <w:tcMar>
              <w:top w:w="15" w:type="dxa"/>
              <w:left w:w="0" w:type="dxa"/>
              <w:bottom w:w="0" w:type="dxa"/>
              <w:right w:w="15" w:type="dxa"/>
            </w:tcMar>
            <w:vAlign w:val="bottom"/>
            <w:hideMark/>
          </w:tcPr>
          <w:p w14:paraId="75241B2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0531F68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68CBEA7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71EECB5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0FCC3D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BF10DB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shd w:val="clear" w:color="auto" w:fill="FFFFFF"/>
            <w:tcMar>
              <w:top w:w="15" w:type="dxa"/>
              <w:left w:w="0" w:type="dxa"/>
              <w:bottom w:w="0" w:type="dxa"/>
              <w:right w:w="15" w:type="dxa"/>
            </w:tcMar>
            <w:vAlign w:val="bottom"/>
            <w:hideMark/>
          </w:tcPr>
          <w:p w14:paraId="59A7981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w:t>
            </w:r>
          </w:p>
        </w:tc>
        <w:tc>
          <w:tcPr>
            <w:tcW w:w="193" w:type="dxa"/>
            <w:shd w:val="clear" w:color="auto" w:fill="FFFFFF"/>
            <w:noWrap/>
            <w:tcMar>
              <w:top w:w="15" w:type="dxa"/>
              <w:left w:w="0" w:type="dxa"/>
              <w:bottom w:w="0" w:type="dxa"/>
              <w:right w:w="15" w:type="dxa"/>
            </w:tcMar>
            <w:vAlign w:val="bottom"/>
            <w:hideMark/>
          </w:tcPr>
          <w:p w14:paraId="0D81B0A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259FCC9" w14:textId="77777777" w:rsidTr="00141675">
        <w:tc>
          <w:tcPr>
            <w:tcW w:w="6956" w:type="dxa"/>
            <w:shd w:val="clear" w:color="auto" w:fill="CFF0FC"/>
            <w:tcMar>
              <w:top w:w="15" w:type="dxa"/>
              <w:left w:w="0" w:type="dxa"/>
              <w:bottom w:w="0" w:type="dxa"/>
              <w:right w:w="15" w:type="dxa"/>
            </w:tcMar>
            <w:hideMark/>
          </w:tcPr>
          <w:p w14:paraId="5DBB90C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Asia Pacific</w:t>
            </w:r>
          </w:p>
        </w:tc>
        <w:tc>
          <w:tcPr>
            <w:tcW w:w="220" w:type="dxa"/>
            <w:shd w:val="clear" w:color="auto" w:fill="CFF0FC"/>
            <w:tcMar>
              <w:top w:w="15" w:type="dxa"/>
              <w:left w:w="0" w:type="dxa"/>
              <w:bottom w:w="0" w:type="dxa"/>
              <w:right w:w="15" w:type="dxa"/>
            </w:tcMar>
            <w:vAlign w:val="bottom"/>
            <w:hideMark/>
          </w:tcPr>
          <w:p w14:paraId="7FAE74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62AB66D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w:t>
            </w:r>
          </w:p>
        </w:tc>
        <w:tc>
          <w:tcPr>
            <w:tcW w:w="191" w:type="dxa"/>
            <w:shd w:val="clear" w:color="auto" w:fill="CFF0FC"/>
            <w:noWrap/>
            <w:tcMar>
              <w:top w:w="15" w:type="dxa"/>
              <w:left w:w="0" w:type="dxa"/>
              <w:bottom w:w="0" w:type="dxa"/>
              <w:right w:w="15" w:type="dxa"/>
            </w:tcMar>
            <w:vAlign w:val="bottom"/>
            <w:hideMark/>
          </w:tcPr>
          <w:p w14:paraId="6495426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4D219D1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1D94919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67A2089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4E30BF0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F1C790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shd w:val="clear" w:color="auto" w:fill="CFF0FC"/>
            <w:tcMar>
              <w:top w:w="15" w:type="dxa"/>
              <w:left w:w="0" w:type="dxa"/>
              <w:bottom w:w="0" w:type="dxa"/>
              <w:right w:w="15" w:type="dxa"/>
            </w:tcMar>
            <w:vAlign w:val="bottom"/>
            <w:hideMark/>
          </w:tcPr>
          <w:p w14:paraId="425B0DE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w:t>
            </w:r>
          </w:p>
        </w:tc>
        <w:tc>
          <w:tcPr>
            <w:tcW w:w="191" w:type="dxa"/>
            <w:shd w:val="clear" w:color="auto" w:fill="CFF0FC"/>
            <w:noWrap/>
            <w:tcMar>
              <w:top w:w="15" w:type="dxa"/>
              <w:left w:w="0" w:type="dxa"/>
              <w:bottom w:w="0" w:type="dxa"/>
              <w:right w:w="15" w:type="dxa"/>
            </w:tcMar>
            <w:vAlign w:val="bottom"/>
            <w:hideMark/>
          </w:tcPr>
          <w:p w14:paraId="3A3232E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2D6F69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shd w:val="clear" w:color="auto" w:fill="CFF0FC"/>
            <w:tcMar>
              <w:top w:w="15" w:type="dxa"/>
              <w:left w:w="0" w:type="dxa"/>
              <w:bottom w:w="0" w:type="dxa"/>
              <w:right w:w="15" w:type="dxa"/>
            </w:tcMar>
            <w:vAlign w:val="bottom"/>
            <w:hideMark/>
          </w:tcPr>
          <w:p w14:paraId="7BC0088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w:t>
            </w:r>
          </w:p>
        </w:tc>
        <w:tc>
          <w:tcPr>
            <w:tcW w:w="191" w:type="dxa"/>
            <w:shd w:val="clear" w:color="auto" w:fill="CFF0FC"/>
            <w:noWrap/>
            <w:tcMar>
              <w:top w:w="15" w:type="dxa"/>
              <w:left w:w="0" w:type="dxa"/>
              <w:bottom w:w="0" w:type="dxa"/>
              <w:right w:w="15" w:type="dxa"/>
            </w:tcMar>
            <w:vAlign w:val="bottom"/>
            <w:hideMark/>
          </w:tcPr>
          <w:p w14:paraId="111409E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48CD655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0AB5CD2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B8CA92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5E43639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A515B7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248" w:type="dxa"/>
            <w:gridSpan w:val="2"/>
            <w:shd w:val="clear" w:color="auto" w:fill="CFF0FC"/>
            <w:tcMar>
              <w:top w:w="15" w:type="dxa"/>
              <w:left w:w="0" w:type="dxa"/>
              <w:bottom w:w="0" w:type="dxa"/>
              <w:right w:w="15" w:type="dxa"/>
            </w:tcMar>
            <w:vAlign w:val="bottom"/>
            <w:hideMark/>
          </w:tcPr>
          <w:p w14:paraId="7E2EF7D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w:t>
            </w:r>
          </w:p>
        </w:tc>
        <w:tc>
          <w:tcPr>
            <w:tcW w:w="193" w:type="dxa"/>
            <w:shd w:val="clear" w:color="auto" w:fill="CFF0FC"/>
            <w:noWrap/>
            <w:tcMar>
              <w:top w:w="15" w:type="dxa"/>
              <w:left w:w="0" w:type="dxa"/>
              <w:bottom w:w="0" w:type="dxa"/>
              <w:right w:w="15" w:type="dxa"/>
            </w:tcMar>
            <w:vAlign w:val="bottom"/>
            <w:hideMark/>
          </w:tcPr>
          <w:p w14:paraId="6AE6C68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6258A45" w14:textId="77777777" w:rsidTr="00141675">
        <w:tc>
          <w:tcPr>
            <w:tcW w:w="6956" w:type="dxa"/>
            <w:shd w:val="clear" w:color="auto" w:fill="FFFFFF"/>
            <w:tcMar>
              <w:top w:w="15" w:type="dxa"/>
              <w:left w:w="0" w:type="dxa"/>
              <w:bottom w:w="0" w:type="dxa"/>
              <w:right w:w="15" w:type="dxa"/>
            </w:tcMar>
            <w:hideMark/>
          </w:tcPr>
          <w:p w14:paraId="41436E3B" w14:textId="77777777" w:rsidR="00141675" w:rsidRPr="00141675" w:rsidRDefault="00141675" w:rsidP="00141675">
            <w:pPr>
              <w:widowControl/>
              <w:jc w:val="left"/>
              <w:rPr>
                <w:rFonts w:ascii="Calibri" w:eastAsia="宋体" w:hAnsi="Calibri" w:cs="Calibri"/>
                <w:b/>
                <w:bCs/>
                <w:i/>
                <w:iCs/>
                <w:color w:val="000000"/>
                <w:kern w:val="0"/>
                <w:sz w:val="18"/>
                <w:szCs w:val="18"/>
              </w:rPr>
            </w:pPr>
            <w:r w:rsidRPr="00141675">
              <w:rPr>
                <w:rFonts w:ascii="Calibri" w:eastAsia="宋体" w:hAnsi="Calibri" w:cs="Calibri"/>
                <w:b/>
                <w:bCs/>
                <w:i/>
                <w:iCs/>
                <w:color w:val="000000"/>
                <w:kern w:val="0"/>
                <w:sz w:val="18"/>
                <w:szCs w:val="18"/>
              </w:rPr>
              <w:t>Revenues by Offerings:</w:t>
            </w:r>
          </w:p>
        </w:tc>
        <w:tc>
          <w:tcPr>
            <w:tcW w:w="220" w:type="dxa"/>
            <w:shd w:val="clear" w:color="auto" w:fill="FFFFFF"/>
            <w:tcMar>
              <w:top w:w="15" w:type="dxa"/>
              <w:left w:w="0" w:type="dxa"/>
              <w:bottom w:w="0" w:type="dxa"/>
              <w:right w:w="15" w:type="dxa"/>
            </w:tcMar>
            <w:vAlign w:val="bottom"/>
            <w:hideMark/>
          </w:tcPr>
          <w:p w14:paraId="52E8A4A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2015EA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499816A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AAA38D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1F5496E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0B2F131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7FBF8A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087FDBD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C219C8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07E9D3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34622D5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571F45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6FB86F7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119A419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65D216D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47C314A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1FCA07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3A3CAF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6DAF581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AD3B19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650C71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03F2CA7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144D526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3" w:type="dxa"/>
            <w:shd w:val="clear" w:color="auto" w:fill="FFFFFF"/>
            <w:noWrap/>
            <w:tcMar>
              <w:top w:w="15" w:type="dxa"/>
              <w:left w:w="0" w:type="dxa"/>
              <w:bottom w:w="0" w:type="dxa"/>
              <w:right w:w="15" w:type="dxa"/>
            </w:tcMar>
            <w:vAlign w:val="bottom"/>
            <w:hideMark/>
          </w:tcPr>
          <w:p w14:paraId="755E1A5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7ABC1084" w14:textId="77777777" w:rsidTr="00141675">
        <w:tc>
          <w:tcPr>
            <w:tcW w:w="6956" w:type="dxa"/>
            <w:shd w:val="clear" w:color="auto" w:fill="CFF0FC"/>
            <w:tcMar>
              <w:top w:w="15" w:type="dxa"/>
              <w:left w:w="0" w:type="dxa"/>
              <w:bottom w:w="0" w:type="dxa"/>
              <w:right w:w="15" w:type="dxa"/>
            </w:tcMar>
            <w:hideMark/>
          </w:tcPr>
          <w:p w14:paraId="59364CE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Cloud services and license support</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vAlign w:val="bottom"/>
            <w:hideMark/>
          </w:tcPr>
          <w:p w14:paraId="13316A4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69C7D5C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CFF0FC"/>
            <w:noWrap/>
            <w:tcMar>
              <w:top w:w="15" w:type="dxa"/>
              <w:left w:w="0" w:type="dxa"/>
              <w:bottom w:w="0" w:type="dxa"/>
              <w:right w:w="15" w:type="dxa"/>
            </w:tcMar>
            <w:vAlign w:val="bottom"/>
            <w:hideMark/>
          </w:tcPr>
          <w:p w14:paraId="326109E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6,812</w:t>
            </w:r>
          </w:p>
        </w:tc>
        <w:tc>
          <w:tcPr>
            <w:tcW w:w="191" w:type="dxa"/>
            <w:shd w:val="clear" w:color="auto" w:fill="CFF0FC"/>
            <w:noWrap/>
            <w:tcMar>
              <w:top w:w="15" w:type="dxa"/>
              <w:left w:w="0" w:type="dxa"/>
              <w:bottom w:w="0" w:type="dxa"/>
              <w:right w:w="15" w:type="dxa"/>
            </w:tcMar>
            <w:vAlign w:val="bottom"/>
            <w:hideMark/>
          </w:tcPr>
          <w:p w14:paraId="4FC6089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B442D4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0189948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220" w:type="dxa"/>
            <w:shd w:val="clear" w:color="auto" w:fill="CFF0FC"/>
            <w:tcMar>
              <w:top w:w="15" w:type="dxa"/>
              <w:left w:w="0" w:type="dxa"/>
              <w:bottom w:w="0" w:type="dxa"/>
              <w:right w:w="15" w:type="dxa"/>
            </w:tcMar>
            <w:vAlign w:val="bottom"/>
            <w:hideMark/>
          </w:tcPr>
          <w:p w14:paraId="161488A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2CCBB86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220" w:type="dxa"/>
            <w:shd w:val="clear" w:color="auto" w:fill="CFF0FC"/>
            <w:tcMar>
              <w:top w:w="15" w:type="dxa"/>
              <w:left w:w="0" w:type="dxa"/>
              <w:bottom w:w="0" w:type="dxa"/>
              <w:right w:w="15" w:type="dxa"/>
            </w:tcMar>
            <w:vAlign w:val="bottom"/>
            <w:hideMark/>
          </w:tcPr>
          <w:p w14:paraId="1E6D1F5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5B573FD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CFF0FC"/>
            <w:noWrap/>
            <w:tcMar>
              <w:top w:w="15" w:type="dxa"/>
              <w:left w:w="0" w:type="dxa"/>
              <w:bottom w:w="0" w:type="dxa"/>
              <w:right w:w="15" w:type="dxa"/>
            </w:tcMar>
            <w:vAlign w:val="bottom"/>
            <w:hideMark/>
          </w:tcPr>
          <w:p w14:paraId="3D39731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6,642</w:t>
            </w:r>
          </w:p>
        </w:tc>
        <w:tc>
          <w:tcPr>
            <w:tcW w:w="191" w:type="dxa"/>
            <w:shd w:val="clear" w:color="auto" w:fill="CFF0FC"/>
            <w:noWrap/>
            <w:tcMar>
              <w:top w:w="15" w:type="dxa"/>
              <w:left w:w="0" w:type="dxa"/>
              <w:bottom w:w="0" w:type="dxa"/>
              <w:right w:w="15" w:type="dxa"/>
            </w:tcMar>
            <w:vAlign w:val="bottom"/>
            <w:hideMark/>
          </w:tcPr>
          <w:p w14:paraId="6000EFE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1F0053C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A99B6A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CFF0FC"/>
            <w:noWrap/>
            <w:tcMar>
              <w:top w:w="15" w:type="dxa"/>
              <w:left w:w="0" w:type="dxa"/>
              <w:bottom w:w="0" w:type="dxa"/>
              <w:right w:w="15" w:type="dxa"/>
            </w:tcMar>
            <w:vAlign w:val="bottom"/>
            <w:hideMark/>
          </w:tcPr>
          <w:p w14:paraId="26001C1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13,619</w:t>
            </w:r>
          </w:p>
        </w:tc>
        <w:tc>
          <w:tcPr>
            <w:tcW w:w="191" w:type="dxa"/>
            <w:shd w:val="clear" w:color="auto" w:fill="CFF0FC"/>
            <w:noWrap/>
            <w:tcMar>
              <w:top w:w="15" w:type="dxa"/>
              <w:left w:w="0" w:type="dxa"/>
              <w:bottom w:w="0" w:type="dxa"/>
              <w:right w:w="15" w:type="dxa"/>
            </w:tcMar>
            <w:vAlign w:val="bottom"/>
            <w:hideMark/>
          </w:tcPr>
          <w:p w14:paraId="6D41D9B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124A595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4952FF7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220" w:type="dxa"/>
            <w:shd w:val="clear" w:color="auto" w:fill="CFF0FC"/>
            <w:tcMar>
              <w:top w:w="15" w:type="dxa"/>
              <w:left w:w="0" w:type="dxa"/>
              <w:bottom w:w="0" w:type="dxa"/>
              <w:right w:w="15" w:type="dxa"/>
            </w:tcMar>
            <w:vAlign w:val="bottom"/>
            <w:hideMark/>
          </w:tcPr>
          <w:p w14:paraId="101EE79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0CA7A5F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CFF0FC"/>
            <w:tcMar>
              <w:top w:w="15" w:type="dxa"/>
              <w:left w:w="0" w:type="dxa"/>
              <w:bottom w:w="0" w:type="dxa"/>
              <w:right w:w="15" w:type="dxa"/>
            </w:tcMar>
            <w:vAlign w:val="bottom"/>
            <w:hideMark/>
          </w:tcPr>
          <w:p w14:paraId="1697806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4D24B5D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CFF0FC"/>
            <w:noWrap/>
            <w:tcMar>
              <w:top w:w="15" w:type="dxa"/>
              <w:left w:w="0" w:type="dxa"/>
              <w:bottom w:w="0" w:type="dxa"/>
              <w:right w:w="15" w:type="dxa"/>
            </w:tcMar>
            <w:vAlign w:val="bottom"/>
            <w:hideMark/>
          </w:tcPr>
          <w:p w14:paraId="1460160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13,259</w:t>
            </w:r>
          </w:p>
        </w:tc>
        <w:tc>
          <w:tcPr>
            <w:tcW w:w="193" w:type="dxa"/>
            <w:shd w:val="clear" w:color="auto" w:fill="CFF0FC"/>
            <w:noWrap/>
            <w:tcMar>
              <w:top w:w="15" w:type="dxa"/>
              <w:left w:w="0" w:type="dxa"/>
              <w:bottom w:w="0" w:type="dxa"/>
              <w:right w:w="15" w:type="dxa"/>
            </w:tcMar>
            <w:vAlign w:val="bottom"/>
            <w:hideMark/>
          </w:tcPr>
          <w:p w14:paraId="453AC59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20613A7D" w14:textId="77777777" w:rsidTr="00141675">
        <w:tc>
          <w:tcPr>
            <w:tcW w:w="6956" w:type="dxa"/>
            <w:shd w:val="clear" w:color="auto" w:fill="FFFFFF"/>
            <w:tcMar>
              <w:top w:w="15" w:type="dxa"/>
              <w:left w:w="0" w:type="dxa"/>
              <w:bottom w:w="0" w:type="dxa"/>
              <w:right w:w="15" w:type="dxa"/>
            </w:tcMar>
            <w:hideMark/>
          </w:tcPr>
          <w:p w14:paraId="1BD29B2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Cloud license and on-premise license</w:t>
            </w:r>
          </w:p>
        </w:tc>
        <w:tc>
          <w:tcPr>
            <w:tcW w:w="220" w:type="dxa"/>
            <w:shd w:val="clear" w:color="auto" w:fill="FFFFFF"/>
            <w:tcMar>
              <w:top w:w="15" w:type="dxa"/>
              <w:left w:w="0" w:type="dxa"/>
              <w:bottom w:w="0" w:type="dxa"/>
              <w:right w:w="15" w:type="dxa"/>
            </w:tcMar>
            <w:vAlign w:val="bottom"/>
            <w:hideMark/>
          </w:tcPr>
          <w:p w14:paraId="7997031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15EF7C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2354668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1,126</w:t>
            </w:r>
          </w:p>
        </w:tc>
        <w:tc>
          <w:tcPr>
            <w:tcW w:w="191" w:type="dxa"/>
            <w:shd w:val="clear" w:color="auto" w:fill="FFFFFF"/>
            <w:noWrap/>
            <w:tcMar>
              <w:top w:w="15" w:type="dxa"/>
              <w:left w:w="0" w:type="dxa"/>
              <w:bottom w:w="0" w:type="dxa"/>
              <w:right w:w="15" w:type="dxa"/>
            </w:tcMar>
            <w:vAlign w:val="bottom"/>
            <w:hideMark/>
          </w:tcPr>
          <w:p w14:paraId="77EE560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0D68517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6094DB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220" w:type="dxa"/>
            <w:shd w:val="clear" w:color="auto" w:fill="FFFFFF"/>
            <w:tcMar>
              <w:top w:w="15" w:type="dxa"/>
              <w:left w:w="0" w:type="dxa"/>
              <w:bottom w:w="0" w:type="dxa"/>
              <w:right w:w="15" w:type="dxa"/>
            </w:tcMar>
            <w:vAlign w:val="bottom"/>
            <w:hideMark/>
          </w:tcPr>
          <w:p w14:paraId="5DF7545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46CBA1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220" w:type="dxa"/>
            <w:shd w:val="clear" w:color="auto" w:fill="FFFFFF"/>
            <w:tcMar>
              <w:top w:w="15" w:type="dxa"/>
              <w:left w:w="0" w:type="dxa"/>
              <w:bottom w:w="0" w:type="dxa"/>
              <w:right w:w="15" w:type="dxa"/>
            </w:tcMar>
            <w:vAlign w:val="bottom"/>
            <w:hideMark/>
          </w:tcPr>
          <w:p w14:paraId="0A2D098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CD3915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5B7B251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1,217</w:t>
            </w:r>
          </w:p>
        </w:tc>
        <w:tc>
          <w:tcPr>
            <w:tcW w:w="191" w:type="dxa"/>
            <w:shd w:val="clear" w:color="auto" w:fill="FFFFFF"/>
            <w:noWrap/>
            <w:tcMar>
              <w:top w:w="15" w:type="dxa"/>
              <w:left w:w="0" w:type="dxa"/>
              <w:bottom w:w="0" w:type="dxa"/>
              <w:right w:w="15" w:type="dxa"/>
            </w:tcMar>
            <w:vAlign w:val="bottom"/>
            <w:hideMark/>
          </w:tcPr>
          <w:p w14:paraId="1E4A109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1A6A22C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4C5FF0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6AD62A6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1,937</w:t>
            </w:r>
          </w:p>
        </w:tc>
        <w:tc>
          <w:tcPr>
            <w:tcW w:w="191" w:type="dxa"/>
            <w:shd w:val="clear" w:color="auto" w:fill="FFFFFF"/>
            <w:noWrap/>
            <w:tcMar>
              <w:top w:w="15" w:type="dxa"/>
              <w:left w:w="0" w:type="dxa"/>
              <w:bottom w:w="0" w:type="dxa"/>
              <w:right w:w="15" w:type="dxa"/>
            </w:tcMar>
            <w:vAlign w:val="bottom"/>
            <w:hideMark/>
          </w:tcPr>
          <w:p w14:paraId="3525905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7D1FABE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43139E2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220" w:type="dxa"/>
            <w:shd w:val="clear" w:color="auto" w:fill="FFFFFF"/>
            <w:tcMar>
              <w:top w:w="15" w:type="dxa"/>
              <w:left w:w="0" w:type="dxa"/>
              <w:bottom w:w="0" w:type="dxa"/>
              <w:right w:w="15" w:type="dxa"/>
            </w:tcMar>
            <w:vAlign w:val="bottom"/>
            <w:hideMark/>
          </w:tcPr>
          <w:p w14:paraId="62A63BB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1E4DD29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w:t>
            </w:r>
          </w:p>
        </w:tc>
        <w:tc>
          <w:tcPr>
            <w:tcW w:w="220" w:type="dxa"/>
            <w:shd w:val="clear" w:color="auto" w:fill="FFFFFF"/>
            <w:tcMar>
              <w:top w:w="15" w:type="dxa"/>
              <w:left w:w="0" w:type="dxa"/>
              <w:bottom w:w="0" w:type="dxa"/>
              <w:right w:w="15" w:type="dxa"/>
            </w:tcMar>
            <w:vAlign w:val="bottom"/>
            <w:hideMark/>
          </w:tcPr>
          <w:p w14:paraId="2A95C9E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F6F2F8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777E557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2,083</w:t>
            </w:r>
          </w:p>
        </w:tc>
        <w:tc>
          <w:tcPr>
            <w:tcW w:w="193" w:type="dxa"/>
            <w:shd w:val="clear" w:color="auto" w:fill="FFFFFF"/>
            <w:noWrap/>
            <w:tcMar>
              <w:top w:w="15" w:type="dxa"/>
              <w:left w:w="0" w:type="dxa"/>
              <w:bottom w:w="0" w:type="dxa"/>
              <w:right w:w="15" w:type="dxa"/>
            </w:tcMar>
            <w:vAlign w:val="bottom"/>
            <w:hideMark/>
          </w:tcPr>
          <w:p w14:paraId="44A245E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A881D80" w14:textId="77777777" w:rsidTr="00141675">
        <w:tc>
          <w:tcPr>
            <w:tcW w:w="6956" w:type="dxa"/>
            <w:shd w:val="clear" w:color="auto" w:fill="CFF0FC"/>
            <w:tcMar>
              <w:top w:w="15" w:type="dxa"/>
              <w:left w:w="0" w:type="dxa"/>
              <w:bottom w:w="0" w:type="dxa"/>
              <w:right w:w="15" w:type="dxa"/>
            </w:tcMar>
            <w:hideMark/>
          </w:tcPr>
          <w:p w14:paraId="4D0D9963"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revenues</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vAlign w:val="bottom"/>
            <w:hideMark/>
          </w:tcPr>
          <w:p w14:paraId="1DC24B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E4985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B58A5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7,938</w:t>
            </w:r>
          </w:p>
        </w:tc>
        <w:tc>
          <w:tcPr>
            <w:tcW w:w="191" w:type="dxa"/>
            <w:shd w:val="clear" w:color="auto" w:fill="CFF0FC"/>
            <w:noWrap/>
            <w:tcMar>
              <w:top w:w="15" w:type="dxa"/>
              <w:left w:w="0" w:type="dxa"/>
              <w:bottom w:w="0" w:type="dxa"/>
              <w:right w:w="15" w:type="dxa"/>
            </w:tcMar>
            <w:vAlign w:val="bottom"/>
            <w:hideMark/>
          </w:tcPr>
          <w:p w14:paraId="4488F6A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56C71B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3C5340A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CFF0FC"/>
            <w:tcMar>
              <w:top w:w="15" w:type="dxa"/>
              <w:left w:w="0" w:type="dxa"/>
              <w:bottom w:w="0" w:type="dxa"/>
              <w:right w:w="15" w:type="dxa"/>
            </w:tcMar>
            <w:vAlign w:val="bottom"/>
            <w:hideMark/>
          </w:tcPr>
          <w:p w14:paraId="60E482A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3975837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CFF0FC"/>
            <w:tcMar>
              <w:top w:w="15" w:type="dxa"/>
              <w:left w:w="0" w:type="dxa"/>
              <w:bottom w:w="0" w:type="dxa"/>
              <w:right w:w="15" w:type="dxa"/>
            </w:tcMar>
            <w:vAlign w:val="bottom"/>
            <w:hideMark/>
          </w:tcPr>
          <w:p w14:paraId="6C41E9B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7AFD7C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F53C5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7,859</w:t>
            </w:r>
          </w:p>
        </w:tc>
        <w:tc>
          <w:tcPr>
            <w:tcW w:w="191" w:type="dxa"/>
            <w:shd w:val="clear" w:color="auto" w:fill="CFF0FC"/>
            <w:noWrap/>
            <w:tcMar>
              <w:top w:w="15" w:type="dxa"/>
              <w:left w:w="0" w:type="dxa"/>
              <w:bottom w:w="0" w:type="dxa"/>
              <w:right w:w="15" w:type="dxa"/>
            </w:tcMar>
            <w:vAlign w:val="bottom"/>
            <w:hideMark/>
          </w:tcPr>
          <w:p w14:paraId="2E19A48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28C9F33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84377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5153D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15,556</w:t>
            </w:r>
          </w:p>
        </w:tc>
        <w:tc>
          <w:tcPr>
            <w:tcW w:w="191" w:type="dxa"/>
            <w:shd w:val="clear" w:color="auto" w:fill="CFF0FC"/>
            <w:noWrap/>
            <w:tcMar>
              <w:top w:w="15" w:type="dxa"/>
              <w:left w:w="0" w:type="dxa"/>
              <w:bottom w:w="0" w:type="dxa"/>
              <w:right w:w="15" w:type="dxa"/>
            </w:tcMar>
            <w:vAlign w:val="bottom"/>
            <w:hideMark/>
          </w:tcPr>
          <w:p w14:paraId="400AE12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C6CAB3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6FF2896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CFF0FC"/>
            <w:tcMar>
              <w:top w:w="15" w:type="dxa"/>
              <w:left w:w="0" w:type="dxa"/>
              <w:bottom w:w="0" w:type="dxa"/>
              <w:right w:w="15" w:type="dxa"/>
            </w:tcMar>
            <w:vAlign w:val="bottom"/>
            <w:hideMark/>
          </w:tcPr>
          <w:p w14:paraId="468EBFB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6D5C997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CFF0FC"/>
            <w:tcMar>
              <w:top w:w="15" w:type="dxa"/>
              <w:left w:w="0" w:type="dxa"/>
              <w:bottom w:w="0" w:type="dxa"/>
              <w:right w:w="15" w:type="dxa"/>
            </w:tcMar>
            <w:vAlign w:val="bottom"/>
            <w:hideMark/>
          </w:tcPr>
          <w:p w14:paraId="1478D5A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A95D1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64BA4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15,342</w:t>
            </w:r>
          </w:p>
        </w:tc>
        <w:tc>
          <w:tcPr>
            <w:tcW w:w="193" w:type="dxa"/>
            <w:shd w:val="clear" w:color="auto" w:fill="CFF0FC"/>
            <w:noWrap/>
            <w:tcMar>
              <w:top w:w="15" w:type="dxa"/>
              <w:left w:w="0" w:type="dxa"/>
              <w:bottom w:w="0" w:type="dxa"/>
              <w:right w:w="15" w:type="dxa"/>
            </w:tcMar>
            <w:vAlign w:val="bottom"/>
            <w:hideMark/>
          </w:tcPr>
          <w:p w14:paraId="094C2DD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6ABF43B2" w14:textId="77777777" w:rsidTr="00141675">
        <w:tc>
          <w:tcPr>
            <w:tcW w:w="6956" w:type="dxa"/>
            <w:shd w:val="clear" w:color="auto" w:fill="FFFFFF"/>
            <w:tcMar>
              <w:top w:w="15" w:type="dxa"/>
              <w:left w:w="0" w:type="dxa"/>
              <w:bottom w:w="0" w:type="dxa"/>
              <w:right w:w="15" w:type="dxa"/>
            </w:tcMar>
            <w:hideMark/>
          </w:tcPr>
          <w:p w14:paraId="62E08367" w14:textId="77777777" w:rsidR="00141675" w:rsidRPr="00141675" w:rsidRDefault="00141675" w:rsidP="00141675">
            <w:pPr>
              <w:widowControl/>
              <w:jc w:val="left"/>
              <w:rPr>
                <w:rFonts w:ascii="Calibri" w:eastAsia="宋体" w:hAnsi="Calibri" w:cs="Calibri"/>
                <w:b/>
                <w:bCs/>
                <w:i/>
                <w:iCs/>
                <w:color w:val="000000"/>
                <w:kern w:val="0"/>
                <w:sz w:val="18"/>
                <w:szCs w:val="18"/>
              </w:rPr>
            </w:pPr>
            <w:r w:rsidRPr="00141675">
              <w:rPr>
                <w:rFonts w:ascii="Calibri" w:eastAsia="宋体" w:hAnsi="Calibri" w:cs="Calibri"/>
                <w:b/>
                <w:bCs/>
                <w:i/>
                <w:iCs/>
                <w:color w:val="000000"/>
                <w:kern w:val="0"/>
                <w:sz w:val="18"/>
                <w:szCs w:val="18"/>
              </w:rPr>
              <w:t>Revenues by Ecosystem:</w:t>
            </w:r>
          </w:p>
        </w:tc>
        <w:tc>
          <w:tcPr>
            <w:tcW w:w="220" w:type="dxa"/>
            <w:shd w:val="clear" w:color="auto" w:fill="FFFFFF"/>
            <w:tcMar>
              <w:top w:w="15" w:type="dxa"/>
              <w:left w:w="0" w:type="dxa"/>
              <w:bottom w:w="0" w:type="dxa"/>
              <w:right w:w="15" w:type="dxa"/>
            </w:tcMar>
            <w:vAlign w:val="bottom"/>
            <w:hideMark/>
          </w:tcPr>
          <w:p w14:paraId="5A1DE05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4733F58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double" w:sz="6" w:space="0" w:color="000000"/>
            </w:tcBorders>
            <w:shd w:val="clear" w:color="auto" w:fill="FFFFFF"/>
            <w:noWrap/>
            <w:tcMar>
              <w:top w:w="15" w:type="dxa"/>
              <w:left w:w="0" w:type="dxa"/>
              <w:bottom w:w="0" w:type="dxa"/>
              <w:right w:w="15" w:type="dxa"/>
            </w:tcMar>
            <w:vAlign w:val="bottom"/>
            <w:hideMark/>
          </w:tcPr>
          <w:p w14:paraId="2F5EC49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61A87D1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17D3C9F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32F74D0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54524ED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4A79DB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5D5B63B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60DD16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double" w:sz="6" w:space="0" w:color="000000"/>
            </w:tcBorders>
            <w:shd w:val="clear" w:color="auto" w:fill="FFFFFF"/>
            <w:noWrap/>
            <w:tcMar>
              <w:top w:w="15" w:type="dxa"/>
              <w:left w:w="0" w:type="dxa"/>
              <w:bottom w:w="0" w:type="dxa"/>
              <w:right w:w="15" w:type="dxa"/>
            </w:tcMar>
            <w:vAlign w:val="bottom"/>
            <w:hideMark/>
          </w:tcPr>
          <w:p w14:paraId="2B2644E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762E943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73F88ED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218DBDC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double" w:sz="6" w:space="0" w:color="000000"/>
            </w:tcBorders>
            <w:shd w:val="clear" w:color="auto" w:fill="FFFFFF"/>
            <w:noWrap/>
            <w:tcMar>
              <w:top w:w="15" w:type="dxa"/>
              <w:left w:w="0" w:type="dxa"/>
              <w:bottom w:w="0" w:type="dxa"/>
              <w:right w:w="15" w:type="dxa"/>
            </w:tcMar>
            <w:vAlign w:val="bottom"/>
            <w:hideMark/>
          </w:tcPr>
          <w:p w14:paraId="55B6611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50B8B65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5937AD1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47F795B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0037188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5CB38E8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6F6F114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double" w:sz="6" w:space="0" w:color="000000"/>
            </w:tcBorders>
            <w:shd w:val="clear" w:color="auto" w:fill="FFFFFF"/>
            <w:noWrap/>
            <w:tcMar>
              <w:top w:w="15" w:type="dxa"/>
              <w:left w:w="0" w:type="dxa"/>
              <w:bottom w:w="0" w:type="dxa"/>
              <w:right w:w="15" w:type="dxa"/>
            </w:tcMar>
            <w:vAlign w:val="bottom"/>
            <w:hideMark/>
          </w:tcPr>
          <w:p w14:paraId="12F6C94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top w:val="double" w:sz="6" w:space="0" w:color="000000"/>
            </w:tcBorders>
            <w:shd w:val="clear" w:color="auto" w:fill="FFFFFF"/>
            <w:noWrap/>
            <w:tcMar>
              <w:top w:w="15" w:type="dxa"/>
              <w:left w:w="0" w:type="dxa"/>
              <w:bottom w:w="0" w:type="dxa"/>
              <w:right w:w="15" w:type="dxa"/>
            </w:tcMar>
            <w:vAlign w:val="bottom"/>
            <w:hideMark/>
          </w:tcPr>
          <w:p w14:paraId="209485A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3" w:type="dxa"/>
            <w:shd w:val="clear" w:color="auto" w:fill="FFFFFF"/>
            <w:noWrap/>
            <w:tcMar>
              <w:top w:w="15" w:type="dxa"/>
              <w:left w:w="0" w:type="dxa"/>
              <w:bottom w:w="0" w:type="dxa"/>
              <w:right w:w="15" w:type="dxa"/>
            </w:tcMar>
            <w:vAlign w:val="bottom"/>
            <w:hideMark/>
          </w:tcPr>
          <w:p w14:paraId="7CD74D5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1A5CAA4D" w14:textId="77777777" w:rsidTr="00141675">
        <w:tc>
          <w:tcPr>
            <w:tcW w:w="6956" w:type="dxa"/>
            <w:shd w:val="clear" w:color="auto" w:fill="CFF0FC"/>
            <w:tcMar>
              <w:top w:w="15" w:type="dxa"/>
              <w:left w:w="0" w:type="dxa"/>
              <w:bottom w:w="0" w:type="dxa"/>
              <w:right w:w="15" w:type="dxa"/>
            </w:tcMar>
            <w:hideMark/>
          </w:tcPr>
          <w:p w14:paraId="4694E0F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Applications revenues</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vAlign w:val="bottom"/>
            <w:hideMark/>
          </w:tcPr>
          <w:p w14:paraId="5886A99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124BB2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CFF0FC"/>
            <w:noWrap/>
            <w:tcMar>
              <w:top w:w="15" w:type="dxa"/>
              <w:left w:w="0" w:type="dxa"/>
              <w:bottom w:w="0" w:type="dxa"/>
              <w:right w:w="15" w:type="dxa"/>
            </w:tcMar>
            <w:vAlign w:val="bottom"/>
            <w:hideMark/>
          </w:tcPr>
          <w:p w14:paraId="392BC07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2,910</w:t>
            </w:r>
          </w:p>
        </w:tc>
        <w:tc>
          <w:tcPr>
            <w:tcW w:w="191" w:type="dxa"/>
            <w:shd w:val="clear" w:color="auto" w:fill="CFF0FC"/>
            <w:noWrap/>
            <w:tcMar>
              <w:top w:w="15" w:type="dxa"/>
              <w:left w:w="0" w:type="dxa"/>
              <w:bottom w:w="0" w:type="dxa"/>
              <w:right w:w="15" w:type="dxa"/>
            </w:tcMar>
            <w:vAlign w:val="bottom"/>
            <w:hideMark/>
          </w:tcPr>
          <w:p w14:paraId="5E82BE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8E5C72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021500F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220" w:type="dxa"/>
            <w:shd w:val="clear" w:color="auto" w:fill="CFF0FC"/>
            <w:tcMar>
              <w:top w:w="15" w:type="dxa"/>
              <w:left w:w="0" w:type="dxa"/>
              <w:bottom w:w="0" w:type="dxa"/>
              <w:right w:w="15" w:type="dxa"/>
            </w:tcMar>
            <w:vAlign w:val="bottom"/>
            <w:hideMark/>
          </w:tcPr>
          <w:p w14:paraId="7AD23A7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6E19354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CFF0FC"/>
            <w:tcMar>
              <w:top w:w="15" w:type="dxa"/>
              <w:left w:w="0" w:type="dxa"/>
              <w:bottom w:w="0" w:type="dxa"/>
              <w:right w:w="15" w:type="dxa"/>
            </w:tcMar>
            <w:vAlign w:val="bottom"/>
            <w:hideMark/>
          </w:tcPr>
          <w:p w14:paraId="581CE98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68380E6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CFF0FC"/>
            <w:noWrap/>
            <w:tcMar>
              <w:top w:w="15" w:type="dxa"/>
              <w:left w:w="0" w:type="dxa"/>
              <w:bottom w:w="0" w:type="dxa"/>
              <w:right w:w="15" w:type="dxa"/>
            </w:tcMar>
            <w:vAlign w:val="bottom"/>
            <w:hideMark/>
          </w:tcPr>
          <w:p w14:paraId="498D52E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2,812</w:t>
            </w:r>
          </w:p>
        </w:tc>
        <w:tc>
          <w:tcPr>
            <w:tcW w:w="191" w:type="dxa"/>
            <w:shd w:val="clear" w:color="auto" w:fill="CFF0FC"/>
            <w:noWrap/>
            <w:tcMar>
              <w:top w:w="15" w:type="dxa"/>
              <w:left w:w="0" w:type="dxa"/>
              <w:bottom w:w="0" w:type="dxa"/>
              <w:right w:w="15" w:type="dxa"/>
            </w:tcMar>
            <w:vAlign w:val="bottom"/>
            <w:hideMark/>
          </w:tcPr>
          <w:p w14:paraId="4DB1ED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E03D1B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391F66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CFF0FC"/>
            <w:noWrap/>
            <w:tcMar>
              <w:top w:w="15" w:type="dxa"/>
              <w:left w:w="0" w:type="dxa"/>
              <w:bottom w:w="0" w:type="dxa"/>
              <w:right w:w="15" w:type="dxa"/>
            </w:tcMar>
            <w:vAlign w:val="bottom"/>
            <w:hideMark/>
          </w:tcPr>
          <w:p w14:paraId="01A7D1B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5,733</w:t>
            </w:r>
          </w:p>
        </w:tc>
        <w:tc>
          <w:tcPr>
            <w:tcW w:w="191" w:type="dxa"/>
            <w:shd w:val="clear" w:color="auto" w:fill="CFF0FC"/>
            <w:noWrap/>
            <w:tcMar>
              <w:top w:w="15" w:type="dxa"/>
              <w:left w:w="0" w:type="dxa"/>
              <w:bottom w:w="0" w:type="dxa"/>
              <w:right w:w="15" w:type="dxa"/>
            </w:tcMar>
            <w:vAlign w:val="bottom"/>
            <w:hideMark/>
          </w:tcPr>
          <w:p w14:paraId="1E247D8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78F11C3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54D3F30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220" w:type="dxa"/>
            <w:shd w:val="clear" w:color="auto" w:fill="CFF0FC"/>
            <w:tcMar>
              <w:top w:w="15" w:type="dxa"/>
              <w:left w:w="0" w:type="dxa"/>
              <w:bottom w:w="0" w:type="dxa"/>
              <w:right w:w="15" w:type="dxa"/>
            </w:tcMar>
            <w:vAlign w:val="bottom"/>
            <w:hideMark/>
          </w:tcPr>
          <w:p w14:paraId="621E7C8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469D0B7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CFF0FC"/>
            <w:tcMar>
              <w:top w:w="15" w:type="dxa"/>
              <w:left w:w="0" w:type="dxa"/>
              <w:bottom w:w="0" w:type="dxa"/>
              <w:right w:w="15" w:type="dxa"/>
            </w:tcMar>
            <w:vAlign w:val="bottom"/>
            <w:hideMark/>
          </w:tcPr>
          <w:p w14:paraId="11CE5AD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CFF0FC"/>
            <w:noWrap/>
            <w:tcMar>
              <w:top w:w="15" w:type="dxa"/>
              <w:left w:w="0" w:type="dxa"/>
              <w:bottom w:w="0" w:type="dxa"/>
              <w:right w:w="15" w:type="dxa"/>
            </w:tcMar>
            <w:vAlign w:val="bottom"/>
            <w:hideMark/>
          </w:tcPr>
          <w:p w14:paraId="34804FF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shd w:val="clear" w:color="auto" w:fill="CFF0FC"/>
            <w:noWrap/>
            <w:tcMar>
              <w:top w:w="15" w:type="dxa"/>
              <w:left w:w="0" w:type="dxa"/>
              <w:bottom w:w="0" w:type="dxa"/>
              <w:right w:w="15" w:type="dxa"/>
            </w:tcMar>
            <w:vAlign w:val="bottom"/>
            <w:hideMark/>
          </w:tcPr>
          <w:p w14:paraId="39895AE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5,581</w:t>
            </w:r>
          </w:p>
        </w:tc>
        <w:tc>
          <w:tcPr>
            <w:tcW w:w="193" w:type="dxa"/>
            <w:shd w:val="clear" w:color="auto" w:fill="CFF0FC"/>
            <w:noWrap/>
            <w:tcMar>
              <w:top w:w="15" w:type="dxa"/>
              <w:left w:w="0" w:type="dxa"/>
              <w:bottom w:w="0" w:type="dxa"/>
              <w:right w:w="15" w:type="dxa"/>
            </w:tcMar>
            <w:vAlign w:val="bottom"/>
            <w:hideMark/>
          </w:tcPr>
          <w:p w14:paraId="6570258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073017D1" w14:textId="77777777" w:rsidTr="00141675">
        <w:tc>
          <w:tcPr>
            <w:tcW w:w="6956" w:type="dxa"/>
            <w:shd w:val="clear" w:color="auto" w:fill="FFFFFF"/>
            <w:tcMar>
              <w:top w:w="15" w:type="dxa"/>
              <w:left w:w="0" w:type="dxa"/>
              <w:bottom w:w="0" w:type="dxa"/>
              <w:right w:w="15" w:type="dxa"/>
            </w:tcMar>
            <w:hideMark/>
          </w:tcPr>
          <w:p w14:paraId="6FFE01E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Infrastructure revenues</w:t>
            </w:r>
            <w:r w:rsidRPr="00141675">
              <w:rPr>
                <w:rFonts w:ascii="Calibri" w:eastAsia="宋体" w:hAnsi="Calibri" w:cs="Calibri"/>
                <w:color w:val="000000"/>
                <w:kern w:val="0"/>
                <w:sz w:val="18"/>
                <w:szCs w:val="18"/>
                <w:vertAlign w:val="superscript"/>
              </w:rPr>
              <w:t>(1)</w:t>
            </w:r>
          </w:p>
        </w:tc>
        <w:tc>
          <w:tcPr>
            <w:tcW w:w="220" w:type="dxa"/>
            <w:shd w:val="clear" w:color="auto" w:fill="FFFFFF"/>
            <w:tcMar>
              <w:top w:w="15" w:type="dxa"/>
              <w:left w:w="0" w:type="dxa"/>
              <w:bottom w:w="0" w:type="dxa"/>
              <w:right w:w="15" w:type="dxa"/>
            </w:tcMar>
            <w:vAlign w:val="bottom"/>
            <w:hideMark/>
          </w:tcPr>
          <w:p w14:paraId="7E9C8C2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6BAABA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5257477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5,028</w:t>
            </w:r>
          </w:p>
        </w:tc>
        <w:tc>
          <w:tcPr>
            <w:tcW w:w="191" w:type="dxa"/>
            <w:shd w:val="clear" w:color="auto" w:fill="FFFFFF"/>
            <w:noWrap/>
            <w:tcMar>
              <w:top w:w="15" w:type="dxa"/>
              <w:left w:w="0" w:type="dxa"/>
              <w:bottom w:w="0" w:type="dxa"/>
              <w:right w:w="15" w:type="dxa"/>
            </w:tcMar>
            <w:vAlign w:val="bottom"/>
            <w:hideMark/>
          </w:tcPr>
          <w:p w14:paraId="795E2D8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D05407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3D87573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0%</w:t>
            </w:r>
          </w:p>
        </w:tc>
        <w:tc>
          <w:tcPr>
            <w:tcW w:w="220" w:type="dxa"/>
            <w:shd w:val="clear" w:color="auto" w:fill="FFFFFF"/>
            <w:tcMar>
              <w:top w:w="15" w:type="dxa"/>
              <w:left w:w="0" w:type="dxa"/>
              <w:bottom w:w="0" w:type="dxa"/>
              <w:right w:w="15" w:type="dxa"/>
            </w:tcMar>
            <w:vAlign w:val="bottom"/>
            <w:hideMark/>
          </w:tcPr>
          <w:p w14:paraId="0C29E37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3E07800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FFFFFF"/>
            <w:tcMar>
              <w:top w:w="15" w:type="dxa"/>
              <w:left w:w="0" w:type="dxa"/>
              <w:bottom w:w="0" w:type="dxa"/>
              <w:right w:w="15" w:type="dxa"/>
            </w:tcMar>
            <w:vAlign w:val="bottom"/>
            <w:hideMark/>
          </w:tcPr>
          <w:p w14:paraId="40C770C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E3F1D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1653C8A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5,047</w:t>
            </w:r>
          </w:p>
        </w:tc>
        <w:tc>
          <w:tcPr>
            <w:tcW w:w="191" w:type="dxa"/>
            <w:shd w:val="clear" w:color="auto" w:fill="FFFFFF"/>
            <w:noWrap/>
            <w:tcMar>
              <w:top w:w="15" w:type="dxa"/>
              <w:left w:w="0" w:type="dxa"/>
              <w:bottom w:w="0" w:type="dxa"/>
              <w:right w:w="15" w:type="dxa"/>
            </w:tcMar>
            <w:vAlign w:val="bottom"/>
            <w:hideMark/>
          </w:tcPr>
          <w:p w14:paraId="274457B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03E5430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D4809B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1FA9FD4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9,823</w:t>
            </w:r>
          </w:p>
        </w:tc>
        <w:tc>
          <w:tcPr>
            <w:tcW w:w="191" w:type="dxa"/>
            <w:shd w:val="clear" w:color="auto" w:fill="FFFFFF"/>
            <w:noWrap/>
            <w:tcMar>
              <w:top w:w="15" w:type="dxa"/>
              <w:left w:w="0" w:type="dxa"/>
              <w:bottom w:w="0" w:type="dxa"/>
              <w:right w:w="15" w:type="dxa"/>
            </w:tcMar>
            <w:vAlign w:val="bottom"/>
            <w:hideMark/>
          </w:tcPr>
          <w:p w14:paraId="5766B5C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1A579DF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2E53889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FFFFFF"/>
            <w:tcMar>
              <w:top w:w="15" w:type="dxa"/>
              <w:left w:w="0" w:type="dxa"/>
              <w:bottom w:w="0" w:type="dxa"/>
              <w:right w:w="15" w:type="dxa"/>
            </w:tcMar>
            <w:vAlign w:val="bottom"/>
            <w:hideMark/>
          </w:tcPr>
          <w:p w14:paraId="55ACA2E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5AF1AC9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FFFFFF"/>
            <w:tcMar>
              <w:top w:w="15" w:type="dxa"/>
              <w:left w:w="0" w:type="dxa"/>
              <w:bottom w:w="0" w:type="dxa"/>
              <w:right w:w="15" w:type="dxa"/>
            </w:tcMar>
            <w:vAlign w:val="bottom"/>
            <w:hideMark/>
          </w:tcPr>
          <w:p w14:paraId="0477EE3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7F9512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02ABE57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9,761</w:t>
            </w:r>
          </w:p>
        </w:tc>
        <w:tc>
          <w:tcPr>
            <w:tcW w:w="193" w:type="dxa"/>
            <w:shd w:val="clear" w:color="auto" w:fill="FFFFFF"/>
            <w:noWrap/>
            <w:tcMar>
              <w:top w:w="15" w:type="dxa"/>
              <w:left w:w="0" w:type="dxa"/>
              <w:bottom w:w="0" w:type="dxa"/>
              <w:right w:w="15" w:type="dxa"/>
            </w:tcMar>
            <w:vAlign w:val="bottom"/>
            <w:hideMark/>
          </w:tcPr>
          <w:p w14:paraId="178FEAD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68F5F99C" w14:textId="77777777" w:rsidTr="00141675">
        <w:tc>
          <w:tcPr>
            <w:tcW w:w="6956" w:type="dxa"/>
            <w:shd w:val="clear" w:color="auto" w:fill="CFF0FC"/>
            <w:tcMar>
              <w:top w:w="15" w:type="dxa"/>
              <w:left w:w="0" w:type="dxa"/>
              <w:bottom w:w="0" w:type="dxa"/>
              <w:right w:w="15" w:type="dxa"/>
            </w:tcMar>
            <w:hideMark/>
          </w:tcPr>
          <w:p w14:paraId="5B0E66C5"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revenues</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vAlign w:val="bottom"/>
            <w:hideMark/>
          </w:tcPr>
          <w:p w14:paraId="5289761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E84717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A0136D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7,938</w:t>
            </w:r>
          </w:p>
        </w:tc>
        <w:tc>
          <w:tcPr>
            <w:tcW w:w="191" w:type="dxa"/>
            <w:shd w:val="clear" w:color="auto" w:fill="CFF0FC"/>
            <w:noWrap/>
            <w:tcMar>
              <w:top w:w="15" w:type="dxa"/>
              <w:left w:w="0" w:type="dxa"/>
              <w:bottom w:w="0" w:type="dxa"/>
              <w:right w:w="15" w:type="dxa"/>
            </w:tcMar>
            <w:vAlign w:val="bottom"/>
            <w:hideMark/>
          </w:tcPr>
          <w:p w14:paraId="5BA1F63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6F6FEF4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343B595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CFF0FC"/>
            <w:tcMar>
              <w:top w:w="15" w:type="dxa"/>
              <w:left w:w="0" w:type="dxa"/>
              <w:bottom w:w="0" w:type="dxa"/>
              <w:right w:w="15" w:type="dxa"/>
            </w:tcMar>
            <w:vAlign w:val="bottom"/>
            <w:hideMark/>
          </w:tcPr>
          <w:p w14:paraId="63DE999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6DB7514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CFF0FC"/>
            <w:tcMar>
              <w:top w:w="15" w:type="dxa"/>
              <w:left w:w="0" w:type="dxa"/>
              <w:bottom w:w="0" w:type="dxa"/>
              <w:right w:w="15" w:type="dxa"/>
            </w:tcMar>
            <w:vAlign w:val="bottom"/>
            <w:hideMark/>
          </w:tcPr>
          <w:p w14:paraId="2CB5202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BA0380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929B5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7,859</w:t>
            </w:r>
          </w:p>
        </w:tc>
        <w:tc>
          <w:tcPr>
            <w:tcW w:w="191" w:type="dxa"/>
            <w:shd w:val="clear" w:color="auto" w:fill="CFF0FC"/>
            <w:noWrap/>
            <w:tcMar>
              <w:top w:w="15" w:type="dxa"/>
              <w:left w:w="0" w:type="dxa"/>
              <w:bottom w:w="0" w:type="dxa"/>
              <w:right w:w="15" w:type="dxa"/>
            </w:tcMar>
            <w:vAlign w:val="bottom"/>
            <w:hideMark/>
          </w:tcPr>
          <w:p w14:paraId="6F5F46C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52B342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57BCF4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9CC736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15,556</w:t>
            </w:r>
          </w:p>
        </w:tc>
        <w:tc>
          <w:tcPr>
            <w:tcW w:w="191" w:type="dxa"/>
            <w:shd w:val="clear" w:color="auto" w:fill="CFF0FC"/>
            <w:noWrap/>
            <w:tcMar>
              <w:top w:w="15" w:type="dxa"/>
              <w:left w:w="0" w:type="dxa"/>
              <w:bottom w:w="0" w:type="dxa"/>
              <w:right w:w="15" w:type="dxa"/>
            </w:tcMar>
            <w:vAlign w:val="bottom"/>
            <w:hideMark/>
          </w:tcPr>
          <w:p w14:paraId="0372D86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67E4DFE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526E7DC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220" w:type="dxa"/>
            <w:shd w:val="clear" w:color="auto" w:fill="CFF0FC"/>
            <w:tcMar>
              <w:top w:w="15" w:type="dxa"/>
              <w:left w:w="0" w:type="dxa"/>
              <w:bottom w:w="0" w:type="dxa"/>
              <w:right w:w="15" w:type="dxa"/>
            </w:tcMar>
            <w:vAlign w:val="bottom"/>
            <w:hideMark/>
          </w:tcPr>
          <w:p w14:paraId="73DB30F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3AF2B4D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CFF0FC"/>
            <w:tcMar>
              <w:top w:w="15" w:type="dxa"/>
              <w:left w:w="0" w:type="dxa"/>
              <w:bottom w:w="0" w:type="dxa"/>
              <w:right w:w="15" w:type="dxa"/>
            </w:tcMar>
            <w:vAlign w:val="bottom"/>
            <w:hideMark/>
          </w:tcPr>
          <w:p w14:paraId="0C0FB99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24F1BB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E6F0C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15,342</w:t>
            </w:r>
          </w:p>
        </w:tc>
        <w:tc>
          <w:tcPr>
            <w:tcW w:w="193" w:type="dxa"/>
            <w:shd w:val="clear" w:color="auto" w:fill="CFF0FC"/>
            <w:noWrap/>
            <w:tcMar>
              <w:top w:w="15" w:type="dxa"/>
              <w:left w:w="0" w:type="dxa"/>
              <w:bottom w:w="0" w:type="dxa"/>
              <w:right w:w="15" w:type="dxa"/>
            </w:tcMar>
            <w:vAlign w:val="bottom"/>
            <w:hideMark/>
          </w:tcPr>
          <w:p w14:paraId="19AEFB93"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3F75D341" w14:textId="77777777" w:rsidR="00141675" w:rsidRPr="00141675" w:rsidRDefault="00141675" w:rsidP="00141675">
      <w:pPr>
        <w:widowControl/>
        <w:pBdr>
          <w:bottom w:val="single" w:sz="6" w:space="1" w:color="auto"/>
        </w:pBdr>
        <w:ind w:right="18324"/>
        <w:jc w:val="left"/>
        <w:rPr>
          <w:rFonts w:ascii="Calibri" w:eastAsia="宋体" w:hAnsi="Calibri" w:cs="Calibri"/>
          <w:color w:val="000000"/>
          <w:kern w:val="0"/>
          <w:sz w:val="8"/>
          <w:szCs w:val="8"/>
        </w:rPr>
      </w:pPr>
      <w:r w:rsidRPr="00141675">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76C271E0" w14:textId="77777777" w:rsidTr="00141675">
        <w:tc>
          <w:tcPr>
            <w:tcW w:w="794" w:type="dxa"/>
            <w:noWrap/>
            <w:hideMark/>
          </w:tcPr>
          <w:p w14:paraId="26362893"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06BF5F94"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color w:val="000000"/>
                <w:kern w:val="0"/>
                <w:sz w:val="15"/>
                <w:szCs w:val="15"/>
              </w:rPr>
              <w:t>Includes cloud services and license support revenue adjustments related to certain cloud services and license support contracts that would have otherwise been recorded as revenues by the acquired businesses as independent entities but were not recognized in our GAAP-based condensed consolidated statements of operations for the periods presented due to business combination accounting requirements. Such revenue adjustments were included in our operating segment results for purposes of reporting to and review by our CODMs. See “Presentation of Operating Segment Results and Other Financial Information” above for additional information.</w:t>
            </w:r>
          </w:p>
        </w:tc>
      </w:tr>
      <w:tr w:rsidR="00141675" w:rsidRPr="00141675" w14:paraId="65A4A5B6" w14:textId="77777777" w:rsidTr="00141675">
        <w:tc>
          <w:tcPr>
            <w:tcW w:w="794" w:type="dxa"/>
            <w:noWrap/>
            <w:hideMark/>
          </w:tcPr>
          <w:p w14:paraId="1C9798A9"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(2)</w:t>
            </w:r>
          </w:p>
        </w:tc>
        <w:tc>
          <w:tcPr>
            <w:tcW w:w="0" w:type="auto"/>
            <w:hideMark/>
          </w:tcPr>
          <w:p w14:paraId="7EC84FA7"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Excludes stock-based compensation and certain allocations. Also excludes amortization of intangible assets and certain other GAAP-based expenses, which were not allocated to our operating segment results for purposes of reporting to and review by our CODMs, as further described under “Presentation of Operating Segment Results and Other Financial Information” above.</w:t>
            </w:r>
          </w:p>
        </w:tc>
      </w:tr>
    </w:tbl>
    <w:p w14:paraId="7876349E"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34</w:t>
      </w:r>
    </w:p>
    <w:p w14:paraId="69CD9B1D"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76D11C86">
          <v:rect id="_x0000_i1060" style="width:0;height:1.5pt" o:hralign="center" o:hrstd="t" o:hrnoshade="t" o:hr="t" fillcolor="black" stroked="f"/>
        </w:pict>
      </w:r>
    </w:p>
    <w:p w14:paraId="0FC4A259" w14:textId="77777777" w:rsidR="00141675" w:rsidRPr="00141675" w:rsidRDefault="00141675" w:rsidP="00141675">
      <w:pPr>
        <w:widowControl/>
        <w:jc w:val="left"/>
        <w:rPr>
          <w:rFonts w:ascii="Calibri" w:eastAsia="宋体" w:hAnsi="Calibri" w:cs="Calibri"/>
          <w:b/>
          <w:bCs/>
          <w:color w:val="000000"/>
          <w:kern w:val="0"/>
          <w:sz w:val="20"/>
          <w:szCs w:val="20"/>
        </w:rPr>
      </w:pPr>
      <w:hyperlink r:id="rId57" w:anchor="TABLE_CONTENTS" w:history="1">
        <w:r w:rsidRPr="00141675">
          <w:rPr>
            <w:rFonts w:ascii="Calibri" w:eastAsia="宋体" w:hAnsi="Calibri" w:cs="Calibri"/>
            <w:b/>
            <w:bCs/>
            <w:color w:val="0000FF"/>
            <w:kern w:val="0"/>
            <w:sz w:val="20"/>
            <w:szCs w:val="20"/>
            <w:u w:val="single"/>
          </w:rPr>
          <w:t>Table of Contents</w:t>
        </w:r>
      </w:hyperlink>
    </w:p>
    <w:p w14:paraId="0594D8A6"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3A480124"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Excluding the effects of currency rate fluctuations, total revenues from our cloud and license business increased in the fiscal 2020 periods presented, relative to the corresponding prior year periods, due to growth in our cloud services and license support revenues, which was primarily due to increased customer purchases of and renewals of cloud-based services and license support contracts in recent periods for which we delivered such services during the fiscal 2020 periods presented. In constant currency, our total applications revenues and our total infrastructure revenues each grew during the fiscal 2020 periods presented, each relative to the corresponding prior year periods, as customers continued to deploy our applications technologies and infrastructure technologies through a wide array of different deployment models that we offer to enable customer choice. In constant currency, the Americas and Asia Pacific regions contributed to our cloud and license business’ revenue growth, while the EMEA region was flat, during the second quarter of fiscal 2020. In constant currency, the Americas, EMEA and Asia Pacific regions contributed 44%, 17% and 39%, respectively, of the constant currency revenue growth for this business during the first half of fiscal 2020.</w:t>
      </w:r>
    </w:p>
    <w:p w14:paraId="77609BB0"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 constant currency, total cloud and license expenses increased in the fiscal 2020 periods presented, relative to the corresponding prior year periods, due to higher cloud services and license support expenses and higher sales and marketing expenses, each of which increased during the fiscal 2020 periods presented primarily due to higher employee related expenses from higher headcount, and also due to higher technology infrastructure expenses.  </w:t>
      </w:r>
    </w:p>
    <w:p w14:paraId="5041B86E"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Excluding the effects of currency rate fluctuations, our cloud and license business’ total margins increased during the fiscal 2020 periods presented, relative to the corresponding prior year periods, </w:t>
      </w:r>
      <w:r w:rsidRPr="00141675">
        <w:rPr>
          <w:rFonts w:ascii="Calibri" w:eastAsia="宋体" w:hAnsi="Calibri" w:cs="Calibri"/>
          <w:color w:val="000000"/>
          <w:kern w:val="0"/>
          <w:sz w:val="20"/>
          <w:szCs w:val="20"/>
        </w:rPr>
        <w:lastRenderedPageBreak/>
        <w:t>primarily due to the fiscal 2020 increases in revenues for this business, while total fiscal 2020 margins as a percentage of revenues remained flat in constant currency.</w:t>
      </w:r>
    </w:p>
    <w:p w14:paraId="044D39CB"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Hardware Business</w:t>
      </w:r>
    </w:p>
    <w:p w14:paraId="21AECE74"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hardware business’ revenues are generated from the sales of our Oracle Engineered Systems, server, storage, and industry-specific hardware. The hardware product and related software, such as an operating system or firmware, are highly interdependent and interrelated and are accounted for as a combined performance obligation. The revenues for this combined performance obligation are generally recognized at the point in time that the hardware product is delivered to the customer and ownership is transferred to the customer. Our hardware business also earns revenues from the sale of hardware support contracts purchased by our customers at their option and are generally recognized as revenues ratably as the hardware support services are delivered over the contractual term, which is generally one year. The majority of our hardware products are sold through indirect channels such as independent distributors and value-added resellers and we also market and sell our hardware products through our direct sales force. Operating expenses associated with our hardware business include the cost of hardware products, which consists of expenses for materials and labor used to produce these products by our internal manufacturing operations or by third-party manufacturers, warranty expenses and the impact of periodic changes in inventory valuation, including the impact of inventory determined to be excess and obsolete; the cost of materials used to repair customer products; the cost of labor and infrastructure to provide support services; and sales and marketing expenses, which are largely personnel related and include variable compensation earned by our sales force for the sales of our hardware offerings.</w:t>
      </w:r>
    </w:p>
    <w:p w14:paraId="4A330A56"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35</w:t>
      </w:r>
    </w:p>
    <w:p w14:paraId="2320690C"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4F40295B">
          <v:rect id="_x0000_i1061" style="width:0;height:1.5pt" o:hralign="center" o:hrstd="t" o:hrnoshade="t" o:hr="t" fillcolor="black" stroked="f"/>
        </w:pict>
      </w:r>
    </w:p>
    <w:p w14:paraId="2D6AC91A" w14:textId="77777777" w:rsidR="00141675" w:rsidRPr="00141675" w:rsidRDefault="00141675" w:rsidP="00141675">
      <w:pPr>
        <w:widowControl/>
        <w:jc w:val="left"/>
        <w:rPr>
          <w:rFonts w:ascii="Calibri" w:eastAsia="宋体" w:hAnsi="Calibri" w:cs="Calibri"/>
          <w:b/>
          <w:bCs/>
          <w:color w:val="000000"/>
          <w:kern w:val="0"/>
          <w:sz w:val="20"/>
          <w:szCs w:val="20"/>
        </w:rPr>
      </w:pPr>
      <w:hyperlink r:id="rId58" w:anchor="TABLE_CONTENTS" w:history="1">
        <w:r w:rsidRPr="00141675">
          <w:rPr>
            <w:rFonts w:ascii="Calibri" w:eastAsia="宋体" w:hAnsi="Calibri" w:cs="Calibri"/>
            <w:b/>
            <w:bCs/>
            <w:color w:val="0000FF"/>
            <w:kern w:val="0"/>
            <w:sz w:val="20"/>
            <w:szCs w:val="20"/>
            <w:u w:val="single"/>
          </w:rPr>
          <w:t>Table of Contents</w:t>
        </w:r>
      </w:hyperlink>
    </w:p>
    <w:p w14:paraId="74B1B8D1"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610C29FA"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71"/>
        <w:gridCol w:w="221"/>
        <w:gridCol w:w="200"/>
        <w:gridCol w:w="1060"/>
        <w:gridCol w:w="200"/>
        <w:gridCol w:w="221"/>
        <w:gridCol w:w="1459"/>
        <w:gridCol w:w="221"/>
        <w:gridCol w:w="1488"/>
        <w:gridCol w:w="220"/>
        <w:gridCol w:w="199"/>
        <w:gridCol w:w="1136"/>
        <w:gridCol w:w="199"/>
        <w:gridCol w:w="220"/>
        <w:gridCol w:w="199"/>
        <w:gridCol w:w="1059"/>
        <w:gridCol w:w="199"/>
        <w:gridCol w:w="220"/>
        <w:gridCol w:w="1458"/>
        <w:gridCol w:w="220"/>
        <w:gridCol w:w="1488"/>
        <w:gridCol w:w="220"/>
        <w:gridCol w:w="199"/>
        <w:gridCol w:w="1136"/>
        <w:gridCol w:w="201"/>
      </w:tblGrid>
      <w:tr w:rsidR="00141675" w:rsidRPr="00141675" w14:paraId="790BFC81" w14:textId="77777777" w:rsidTr="00141675">
        <w:tc>
          <w:tcPr>
            <w:tcW w:w="6956" w:type="dxa"/>
            <w:shd w:val="clear" w:color="auto" w:fill="FFFFFF"/>
            <w:tcMar>
              <w:top w:w="15" w:type="dxa"/>
              <w:left w:w="0" w:type="dxa"/>
              <w:bottom w:w="0" w:type="dxa"/>
              <w:right w:w="15" w:type="dxa"/>
            </w:tcMar>
            <w:vAlign w:val="center"/>
            <w:hideMark/>
          </w:tcPr>
          <w:p w14:paraId="2AB345FF"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3A9109E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4" w:type="dxa"/>
            <w:gridSpan w:val="10"/>
            <w:tcBorders>
              <w:bottom w:val="single" w:sz="6" w:space="0" w:color="000000"/>
            </w:tcBorders>
            <w:shd w:val="clear" w:color="auto" w:fill="FFFFFF"/>
            <w:tcMar>
              <w:top w:w="15" w:type="dxa"/>
              <w:left w:w="0" w:type="dxa"/>
              <w:bottom w:w="0" w:type="dxa"/>
              <w:right w:w="15" w:type="dxa"/>
            </w:tcMar>
            <w:vAlign w:val="bottom"/>
            <w:hideMark/>
          </w:tcPr>
          <w:p w14:paraId="69349FB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1" w:type="dxa"/>
            <w:shd w:val="clear" w:color="auto" w:fill="FFFFFF"/>
            <w:noWrap/>
            <w:tcMar>
              <w:top w:w="15" w:type="dxa"/>
              <w:left w:w="0" w:type="dxa"/>
              <w:bottom w:w="0" w:type="dxa"/>
              <w:right w:w="15" w:type="dxa"/>
            </w:tcMar>
            <w:vAlign w:val="bottom"/>
            <w:hideMark/>
          </w:tcPr>
          <w:p w14:paraId="22E09C1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DD1831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4" w:type="dxa"/>
            <w:gridSpan w:val="10"/>
            <w:tcBorders>
              <w:bottom w:val="single" w:sz="6" w:space="0" w:color="000000"/>
            </w:tcBorders>
            <w:shd w:val="clear" w:color="auto" w:fill="FFFFFF"/>
            <w:tcMar>
              <w:top w:w="15" w:type="dxa"/>
              <w:left w:w="0" w:type="dxa"/>
              <w:bottom w:w="0" w:type="dxa"/>
              <w:right w:w="15" w:type="dxa"/>
            </w:tcMar>
            <w:vAlign w:val="bottom"/>
            <w:hideMark/>
          </w:tcPr>
          <w:p w14:paraId="099FB81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4F65376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F04AF37" w14:textId="77777777" w:rsidTr="00141675">
        <w:tc>
          <w:tcPr>
            <w:tcW w:w="6956" w:type="dxa"/>
            <w:shd w:val="clear" w:color="auto" w:fill="FFFFFF"/>
            <w:tcMar>
              <w:top w:w="15" w:type="dxa"/>
              <w:left w:w="0" w:type="dxa"/>
              <w:bottom w:w="0" w:type="dxa"/>
              <w:right w:w="15" w:type="dxa"/>
            </w:tcMar>
            <w:vAlign w:val="center"/>
            <w:hideMark/>
          </w:tcPr>
          <w:p w14:paraId="5BE2CBA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26AAFFE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0928635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6D78B8D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4B57993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7A9EE60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CEB296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249F46E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0D6EFB0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75A04A5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215040C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ED0BD2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48F4310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5B094FB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0F44744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502D9C3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0CF9ED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380D46F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7067652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bottom"/>
            <w:hideMark/>
          </w:tcPr>
          <w:p w14:paraId="49A0EAD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3D5E8AEE"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6FC39508" w14:textId="77777777" w:rsidTr="00141675">
        <w:tc>
          <w:tcPr>
            <w:tcW w:w="6956" w:type="dxa"/>
            <w:tcBorders>
              <w:bottom w:val="single" w:sz="6" w:space="0" w:color="000000"/>
            </w:tcBorders>
            <w:shd w:val="clear" w:color="auto" w:fill="FFFFFF"/>
            <w:tcMar>
              <w:top w:w="15" w:type="dxa"/>
              <w:left w:w="0" w:type="dxa"/>
              <w:bottom w:w="0" w:type="dxa"/>
              <w:right w:w="15" w:type="dxa"/>
            </w:tcMar>
            <w:vAlign w:val="bottom"/>
            <w:hideMark/>
          </w:tcPr>
          <w:p w14:paraId="21C2BA4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4670316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5923CB1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D33955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center"/>
            <w:hideMark/>
          </w:tcPr>
          <w:p w14:paraId="4EF5E05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ACFF8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0CD3397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E50E4F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center"/>
            <w:hideMark/>
          </w:tcPr>
          <w:p w14:paraId="206BF9C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6959DCF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377E1CB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C20421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7C9358B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BC077D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61C1846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8028BA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74B4BD7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4D56DB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1ADF36D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0047876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53228E8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4A43131" w14:textId="77777777" w:rsidTr="00141675">
        <w:tc>
          <w:tcPr>
            <w:tcW w:w="6956" w:type="dxa"/>
            <w:tcBorders>
              <w:top w:val="single" w:sz="6" w:space="0" w:color="000000"/>
            </w:tcBorders>
            <w:shd w:val="clear" w:color="auto" w:fill="CFF0FC"/>
            <w:tcMar>
              <w:top w:w="15" w:type="dxa"/>
              <w:left w:w="0" w:type="dxa"/>
              <w:bottom w:w="0" w:type="dxa"/>
              <w:right w:w="15" w:type="dxa"/>
            </w:tcMar>
            <w:hideMark/>
          </w:tcPr>
          <w:p w14:paraId="3D394C04"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Hardware Revenues:</w:t>
            </w:r>
          </w:p>
        </w:tc>
        <w:tc>
          <w:tcPr>
            <w:tcW w:w="220" w:type="dxa"/>
            <w:shd w:val="clear" w:color="auto" w:fill="CFF0FC"/>
            <w:tcMar>
              <w:top w:w="15" w:type="dxa"/>
              <w:left w:w="0" w:type="dxa"/>
              <w:bottom w:w="0" w:type="dxa"/>
              <w:right w:w="15" w:type="dxa"/>
            </w:tcMar>
            <w:hideMark/>
          </w:tcPr>
          <w:p w14:paraId="5A2615E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222768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7F2A542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5EAB1E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67B8177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1C69896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17C7EA7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6B7B83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7C66C67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DD81D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36EC69A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69E343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1E44ED5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5518B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346E157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E3A3AB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1AEB591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51C4D2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06C2720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6C9D911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73D5218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274658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5666CC8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CFF0FC"/>
            <w:noWrap/>
            <w:tcMar>
              <w:top w:w="15" w:type="dxa"/>
              <w:left w:w="0" w:type="dxa"/>
              <w:bottom w:w="0" w:type="dxa"/>
              <w:right w:w="15" w:type="dxa"/>
            </w:tcMar>
            <w:vAlign w:val="bottom"/>
            <w:hideMark/>
          </w:tcPr>
          <w:p w14:paraId="40C0EF2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99F0CE1" w14:textId="77777777" w:rsidTr="00141675">
        <w:tc>
          <w:tcPr>
            <w:tcW w:w="6956" w:type="dxa"/>
            <w:shd w:val="clear" w:color="auto" w:fill="FFFFFF"/>
            <w:tcMar>
              <w:top w:w="15" w:type="dxa"/>
              <w:left w:w="0" w:type="dxa"/>
              <w:bottom w:w="0" w:type="dxa"/>
              <w:right w:w="15" w:type="dxa"/>
            </w:tcMar>
            <w:hideMark/>
          </w:tcPr>
          <w:p w14:paraId="6A00063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Americas</w:t>
            </w:r>
          </w:p>
        </w:tc>
        <w:tc>
          <w:tcPr>
            <w:tcW w:w="220" w:type="dxa"/>
            <w:shd w:val="clear" w:color="auto" w:fill="FFFFFF"/>
            <w:tcMar>
              <w:top w:w="15" w:type="dxa"/>
              <w:left w:w="0" w:type="dxa"/>
              <w:bottom w:w="0" w:type="dxa"/>
              <w:right w:w="15" w:type="dxa"/>
            </w:tcMar>
            <w:hideMark/>
          </w:tcPr>
          <w:p w14:paraId="1DFAFE3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40F6569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4564F94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447</w:t>
            </w:r>
          </w:p>
        </w:tc>
        <w:tc>
          <w:tcPr>
            <w:tcW w:w="191" w:type="dxa"/>
            <w:shd w:val="clear" w:color="auto" w:fill="FFFFFF"/>
            <w:noWrap/>
            <w:tcMar>
              <w:top w:w="15" w:type="dxa"/>
              <w:left w:w="0" w:type="dxa"/>
              <w:bottom w:w="0" w:type="dxa"/>
              <w:right w:w="15" w:type="dxa"/>
            </w:tcMar>
            <w:vAlign w:val="bottom"/>
            <w:hideMark/>
          </w:tcPr>
          <w:p w14:paraId="4DBC26D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462B886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0F1BF5D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hideMark/>
          </w:tcPr>
          <w:p w14:paraId="3EB3E61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168EF32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hideMark/>
          </w:tcPr>
          <w:p w14:paraId="0512B6C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9FA85B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5AE8E21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461</w:t>
            </w:r>
          </w:p>
        </w:tc>
        <w:tc>
          <w:tcPr>
            <w:tcW w:w="191" w:type="dxa"/>
            <w:shd w:val="clear" w:color="auto" w:fill="FFFFFF"/>
            <w:noWrap/>
            <w:tcMar>
              <w:top w:w="15" w:type="dxa"/>
              <w:left w:w="0" w:type="dxa"/>
              <w:bottom w:w="0" w:type="dxa"/>
              <w:right w:w="15" w:type="dxa"/>
            </w:tcMar>
            <w:vAlign w:val="bottom"/>
            <w:hideMark/>
          </w:tcPr>
          <w:p w14:paraId="3336B5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54D9B52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F06EA9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076170E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850</w:t>
            </w:r>
          </w:p>
        </w:tc>
        <w:tc>
          <w:tcPr>
            <w:tcW w:w="191" w:type="dxa"/>
            <w:shd w:val="clear" w:color="auto" w:fill="FFFFFF"/>
            <w:noWrap/>
            <w:tcMar>
              <w:top w:w="15" w:type="dxa"/>
              <w:left w:w="0" w:type="dxa"/>
              <w:bottom w:w="0" w:type="dxa"/>
              <w:right w:w="15" w:type="dxa"/>
            </w:tcMar>
            <w:vAlign w:val="bottom"/>
            <w:hideMark/>
          </w:tcPr>
          <w:p w14:paraId="403518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4FFB896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7FD3066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220" w:type="dxa"/>
            <w:shd w:val="clear" w:color="auto" w:fill="FFFFFF"/>
            <w:tcMar>
              <w:top w:w="15" w:type="dxa"/>
              <w:left w:w="0" w:type="dxa"/>
              <w:bottom w:w="0" w:type="dxa"/>
              <w:right w:w="15" w:type="dxa"/>
            </w:tcMar>
            <w:hideMark/>
          </w:tcPr>
          <w:p w14:paraId="5DA8F9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366E0A4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220" w:type="dxa"/>
            <w:shd w:val="clear" w:color="auto" w:fill="FFFFFF"/>
            <w:tcMar>
              <w:top w:w="15" w:type="dxa"/>
              <w:left w:w="0" w:type="dxa"/>
              <w:bottom w:w="0" w:type="dxa"/>
              <w:right w:w="15" w:type="dxa"/>
            </w:tcMar>
            <w:hideMark/>
          </w:tcPr>
          <w:p w14:paraId="368C0D7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5ED94B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766F7F2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927</w:t>
            </w:r>
          </w:p>
        </w:tc>
        <w:tc>
          <w:tcPr>
            <w:tcW w:w="193" w:type="dxa"/>
            <w:shd w:val="clear" w:color="auto" w:fill="FFFFFF"/>
            <w:noWrap/>
            <w:tcMar>
              <w:top w:w="15" w:type="dxa"/>
              <w:left w:w="0" w:type="dxa"/>
              <w:bottom w:w="0" w:type="dxa"/>
              <w:right w:w="15" w:type="dxa"/>
            </w:tcMar>
            <w:vAlign w:val="bottom"/>
            <w:hideMark/>
          </w:tcPr>
          <w:p w14:paraId="2E6D13D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B800549" w14:textId="77777777" w:rsidTr="00141675">
        <w:tc>
          <w:tcPr>
            <w:tcW w:w="6956" w:type="dxa"/>
            <w:shd w:val="clear" w:color="auto" w:fill="CFF0FC"/>
            <w:tcMar>
              <w:top w:w="15" w:type="dxa"/>
              <w:left w:w="0" w:type="dxa"/>
              <w:bottom w:w="0" w:type="dxa"/>
              <w:right w:w="15" w:type="dxa"/>
            </w:tcMar>
            <w:hideMark/>
          </w:tcPr>
          <w:p w14:paraId="55BDCB2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EMEA</w:t>
            </w:r>
          </w:p>
        </w:tc>
        <w:tc>
          <w:tcPr>
            <w:tcW w:w="220" w:type="dxa"/>
            <w:shd w:val="clear" w:color="auto" w:fill="CFF0FC"/>
            <w:tcMar>
              <w:top w:w="15" w:type="dxa"/>
              <w:left w:w="0" w:type="dxa"/>
              <w:bottom w:w="0" w:type="dxa"/>
              <w:right w:w="15" w:type="dxa"/>
            </w:tcMar>
            <w:hideMark/>
          </w:tcPr>
          <w:p w14:paraId="6D28B3C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D867E4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3BA6B29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242</w:t>
            </w:r>
          </w:p>
        </w:tc>
        <w:tc>
          <w:tcPr>
            <w:tcW w:w="191" w:type="dxa"/>
            <w:shd w:val="clear" w:color="auto" w:fill="CFF0FC"/>
            <w:noWrap/>
            <w:tcMar>
              <w:top w:w="15" w:type="dxa"/>
              <w:left w:w="0" w:type="dxa"/>
              <w:bottom w:w="0" w:type="dxa"/>
              <w:right w:w="15" w:type="dxa"/>
            </w:tcMar>
            <w:vAlign w:val="bottom"/>
            <w:hideMark/>
          </w:tcPr>
          <w:p w14:paraId="051D69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547474B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12AF953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c>
          <w:tcPr>
            <w:tcW w:w="220" w:type="dxa"/>
            <w:shd w:val="clear" w:color="auto" w:fill="CFF0FC"/>
            <w:tcMar>
              <w:top w:w="15" w:type="dxa"/>
              <w:left w:w="0" w:type="dxa"/>
              <w:bottom w:w="0" w:type="dxa"/>
              <w:right w:w="15" w:type="dxa"/>
            </w:tcMar>
            <w:hideMark/>
          </w:tcPr>
          <w:p w14:paraId="74FBF99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01A28F1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c>
          <w:tcPr>
            <w:tcW w:w="220" w:type="dxa"/>
            <w:shd w:val="clear" w:color="auto" w:fill="CFF0FC"/>
            <w:tcMar>
              <w:top w:w="15" w:type="dxa"/>
              <w:left w:w="0" w:type="dxa"/>
              <w:bottom w:w="0" w:type="dxa"/>
              <w:right w:w="15" w:type="dxa"/>
            </w:tcMar>
            <w:hideMark/>
          </w:tcPr>
          <w:p w14:paraId="5459183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901BC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52A203F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257</w:t>
            </w:r>
          </w:p>
        </w:tc>
        <w:tc>
          <w:tcPr>
            <w:tcW w:w="191" w:type="dxa"/>
            <w:shd w:val="clear" w:color="auto" w:fill="CFF0FC"/>
            <w:noWrap/>
            <w:tcMar>
              <w:top w:w="15" w:type="dxa"/>
              <w:left w:w="0" w:type="dxa"/>
              <w:bottom w:w="0" w:type="dxa"/>
              <w:right w:w="15" w:type="dxa"/>
            </w:tcMar>
            <w:vAlign w:val="bottom"/>
            <w:hideMark/>
          </w:tcPr>
          <w:p w14:paraId="2C7E9F2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10AC6A2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170D22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203AEB4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485</w:t>
            </w:r>
          </w:p>
        </w:tc>
        <w:tc>
          <w:tcPr>
            <w:tcW w:w="191" w:type="dxa"/>
            <w:shd w:val="clear" w:color="auto" w:fill="CFF0FC"/>
            <w:noWrap/>
            <w:tcMar>
              <w:top w:w="15" w:type="dxa"/>
              <w:left w:w="0" w:type="dxa"/>
              <w:bottom w:w="0" w:type="dxa"/>
              <w:right w:w="15" w:type="dxa"/>
            </w:tcMar>
            <w:vAlign w:val="bottom"/>
            <w:hideMark/>
          </w:tcPr>
          <w:p w14:paraId="0F61A73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3059A6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7A61DA6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c>
          <w:tcPr>
            <w:tcW w:w="220" w:type="dxa"/>
            <w:shd w:val="clear" w:color="auto" w:fill="CFF0FC"/>
            <w:tcMar>
              <w:top w:w="15" w:type="dxa"/>
              <w:left w:w="0" w:type="dxa"/>
              <w:bottom w:w="0" w:type="dxa"/>
              <w:right w:w="15" w:type="dxa"/>
            </w:tcMar>
            <w:hideMark/>
          </w:tcPr>
          <w:p w14:paraId="17053F0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3F5072B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c>
          <w:tcPr>
            <w:tcW w:w="220" w:type="dxa"/>
            <w:shd w:val="clear" w:color="auto" w:fill="CFF0FC"/>
            <w:tcMar>
              <w:top w:w="15" w:type="dxa"/>
              <w:left w:w="0" w:type="dxa"/>
              <w:bottom w:w="0" w:type="dxa"/>
              <w:right w:w="15" w:type="dxa"/>
            </w:tcMar>
            <w:hideMark/>
          </w:tcPr>
          <w:p w14:paraId="0C4DE20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2E3D5B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198AC4C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518</w:t>
            </w:r>
          </w:p>
        </w:tc>
        <w:tc>
          <w:tcPr>
            <w:tcW w:w="193" w:type="dxa"/>
            <w:shd w:val="clear" w:color="auto" w:fill="CFF0FC"/>
            <w:noWrap/>
            <w:tcMar>
              <w:top w:w="15" w:type="dxa"/>
              <w:left w:w="0" w:type="dxa"/>
              <w:bottom w:w="0" w:type="dxa"/>
              <w:right w:w="15" w:type="dxa"/>
            </w:tcMar>
            <w:vAlign w:val="bottom"/>
            <w:hideMark/>
          </w:tcPr>
          <w:p w14:paraId="7BAB73A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02FF4A9" w14:textId="77777777" w:rsidTr="00141675">
        <w:tc>
          <w:tcPr>
            <w:tcW w:w="6956" w:type="dxa"/>
            <w:shd w:val="clear" w:color="auto" w:fill="FFFFFF"/>
            <w:tcMar>
              <w:top w:w="15" w:type="dxa"/>
              <w:left w:w="0" w:type="dxa"/>
              <w:bottom w:w="0" w:type="dxa"/>
              <w:right w:w="15" w:type="dxa"/>
            </w:tcMar>
            <w:hideMark/>
          </w:tcPr>
          <w:p w14:paraId="7957B0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Asia Pacific</w:t>
            </w:r>
          </w:p>
        </w:tc>
        <w:tc>
          <w:tcPr>
            <w:tcW w:w="220" w:type="dxa"/>
            <w:shd w:val="clear" w:color="auto" w:fill="FFFFFF"/>
            <w:tcMar>
              <w:top w:w="15" w:type="dxa"/>
              <w:left w:w="0" w:type="dxa"/>
              <w:bottom w:w="0" w:type="dxa"/>
              <w:right w:w="15" w:type="dxa"/>
            </w:tcMar>
            <w:hideMark/>
          </w:tcPr>
          <w:p w14:paraId="3409467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2E17DE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7FA6E61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182</w:t>
            </w:r>
          </w:p>
        </w:tc>
        <w:tc>
          <w:tcPr>
            <w:tcW w:w="191" w:type="dxa"/>
            <w:shd w:val="clear" w:color="auto" w:fill="FFFFFF"/>
            <w:noWrap/>
            <w:tcMar>
              <w:top w:w="15" w:type="dxa"/>
              <w:left w:w="0" w:type="dxa"/>
              <w:bottom w:w="0" w:type="dxa"/>
              <w:right w:w="15" w:type="dxa"/>
            </w:tcMar>
            <w:vAlign w:val="bottom"/>
            <w:hideMark/>
          </w:tcPr>
          <w:p w14:paraId="40D714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1643A30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3BD1190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c>
          <w:tcPr>
            <w:tcW w:w="220" w:type="dxa"/>
            <w:shd w:val="clear" w:color="auto" w:fill="FFFFFF"/>
            <w:tcMar>
              <w:top w:w="15" w:type="dxa"/>
              <w:left w:w="0" w:type="dxa"/>
              <w:bottom w:w="0" w:type="dxa"/>
              <w:right w:w="15" w:type="dxa"/>
            </w:tcMar>
            <w:hideMark/>
          </w:tcPr>
          <w:p w14:paraId="5FB92BA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5DCD96C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c>
          <w:tcPr>
            <w:tcW w:w="220" w:type="dxa"/>
            <w:shd w:val="clear" w:color="auto" w:fill="FFFFFF"/>
            <w:tcMar>
              <w:top w:w="15" w:type="dxa"/>
              <w:left w:w="0" w:type="dxa"/>
              <w:bottom w:w="0" w:type="dxa"/>
              <w:right w:w="15" w:type="dxa"/>
            </w:tcMar>
            <w:hideMark/>
          </w:tcPr>
          <w:p w14:paraId="331DADE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4A5427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22F2ECD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173</w:t>
            </w:r>
          </w:p>
        </w:tc>
        <w:tc>
          <w:tcPr>
            <w:tcW w:w="191" w:type="dxa"/>
            <w:shd w:val="clear" w:color="auto" w:fill="FFFFFF"/>
            <w:noWrap/>
            <w:tcMar>
              <w:top w:w="15" w:type="dxa"/>
              <w:left w:w="0" w:type="dxa"/>
              <w:bottom w:w="0" w:type="dxa"/>
              <w:right w:w="15" w:type="dxa"/>
            </w:tcMar>
            <w:vAlign w:val="bottom"/>
            <w:hideMark/>
          </w:tcPr>
          <w:p w14:paraId="5C752E1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167588A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6089B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0346457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351</w:t>
            </w:r>
          </w:p>
        </w:tc>
        <w:tc>
          <w:tcPr>
            <w:tcW w:w="191" w:type="dxa"/>
            <w:shd w:val="clear" w:color="auto" w:fill="FFFFFF"/>
            <w:noWrap/>
            <w:tcMar>
              <w:top w:w="15" w:type="dxa"/>
              <w:left w:w="0" w:type="dxa"/>
              <w:bottom w:w="0" w:type="dxa"/>
              <w:right w:w="15" w:type="dxa"/>
            </w:tcMar>
            <w:vAlign w:val="bottom"/>
            <w:hideMark/>
          </w:tcPr>
          <w:p w14:paraId="39E42DB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01B9A70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4A48E20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FFFFFF"/>
            <w:tcMar>
              <w:top w:w="15" w:type="dxa"/>
              <w:left w:w="0" w:type="dxa"/>
              <w:bottom w:w="0" w:type="dxa"/>
              <w:right w:w="15" w:type="dxa"/>
            </w:tcMar>
            <w:hideMark/>
          </w:tcPr>
          <w:p w14:paraId="6914DCE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606B3BA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hideMark/>
          </w:tcPr>
          <w:p w14:paraId="0CDD005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562CEB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0AA021E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351</w:t>
            </w:r>
          </w:p>
        </w:tc>
        <w:tc>
          <w:tcPr>
            <w:tcW w:w="193" w:type="dxa"/>
            <w:shd w:val="clear" w:color="auto" w:fill="FFFFFF"/>
            <w:noWrap/>
            <w:tcMar>
              <w:top w:w="15" w:type="dxa"/>
              <w:left w:w="0" w:type="dxa"/>
              <w:bottom w:w="0" w:type="dxa"/>
              <w:right w:w="15" w:type="dxa"/>
            </w:tcMar>
            <w:vAlign w:val="bottom"/>
            <w:hideMark/>
          </w:tcPr>
          <w:p w14:paraId="3C41B7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FE3F9A1" w14:textId="77777777" w:rsidTr="00141675">
        <w:tc>
          <w:tcPr>
            <w:tcW w:w="6956" w:type="dxa"/>
            <w:shd w:val="clear" w:color="auto" w:fill="CFF0FC"/>
            <w:tcMar>
              <w:top w:w="15" w:type="dxa"/>
              <w:left w:w="0" w:type="dxa"/>
              <w:bottom w:w="0" w:type="dxa"/>
              <w:right w:w="15" w:type="dxa"/>
            </w:tcMar>
            <w:hideMark/>
          </w:tcPr>
          <w:p w14:paraId="0AC9D38F"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revenues</w:t>
            </w:r>
          </w:p>
        </w:tc>
        <w:tc>
          <w:tcPr>
            <w:tcW w:w="220" w:type="dxa"/>
            <w:shd w:val="clear" w:color="auto" w:fill="CFF0FC"/>
            <w:tcMar>
              <w:top w:w="15" w:type="dxa"/>
              <w:left w:w="0" w:type="dxa"/>
              <w:bottom w:w="0" w:type="dxa"/>
              <w:right w:w="15" w:type="dxa"/>
            </w:tcMar>
            <w:hideMark/>
          </w:tcPr>
          <w:p w14:paraId="7BC5D87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00DF39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6246E80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871</w:t>
            </w:r>
          </w:p>
        </w:tc>
        <w:tc>
          <w:tcPr>
            <w:tcW w:w="191" w:type="dxa"/>
            <w:shd w:val="clear" w:color="auto" w:fill="CFF0FC"/>
            <w:noWrap/>
            <w:tcMar>
              <w:top w:w="15" w:type="dxa"/>
              <w:left w:w="0" w:type="dxa"/>
              <w:bottom w:w="0" w:type="dxa"/>
              <w:right w:w="15" w:type="dxa"/>
            </w:tcMar>
            <w:vAlign w:val="bottom"/>
            <w:hideMark/>
          </w:tcPr>
          <w:p w14:paraId="5541593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4707B38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0D7EE5C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CFF0FC"/>
            <w:tcMar>
              <w:top w:w="15" w:type="dxa"/>
              <w:left w:w="0" w:type="dxa"/>
              <w:bottom w:w="0" w:type="dxa"/>
              <w:right w:w="15" w:type="dxa"/>
            </w:tcMar>
            <w:hideMark/>
          </w:tcPr>
          <w:p w14:paraId="58421C2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7B3EA64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hideMark/>
          </w:tcPr>
          <w:p w14:paraId="2D7D249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4F297F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59BBCA8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891</w:t>
            </w:r>
          </w:p>
        </w:tc>
        <w:tc>
          <w:tcPr>
            <w:tcW w:w="191" w:type="dxa"/>
            <w:shd w:val="clear" w:color="auto" w:fill="CFF0FC"/>
            <w:noWrap/>
            <w:tcMar>
              <w:top w:w="15" w:type="dxa"/>
              <w:left w:w="0" w:type="dxa"/>
              <w:bottom w:w="0" w:type="dxa"/>
              <w:right w:w="15" w:type="dxa"/>
            </w:tcMar>
            <w:vAlign w:val="bottom"/>
            <w:hideMark/>
          </w:tcPr>
          <w:p w14:paraId="1455459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265B22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15592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1AD8F89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1,686</w:t>
            </w:r>
          </w:p>
        </w:tc>
        <w:tc>
          <w:tcPr>
            <w:tcW w:w="191" w:type="dxa"/>
            <w:shd w:val="clear" w:color="auto" w:fill="CFF0FC"/>
            <w:noWrap/>
            <w:tcMar>
              <w:top w:w="15" w:type="dxa"/>
              <w:left w:w="0" w:type="dxa"/>
              <w:bottom w:w="0" w:type="dxa"/>
              <w:right w:w="15" w:type="dxa"/>
            </w:tcMar>
            <w:vAlign w:val="bottom"/>
            <w:hideMark/>
          </w:tcPr>
          <w:p w14:paraId="10C5BA6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0C8D03C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18D75EB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w:t>
            </w:r>
          </w:p>
        </w:tc>
        <w:tc>
          <w:tcPr>
            <w:tcW w:w="220" w:type="dxa"/>
            <w:shd w:val="clear" w:color="auto" w:fill="CFF0FC"/>
            <w:tcMar>
              <w:top w:w="15" w:type="dxa"/>
              <w:left w:w="0" w:type="dxa"/>
              <w:bottom w:w="0" w:type="dxa"/>
              <w:right w:w="15" w:type="dxa"/>
            </w:tcMar>
            <w:hideMark/>
          </w:tcPr>
          <w:p w14:paraId="195834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67E4919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220" w:type="dxa"/>
            <w:shd w:val="clear" w:color="auto" w:fill="CFF0FC"/>
            <w:tcMar>
              <w:top w:w="15" w:type="dxa"/>
              <w:left w:w="0" w:type="dxa"/>
              <w:bottom w:w="0" w:type="dxa"/>
              <w:right w:w="15" w:type="dxa"/>
            </w:tcMar>
            <w:hideMark/>
          </w:tcPr>
          <w:p w14:paraId="46B2003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5BECD7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73DE254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1,796</w:t>
            </w:r>
          </w:p>
        </w:tc>
        <w:tc>
          <w:tcPr>
            <w:tcW w:w="193" w:type="dxa"/>
            <w:shd w:val="clear" w:color="auto" w:fill="CFF0FC"/>
            <w:noWrap/>
            <w:tcMar>
              <w:top w:w="15" w:type="dxa"/>
              <w:left w:w="0" w:type="dxa"/>
              <w:bottom w:w="0" w:type="dxa"/>
              <w:right w:w="15" w:type="dxa"/>
            </w:tcMar>
            <w:vAlign w:val="bottom"/>
            <w:hideMark/>
          </w:tcPr>
          <w:p w14:paraId="2C47F73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D775720" w14:textId="77777777" w:rsidTr="00141675">
        <w:tc>
          <w:tcPr>
            <w:tcW w:w="6956" w:type="dxa"/>
            <w:shd w:val="clear" w:color="auto" w:fill="FFFFFF"/>
            <w:tcMar>
              <w:top w:w="15" w:type="dxa"/>
              <w:left w:w="0" w:type="dxa"/>
              <w:bottom w:w="0" w:type="dxa"/>
              <w:right w:w="15" w:type="dxa"/>
            </w:tcMar>
            <w:hideMark/>
          </w:tcPr>
          <w:p w14:paraId="47EC90F8"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Expenses:</w:t>
            </w:r>
          </w:p>
        </w:tc>
        <w:tc>
          <w:tcPr>
            <w:tcW w:w="220" w:type="dxa"/>
            <w:shd w:val="clear" w:color="auto" w:fill="FFFFFF"/>
            <w:tcMar>
              <w:top w:w="15" w:type="dxa"/>
              <w:left w:w="0" w:type="dxa"/>
              <w:bottom w:w="0" w:type="dxa"/>
              <w:right w:w="15" w:type="dxa"/>
            </w:tcMar>
            <w:hideMark/>
          </w:tcPr>
          <w:p w14:paraId="5982611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9D4B2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FFFFFF"/>
            <w:noWrap/>
            <w:tcMar>
              <w:top w:w="15" w:type="dxa"/>
              <w:left w:w="0" w:type="dxa"/>
              <w:bottom w:w="0" w:type="dxa"/>
              <w:right w:w="15" w:type="dxa"/>
            </w:tcMar>
            <w:vAlign w:val="bottom"/>
            <w:hideMark/>
          </w:tcPr>
          <w:p w14:paraId="6FD9B34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DBFBB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0F76EEB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60B0768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6CC13FD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4CBBDB0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5DCF4C9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4B98E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FFFFFF"/>
            <w:noWrap/>
            <w:tcMar>
              <w:top w:w="15" w:type="dxa"/>
              <w:left w:w="0" w:type="dxa"/>
              <w:bottom w:w="0" w:type="dxa"/>
              <w:right w:w="15" w:type="dxa"/>
            </w:tcMar>
            <w:vAlign w:val="bottom"/>
            <w:hideMark/>
          </w:tcPr>
          <w:p w14:paraId="0DAA06C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ED3DCE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30CF9D5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27D39DE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FFFFFF"/>
            <w:noWrap/>
            <w:tcMar>
              <w:top w:w="15" w:type="dxa"/>
              <w:left w:w="0" w:type="dxa"/>
              <w:bottom w:w="0" w:type="dxa"/>
              <w:right w:w="15" w:type="dxa"/>
            </w:tcMar>
            <w:vAlign w:val="bottom"/>
            <w:hideMark/>
          </w:tcPr>
          <w:p w14:paraId="7C5E2A9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395DEF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6797956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3D4B6AE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115216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15356DB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3DBEB0B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78E2E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FFFFFF"/>
            <w:noWrap/>
            <w:tcMar>
              <w:top w:w="15" w:type="dxa"/>
              <w:left w:w="0" w:type="dxa"/>
              <w:bottom w:w="0" w:type="dxa"/>
              <w:right w:w="15" w:type="dxa"/>
            </w:tcMar>
            <w:vAlign w:val="bottom"/>
            <w:hideMark/>
          </w:tcPr>
          <w:p w14:paraId="04AA264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FFFFFF"/>
            <w:noWrap/>
            <w:tcMar>
              <w:top w:w="15" w:type="dxa"/>
              <w:left w:w="0" w:type="dxa"/>
              <w:bottom w:w="0" w:type="dxa"/>
              <w:right w:w="15" w:type="dxa"/>
            </w:tcMar>
            <w:vAlign w:val="bottom"/>
            <w:hideMark/>
          </w:tcPr>
          <w:p w14:paraId="0E8ACA1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C8E9835" w14:textId="77777777" w:rsidTr="00141675">
        <w:tc>
          <w:tcPr>
            <w:tcW w:w="6956" w:type="dxa"/>
            <w:shd w:val="clear" w:color="auto" w:fill="CFF0FC"/>
            <w:tcMar>
              <w:top w:w="15" w:type="dxa"/>
              <w:left w:w="0" w:type="dxa"/>
              <w:bottom w:w="0" w:type="dxa"/>
              <w:right w:w="15" w:type="dxa"/>
            </w:tcMar>
            <w:hideMark/>
          </w:tcPr>
          <w:p w14:paraId="66565C1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Hardware products and support</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hideMark/>
          </w:tcPr>
          <w:p w14:paraId="1A18972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C6CA6F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2F4E10B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277</w:t>
            </w:r>
          </w:p>
        </w:tc>
        <w:tc>
          <w:tcPr>
            <w:tcW w:w="191" w:type="dxa"/>
            <w:shd w:val="clear" w:color="auto" w:fill="CFF0FC"/>
            <w:noWrap/>
            <w:tcMar>
              <w:top w:w="15" w:type="dxa"/>
              <w:left w:w="0" w:type="dxa"/>
              <w:bottom w:w="0" w:type="dxa"/>
              <w:right w:w="15" w:type="dxa"/>
            </w:tcMar>
            <w:vAlign w:val="bottom"/>
            <w:hideMark/>
          </w:tcPr>
          <w:p w14:paraId="60E5400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55D577A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795BFCD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w:t>
            </w:r>
          </w:p>
        </w:tc>
        <w:tc>
          <w:tcPr>
            <w:tcW w:w="220" w:type="dxa"/>
            <w:shd w:val="clear" w:color="auto" w:fill="CFF0FC"/>
            <w:tcMar>
              <w:top w:w="15" w:type="dxa"/>
              <w:left w:w="0" w:type="dxa"/>
              <w:bottom w:w="0" w:type="dxa"/>
              <w:right w:w="15" w:type="dxa"/>
            </w:tcMar>
            <w:hideMark/>
          </w:tcPr>
          <w:p w14:paraId="590070C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00F3F2B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w:t>
            </w:r>
          </w:p>
        </w:tc>
        <w:tc>
          <w:tcPr>
            <w:tcW w:w="220" w:type="dxa"/>
            <w:shd w:val="clear" w:color="auto" w:fill="CFF0FC"/>
            <w:tcMar>
              <w:top w:w="15" w:type="dxa"/>
              <w:left w:w="0" w:type="dxa"/>
              <w:bottom w:w="0" w:type="dxa"/>
              <w:right w:w="15" w:type="dxa"/>
            </w:tcMar>
            <w:hideMark/>
          </w:tcPr>
          <w:p w14:paraId="29B4121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7C2665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681C5B5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325</w:t>
            </w:r>
          </w:p>
        </w:tc>
        <w:tc>
          <w:tcPr>
            <w:tcW w:w="191" w:type="dxa"/>
            <w:shd w:val="clear" w:color="auto" w:fill="CFF0FC"/>
            <w:noWrap/>
            <w:tcMar>
              <w:top w:w="15" w:type="dxa"/>
              <w:left w:w="0" w:type="dxa"/>
              <w:bottom w:w="0" w:type="dxa"/>
              <w:right w:w="15" w:type="dxa"/>
            </w:tcMar>
            <w:vAlign w:val="bottom"/>
            <w:hideMark/>
          </w:tcPr>
          <w:p w14:paraId="22E86C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499078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66EAA1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1E803CE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541</w:t>
            </w:r>
          </w:p>
        </w:tc>
        <w:tc>
          <w:tcPr>
            <w:tcW w:w="191" w:type="dxa"/>
            <w:shd w:val="clear" w:color="auto" w:fill="CFF0FC"/>
            <w:noWrap/>
            <w:tcMar>
              <w:top w:w="15" w:type="dxa"/>
              <w:left w:w="0" w:type="dxa"/>
              <w:bottom w:w="0" w:type="dxa"/>
              <w:right w:w="15" w:type="dxa"/>
            </w:tcMar>
            <w:vAlign w:val="bottom"/>
            <w:hideMark/>
          </w:tcPr>
          <w:p w14:paraId="38AC35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41844E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0BB1C0E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tc>
        <w:tc>
          <w:tcPr>
            <w:tcW w:w="220" w:type="dxa"/>
            <w:shd w:val="clear" w:color="auto" w:fill="CFF0FC"/>
            <w:tcMar>
              <w:top w:w="15" w:type="dxa"/>
              <w:left w:w="0" w:type="dxa"/>
              <w:bottom w:w="0" w:type="dxa"/>
              <w:right w:w="15" w:type="dxa"/>
            </w:tcMar>
            <w:hideMark/>
          </w:tcPr>
          <w:p w14:paraId="3D42226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2D2EA40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w:t>
            </w:r>
          </w:p>
        </w:tc>
        <w:tc>
          <w:tcPr>
            <w:tcW w:w="220" w:type="dxa"/>
            <w:shd w:val="clear" w:color="auto" w:fill="CFF0FC"/>
            <w:tcMar>
              <w:top w:w="15" w:type="dxa"/>
              <w:left w:w="0" w:type="dxa"/>
              <w:bottom w:w="0" w:type="dxa"/>
              <w:right w:w="15" w:type="dxa"/>
            </w:tcMar>
            <w:hideMark/>
          </w:tcPr>
          <w:p w14:paraId="7156AB5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4F898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70031DF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642</w:t>
            </w:r>
          </w:p>
        </w:tc>
        <w:tc>
          <w:tcPr>
            <w:tcW w:w="193" w:type="dxa"/>
            <w:shd w:val="clear" w:color="auto" w:fill="CFF0FC"/>
            <w:noWrap/>
            <w:tcMar>
              <w:top w:w="15" w:type="dxa"/>
              <w:left w:w="0" w:type="dxa"/>
              <w:bottom w:w="0" w:type="dxa"/>
              <w:right w:w="15" w:type="dxa"/>
            </w:tcMar>
            <w:vAlign w:val="bottom"/>
            <w:hideMark/>
          </w:tcPr>
          <w:p w14:paraId="42A26F2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33A4BDB8" w14:textId="77777777" w:rsidTr="00141675">
        <w:tc>
          <w:tcPr>
            <w:tcW w:w="6956" w:type="dxa"/>
            <w:shd w:val="clear" w:color="auto" w:fill="FFFFFF"/>
            <w:tcMar>
              <w:top w:w="15" w:type="dxa"/>
              <w:left w:w="0" w:type="dxa"/>
              <w:bottom w:w="0" w:type="dxa"/>
              <w:right w:w="15" w:type="dxa"/>
            </w:tcMar>
            <w:hideMark/>
          </w:tcPr>
          <w:p w14:paraId="35722B2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Sales and marketing</w:t>
            </w:r>
            <w:r w:rsidRPr="00141675">
              <w:rPr>
                <w:rFonts w:ascii="Calibri" w:eastAsia="宋体" w:hAnsi="Calibri" w:cs="Calibri"/>
                <w:color w:val="000000"/>
                <w:kern w:val="0"/>
                <w:sz w:val="18"/>
                <w:szCs w:val="18"/>
                <w:vertAlign w:val="superscript"/>
              </w:rPr>
              <w:t>(1)</w:t>
            </w:r>
          </w:p>
        </w:tc>
        <w:tc>
          <w:tcPr>
            <w:tcW w:w="220" w:type="dxa"/>
            <w:shd w:val="clear" w:color="auto" w:fill="FFFFFF"/>
            <w:tcMar>
              <w:top w:w="15" w:type="dxa"/>
              <w:left w:w="0" w:type="dxa"/>
              <w:bottom w:w="0" w:type="dxa"/>
              <w:right w:w="15" w:type="dxa"/>
            </w:tcMar>
            <w:hideMark/>
          </w:tcPr>
          <w:p w14:paraId="77EF5C5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4B6BDF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61A27B7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114</w:t>
            </w:r>
          </w:p>
        </w:tc>
        <w:tc>
          <w:tcPr>
            <w:tcW w:w="191" w:type="dxa"/>
            <w:shd w:val="clear" w:color="auto" w:fill="FFFFFF"/>
            <w:noWrap/>
            <w:tcMar>
              <w:top w:w="15" w:type="dxa"/>
              <w:left w:w="0" w:type="dxa"/>
              <w:bottom w:w="0" w:type="dxa"/>
              <w:right w:w="15" w:type="dxa"/>
            </w:tcMar>
            <w:vAlign w:val="bottom"/>
            <w:hideMark/>
          </w:tcPr>
          <w:p w14:paraId="3167F3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7C02C7A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11B38E7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c>
          <w:tcPr>
            <w:tcW w:w="220" w:type="dxa"/>
            <w:shd w:val="clear" w:color="auto" w:fill="FFFFFF"/>
            <w:tcMar>
              <w:top w:w="15" w:type="dxa"/>
              <w:left w:w="0" w:type="dxa"/>
              <w:bottom w:w="0" w:type="dxa"/>
              <w:right w:w="15" w:type="dxa"/>
            </w:tcMar>
            <w:hideMark/>
          </w:tcPr>
          <w:p w14:paraId="306C674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49C3140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hideMark/>
          </w:tcPr>
          <w:p w14:paraId="5BE3B5A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49BC4CC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57D9BC2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118</w:t>
            </w:r>
          </w:p>
        </w:tc>
        <w:tc>
          <w:tcPr>
            <w:tcW w:w="191" w:type="dxa"/>
            <w:shd w:val="clear" w:color="auto" w:fill="FFFFFF"/>
            <w:noWrap/>
            <w:tcMar>
              <w:top w:w="15" w:type="dxa"/>
              <w:left w:w="0" w:type="dxa"/>
              <w:bottom w:w="0" w:type="dxa"/>
              <w:right w:w="15" w:type="dxa"/>
            </w:tcMar>
            <w:vAlign w:val="bottom"/>
            <w:hideMark/>
          </w:tcPr>
          <w:p w14:paraId="571483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49099DC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0F7F98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142B5B2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231</w:t>
            </w:r>
          </w:p>
        </w:tc>
        <w:tc>
          <w:tcPr>
            <w:tcW w:w="191" w:type="dxa"/>
            <w:shd w:val="clear" w:color="auto" w:fill="FFFFFF"/>
            <w:noWrap/>
            <w:tcMar>
              <w:top w:w="15" w:type="dxa"/>
              <w:left w:w="0" w:type="dxa"/>
              <w:bottom w:w="0" w:type="dxa"/>
              <w:right w:w="15" w:type="dxa"/>
            </w:tcMar>
            <w:vAlign w:val="bottom"/>
            <w:hideMark/>
          </w:tcPr>
          <w:p w14:paraId="5E557F4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10FF930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37B8C9D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w:t>
            </w:r>
          </w:p>
        </w:tc>
        <w:tc>
          <w:tcPr>
            <w:tcW w:w="220" w:type="dxa"/>
            <w:shd w:val="clear" w:color="auto" w:fill="FFFFFF"/>
            <w:tcMar>
              <w:top w:w="15" w:type="dxa"/>
              <w:left w:w="0" w:type="dxa"/>
              <w:bottom w:w="0" w:type="dxa"/>
              <w:right w:w="15" w:type="dxa"/>
            </w:tcMar>
            <w:hideMark/>
          </w:tcPr>
          <w:p w14:paraId="4724037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4BA5B53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tc>
        <w:tc>
          <w:tcPr>
            <w:tcW w:w="220" w:type="dxa"/>
            <w:shd w:val="clear" w:color="auto" w:fill="FFFFFF"/>
            <w:tcMar>
              <w:top w:w="15" w:type="dxa"/>
              <w:left w:w="0" w:type="dxa"/>
              <w:bottom w:w="0" w:type="dxa"/>
              <w:right w:w="15" w:type="dxa"/>
            </w:tcMar>
            <w:hideMark/>
          </w:tcPr>
          <w:p w14:paraId="2F25AF5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53C349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05EBAC5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257</w:t>
            </w:r>
          </w:p>
        </w:tc>
        <w:tc>
          <w:tcPr>
            <w:tcW w:w="193" w:type="dxa"/>
            <w:shd w:val="clear" w:color="auto" w:fill="FFFFFF"/>
            <w:noWrap/>
            <w:tcMar>
              <w:top w:w="15" w:type="dxa"/>
              <w:left w:w="0" w:type="dxa"/>
              <w:bottom w:w="0" w:type="dxa"/>
              <w:right w:w="15" w:type="dxa"/>
            </w:tcMar>
            <w:vAlign w:val="bottom"/>
            <w:hideMark/>
          </w:tcPr>
          <w:p w14:paraId="3D3EF75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A9E70B7" w14:textId="77777777" w:rsidTr="00141675">
        <w:tc>
          <w:tcPr>
            <w:tcW w:w="6956" w:type="dxa"/>
            <w:shd w:val="clear" w:color="auto" w:fill="CFF0FC"/>
            <w:tcMar>
              <w:top w:w="15" w:type="dxa"/>
              <w:left w:w="0" w:type="dxa"/>
              <w:bottom w:w="0" w:type="dxa"/>
              <w:right w:w="15" w:type="dxa"/>
            </w:tcMar>
            <w:hideMark/>
          </w:tcPr>
          <w:p w14:paraId="520F1D40"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expenses</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hideMark/>
          </w:tcPr>
          <w:p w14:paraId="28E1FF3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1078D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19C2048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391</w:t>
            </w:r>
          </w:p>
        </w:tc>
        <w:tc>
          <w:tcPr>
            <w:tcW w:w="191" w:type="dxa"/>
            <w:shd w:val="clear" w:color="auto" w:fill="CFF0FC"/>
            <w:noWrap/>
            <w:tcMar>
              <w:top w:w="15" w:type="dxa"/>
              <w:left w:w="0" w:type="dxa"/>
              <w:bottom w:w="0" w:type="dxa"/>
              <w:right w:w="15" w:type="dxa"/>
            </w:tcMar>
            <w:vAlign w:val="bottom"/>
            <w:hideMark/>
          </w:tcPr>
          <w:p w14:paraId="433363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2589FD1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39BE621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w:t>
            </w:r>
          </w:p>
        </w:tc>
        <w:tc>
          <w:tcPr>
            <w:tcW w:w="220" w:type="dxa"/>
            <w:shd w:val="clear" w:color="auto" w:fill="CFF0FC"/>
            <w:tcMar>
              <w:top w:w="15" w:type="dxa"/>
              <w:left w:w="0" w:type="dxa"/>
              <w:bottom w:w="0" w:type="dxa"/>
              <w:right w:w="15" w:type="dxa"/>
            </w:tcMar>
            <w:hideMark/>
          </w:tcPr>
          <w:p w14:paraId="57C71D2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0CB6052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w:t>
            </w:r>
          </w:p>
        </w:tc>
        <w:tc>
          <w:tcPr>
            <w:tcW w:w="220" w:type="dxa"/>
            <w:shd w:val="clear" w:color="auto" w:fill="CFF0FC"/>
            <w:tcMar>
              <w:top w:w="15" w:type="dxa"/>
              <w:left w:w="0" w:type="dxa"/>
              <w:bottom w:w="0" w:type="dxa"/>
              <w:right w:w="15" w:type="dxa"/>
            </w:tcMar>
            <w:hideMark/>
          </w:tcPr>
          <w:p w14:paraId="3DEFCA6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333F4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6B26B0D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443</w:t>
            </w:r>
          </w:p>
        </w:tc>
        <w:tc>
          <w:tcPr>
            <w:tcW w:w="191" w:type="dxa"/>
            <w:shd w:val="clear" w:color="auto" w:fill="CFF0FC"/>
            <w:noWrap/>
            <w:tcMar>
              <w:top w:w="15" w:type="dxa"/>
              <w:left w:w="0" w:type="dxa"/>
              <w:bottom w:w="0" w:type="dxa"/>
              <w:right w:w="15" w:type="dxa"/>
            </w:tcMar>
            <w:vAlign w:val="bottom"/>
            <w:hideMark/>
          </w:tcPr>
          <w:p w14:paraId="465B670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3B8C242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0A52BC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2311F6D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772</w:t>
            </w:r>
          </w:p>
        </w:tc>
        <w:tc>
          <w:tcPr>
            <w:tcW w:w="191" w:type="dxa"/>
            <w:shd w:val="clear" w:color="auto" w:fill="CFF0FC"/>
            <w:noWrap/>
            <w:tcMar>
              <w:top w:w="15" w:type="dxa"/>
              <w:left w:w="0" w:type="dxa"/>
              <w:bottom w:w="0" w:type="dxa"/>
              <w:right w:w="15" w:type="dxa"/>
            </w:tcMar>
            <w:vAlign w:val="bottom"/>
            <w:hideMark/>
          </w:tcPr>
          <w:p w14:paraId="0338280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1C650AD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6B5D69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w:t>
            </w:r>
          </w:p>
        </w:tc>
        <w:tc>
          <w:tcPr>
            <w:tcW w:w="220" w:type="dxa"/>
            <w:shd w:val="clear" w:color="auto" w:fill="CFF0FC"/>
            <w:tcMar>
              <w:top w:w="15" w:type="dxa"/>
              <w:left w:w="0" w:type="dxa"/>
              <w:bottom w:w="0" w:type="dxa"/>
              <w:right w:w="15" w:type="dxa"/>
            </w:tcMar>
            <w:hideMark/>
          </w:tcPr>
          <w:p w14:paraId="799B548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5706933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220" w:type="dxa"/>
            <w:shd w:val="clear" w:color="auto" w:fill="CFF0FC"/>
            <w:tcMar>
              <w:top w:w="15" w:type="dxa"/>
              <w:left w:w="0" w:type="dxa"/>
              <w:bottom w:w="0" w:type="dxa"/>
              <w:right w:w="15" w:type="dxa"/>
            </w:tcMar>
            <w:hideMark/>
          </w:tcPr>
          <w:p w14:paraId="324971A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469AE08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14:paraId="3EA3627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899</w:t>
            </w:r>
          </w:p>
        </w:tc>
        <w:tc>
          <w:tcPr>
            <w:tcW w:w="193" w:type="dxa"/>
            <w:shd w:val="clear" w:color="auto" w:fill="CFF0FC"/>
            <w:noWrap/>
            <w:tcMar>
              <w:top w:w="15" w:type="dxa"/>
              <w:left w:w="0" w:type="dxa"/>
              <w:bottom w:w="0" w:type="dxa"/>
              <w:right w:w="15" w:type="dxa"/>
            </w:tcMar>
            <w:vAlign w:val="bottom"/>
            <w:hideMark/>
          </w:tcPr>
          <w:p w14:paraId="1D066D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BD3B27C" w14:textId="77777777" w:rsidTr="00141675">
        <w:tc>
          <w:tcPr>
            <w:tcW w:w="6956" w:type="dxa"/>
            <w:shd w:val="clear" w:color="auto" w:fill="FFFFFF"/>
            <w:tcMar>
              <w:top w:w="15" w:type="dxa"/>
              <w:left w:w="0" w:type="dxa"/>
              <w:bottom w:w="0" w:type="dxa"/>
              <w:right w:w="15" w:type="dxa"/>
            </w:tcMar>
            <w:hideMark/>
          </w:tcPr>
          <w:p w14:paraId="4B56CD7C"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Margin</w:t>
            </w:r>
          </w:p>
        </w:tc>
        <w:tc>
          <w:tcPr>
            <w:tcW w:w="220" w:type="dxa"/>
            <w:shd w:val="clear" w:color="auto" w:fill="FFFFFF"/>
            <w:tcMar>
              <w:top w:w="15" w:type="dxa"/>
              <w:left w:w="0" w:type="dxa"/>
              <w:bottom w:w="0" w:type="dxa"/>
              <w:right w:w="15" w:type="dxa"/>
            </w:tcMar>
            <w:hideMark/>
          </w:tcPr>
          <w:p w14:paraId="5C15DFF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4E3D0ED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6F5CB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480</w:t>
            </w:r>
          </w:p>
        </w:tc>
        <w:tc>
          <w:tcPr>
            <w:tcW w:w="191" w:type="dxa"/>
            <w:shd w:val="clear" w:color="auto" w:fill="FFFFFF"/>
            <w:noWrap/>
            <w:tcMar>
              <w:top w:w="15" w:type="dxa"/>
              <w:left w:w="0" w:type="dxa"/>
              <w:bottom w:w="0" w:type="dxa"/>
              <w:right w:w="15" w:type="dxa"/>
            </w:tcMar>
            <w:vAlign w:val="bottom"/>
            <w:hideMark/>
          </w:tcPr>
          <w:p w14:paraId="2643E58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15C9C6E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78E0A21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w:t>
            </w:r>
          </w:p>
        </w:tc>
        <w:tc>
          <w:tcPr>
            <w:tcW w:w="220" w:type="dxa"/>
            <w:shd w:val="clear" w:color="auto" w:fill="FFFFFF"/>
            <w:tcMar>
              <w:top w:w="15" w:type="dxa"/>
              <w:left w:w="0" w:type="dxa"/>
              <w:bottom w:w="0" w:type="dxa"/>
              <w:right w:w="15" w:type="dxa"/>
            </w:tcMar>
            <w:hideMark/>
          </w:tcPr>
          <w:p w14:paraId="5CB68D0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624DA64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220" w:type="dxa"/>
            <w:shd w:val="clear" w:color="auto" w:fill="FFFFFF"/>
            <w:tcMar>
              <w:top w:w="15" w:type="dxa"/>
              <w:left w:w="0" w:type="dxa"/>
              <w:bottom w:w="0" w:type="dxa"/>
              <w:right w:w="15" w:type="dxa"/>
            </w:tcMar>
            <w:hideMark/>
          </w:tcPr>
          <w:p w14:paraId="57EFDB7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7C416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88D557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448</w:t>
            </w:r>
          </w:p>
        </w:tc>
        <w:tc>
          <w:tcPr>
            <w:tcW w:w="191" w:type="dxa"/>
            <w:shd w:val="clear" w:color="auto" w:fill="FFFFFF"/>
            <w:noWrap/>
            <w:tcMar>
              <w:top w:w="15" w:type="dxa"/>
              <w:left w:w="0" w:type="dxa"/>
              <w:bottom w:w="0" w:type="dxa"/>
              <w:right w:w="15" w:type="dxa"/>
            </w:tcMar>
            <w:vAlign w:val="bottom"/>
            <w:hideMark/>
          </w:tcPr>
          <w:p w14:paraId="5115ABE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47706A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EABCE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02ADC0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914</w:t>
            </w:r>
          </w:p>
        </w:tc>
        <w:tc>
          <w:tcPr>
            <w:tcW w:w="191" w:type="dxa"/>
            <w:shd w:val="clear" w:color="auto" w:fill="FFFFFF"/>
            <w:noWrap/>
            <w:tcMar>
              <w:top w:w="15" w:type="dxa"/>
              <w:left w:w="0" w:type="dxa"/>
              <w:bottom w:w="0" w:type="dxa"/>
              <w:right w:w="15" w:type="dxa"/>
            </w:tcMar>
            <w:vAlign w:val="bottom"/>
            <w:hideMark/>
          </w:tcPr>
          <w:p w14:paraId="6747F5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4E948F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3449031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FFFFFF"/>
            <w:tcMar>
              <w:top w:w="15" w:type="dxa"/>
              <w:left w:w="0" w:type="dxa"/>
              <w:bottom w:w="0" w:type="dxa"/>
              <w:right w:w="15" w:type="dxa"/>
            </w:tcMar>
            <w:hideMark/>
          </w:tcPr>
          <w:p w14:paraId="7008459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0862D9E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hideMark/>
          </w:tcPr>
          <w:p w14:paraId="534EF6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74F5B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A7083A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897</w:t>
            </w:r>
          </w:p>
        </w:tc>
        <w:tc>
          <w:tcPr>
            <w:tcW w:w="193" w:type="dxa"/>
            <w:shd w:val="clear" w:color="auto" w:fill="FFFFFF"/>
            <w:noWrap/>
            <w:tcMar>
              <w:top w:w="15" w:type="dxa"/>
              <w:left w:w="0" w:type="dxa"/>
              <w:bottom w:w="0" w:type="dxa"/>
              <w:right w:w="15" w:type="dxa"/>
            </w:tcMar>
            <w:vAlign w:val="bottom"/>
            <w:hideMark/>
          </w:tcPr>
          <w:p w14:paraId="2977967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46C33A2" w14:textId="77777777" w:rsidTr="00141675">
        <w:tc>
          <w:tcPr>
            <w:tcW w:w="6956" w:type="dxa"/>
            <w:shd w:val="clear" w:color="auto" w:fill="CFF0FC"/>
            <w:tcMar>
              <w:top w:w="15" w:type="dxa"/>
              <w:left w:w="0" w:type="dxa"/>
              <w:bottom w:w="0" w:type="dxa"/>
              <w:right w:w="15" w:type="dxa"/>
            </w:tcMar>
            <w:hideMark/>
          </w:tcPr>
          <w:p w14:paraId="337330CA"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Margin %</w:t>
            </w:r>
          </w:p>
        </w:tc>
        <w:tc>
          <w:tcPr>
            <w:tcW w:w="220" w:type="dxa"/>
            <w:shd w:val="clear" w:color="auto" w:fill="CFF0FC"/>
            <w:tcMar>
              <w:top w:w="15" w:type="dxa"/>
              <w:left w:w="0" w:type="dxa"/>
              <w:bottom w:w="0" w:type="dxa"/>
              <w:right w:w="15" w:type="dxa"/>
            </w:tcMar>
            <w:hideMark/>
          </w:tcPr>
          <w:p w14:paraId="6523850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tcBorders>
              <w:top w:val="double" w:sz="6" w:space="0" w:color="000000"/>
            </w:tcBorders>
            <w:shd w:val="clear" w:color="auto" w:fill="CFF0FC"/>
            <w:tcMar>
              <w:top w:w="15" w:type="dxa"/>
              <w:left w:w="0" w:type="dxa"/>
              <w:bottom w:w="0" w:type="dxa"/>
              <w:right w:w="15" w:type="dxa"/>
            </w:tcMar>
            <w:vAlign w:val="bottom"/>
            <w:hideMark/>
          </w:tcPr>
          <w:p w14:paraId="1EB360F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w:t>
            </w:r>
          </w:p>
        </w:tc>
        <w:tc>
          <w:tcPr>
            <w:tcW w:w="191" w:type="dxa"/>
            <w:shd w:val="clear" w:color="auto" w:fill="CFF0FC"/>
            <w:noWrap/>
            <w:tcMar>
              <w:top w:w="15" w:type="dxa"/>
              <w:left w:w="0" w:type="dxa"/>
              <w:bottom w:w="0" w:type="dxa"/>
              <w:right w:w="15" w:type="dxa"/>
            </w:tcMar>
            <w:vAlign w:val="bottom"/>
            <w:hideMark/>
          </w:tcPr>
          <w:p w14:paraId="629BD47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0F33F42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5729C10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77DFDD7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62413FC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7C39A69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tcBorders>
              <w:top w:val="double" w:sz="6" w:space="0" w:color="000000"/>
            </w:tcBorders>
            <w:shd w:val="clear" w:color="auto" w:fill="CFF0FC"/>
            <w:tcMar>
              <w:top w:w="15" w:type="dxa"/>
              <w:left w:w="0" w:type="dxa"/>
              <w:bottom w:w="0" w:type="dxa"/>
              <w:right w:w="15" w:type="dxa"/>
            </w:tcMar>
            <w:vAlign w:val="bottom"/>
            <w:hideMark/>
          </w:tcPr>
          <w:p w14:paraId="4AB9BAA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w:t>
            </w:r>
          </w:p>
        </w:tc>
        <w:tc>
          <w:tcPr>
            <w:tcW w:w="191" w:type="dxa"/>
            <w:shd w:val="clear" w:color="auto" w:fill="CFF0FC"/>
            <w:noWrap/>
            <w:tcMar>
              <w:top w:w="15" w:type="dxa"/>
              <w:left w:w="0" w:type="dxa"/>
              <w:bottom w:w="0" w:type="dxa"/>
              <w:right w:w="15" w:type="dxa"/>
            </w:tcMar>
            <w:vAlign w:val="bottom"/>
            <w:hideMark/>
          </w:tcPr>
          <w:p w14:paraId="5239E4B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12092B9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tcBorders>
              <w:top w:val="double" w:sz="6" w:space="0" w:color="000000"/>
            </w:tcBorders>
            <w:shd w:val="clear" w:color="auto" w:fill="CFF0FC"/>
            <w:tcMar>
              <w:top w:w="15" w:type="dxa"/>
              <w:left w:w="0" w:type="dxa"/>
              <w:bottom w:w="0" w:type="dxa"/>
              <w:right w:w="15" w:type="dxa"/>
            </w:tcMar>
            <w:vAlign w:val="bottom"/>
            <w:hideMark/>
          </w:tcPr>
          <w:p w14:paraId="04D9D5D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54%</w:t>
            </w:r>
          </w:p>
        </w:tc>
        <w:tc>
          <w:tcPr>
            <w:tcW w:w="191" w:type="dxa"/>
            <w:shd w:val="clear" w:color="auto" w:fill="CFF0FC"/>
            <w:noWrap/>
            <w:tcMar>
              <w:top w:w="15" w:type="dxa"/>
              <w:left w:w="0" w:type="dxa"/>
              <w:bottom w:w="0" w:type="dxa"/>
              <w:right w:w="15" w:type="dxa"/>
            </w:tcMar>
            <w:vAlign w:val="bottom"/>
            <w:hideMark/>
          </w:tcPr>
          <w:p w14:paraId="33EC488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0AA662B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2C24F45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20BFB2B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7537AD8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740A1EB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tcBorders>
              <w:top w:val="double" w:sz="6" w:space="0" w:color="000000"/>
            </w:tcBorders>
            <w:shd w:val="clear" w:color="auto" w:fill="CFF0FC"/>
            <w:tcMar>
              <w:top w:w="15" w:type="dxa"/>
              <w:left w:w="0" w:type="dxa"/>
              <w:bottom w:w="0" w:type="dxa"/>
              <w:right w:w="15" w:type="dxa"/>
            </w:tcMar>
            <w:vAlign w:val="bottom"/>
            <w:hideMark/>
          </w:tcPr>
          <w:p w14:paraId="43483AC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w:t>
            </w:r>
          </w:p>
        </w:tc>
        <w:tc>
          <w:tcPr>
            <w:tcW w:w="193" w:type="dxa"/>
            <w:shd w:val="clear" w:color="auto" w:fill="CFF0FC"/>
            <w:noWrap/>
            <w:tcMar>
              <w:top w:w="15" w:type="dxa"/>
              <w:left w:w="0" w:type="dxa"/>
              <w:bottom w:w="0" w:type="dxa"/>
              <w:right w:w="15" w:type="dxa"/>
            </w:tcMar>
            <w:vAlign w:val="bottom"/>
            <w:hideMark/>
          </w:tcPr>
          <w:p w14:paraId="4502B8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F817B15" w14:textId="77777777" w:rsidTr="00141675">
        <w:tc>
          <w:tcPr>
            <w:tcW w:w="6956" w:type="dxa"/>
            <w:shd w:val="clear" w:color="auto" w:fill="FFFFFF"/>
            <w:tcMar>
              <w:top w:w="15" w:type="dxa"/>
              <w:left w:w="0" w:type="dxa"/>
              <w:bottom w:w="0" w:type="dxa"/>
              <w:right w:w="15" w:type="dxa"/>
            </w:tcMar>
            <w:hideMark/>
          </w:tcPr>
          <w:p w14:paraId="16058560"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 Revenues by Geography:</w:t>
            </w:r>
          </w:p>
        </w:tc>
        <w:tc>
          <w:tcPr>
            <w:tcW w:w="220" w:type="dxa"/>
            <w:shd w:val="clear" w:color="auto" w:fill="FFFFFF"/>
            <w:tcMar>
              <w:top w:w="15" w:type="dxa"/>
              <w:left w:w="0" w:type="dxa"/>
              <w:bottom w:w="0" w:type="dxa"/>
              <w:right w:w="15" w:type="dxa"/>
            </w:tcMar>
            <w:hideMark/>
          </w:tcPr>
          <w:p w14:paraId="6CDA7E3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52871E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FFFFFF"/>
            <w:noWrap/>
            <w:tcMar>
              <w:top w:w="15" w:type="dxa"/>
              <w:left w:w="0" w:type="dxa"/>
              <w:bottom w:w="0" w:type="dxa"/>
              <w:right w:w="15" w:type="dxa"/>
            </w:tcMar>
            <w:vAlign w:val="bottom"/>
            <w:hideMark/>
          </w:tcPr>
          <w:p w14:paraId="4BA74D4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6C4BFE1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3A5EE69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65C1C21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553EE66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6919202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03F28CB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B0D5CE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FFFFFF"/>
            <w:noWrap/>
            <w:tcMar>
              <w:top w:w="15" w:type="dxa"/>
              <w:left w:w="0" w:type="dxa"/>
              <w:bottom w:w="0" w:type="dxa"/>
              <w:right w:w="15" w:type="dxa"/>
            </w:tcMar>
            <w:vAlign w:val="bottom"/>
            <w:hideMark/>
          </w:tcPr>
          <w:p w14:paraId="1AB2505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5C07F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04F1F5C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516E343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FFFFFF"/>
            <w:noWrap/>
            <w:tcMar>
              <w:top w:w="15" w:type="dxa"/>
              <w:left w:w="0" w:type="dxa"/>
              <w:bottom w:w="0" w:type="dxa"/>
              <w:right w:w="15" w:type="dxa"/>
            </w:tcMar>
            <w:vAlign w:val="bottom"/>
            <w:hideMark/>
          </w:tcPr>
          <w:p w14:paraId="0BD553C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11FAFB0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647D85F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3E8A7FE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625962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1A24174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759DA54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3BDB89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FFFFFF"/>
            <w:noWrap/>
            <w:tcMar>
              <w:top w:w="15" w:type="dxa"/>
              <w:left w:w="0" w:type="dxa"/>
              <w:bottom w:w="0" w:type="dxa"/>
              <w:right w:w="15" w:type="dxa"/>
            </w:tcMar>
            <w:vAlign w:val="bottom"/>
            <w:hideMark/>
          </w:tcPr>
          <w:p w14:paraId="7027E70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FFFFFF"/>
            <w:noWrap/>
            <w:tcMar>
              <w:top w:w="15" w:type="dxa"/>
              <w:left w:w="0" w:type="dxa"/>
              <w:bottom w:w="0" w:type="dxa"/>
              <w:right w:w="15" w:type="dxa"/>
            </w:tcMar>
            <w:vAlign w:val="bottom"/>
            <w:hideMark/>
          </w:tcPr>
          <w:p w14:paraId="45D74BB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DAC2155" w14:textId="77777777" w:rsidTr="00141675">
        <w:tc>
          <w:tcPr>
            <w:tcW w:w="6956" w:type="dxa"/>
            <w:shd w:val="clear" w:color="auto" w:fill="CFF0FC"/>
            <w:tcMar>
              <w:top w:w="15" w:type="dxa"/>
              <w:left w:w="0" w:type="dxa"/>
              <w:bottom w:w="0" w:type="dxa"/>
              <w:right w:w="15" w:type="dxa"/>
            </w:tcMar>
            <w:hideMark/>
          </w:tcPr>
          <w:p w14:paraId="555BC44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lastRenderedPageBreak/>
              <w:t>Americas</w:t>
            </w:r>
          </w:p>
        </w:tc>
        <w:tc>
          <w:tcPr>
            <w:tcW w:w="220" w:type="dxa"/>
            <w:shd w:val="clear" w:color="auto" w:fill="CFF0FC"/>
            <w:tcMar>
              <w:top w:w="15" w:type="dxa"/>
              <w:left w:w="0" w:type="dxa"/>
              <w:bottom w:w="0" w:type="dxa"/>
              <w:right w:w="15" w:type="dxa"/>
            </w:tcMar>
            <w:hideMark/>
          </w:tcPr>
          <w:p w14:paraId="3C857DC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68373F0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w:t>
            </w:r>
          </w:p>
        </w:tc>
        <w:tc>
          <w:tcPr>
            <w:tcW w:w="191" w:type="dxa"/>
            <w:shd w:val="clear" w:color="auto" w:fill="CFF0FC"/>
            <w:noWrap/>
            <w:tcMar>
              <w:top w:w="15" w:type="dxa"/>
              <w:left w:w="0" w:type="dxa"/>
              <w:bottom w:w="0" w:type="dxa"/>
              <w:right w:w="15" w:type="dxa"/>
            </w:tcMar>
            <w:vAlign w:val="bottom"/>
            <w:hideMark/>
          </w:tcPr>
          <w:p w14:paraId="2A7962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0DCD777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1E6C569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3D4384B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6247962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6F594EE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5034FF3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52%</w:t>
            </w:r>
          </w:p>
        </w:tc>
        <w:tc>
          <w:tcPr>
            <w:tcW w:w="191" w:type="dxa"/>
            <w:shd w:val="clear" w:color="auto" w:fill="CFF0FC"/>
            <w:noWrap/>
            <w:tcMar>
              <w:top w:w="15" w:type="dxa"/>
              <w:left w:w="0" w:type="dxa"/>
              <w:bottom w:w="0" w:type="dxa"/>
              <w:right w:w="15" w:type="dxa"/>
            </w:tcMar>
            <w:vAlign w:val="bottom"/>
            <w:hideMark/>
          </w:tcPr>
          <w:p w14:paraId="1C2F87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667C33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45E0001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w:t>
            </w:r>
          </w:p>
        </w:tc>
        <w:tc>
          <w:tcPr>
            <w:tcW w:w="191" w:type="dxa"/>
            <w:shd w:val="clear" w:color="auto" w:fill="CFF0FC"/>
            <w:noWrap/>
            <w:tcMar>
              <w:top w:w="15" w:type="dxa"/>
              <w:left w:w="0" w:type="dxa"/>
              <w:bottom w:w="0" w:type="dxa"/>
              <w:right w:w="15" w:type="dxa"/>
            </w:tcMar>
            <w:vAlign w:val="bottom"/>
            <w:hideMark/>
          </w:tcPr>
          <w:p w14:paraId="3D70E7D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2F7A3F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7FD8690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2C427DB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0DDDFB0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17F2EBD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5D4E83D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w:t>
            </w:r>
          </w:p>
        </w:tc>
        <w:tc>
          <w:tcPr>
            <w:tcW w:w="193" w:type="dxa"/>
            <w:shd w:val="clear" w:color="auto" w:fill="CFF0FC"/>
            <w:noWrap/>
            <w:tcMar>
              <w:top w:w="15" w:type="dxa"/>
              <w:left w:w="0" w:type="dxa"/>
              <w:bottom w:w="0" w:type="dxa"/>
              <w:right w:w="15" w:type="dxa"/>
            </w:tcMar>
            <w:vAlign w:val="bottom"/>
            <w:hideMark/>
          </w:tcPr>
          <w:p w14:paraId="282424F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BBEC7E2" w14:textId="77777777" w:rsidTr="00141675">
        <w:tc>
          <w:tcPr>
            <w:tcW w:w="6956" w:type="dxa"/>
            <w:shd w:val="clear" w:color="auto" w:fill="FFFFFF"/>
            <w:tcMar>
              <w:top w:w="15" w:type="dxa"/>
              <w:left w:w="0" w:type="dxa"/>
              <w:bottom w:w="0" w:type="dxa"/>
              <w:right w:w="15" w:type="dxa"/>
            </w:tcMar>
            <w:hideMark/>
          </w:tcPr>
          <w:p w14:paraId="1F87736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EMEA</w:t>
            </w:r>
          </w:p>
        </w:tc>
        <w:tc>
          <w:tcPr>
            <w:tcW w:w="220" w:type="dxa"/>
            <w:shd w:val="clear" w:color="auto" w:fill="FFFFFF"/>
            <w:tcMar>
              <w:top w:w="15" w:type="dxa"/>
              <w:left w:w="0" w:type="dxa"/>
              <w:bottom w:w="0" w:type="dxa"/>
              <w:right w:w="15" w:type="dxa"/>
            </w:tcMar>
            <w:hideMark/>
          </w:tcPr>
          <w:p w14:paraId="2A63E34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5512197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w:t>
            </w:r>
          </w:p>
        </w:tc>
        <w:tc>
          <w:tcPr>
            <w:tcW w:w="191" w:type="dxa"/>
            <w:shd w:val="clear" w:color="auto" w:fill="FFFFFF"/>
            <w:noWrap/>
            <w:tcMar>
              <w:top w:w="15" w:type="dxa"/>
              <w:left w:w="0" w:type="dxa"/>
              <w:bottom w:w="0" w:type="dxa"/>
              <w:right w:w="15" w:type="dxa"/>
            </w:tcMar>
            <w:vAlign w:val="bottom"/>
            <w:hideMark/>
          </w:tcPr>
          <w:p w14:paraId="3267D6C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54A857E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594031A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0EBE72A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3B40F1A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4583084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4EE1749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w:t>
            </w:r>
          </w:p>
        </w:tc>
        <w:tc>
          <w:tcPr>
            <w:tcW w:w="191" w:type="dxa"/>
            <w:shd w:val="clear" w:color="auto" w:fill="FFFFFF"/>
            <w:noWrap/>
            <w:tcMar>
              <w:top w:w="15" w:type="dxa"/>
              <w:left w:w="0" w:type="dxa"/>
              <w:bottom w:w="0" w:type="dxa"/>
              <w:right w:w="15" w:type="dxa"/>
            </w:tcMar>
            <w:vAlign w:val="bottom"/>
            <w:hideMark/>
          </w:tcPr>
          <w:p w14:paraId="3A43AFA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51B6AD3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681F705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w:t>
            </w:r>
          </w:p>
        </w:tc>
        <w:tc>
          <w:tcPr>
            <w:tcW w:w="191" w:type="dxa"/>
            <w:shd w:val="clear" w:color="auto" w:fill="FFFFFF"/>
            <w:noWrap/>
            <w:tcMar>
              <w:top w:w="15" w:type="dxa"/>
              <w:left w:w="0" w:type="dxa"/>
              <w:bottom w:w="0" w:type="dxa"/>
              <w:right w:w="15" w:type="dxa"/>
            </w:tcMar>
            <w:vAlign w:val="bottom"/>
            <w:hideMark/>
          </w:tcPr>
          <w:p w14:paraId="1924B7C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30AA494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0FC9B3F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48099A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3371E6E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hideMark/>
          </w:tcPr>
          <w:p w14:paraId="33B2E3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70DC498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w:t>
            </w:r>
          </w:p>
        </w:tc>
        <w:tc>
          <w:tcPr>
            <w:tcW w:w="193" w:type="dxa"/>
            <w:shd w:val="clear" w:color="auto" w:fill="FFFFFF"/>
            <w:noWrap/>
            <w:tcMar>
              <w:top w:w="15" w:type="dxa"/>
              <w:left w:w="0" w:type="dxa"/>
              <w:bottom w:w="0" w:type="dxa"/>
              <w:right w:w="15" w:type="dxa"/>
            </w:tcMar>
            <w:vAlign w:val="bottom"/>
            <w:hideMark/>
          </w:tcPr>
          <w:p w14:paraId="4DFCF13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1858301" w14:textId="77777777" w:rsidTr="00141675">
        <w:tc>
          <w:tcPr>
            <w:tcW w:w="6956" w:type="dxa"/>
            <w:shd w:val="clear" w:color="auto" w:fill="CFF0FC"/>
            <w:tcMar>
              <w:top w:w="15" w:type="dxa"/>
              <w:left w:w="0" w:type="dxa"/>
              <w:bottom w:w="0" w:type="dxa"/>
              <w:right w:w="15" w:type="dxa"/>
            </w:tcMar>
            <w:hideMark/>
          </w:tcPr>
          <w:p w14:paraId="6107216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Asia Pacific</w:t>
            </w:r>
          </w:p>
        </w:tc>
        <w:tc>
          <w:tcPr>
            <w:tcW w:w="220" w:type="dxa"/>
            <w:shd w:val="clear" w:color="auto" w:fill="CFF0FC"/>
            <w:tcMar>
              <w:top w:w="15" w:type="dxa"/>
              <w:left w:w="0" w:type="dxa"/>
              <w:bottom w:w="0" w:type="dxa"/>
              <w:right w:w="15" w:type="dxa"/>
            </w:tcMar>
            <w:hideMark/>
          </w:tcPr>
          <w:p w14:paraId="699A94B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6A48E25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21%</w:t>
            </w:r>
          </w:p>
        </w:tc>
        <w:tc>
          <w:tcPr>
            <w:tcW w:w="191" w:type="dxa"/>
            <w:shd w:val="clear" w:color="auto" w:fill="CFF0FC"/>
            <w:noWrap/>
            <w:tcMar>
              <w:top w:w="15" w:type="dxa"/>
              <w:left w:w="0" w:type="dxa"/>
              <w:bottom w:w="0" w:type="dxa"/>
              <w:right w:w="15" w:type="dxa"/>
            </w:tcMar>
            <w:vAlign w:val="bottom"/>
            <w:hideMark/>
          </w:tcPr>
          <w:p w14:paraId="091FE89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282BB40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2FA6B7C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29E5267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5701363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6488A78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6990BD7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w:t>
            </w:r>
          </w:p>
        </w:tc>
        <w:tc>
          <w:tcPr>
            <w:tcW w:w="191" w:type="dxa"/>
            <w:shd w:val="clear" w:color="auto" w:fill="CFF0FC"/>
            <w:noWrap/>
            <w:tcMar>
              <w:top w:w="15" w:type="dxa"/>
              <w:left w:w="0" w:type="dxa"/>
              <w:bottom w:w="0" w:type="dxa"/>
              <w:right w:w="15" w:type="dxa"/>
            </w:tcMar>
            <w:vAlign w:val="bottom"/>
            <w:hideMark/>
          </w:tcPr>
          <w:p w14:paraId="70C05D2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1EC1CD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0BEEB94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21%</w:t>
            </w:r>
          </w:p>
        </w:tc>
        <w:tc>
          <w:tcPr>
            <w:tcW w:w="191" w:type="dxa"/>
            <w:shd w:val="clear" w:color="auto" w:fill="CFF0FC"/>
            <w:noWrap/>
            <w:tcMar>
              <w:top w:w="15" w:type="dxa"/>
              <w:left w:w="0" w:type="dxa"/>
              <w:bottom w:w="0" w:type="dxa"/>
              <w:right w:w="15" w:type="dxa"/>
            </w:tcMar>
            <w:vAlign w:val="bottom"/>
            <w:hideMark/>
          </w:tcPr>
          <w:p w14:paraId="6045ACC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6C01668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0CC6C03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3FC8543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0354C81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hideMark/>
          </w:tcPr>
          <w:p w14:paraId="668BB2C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18555EA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20%</w:t>
            </w:r>
          </w:p>
        </w:tc>
        <w:tc>
          <w:tcPr>
            <w:tcW w:w="193" w:type="dxa"/>
            <w:shd w:val="clear" w:color="auto" w:fill="CFF0FC"/>
            <w:noWrap/>
            <w:tcMar>
              <w:top w:w="15" w:type="dxa"/>
              <w:left w:w="0" w:type="dxa"/>
              <w:bottom w:w="0" w:type="dxa"/>
              <w:right w:w="15" w:type="dxa"/>
            </w:tcMar>
            <w:vAlign w:val="bottom"/>
            <w:hideMark/>
          </w:tcPr>
          <w:p w14:paraId="1E1CCA31"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09FFA8F7" w14:textId="77777777" w:rsidR="00141675" w:rsidRPr="00141675" w:rsidRDefault="00141675" w:rsidP="00141675">
      <w:pPr>
        <w:widowControl/>
        <w:pBdr>
          <w:bottom w:val="single" w:sz="6" w:space="1" w:color="auto"/>
        </w:pBdr>
        <w:ind w:right="18324"/>
        <w:jc w:val="left"/>
        <w:rPr>
          <w:rFonts w:ascii="Calibri" w:eastAsia="宋体" w:hAnsi="Calibri" w:cs="Calibri"/>
          <w:color w:val="000000"/>
          <w:kern w:val="0"/>
          <w:sz w:val="8"/>
          <w:szCs w:val="8"/>
        </w:rPr>
      </w:pPr>
      <w:r w:rsidRPr="00141675">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53CE0FAC" w14:textId="77777777" w:rsidTr="00141675">
        <w:tc>
          <w:tcPr>
            <w:tcW w:w="794" w:type="dxa"/>
            <w:noWrap/>
            <w:hideMark/>
          </w:tcPr>
          <w:p w14:paraId="3001B8EA"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4D1FB0CA"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Excludes stock-based compensation and certain allocations. Also excludes amortization of intangible assets and certain other GAAP</w:t>
            </w:r>
            <w:r w:rsidRPr="00141675">
              <w:rPr>
                <w:rFonts w:ascii="Calibri" w:eastAsia="宋体" w:hAnsi="Calibri" w:cs="Calibri"/>
                <w:kern w:val="0"/>
                <w:sz w:val="15"/>
                <w:szCs w:val="15"/>
              </w:rPr>
              <w:noBreakHyphen/>
              <w:t>based expenses, which were not allocated to our operating segment results for purposes of reporting to and review by our CODMs, as further described under “Presentation of Operating Segments and Other Financial Information” above.</w:t>
            </w:r>
          </w:p>
        </w:tc>
      </w:tr>
    </w:tbl>
    <w:p w14:paraId="233C0E9B"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Excluding the effects of currency rate fluctuations, total hardware revenues decreased in the fiscal 2020 periods presented, relative to the corresponding prior year periods, due to lower hardware products revenues and lower hardware support revenues. The decreases in hardware products and hardware support revenues in the fiscal 2020 periods presented, relative to the corresponding fiscal 2019 periods presented, were primarily attributable to our continued emphasis on the marketing and sale of our cloud-based infrastructure technologies, which resulted in reduced sales volumes of certain of our hardware product lines and also impacted the volume of hardware support contracts sold in recent periods. Constant currency decreases in revenue growth in the Americas and EMEA regions were partially offset by constant currency increases in revenue growth in the Asia Pacific region during the fiscal 2020 periods presented.</w:t>
      </w:r>
    </w:p>
    <w:p w14:paraId="520910F9"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Excluding the effects of currency rate fluctuations, total hardware expenses decreased in the fiscal 2020 periods presented, relative to the corresponding prior year periods, primarily due to lower hardware products expenses, lower hardware support costs, and lower sales and marketing expenses, all of which aligned to lower hardware revenues.</w:t>
      </w:r>
    </w:p>
    <w:p w14:paraId="40DCF0EE"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 constant currency, total margin and total margin as a percentage of revenues for our hardware business increased during the fiscal 2020 periods presented, relative to the corresponding prior year periods, primarily due to lower expenses.</w:t>
      </w:r>
    </w:p>
    <w:p w14:paraId="7713B772"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Services Business</w:t>
      </w:r>
    </w:p>
    <w:p w14:paraId="4A717A36"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We offer services to customers and partners to help to maximize the performance of their investments in Oracle applications and infrastructure technologies. Services revenues are generally recognized over time as the services are performed. The cost of providing our services consists primarily of personnel related expenses, technology infrastructure expenditures, facilities expenses and external contractor expenses.</w:t>
      </w:r>
    </w:p>
    <w:p w14:paraId="7E6A55BC"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36</w:t>
      </w:r>
    </w:p>
    <w:p w14:paraId="5068119F"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6B7F5874">
          <v:rect id="_x0000_i1062" style="width:0;height:1.5pt" o:hralign="center" o:hrstd="t" o:hrnoshade="t" o:hr="t" fillcolor="black" stroked="f"/>
        </w:pict>
      </w:r>
    </w:p>
    <w:p w14:paraId="4378D235" w14:textId="77777777" w:rsidR="00141675" w:rsidRPr="00141675" w:rsidRDefault="00141675" w:rsidP="00141675">
      <w:pPr>
        <w:widowControl/>
        <w:jc w:val="left"/>
        <w:rPr>
          <w:rFonts w:ascii="Calibri" w:eastAsia="宋体" w:hAnsi="Calibri" w:cs="Calibri"/>
          <w:b/>
          <w:bCs/>
          <w:color w:val="000000"/>
          <w:kern w:val="0"/>
          <w:sz w:val="20"/>
          <w:szCs w:val="20"/>
        </w:rPr>
      </w:pPr>
      <w:hyperlink r:id="rId59" w:anchor="TABLE_CONTENTS" w:history="1">
        <w:r w:rsidRPr="00141675">
          <w:rPr>
            <w:rFonts w:ascii="Calibri" w:eastAsia="宋体" w:hAnsi="Calibri" w:cs="Calibri"/>
            <w:b/>
            <w:bCs/>
            <w:color w:val="0000FF"/>
            <w:kern w:val="0"/>
            <w:sz w:val="20"/>
            <w:szCs w:val="20"/>
            <w:u w:val="single"/>
          </w:rPr>
          <w:t>Table of Contents</w:t>
        </w:r>
      </w:hyperlink>
    </w:p>
    <w:p w14:paraId="0D25261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65338E08"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71"/>
        <w:gridCol w:w="221"/>
        <w:gridCol w:w="200"/>
        <w:gridCol w:w="1060"/>
        <w:gridCol w:w="200"/>
        <w:gridCol w:w="221"/>
        <w:gridCol w:w="1459"/>
        <w:gridCol w:w="221"/>
        <w:gridCol w:w="1488"/>
        <w:gridCol w:w="220"/>
        <w:gridCol w:w="199"/>
        <w:gridCol w:w="1136"/>
        <w:gridCol w:w="199"/>
        <w:gridCol w:w="220"/>
        <w:gridCol w:w="199"/>
        <w:gridCol w:w="1059"/>
        <w:gridCol w:w="199"/>
        <w:gridCol w:w="220"/>
        <w:gridCol w:w="1458"/>
        <w:gridCol w:w="220"/>
        <w:gridCol w:w="1488"/>
        <w:gridCol w:w="220"/>
        <w:gridCol w:w="199"/>
        <w:gridCol w:w="1136"/>
        <w:gridCol w:w="201"/>
      </w:tblGrid>
      <w:tr w:rsidR="00141675" w:rsidRPr="00141675" w14:paraId="08EFE00E" w14:textId="77777777" w:rsidTr="00141675">
        <w:tc>
          <w:tcPr>
            <w:tcW w:w="6956" w:type="dxa"/>
            <w:shd w:val="clear" w:color="auto" w:fill="FFFFFF"/>
            <w:tcMar>
              <w:top w:w="15" w:type="dxa"/>
              <w:left w:w="0" w:type="dxa"/>
              <w:bottom w:w="0" w:type="dxa"/>
              <w:right w:w="15" w:type="dxa"/>
            </w:tcMar>
            <w:vAlign w:val="center"/>
            <w:hideMark/>
          </w:tcPr>
          <w:p w14:paraId="05DCB9E7"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7FD4831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4" w:type="dxa"/>
            <w:gridSpan w:val="10"/>
            <w:tcBorders>
              <w:bottom w:val="single" w:sz="6" w:space="0" w:color="000000"/>
            </w:tcBorders>
            <w:shd w:val="clear" w:color="auto" w:fill="FFFFFF"/>
            <w:tcMar>
              <w:top w:w="15" w:type="dxa"/>
              <w:left w:w="0" w:type="dxa"/>
              <w:bottom w:w="0" w:type="dxa"/>
              <w:right w:w="15" w:type="dxa"/>
            </w:tcMar>
            <w:vAlign w:val="bottom"/>
            <w:hideMark/>
          </w:tcPr>
          <w:p w14:paraId="16B6280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1" w:type="dxa"/>
            <w:shd w:val="clear" w:color="auto" w:fill="FFFFFF"/>
            <w:noWrap/>
            <w:tcMar>
              <w:top w:w="15" w:type="dxa"/>
              <w:left w:w="0" w:type="dxa"/>
              <w:bottom w:w="0" w:type="dxa"/>
              <w:right w:w="15" w:type="dxa"/>
            </w:tcMar>
            <w:vAlign w:val="bottom"/>
            <w:hideMark/>
          </w:tcPr>
          <w:p w14:paraId="652B702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4E79BA6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4" w:type="dxa"/>
            <w:gridSpan w:val="10"/>
            <w:tcBorders>
              <w:bottom w:val="single" w:sz="6" w:space="0" w:color="000000"/>
            </w:tcBorders>
            <w:shd w:val="clear" w:color="auto" w:fill="FFFFFF"/>
            <w:tcMar>
              <w:top w:w="15" w:type="dxa"/>
              <w:left w:w="0" w:type="dxa"/>
              <w:bottom w:w="0" w:type="dxa"/>
              <w:right w:w="15" w:type="dxa"/>
            </w:tcMar>
            <w:vAlign w:val="bottom"/>
            <w:hideMark/>
          </w:tcPr>
          <w:p w14:paraId="2EF079B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5A79AD0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089C8F6B" w14:textId="77777777" w:rsidTr="00141675">
        <w:tc>
          <w:tcPr>
            <w:tcW w:w="6956" w:type="dxa"/>
            <w:shd w:val="clear" w:color="auto" w:fill="FFFFFF"/>
            <w:tcMar>
              <w:top w:w="15" w:type="dxa"/>
              <w:left w:w="0" w:type="dxa"/>
              <w:bottom w:w="0" w:type="dxa"/>
              <w:right w:w="15" w:type="dxa"/>
            </w:tcMar>
            <w:vAlign w:val="center"/>
            <w:hideMark/>
          </w:tcPr>
          <w:p w14:paraId="75732BE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5E67832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441F20F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7941A87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66E877D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7F49EC6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200582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7242DDD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0A4606E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3B83BEE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4840A9B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3BAE77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644E4C8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2ADA5C1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160AB22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33620C1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3769A7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08114F8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1B23D42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bottom"/>
            <w:hideMark/>
          </w:tcPr>
          <w:p w14:paraId="488E3F7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1425C8F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234E4BC0" w14:textId="77777777" w:rsidTr="00141675">
        <w:tc>
          <w:tcPr>
            <w:tcW w:w="6956" w:type="dxa"/>
            <w:tcBorders>
              <w:bottom w:val="single" w:sz="6" w:space="0" w:color="000000"/>
            </w:tcBorders>
            <w:shd w:val="clear" w:color="auto" w:fill="FFFFFF"/>
            <w:tcMar>
              <w:top w:w="15" w:type="dxa"/>
              <w:left w:w="0" w:type="dxa"/>
              <w:bottom w:w="0" w:type="dxa"/>
              <w:right w:w="15" w:type="dxa"/>
            </w:tcMar>
            <w:vAlign w:val="bottom"/>
            <w:hideMark/>
          </w:tcPr>
          <w:p w14:paraId="7936B8D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435ECA9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268E76F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4275D9F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center"/>
            <w:hideMark/>
          </w:tcPr>
          <w:p w14:paraId="3E37871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4727B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0BCBA2E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E3612E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center"/>
            <w:hideMark/>
          </w:tcPr>
          <w:p w14:paraId="1B80C3C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35E2525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467D0F1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46B9F15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666CE26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7A36B26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F66241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83026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38FF51C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5F01F0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57E2EEB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37ECAB8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0D7D846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7E35F91" w14:textId="77777777" w:rsidTr="00141675">
        <w:tc>
          <w:tcPr>
            <w:tcW w:w="6956" w:type="dxa"/>
            <w:tcBorders>
              <w:top w:val="single" w:sz="6" w:space="0" w:color="000000"/>
            </w:tcBorders>
            <w:shd w:val="clear" w:color="auto" w:fill="CFF0FC"/>
            <w:tcMar>
              <w:top w:w="15" w:type="dxa"/>
              <w:left w:w="0" w:type="dxa"/>
              <w:bottom w:w="0" w:type="dxa"/>
              <w:right w:w="15" w:type="dxa"/>
            </w:tcMar>
            <w:hideMark/>
          </w:tcPr>
          <w:p w14:paraId="0DBCCBC9"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Services Revenues:</w:t>
            </w:r>
          </w:p>
        </w:tc>
        <w:tc>
          <w:tcPr>
            <w:tcW w:w="220" w:type="dxa"/>
            <w:shd w:val="clear" w:color="auto" w:fill="CFF0FC"/>
            <w:tcMar>
              <w:top w:w="15" w:type="dxa"/>
              <w:left w:w="0" w:type="dxa"/>
              <w:bottom w:w="0" w:type="dxa"/>
              <w:right w:w="15" w:type="dxa"/>
            </w:tcMar>
            <w:vAlign w:val="bottom"/>
            <w:hideMark/>
          </w:tcPr>
          <w:p w14:paraId="1EE298FE" w14:textId="77777777" w:rsidR="00141675" w:rsidRPr="00141675" w:rsidRDefault="00141675" w:rsidP="00141675">
            <w:pPr>
              <w:widowControl/>
              <w:jc w:val="left"/>
              <w:rPr>
                <w:rFonts w:ascii="Calibri" w:eastAsia="宋体" w:hAnsi="Calibri" w:cs="Calibri"/>
                <w:b/>
                <w:bCs/>
                <w:i/>
                <w:iCs/>
                <w:color w:val="000000"/>
                <w:kern w:val="0"/>
                <w:sz w:val="22"/>
              </w:rPr>
            </w:pPr>
            <w:r w:rsidRPr="00141675">
              <w:rPr>
                <w:rFonts w:ascii="Calibri" w:eastAsia="宋体" w:hAnsi="Calibri" w:cs="Calibri"/>
                <w:b/>
                <w:bCs/>
                <w:i/>
                <w:iCs/>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613F9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7765E9A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1BC19F6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E0E313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318357F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16D33731" w14:textId="77777777" w:rsidR="00141675" w:rsidRPr="00141675" w:rsidRDefault="00141675" w:rsidP="00141675">
            <w:pPr>
              <w:widowControl/>
              <w:jc w:val="center"/>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3FF901B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EC34B5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52EAA4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5A47B69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C35AE2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266F77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32F8BC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121165E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407FF46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7D04CA5" w14:textId="77777777" w:rsidR="00141675" w:rsidRPr="00141675" w:rsidRDefault="00141675" w:rsidP="00141675">
            <w:pPr>
              <w:widowControl/>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5D190A0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4A21E83" w14:textId="77777777" w:rsidR="00141675" w:rsidRPr="00141675" w:rsidRDefault="00141675" w:rsidP="00141675">
            <w:pPr>
              <w:widowControl/>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7A79400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189984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475C70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4560585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CFF0FC"/>
            <w:noWrap/>
            <w:tcMar>
              <w:top w:w="15" w:type="dxa"/>
              <w:left w:w="0" w:type="dxa"/>
              <w:bottom w:w="0" w:type="dxa"/>
              <w:right w:w="15" w:type="dxa"/>
            </w:tcMar>
            <w:vAlign w:val="bottom"/>
            <w:hideMark/>
          </w:tcPr>
          <w:p w14:paraId="1C28E4E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EFB6B53" w14:textId="77777777" w:rsidTr="00141675">
        <w:tc>
          <w:tcPr>
            <w:tcW w:w="6956" w:type="dxa"/>
            <w:shd w:val="clear" w:color="auto" w:fill="FFFFFF"/>
            <w:tcMar>
              <w:top w:w="15" w:type="dxa"/>
              <w:left w:w="0" w:type="dxa"/>
              <w:bottom w:w="0" w:type="dxa"/>
              <w:right w:w="15" w:type="dxa"/>
            </w:tcMar>
            <w:hideMark/>
          </w:tcPr>
          <w:p w14:paraId="18D6271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Americas</w:t>
            </w:r>
          </w:p>
        </w:tc>
        <w:tc>
          <w:tcPr>
            <w:tcW w:w="220" w:type="dxa"/>
            <w:shd w:val="clear" w:color="auto" w:fill="FFFFFF"/>
            <w:tcMar>
              <w:top w:w="15" w:type="dxa"/>
              <w:left w:w="0" w:type="dxa"/>
              <w:bottom w:w="0" w:type="dxa"/>
              <w:right w:w="15" w:type="dxa"/>
            </w:tcMar>
            <w:vAlign w:val="bottom"/>
            <w:hideMark/>
          </w:tcPr>
          <w:p w14:paraId="6AA6D9B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DFB80C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5487FB5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388</w:t>
            </w:r>
          </w:p>
        </w:tc>
        <w:tc>
          <w:tcPr>
            <w:tcW w:w="191" w:type="dxa"/>
            <w:shd w:val="clear" w:color="auto" w:fill="FFFFFF"/>
            <w:noWrap/>
            <w:tcMar>
              <w:top w:w="15" w:type="dxa"/>
              <w:left w:w="0" w:type="dxa"/>
              <w:bottom w:w="0" w:type="dxa"/>
              <w:right w:w="15" w:type="dxa"/>
            </w:tcMar>
            <w:vAlign w:val="bottom"/>
            <w:hideMark/>
          </w:tcPr>
          <w:p w14:paraId="7FC29A3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7A306BF"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7446B46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578416FB"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0172785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1F7EB32A"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5AAC0FC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15E6092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393</w:t>
            </w:r>
          </w:p>
        </w:tc>
        <w:tc>
          <w:tcPr>
            <w:tcW w:w="191" w:type="dxa"/>
            <w:shd w:val="clear" w:color="auto" w:fill="FFFFFF"/>
            <w:noWrap/>
            <w:tcMar>
              <w:top w:w="15" w:type="dxa"/>
              <w:left w:w="0" w:type="dxa"/>
              <w:bottom w:w="0" w:type="dxa"/>
              <w:right w:w="15" w:type="dxa"/>
            </w:tcMar>
            <w:vAlign w:val="bottom"/>
            <w:hideMark/>
          </w:tcPr>
          <w:p w14:paraId="34F982F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32141B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0DE33EC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61ED548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779</w:t>
            </w:r>
          </w:p>
        </w:tc>
        <w:tc>
          <w:tcPr>
            <w:tcW w:w="191" w:type="dxa"/>
            <w:shd w:val="clear" w:color="auto" w:fill="FFFFFF"/>
            <w:noWrap/>
            <w:tcMar>
              <w:top w:w="15" w:type="dxa"/>
              <w:left w:w="0" w:type="dxa"/>
              <w:bottom w:w="0" w:type="dxa"/>
              <w:right w:w="15" w:type="dxa"/>
            </w:tcMar>
            <w:vAlign w:val="bottom"/>
            <w:hideMark/>
          </w:tcPr>
          <w:p w14:paraId="68D19EC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CC443C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2069183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vAlign w:val="bottom"/>
            <w:hideMark/>
          </w:tcPr>
          <w:p w14:paraId="7AD1BCA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5B4057D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vAlign w:val="bottom"/>
            <w:hideMark/>
          </w:tcPr>
          <w:p w14:paraId="4E76E46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224B1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shd w:val="clear" w:color="auto" w:fill="FFFFFF"/>
            <w:noWrap/>
            <w:tcMar>
              <w:top w:w="15" w:type="dxa"/>
              <w:left w:w="0" w:type="dxa"/>
              <w:bottom w:w="0" w:type="dxa"/>
              <w:right w:w="15" w:type="dxa"/>
            </w:tcMar>
            <w:vAlign w:val="bottom"/>
            <w:hideMark/>
          </w:tcPr>
          <w:p w14:paraId="14C917F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803</w:t>
            </w:r>
          </w:p>
        </w:tc>
        <w:tc>
          <w:tcPr>
            <w:tcW w:w="193" w:type="dxa"/>
            <w:shd w:val="clear" w:color="auto" w:fill="FFFFFF"/>
            <w:noWrap/>
            <w:tcMar>
              <w:top w:w="15" w:type="dxa"/>
              <w:left w:w="0" w:type="dxa"/>
              <w:bottom w:w="0" w:type="dxa"/>
              <w:right w:w="15" w:type="dxa"/>
            </w:tcMar>
            <w:vAlign w:val="bottom"/>
            <w:hideMark/>
          </w:tcPr>
          <w:p w14:paraId="01A9826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82369FA" w14:textId="77777777" w:rsidTr="00141675">
        <w:tc>
          <w:tcPr>
            <w:tcW w:w="6956" w:type="dxa"/>
            <w:shd w:val="clear" w:color="auto" w:fill="CFF0FC"/>
            <w:tcMar>
              <w:top w:w="15" w:type="dxa"/>
              <w:left w:w="0" w:type="dxa"/>
              <w:bottom w:w="0" w:type="dxa"/>
              <w:right w:w="15" w:type="dxa"/>
            </w:tcMar>
            <w:hideMark/>
          </w:tcPr>
          <w:p w14:paraId="6E512FC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EMEA</w:t>
            </w:r>
          </w:p>
        </w:tc>
        <w:tc>
          <w:tcPr>
            <w:tcW w:w="220" w:type="dxa"/>
            <w:shd w:val="clear" w:color="auto" w:fill="CFF0FC"/>
            <w:tcMar>
              <w:top w:w="15" w:type="dxa"/>
              <w:left w:w="0" w:type="dxa"/>
              <w:bottom w:w="0" w:type="dxa"/>
              <w:right w:w="15" w:type="dxa"/>
            </w:tcMar>
            <w:vAlign w:val="bottom"/>
            <w:hideMark/>
          </w:tcPr>
          <w:p w14:paraId="3BA409A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F12B2B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2B5F040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253</w:t>
            </w:r>
          </w:p>
        </w:tc>
        <w:tc>
          <w:tcPr>
            <w:tcW w:w="191" w:type="dxa"/>
            <w:shd w:val="clear" w:color="auto" w:fill="CFF0FC"/>
            <w:noWrap/>
            <w:tcMar>
              <w:top w:w="15" w:type="dxa"/>
              <w:left w:w="0" w:type="dxa"/>
              <w:bottom w:w="0" w:type="dxa"/>
              <w:right w:w="15" w:type="dxa"/>
            </w:tcMar>
            <w:vAlign w:val="bottom"/>
            <w:hideMark/>
          </w:tcPr>
          <w:p w14:paraId="772A497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C509081"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29C4628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CFF0FC"/>
            <w:tcMar>
              <w:top w:w="15" w:type="dxa"/>
              <w:left w:w="0" w:type="dxa"/>
              <w:bottom w:w="0" w:type="dxa"/>
              <w:right w:w="15" w:type="dxa"/>
            </w:tcMar>
            <w:vAlign w:val="bottom"/>
            <w:hideMark/>
          </w:tcPr>
          <w:p w14:paraId="6E04C1B0"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4787655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304688F4"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D00B8C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3FBD96B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262</w:t>
            </w:r>
          </w:p>
        </w:tc>
        <w:tc>
          <w:tcPr>
            <w:tcW w:w="191" w:type="dxa"/>
            <w:shd w:val="clear" w:color="auto" w:fill="CFF0FC"/>
            <w:noWrap/>
            <w:tcMar>
              <w:top w:w="15" w:type="dxa"/>
              <w:left w:w="0" w:type="dxa"/>
              <w:bottom w:w="0" w:type="dxa"/>
              <w:right w:w="15" w:type="dxa"/>
            </w:tcMar>
            <w:vAlign w:val="bottom"/>
            <w:hideMark/>
          </w:tcPr>
          <w:p w14:paraId="674BBDF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FC2FA7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60F128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1B477FF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494</w:t>
            </w:r>
          </w:p>
        </w:tc>
        <w:tc>
          <w:tcPr>
            <w:tcW w:w="191" w:type="dxa"/>
            <w:shd w:val="clear" w:color="auto" w:fill="CFF0FC"/>
            <w:noWrap/>
            <w:tcMar>
              <w:top w:w="15" w:type="dxa"/>
              <w:left w:w="0" w:type="dxa"/>
              <w:bottom w:w="0" w:type="dxa"/>
              <w:right w:w="15" w:type="dxa"/>
            </w:tcMar>
            <w:vAlign w:val="bottom"/>
            <w:hideMark/>
          </w:tcPr>
          <w:p w14:paraId="210511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A74B5D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4A72072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c>
          <w:tcPr>
            <w:tcW w:w="220" w:type="dxa"/>
            <w:shd w:val="clear" w:color="auto" w:fill="CFF0FC"/>
            <w:tcMar>
              <w:top w:w="15" w:type="dxa"/>
              <w:left w:w="0" w:type="dxa"/>
              <w:bottom w:w="0" w:type="dxa"/>
              <w:right w:w="15" w:type="dxa"/>
            </w:tcMar>
            <w:vAlign w:val="bottom"/>
            <w:hideMark/>
          </w:tcPr>
          <w:p w14:paraId="13882BA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6A001F2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21B8FC4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0B418F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282DE93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515</w:t>
            </w:r>
          </w:p>
        </w:tc>
        <w:tc>
          <w:tcPr>
            <w:tcW w:w="193" w:type="dxa"/>
            <w:shd w:val="clear" w:color="auto" w:fill="CFF0FC"/>
            <w:noWrap/>
            <w:tcMar>
              <w:top w:w="15" w:type="dxa"/>
              <w:left w:w="0" w:type="dxa"/>
              <w:bottom w:w="0" w:type="dxa"/>
              <w:right w:w="15" w:type="dxa"/>
            </w:tcMar>
            <w:vAlign w:val="bottom"/>
            <w:hideMark/>
          </w:tcPr>
          <w:p w14:paraId="04597D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13251C1" w14:textId="77777777" w:rsidTr="00141675">
        <w:tc>
          <w:tcPr>
            <w:tcW w:w="6956" w:type="dxa"/>
            <w:shd w:val="clear" w:color="auto" w:fill="FFFFFF"/>
            <w:tcMar>
              <w:top w:w="15" w:type="dxa"/>
              <w:left w:w="0" w:type="dxa"/>
              <w:bottom w:w="0" w:type="dxa"/>
              <w:right w:w="15" w:type="dxa"/>
            </w:tcMar>
            <w:hideMark/>
          </w:tcPr>
          <w:p w14:paraId="01A5A51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lastRenderedPageBreak/>
              <w:t>Asia Pacific</w:t>
            </w:r>
          </w:p>
        </w:tc>
        <w:tc>
          <w:tcPr>
            <w:tcW w:w="220" w:type="dxa"/>
            <w:shd w:val="clear" w:color="auto" w:fill="FFFFFF"/>
            <w:tcMar>
              <w:top w:w="15" w:type="dxa"/>
              <w:left w:w="0" w:type="dxa"/>
              <w:bottom w:w="0" w:type="dxa"/>
              <w:right w:w="15" w:type="dxa"/>
            </w:tcMar>
            <w:vAlign w:val="bottom"/>
            <w:hideMark/>
          </w:tcPr>
          <w:p w14:paraId="4ABB343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ACE885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3051EBB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165</w:t>
            </w:r>
          </w:p>
        </w:tc>
        <w:tc>
          <w:tcPr>
            <w:tcW w:w="191" w:type="dxa"/>
            <w:shd w:val="clear" w:color="auto" w:fill="FFFFFF"/>
            <w:noWrap/>
            <w:tcMar>
              <w:top w:w="15" w:type="dxa"/>
              <w:left w:w="0" w:type="dxa"/>
              <w:bottom w:w="0" w:type="dxa"/>
              <w:right w:w="15" w:type="dxa"/>
            </w:tcMar>
            <w:vAlign w:val="bottom"/>
            <w:hideMark/>
          </w:tcPr>
          <w:p w14:paraId="51CCB17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4C0B783"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604CE68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FFFFFF"/>
            <w:tcMar>
              <w:top w:w="15" w:type="dxa"/>
              <w:left w:w="0" w:type="dxa"/>
              <w:bottom w:w="0" w:type="dxa"/>
              <w:right w:w="15" w:type="dxa"/>
            </w:tcMar>
            <w:vAlign w:val="bottom"/>
            <w:hideMark/>
          </w:tcPr>
          <w:p w14:paraId="0135470E"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73F38E6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FFFFFF"/>
            <w:tcMar>
              <w:top w:w="15" w:type="dxa"/>
              <w:left w:w="0" w:type="dxa"/>
              <w:bottom w:w="0" w:type="dxa"/>
              <w:right w:w="15" w:type="dxa"/>
            </w:tcMar>
            <w:vAlign w:val="bottom"/>
            <w:hideMark/>
          </w:tcPr>
          <w:p w14:paraId="61AB90C3"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0DDD71D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036424C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162</w:t>
            </w:r>
          </w:p>
        </w:tc>
        <w:tc>
          <w:tcPr>
            <w:tcW w:w="191" w:type="dxa"/>
            <w:shd w:val="clear" w:color="auto" w:fill="FFFFFF"/>
            <w:noWrap/>
            <w:tcMar>
              <w:top w:w="15" w:type="dxa"/>
              <w:left w:w="0" w:type="dxa"/>
              <w:bottom w:w="0" w:type="dxa"/>
              <w:right w:w="15" w:type="dxa"/>
            </w:tcMar>
            <w:vAlign w:val="bottom"/>
            <w:hideMark/>
          </w:tcPr>
          <w:p w14:paraId="33E30B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83961F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3C6FD14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28BCE33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320</w:t>
            </w:r>
          </w:p>
        </w:tc>
        <w:tc>
          <w:tcPr>
            <w:tcW w:w="191" w:type="dxa"/>
            <w:shd w:val="clear" w:color="auto" w:fill="FFFFFF"/>
            <w:noWrap/>
            <w:tcMar>
              <w:top w:w="15" w:type="dxa"/>
              <w:left w:w="0" w:type="dxa"/>
              <w:bottom w:w="0" w:type="dxa"/>
              <w:right w:w="15" w:type="dxa"/>
            </w:tcMar>
            <w:vAlign w:val="bottom"/>
            <w:hideMark/>
          </w:tcPr>
          <w:p w14:paraId="7164AA6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DEB6A2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0B53F72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vAlign w:val="bottom"/>
            <w:hideMark/>
          </w:tcPr>
          <w:p w14:paraId="2F3DEB6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757CFD3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vAlign w:val="bottom"/>
            <w:hideMark/>
          </w:tcPr>
          <w:p w14:paraId="570B6AF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6C1472B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67815AD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312</w:t>
            </w:r>
          </w:p>
        </w:tc>
        <w:tc>
          <w:tcPr>
            <w:tcW w:w="193" w:type="dxa"/>
            <w:shd w:val="clear" w:color="auto" w:fill="FFFFFF"/>
            <w:noWrap/>
            <w:tcMar>
              <w:top w:w="15" w:type="dxa"/>
              <w:left w:w="0" w:type="dxa"/>
              <w:bottom w:w="0" w:type="dxa"/>
              <w:right w:w="15" w:type="dxa"/>
            </w:tcMar>
            <w:vAlign w:val="bottom"/>
            <w:hideMark/>
          </w:tcPr>
          <w:p w14:paraId="68863F2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329C396E" w14:textId="77777777" w:rsidTr="00141675">
        <w:tc>
          <w:tcPr>
            <w:tcW w:w="6956" w:type="dxa"/>
            <w:shd w:val="clear" w:color="auto" w:fill="CFF0FC"/>
            <w:tcMar>
              <w:top w:w="15" w:type="dxa"/>
              <w:left w:w="0" w:type="dxa"/>
              <w:bottom w:w="0" w:type="dxa"/>
              <w:right w:w="15" w:type="dxa"/>
            </w:tcMar>
            <w:hideMark/>
          </w:tcPr>
          <w:p w14:paraId="027719A1"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revenues</w:t>
            </w:r>
          </w:p>
        </w:tc>
        <w:tc>
          <w:tcPr>
            <w:tcW w:w="220" w:type="dxa"/>
            <w:shd w:val="clear" w:color="auto" w:fill="CFF0FC"/>
            <w:tcMar>
              <w:top w:w="15" w:type="dxa"/>
              <w:left w:w="0" w:type="dxa"/>
              <w:bottom w:w="0" w:type="dxa"/>
              <w:right w:w="15" w:type="dxa"/>
            </w:tcMar>
            <w:vAlign w:val="bottom"/>
            <w:hideMark/>
          </w:tcPr>
          <w:p w14:paraId="2E1EF80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51DEE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18631AF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806</w:t>
            </w:r>
          </w:p>
        </w:tc>
        <w:tc>
          <w:tcPr>
            <w:tcW w:w="191" w:type="dxa"/>
            <w:shd w:val="clear" w:color="auto" w:fill="CFF0FC"/>
            <w:noWrap/>
            <w:tcMar>
              <w:top w:w="15" w:type="dxa"/>
              <w:left w:w="0" w:type="dxa"/>
              <w:bottom w:w="0" w:type="dxa"/>
              <w:right w:w="15" w:type="dxa"/>
            </w:tcMar>
            <w:vAlign w:val="bottom"/>
            <w:hideMark/>
          </w:tcPr>
          <w:p w14:paraId="2D0EBF3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9CA6504"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5492219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051FA794"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2A6C86B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CFF0FC"/>
            <w:tcMar>
              <w:top w:w="15" w:type="dxa"/>
              <w:left w:w="0" w:type="dxa"/>
              <w:bottom w:w="0" w:type="dxa"/>
              <w:right w:w="15" w:type="dxa"/>
            </w:tcMar>
            <w:vAlign w:val="bottom"/>
            <w:hideMark/>
          </w:tcPr>
          <w:p w14:paraId="207841C5"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07FD3A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02E739C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817</w:t>
            </w:r>
          </w:p>
        </w:tc>
        <w:tc>
          <w:tcPr>
            <w:tcW w:w="191" w:type="dxa"/>
            <w:shd w:val="clear" w:color="auto" w:fill="CFF0FC"/>
            <w:noWrap/>
            <w:tcMar>
              <w:top w:w="15" w:type="dxa"/>
              <w:left w:w="0" w:type="dxa"/>
              <w:bottom w:w="0" w:type="dxa"/>
              <w:right w:w="15" w:type="dxa"/>
            </w:tcMar>
            <w:vAlign w:val="bottom"/>
            <w:hideMark/>
          </w:tcPr>
          <w:p w14:paraId="7BA17E0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D6BFB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295A5F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320C2C6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1,593</w:t>
            </w:r>
          </w:p>
        </w:tc>
        <w:tc>
          <w:tcPr>
            <w:tcW w:w="191" w:type="dxa"/>
            <w:shd w:val="clear" w:color="auto" w:fill="CFF0FC"/>
            <w:noWrap/>
            <w:tcMar>
              <w:top w:w="15" w:type="dxa"/>
              <w:left w:w="0" w:type="dxa"/>
              <w:bottom w:w="0" w:type="dxa"/>
              <w:right w:w="15" w:type="dxa"/>
            </w:tcMar>
            <w:vAlign w:val="bottom"/>
            <w:hideMark/>
          </w:tcPr>
          <w:p w14:paraId="181120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41B6C1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0B0F5DA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CFF0FC"/>
            <w:tcMar>
              <w:top w:w="15" w:type="dxa"/>
              <w:left w:w="0" w:type="dxa"/>
              <w:bottom w:w="0" w:type="dxa"/>
              <w:right w:w="15" w:type="dxa"/>
            </w:tcMar>
            <w:vAlign w:val="bottom"/>
            <w:hideMark/>
          </w:tcPr>
          <w:p w14:paraId="6789276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13B8D8A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355B86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33A6F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43DF5BB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1,630</w:t>
            </w:r>
          </w:p>
        </w:tc>
        <w:tc>
          <w:tcPr>
            <w:tcW w:w="193" w:type="dxa"/>
            <w:shd w:val="clear" w:color="auto" w:fill="CFF0FC"/>
            <w:noWrap/>
            <w:tcMar>
              <w:top w:w="15" w:type="dxa"/>
              <w:left w:w="0" w:type="dxa"/>
              <w:bottom w:w="0" w:type="dxa"/>
              <w:right w:w="15" w:type="dxa"/>
            </w:tcMar>
            <w:vAlign w:val="bottom"/>
            <w:hideMark/>
          </w:tcPr>
          <w:p w14:paraId="6ACF6D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4B4B606" w14:textId="77777777" w:rsidTr="00141675">
        <w:tc>
          <w:tcPr>
            <w:tcW w:w="6956" w:type="dxa"/>
            <w:shd w:val="clear" w:color="auto" w:fill="FFFFFF"/>
            <w:tcMar>
              <w:top w:w="15" w:type="dxa"/>
              <w:left w:w="0" w:type="dxa"/>
              <w:bottom w:w="0" w:type="dxa"/>
              <w:right w:w="15" w:type="dxa"/>
            </w:tcMar>
            <w:hideMark/>
          </w:tcPr>
          <w:p w14:paraId="2E5401F6"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Expenses</w:t>
            </w:r>
            <w:r w:rsidRPr="00141675">
              <w:rPr>
                <w:rFonts w:ascii="Calibri" w:eastAsia="宋体" w:hAnsi="Calibri" w:cs="Calibri"/>
                <w:color w:val="000000"/>
                <w:kern w:val="0"/>
                <w:sz w:val="18"/>
                <w:szCs w:val="18"/>
                <w:vertAlign w:val="superscript"/>
              </w:rPr>
              <w:t>(1)</w:t>
            </w:r>
          </w:p>
        </w:tc>
        <w:tc>
          <w:tcPr>
            <w:tcW w:w="220" w:type="dxa"/>
            <w:shd w:val="clear" w:color="auto" w:fill="FFFFFF"/>
            <w:tcMar>
              <w:top w:w="15" w:type="dxa"/>
              <w:left w:w="0" w:type="dxa"/>
              <w:bottom w:w="0" w:type="dxa"/>
              <w:right w:w="15" w:type="dxa"/>
            </w:tcMar>
            <w:vAlign w:val="bottom"/>
            <w:hideMark/>
          </w:tcPr>
          <w:p w14:paraId="67DBFB6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D4891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640BA1A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700</w:t>
            </w:r>
          </w:p>
        </w:tc>
        <w:tc>
          <w:tcPr>
            <w:tcW w:w="191" w:type="dxa"/>
            <w:shd w:val="clear" w:color="auto" w:fill="FFFFFF"/>
            <w:noWrap/>
            <w:tcMar>
              <w:top w:w="15" w:type="dxa"/>
              <w:left w:w="0" w:type="dxa"/>
              <w:bottom w:w="0" w:type="dxa"/>
              <w:right w:w="15" w:type="dxa"/>
            </w:tcMar>
            <w:vAlign w:val="bottom"/>
            <w:hideMark/>
          </w:tcPr>
          <w:p w14:paraId="2D4655A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E516991"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144BE7D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vAlign w:val="bottom"/>
            <w:hideMark/>
          </w:tcPr>
          <w:p w14:paraId="3F093EC7"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60BA29D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w:t>
            </w:r>
          </w:p>
        </w:tc>
        <w:tc>
          <w:tcPr>
            <w:tcW w:w="220" w:type="dxa"/>
            <w:shd w:val="clear" w:color="auto" w:fill="FFFFFF"/>
            <w:tcMar>
              <w:top w:w="15" w:type="dxa"/>
              <w:left w:w="0" w:type="dxa"/>
              <w:bottom w:w="0" w:type="dxa"/>
              <w:right w:w="15" w:type="dxa"/>
            </w:tcMar>
            <w:vAlign w:val="bottom"/>
            <w:hideMark/>
          </w:tcPr>
          <w:p w14:paraId="60E30260"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FDF19B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2CE9FFC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677</w:t>
            </w:r>
          </w:p>
        </w:tc>
        <w:tc>
          <w:tcPr>
            <w:tcW w:w="191" w:type="dxa"/>
            <w:shd w:val="clear" w:color="auto" w:fill="FFFFFF"/>
            <w:noWrap/>
            <w:tcMar>
              <w:top w:w="15" w:type="dxa"/>
              <w:left w:w="0" w:type="dxa"/>
              <w:bottom w:w="0" w:type="dxa"/>
              <w:right w:w="15" w:type="dxa"/>
            </w:tcMar>
            <w:vAlign w:val="bottom"/>
            <w:hideMark/>
          </w:tcPr>
          <w:p w14:paraId="280588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75533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AAEA65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392F1E0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1,365</w:t>
            </w:r>
          </w:p>
        </w:tc>
        <w:tc>
          <w:tcPr>
            <w:tcW w:w="191" w:type="dxa"/>
            <w:shd w:val="clear" w:color="auto" w:fill="FFFFFF"/>
            <w:noWrap/>
            <w:tcMar>
              <w:top w:w="15" w:type="dxa"/>
              <w:left w:w="0" w:type="dxa"/>
              <w:bottom w:w="0" w:type="dxa"/>
              <w:right w:w="15" w:type="dxa"/>
            </w:tcMar>
            <w:vAlign w:val="bottom"/>
            <w:hideMark/>
          </w:tcPr>
          <w:p w14:paraId="5F9F0F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422034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57E5997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FFFFFF"/>
            <w:tcMar>
              <w:top w:w="15" w:type="dxa"/>
              <w:left w:w="0" w:type="dxa"/>
              <w:bottom w:w="0" w:type="dxa"/>
              <w:right w:w="15" w:type="dxa"/>
            </w:tcMar>
            <w:vAlign w:val="bottom"/>
            <w:hideMark/>
          </w:tcPr>
          <w:p w14:paraId="1E3CFA5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245CB77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FFFFFF"/>
            <w:tcMar>
              <w:top w:w="15" w:type="dxa"/>
              <w:left w:w="0" w:type="dxa"/>
              <w:bottom w:w="0" w:type="dxa"/>
              <w:right w:w="15" w:type="dxa"/>
            </w:tcMar>
            <w:vAlign w:val="bottom"/>
            <w:hideMark/>
          </w:tcPr>
          <w:p w14:paraId="13F7449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00F586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tcBorders>
              <w:bottom w:val="single" w:sz="6" w:space="0" w:color="000000"/>
            </w:tcBorders>
            <w:shd w:val="clear" w:color="auto" w:fill="FFFFFF"/>
            <w:noWrap/>
            <w:tcMar>
              <w:top w:w="15" w:type="dxa"/>
              <w:left w:w="0" w:type="dxa"/>
              <w:bottom w:w="0" w:type="dxa"/>
              <w:right w:w="15" w:type="dxa"/>
            </w:tcMar>
            <w:vAlign w:val="bottom"/>
            <w:hideMark/>
          </w:tcPr>
          <w:p w14:paraId="37C04C4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1,353</w:t>
            </w:r>
          </w:p>
        </w:tc>
        <w:tc>
          <w:tcPr>
            <w:tcW w:w="193" w:type="dxa"/>
            <w:shd w:val="clear" w:color="auto" w:fill="FFFFFF"/>
            <w:noWrap/>
            <w:tcMar>
              <w:top w:w="15" w:type="dxa"/>
              <w:left w:w="0" w:type="dxa"/>
              <w:bottom w:w="0" w:type="dxa"/>
              <w:right w:w="15" w:type="dxa"/>
            </w:tcMar>
            <w:vAlign w:val="bottom"/>
            <w:hideMark/>
          </w:tcPr>
          <w:p w14:paraId="673C05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87D507F" w14:textId="77777777" w:rsidTr="00141675">
        <w:tc>
          <w:tcPr>
            <w:tcW w:w="6956" w:type="dxa"/>
            <w:shd w:val="clear" w:color="auto" w:fill="CFF0FC"/>
            <w:tcMar>
              <w:top w:w="15" w:type="dxa"/>
              <w:left w:w="0" w:type="dxa"/>
              <w:bottom w:w="0" w:type="dxa"/>
              <w:right w:w="15" w:type="dxa"/>
            </w:tcMar>
            <w:hideMark/>
          </w:tcPr>
          <w:p w14:paraId="23B7A48D"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Margin</w:t>
            </w:r>
          </w:p>
        </w:tc>
        <w:tc>
          <w:tcPr>
            <w:tcW w:w="220" w:type="dxa"/>
            <w:shd w:val="clear" w:color="auto" w:fill="CFF0FC"/>
            <w:tcMar>
              <w:top w:w="15" w:type="dxa"/>
              <w:left w:w="0" w:type="dxa"/>
              <w:bottom w:w="0" w:type="dxa"/>
              <w:right w:w="15" w:type="dxa"/>
            </w:tcMar>
            <w:vAlign w:val="bottom"/>
            <w:hideMark/>
          </w:tcPr>
          <w:p w14:paraId="57307AAE" w14:textId="77777777" w:rsidR="00141675" w:rsidRPr="00141675" w:rsidRDefault="00141675" w:rsidP="00141675">
            <w:pPr>
              <w:widowControl/>
              <w:jc w:val="left"/>
              <w:rPr>
                <w:rFonts w:ascii="Calibri" w:eastAsia="宋体" w:hAnsi="Calibri" w:cs="Calibri"/>
                <w:b/>
                <w:bCs/>
                <w:i/>
                <w:iCs/>
                <w:color w:val="000000"/>
                <w:kern w:val="0"/>
                <w:sz w:val="22"/>
              </w:rPr>
            </w:pPr>
            <w:r w:rsidRPr="00141675">
              <w:rPr>
                <w:rFonts w:ascii="Calibri" w:eastAsia="宋体" w:hAnsi="Calibri" w:cs="Calibri"/>
                <w:b/>
                <w:bCs/>
                <w:i/>
                <w:iCs/>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DF4DA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B32E2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106</w:t>
            </w:r>
          </w:p>
        </w:tc>
        <w:tc>
          <w:tcPr>
            <w:tcW w:w="191" w:type="dxa"/>
            <w:shd w:val="clear" w:color="auto" w:fill="CFF0FC"/>
            <w:noWrap/>
            <w:tcMar>
              <w:top w:w="15" w:type="dxa"/>
              <w:left w:w="0" w:type="dxa"/>
              <w:bottom w:w="0" w:type="dxa"/>
              <w:right w:w="15" w:type="dxa"/>
            </w:tcMar>
            <w:vAlign w:val="bottom"/>
            <w:hideMark/>
          </w:tcPr>
          <w:p w14:paraId="22FF4FD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7A69644"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0CDF7A2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-24%</w:t>
            </w:r>
          </w:p>
        </w:tc>
        <w:tc>
          <w:tcPr>
            <w:tcW w:w="220" w:type="dxa"/>
            <w:shd w:val="clear" w:color="auto" w:fill="CFF0FC"/>
            <w:tcMar>
              <w:top w:w="15" w:type="dxa"/>
              <w:left w:w="0" w:type="dxa"/>
              <w:bottom w:w="0" w:type="dxa"/>
              <w:right w:w="15" w:type="dxa"/>
            </w:tcMar>
            <w:vAlign w:val="bottom"/>
            <w:hideMark/>
          </w:tcPr>
          <w:p w14:paraId="745E26FF"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5B0AF60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-24%</w:t>
            </w:r>
          </w:p>
        </w:tc>
        <w:tc>
          <w:tcPr>
            <w:tcW w:w="220" w:type="dxa"/>
            <w:shd w:val="clear" w:color="auto" w:fill="CFF0FC"/>
            <w:tcMar>
              <w:top w:w="15" w:type="dxa"/>
              <w:left w:w="0" w:type="dxa"/>
              <w:bottom w:w="0" w:type="dxa"/>
              <w:right w:w="15" w:type="dxa"/>
            </w:tcMar>
            <w:vAlign w:val="bottom"/>
            <w:hideMark/>
          </w:tcPr>
          <w:p w14:paraId="4E8C5775"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040E3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BA1AD8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140</w:t>
            </w:r>
          </w:p>
        </w:tc>
        <w:tc>
          <w:tcPr>
            <w:tcW w:w="191" w:type="dxa"/>
            <w:shd w:val="clear" w:color="auto" w:fill="CFF0FC"/>
            <w:noWrap/>
            <w:tcMar>
              <w:top w:w="15" w:type="dxa"/>
              <w:left w:w="0" w:type="dxa"/>
              <w:bottom w:w="0" w:type="dxa"/>
              <w:right w:w="15" w:type="dxa"/>
            </w:tcMar>
            <w:vAlign w:val="bottom"/>
            <w:hideMark/>
          </w:tcPr>
          <w:p w14:paraId="748B807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6CB4B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283F9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31CFD5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228</w:t>
            </w:r>
          </w:p>
        </w:tc>
        <w:tc>
          <w:tcPr>
            <w:tcW w:w="191" w:type="dxa"/>
            <w:shd w:val="clear" w:color="auto" w:fill="CFF0FC"/>
            <w:noWrap/>
            <w:tcMar>
              <w:top w:w="15" w:type="dxa"/>
              <w:left w:w="0" w:type="dxa"/>
              <w:bottom w:w="0" w:type="dxa"/>
              <w:right w:w="15" w:type="dxa"/>
            </w:tcMar>
            <w:vAlign w:val="bottom"/>
            <w:hideMark/>
          </w:tcPr>
          <w:p w14:paraId="0A30D3B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E37FCA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14E3D72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w:t>
            </w:r>
          </w:p>
        </w:tc>
        <w:tc>
          <w:tcPr>
            <w:tcW w:w="220" w:type="dxa"/>
            <w:shd w:val="clear" w:color="auto" w:fill="CFF0FC"/>
            <w:tcMar>
              <w:top w:w="15" w:type="dxa"/>
              <w:left w:w="0" w:type="dxa"/>
              <w:bottom w:w="0" w:type="dxa"/>
              <w:right w:w="15" w:type="dxa"/>
            </w:tcMar>
            <w:vAlign w:val="bottom"/>
            <w:hideMark/>
          </w:tcPr>
          <w:p w14:paraId="03C24EA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5050E79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w:t>
            </w:r>
          </w:p>
        </w:tc>
        <w:tc>
          <w:tcPr>
            <w:tcW w:w="220" w:type="dxa"/>
            <w:shd w:val="clear" w:color="auto" w:fill="CFF0FC"/>
            <w:tcMar>
              <w:top w:w="15" w:type="dxa"/>
              <w:left w:w="0" w:type="dxa"/>
              <w:bottom w:w="0" w:type="dxa"/>
              <w:right w:w="15" w:type="dxa"/>
            </w:tcMar>
            <w:vAlign w:val="bottom"/>
            <w:hideMark/>
          </w:tcPr>
          <w:p w14:paraId="4AD1C9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D21F3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86E37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277</w:t>
            </w:r>
          </w:p>
        </w:tc>
        <w:tc>
          <w:tcPr>
            <w:tcW w:w="193" w:type="dxa"/>
            <w:shd w:val="clear" w:color="auto" w:fill="CFF0FC"/>
            <w:noWrap/>
            <w:tcMar>
              <w:top w:w="15" w:type="dxa"/>
              <w:left w:w="0" w:type="dxa"/>
              <w:bottom w:w="0" w:type="dxa"/>
              <w:right w:w="15" w:type="dxa"/>
            </w:tcMar>
            <w:vAlign w:val="bottom"/>
            <w:hideMark/>
          </w:tcPr>
          <w:p w14:paraId="33D0489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F8343E0" w14:textId="77777777" w:rsidTr="00141675">
        <w:tc>
          <w:tcPr>
            <w:tcW w:w="6956" w:type="dxa"/>
            <w:shd w:val="clear" w:color="auto" w:fill="FFFFFF"/>
            <w:tcMar>
              <w:top w:w="15" w:type="dxa"/>
              <w:left w:w="0" w:type="dxa"/>
              <w:bottom w:w="0" w:type="dxa"/>
              <w:right w:w="15" w:type="dxa"/>
            </w:tcMar>
            <w:hideMark/>
          </w:tcPr>
          <w:p w14:paraId="5A860635"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Total Margin %</w:t>
            </w:r>
          </w:p>
        </w:tc>
        <w:tc>
          <w:tcPr>
            <w:tcW w:w="220" w:type="dxa"/>
            <w:shd w:val="clear" w:color="auto" w:fill="FFFFFF"/>
            <w:tcMar>
              <w:top w:w="15" w:type="dxa"/>
              <w:left w:w="0" w:type="dxa"/>
              <w:bottom w:w="0" w:type="dxa"/>
              <w:right w:w="15" w:type="dxa"/>
            </w:tcMar>
            <w:vAlign w:val="bottom"/>
            <w:hideMark/>
          </w:tcPr>
          <w:p w14:paraId="62A8F293" w14:textId="77777777" w:rsidR="00141675" w:rsidRPr="00141675" w:rsidRDefault="00141675" w:rsidP="00141675">
            <w:pPr>
              <w:widowControl/>
              <w:jc w:val="left"/>
              <w:rPr>
                <w:rFonts w:ascii="Calibri" w:eastAsia="宋体" w:hAnsi="Calibri" w:cs="Calibri"/>
                <w:b/>
                <w:bCs/>
                <w:i/>
                <w:iCs/>
                <w:color w:val="000000"/>
                <w:kern w:val="0"/>
                <w:sz w:val="22"/>
              </w:rPr>
            </w:pPr>
            <w:r w:rsidRPr="00141675">
              <w:rPr>
                <w:rFonts w:ascii="Calibri" w:eastAsia="宋体" w:hAnsi="Calibri" w:cs="Calibri"/>
                <w:b/>
                <w:bCs/>
                <w:i/>
                <w:iCs/>
                <w:color w:val="000000"/>
                <w:kern w:val="0"/>
                <w:sz w:val="22"/>
              </w:rPr>
              <w:t> </w:t>
            </w:r>
          </w:p>
        </w:tc>
        <w:tc>
          <w:tcPr>
            <w:tcW w:w="1248" w:type="dxa"/>
            <w:gridSpan w:val="2"/>
            <w:tcBorders>
              <w:top w:val="double" w:sz="6" w:space="0" w:color="000000"/>
            </w:tcBorders>
            <w:shd w:val="clear" w:color="auto" w:fill="FFFFFF"/>
            <w:tcMar>
              <w:top w:w="15" w:type="dxa"/>
              <w:left w:w="0" w:type="dxa"/>
              <w:bottom w:w="0" w:type="dxa"/>
              <w:right w:w="15" w:type="dxa"/>
            </w:tcMar>
            <w:vAlign w:val="bottom"/>
            <w:hideMark/>
          </w:tcPr>
          <w:p w14:paraId="066ECAA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191" w:type="dxa"/>
            <w:shd w:val="clear" w:color="auto" w:fill="FFFFFF"/>
            <w:noWrap/>
            <w:tcMar>
              <w:top w:w="15" w:type="dxa"/>
              <w:left w:w="0" w:type="dxa"/>
              <w:bottom w:w="0" w:type="dxa"/>
              <w:right w:w="15" w:type="dxa"/>
            </w:tcMar>
            <w:vAlign w:val="bottom"/>
            <w:hideMark/>
          </w:tcPr>
          <w:p w14:paraId="6360DC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5ED976E"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56D7223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647735E"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4E218E2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8574010"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tcBorders>
              <w:top w:val="double" w:sz="6" w:space="0" w:color="000000"/>
            </w:tcBorders>
            <w:shd w:val="clear" w:color="auto" w:fill="FFFFFF"/>
            <w:tcMar>
              <w:top w:w="15" w:type="dxa"/>
              <w:left w:w="0" w:type="dxa"/>
              <w:bottom w:w="0" w:type="dxa"/>
              <w:right w:w="15" w:type="dxa"/>
            </w:tcMar>
            <w:vAlign w:val="bottom"/>
            <w:hideMark/>
          </w:tcPr>
          <w:p w14:paraId="4641941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w:t>
            </w:r>
          </w:p>
        </w:tc>
        <w:tc>
          <w:tcPr>
            <w:tcW w:w="191" w:type="dxa"/>
            <w:shd w:val="clear" w:color="auto" w:fill="FFFFFF"/>
            <w:noWrap/>
            <w:tcMar>
              <w:top w:w="15" w:type="dxa"/>
              <w:left w:w="0" w:type="dxa"/>
              <w:bottom w:w="0" w:type="dxa"/>
              <w:right w:w="15" w:type="dxa"/>
            </w:tcMar>
            <w:vAlign w:val="bottom"/>
            <w:hideMark/>
          </w:tcPr>
          <w:p w14:paraId="5CDBB80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42FFE2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tcBorders>
              <w:top w:val="double" w:sz="6" w:space="0" w:color="000000"/>
            </w:tcBorders>
            <w:shd w:val="clear" w:color="auto" w:fill="FFFFFF"/>
            <w:tcMar>
              <w:top w:w="15" w:type="dxa"/>
              <w:left w:w="0" w:type="dxa"/>
              <w:bottom w:w="0" w:type="dxa"/>
              <w:right w:w="15" w:type="dxa"/>
            </w:tcMar>
            <w:vAlign w:val="bottom"/>
            <w:hideMark/>
          </w:tcPr>
          <w:p w14:paraId="7035B93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w:t>
            </w:r>
          </w:p>
        </w:tc>
        <w:tc>
          <w:tcPr>
            <w:tcW w:w="191" w:type="dxa"/>
            <w:shd w:val="clear" w:color="auto" w:fill="FFFFFF"/>
            <w:noWrap/>
            <w:tcMar>
              <w:top w:w="15" w:type="dxa"/>
              <w:left w:w="0" w:type="dxa"/>
              <w:bottom w:w="0" w:type="dxa"/>
              <w:right w:w="15" w:type="dxa"/>
            </w:tcMar>
            <w:vAlign w:val="bottom"/>
            <w:hideMark/>
          </w:tcPr>
          <w:p w14:paraId="580F62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150000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551D637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37E513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7FFE2AD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4BDF9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tcBorders>
              <w:top w:val="double" w:sz="6" w:space="0" w:color="000000"/>
            </w:tcBorders>
            <w:shd w:val="clear" w:color="auto" w:fill="FFFFFF"/>
            <w:tcMar>
              <w:top w:w="15" w:type="dxa"/>
              <w:left w:w="0" w:type="dxa"/>
              <w:bottom w:w="0" w:type="dxa"/>
              <w:right w:w="15" w:type="dxa"/>
            </w:tcMar>
            <w:vAlign w:val="bottom"/>
            <w:hideMark/>
          </w:tcPr>
          <w:p w14:paraId="1711192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w:t>
            </w:r>
          </w:p>
        </w:tc>
        <w:tc>
          <w:tcPr>
            <w:tcW w:w="193" w:type="dxa"/>
            <w:shd w:val="clear" w:color="auto" w:fill="FFFFFF"/>
            <w:noWrap/>
            <w:tcMar>
              <w:top w:w="15" w:type="dxa"/>
              <w:left w:w="0" w:type="dxa"/>
              <w:bottom w:w="0" w:type="dxa"/>
              <w:right w:w="15" w:type="dxa"/>
            </w:tcMar>
            <w:vAlign w:val="bottom"/>
            <w:hideMark/>
          </w:tcPr>
          <w:p w14:paraId="05FE800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CCA0F7D" w14:textId="77777777" w:rsidTr="00141675">
        <w:tc>
          <w:tcPr>
            <w:tcW w:w="6956" w:type="dxa"/>
            <w:shd w:val="clear" w:color="auto" w:fill="CFF0FC"/>
            <w:tcMar>
              <w:top w:w="15" w:type="dxa"/>
              <w:left w:w="0" w:type="dxa"/>
              <w:bottom w:w="0" w:type="dxa"/>
              <w:right w:w="15" w:type="dxa"/>
            </w:tcMar>
            <w:hideMark/>
          </w:tcPr>
          <w:p w14:paraId="39CF90FD"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 Revenues by Geography:</w:t>
            </w:r>
          </w:p>
        </w:tc>
        <w:tc>
          <w:tcPr>
            <w:tcW w:w="220" w:type="dxa"/>
            <w:shd w:val="clear" w:color="auto" w:fill="CFF0FC"/>
            <w:tcMar>
              <w:top w:w="15" w:type="dxa"/>
              <w:left w:w="0" w:type="dxa"/>
              <w:bottom w:w="0" w:type="dxa"/>
              <w:right w:w="15" w:type="dxa"/>
            </w:tcMar>
            <w:vAlign w:val="bottom"/>
            <w:hideMark/>
          </w:tcPr>
          <w:p w14:paraId="6AF9FE9E" w14:textId="77777777" w:rsidR="00141675" w:rsidRPr="00141675" w:rsidRDefault="00141675" w:rsidP="00141675">
            <w:pPr>
              <w:widowControl/>
              <w:jc w:val="left"/>
              <w:rPr>
                <w:rFonts w:ascii="Calibri" w:eastAsia="宋体" w:hAnsi="Calibri" w:cs="Calibri"/>
                <w:b/>
                <w:bCs/>
                <w:i/>
                <w:iCs/>
                <w:color w:val="000000"/>
                <w:kern w:val="0"/>
                <w:sz w:val="22"/>
              </w:rPr>
            </w:pPr>
            <w:r w:rsidRPr="00141675">
              <w:rPr>
                <w:rFonts w:ascii="Calibri" w:eastAsia="宋体" w:hAnsi="Calibri" w:cs="Calibri"/>
                <w:b/>
                <w:bCs/>
                <w:i/>
                <w:iCs/>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3A9E2E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7772297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1AD452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1F43708B"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794149F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8BEFE17"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32269A4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DF9CBDF"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430EEC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2E8CFC7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71BEA35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98E3F3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211AFFF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23DA4CF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08C6ABD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8BA4AD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2DD5F2B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3CE5EA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1F1221A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15A10C1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CFF0FC"/>
            <w:noWrap/>
            <w:tcMar>
              <w:top w:w="15" w:type="dxa"/>
              <w:left w:w="0" w:type="dxa"/>
              <w:bottom w:w="0" w:type="dxa"/>
              <w:right w:w="15" w:type="dxa"/>
            </w:tcMar>
            <w:vAlign w:val="bottom"/>
            <w:hideMark/>
          </w:tcPr>
          <w:p w14:paraId="5E595F5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2" w:type="dxa"/>
            <w:shd w:val="clear" w:color="auto" w:fill="CFF0FC"/>
            <w:noWrap/>
            <w:tcMar>
              <w:top w:w="15" w:type="dxa"/>
              <w:left w:w="0" w:type="dxa"/>
              <w:bottom w:w="0" w:type="dxa"/>
              <w:right w:w="15" w:type="dxa"/>
            </w:tcMar>
            <w:vAlign w:val="bottom"/>
            <w:hideMark/>
          </w:tcPr>
          <w:p w14:paraId="25AC558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3" w:type="dxa"/>
            <w:shd w:val="clear" w:color="auto" w:fill="CFF0FC"/>
            <w:noWrap/>
            <w:tcMar>
              <w:top w:w="15" w:type="dxa"/>
              <w:left w:w="0" w:type="dxa"/>
              <w:bottom w:w="0" w:type="dxa"/>
              <w:right w:w="15" w:type="dxa"/>
            </w:tcMar>
            <w:vAlign w:val="bottom"/>
            <w:hideMark/>
          </w:tcPr>
          <w:p w14:paraId="5F5A786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9B19003" w14:textId="77777777" w:rsidTr="00141675">
        <w:tc>
          <w:tcPr>
            <w:tcW w:w="6956" w:type="dxa"/>
            <w:shd w:val="clear" w:color="auto" w:fill="FFFFFF"/>
            <w:tcMar>
              <w:top w:w="15" w:type="dxa"/>
              <w:left w:w="0" w:type="dxa"/>
              <w:bottom w:w="0" w:type="dxa"/>
              <w:right w:w="15" w:type="dxa"/>
            </w:tcMar>
            <w:hideMark/>
          </w:tcPr>
          <w:p w14:paraId="5EC102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Americas</w:t>
            </w:r>
          </w:p>
        </w:tc>
        <w:tc>
          <w:tcPr>
            <w:tcW w:w="220" w:type="dxa"/>
            <w:shd w:val="clear" w:color="auto" w:fill="FFFFFF"/>
            <w:tcMar>
              <w:top w:w="15" w:type="dxa"/>
              <w:left w:w="0" w:type="dxa"/>
              <w:bottom w:w="0" w:type="dxa"/>
              <w:right w:w="15" w:type="dxa"/>
            </w:tcMar>
            <w:vAlign w:val="bottom"/>
            <w:hideMark/>
          </w:tcPr>
          <w:p w14:paraId="2D975A3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226D7F0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w:t>
            </w:r>
          </w:p>
        </w:tc>
        <w:tc>
          <w:tcPr>
            <w:tcW w:w="191" w:type="dxa"/>
            <w:shd w:val="clear" w:color="auto" w:fill="FFFFFF"/>
            <w:noWrap/>
            <w:tcMar>
              <w:top w:w="15" w:type="dxa"/>
              <w:left w:w="0" w:type="dxa"/>
              <w:bottom w:w="0" w:type="dxa"/>
              <w:right w:w="15" w:type="dxa"/>
            </w:tcMar>
            <w:vAlign w:val="bottom"/>
            <w:hideMark/>
          </w:tcPr>
          <w:p w14:paraId="5DADD64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1013861"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56DCC6F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ECACB86"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74EEB7E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513272A"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4AD239E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w:t>
            </w:r>
          </w:p>
        </w:tc>
        <w:tc>
          <w:tcPr>
            <w:tcW w:w="191" w:type="dxa"/>
            <w:shd w:val="clear" w:color="auto" w:fill="FFFFFF"/>
            <w:noWrap/>
            <w:tcMar>
              <w:top w:w="15" w:type="dxa"/>
              <w:left w:w="0" w:type="dxa"/>
              <w:bottom w:w="0" w:type="dxa"/>
              <w:right w:w="15" w:type="dxa"/>
            </w:tcMar>
            <w:vAlign w:val="bottom"/>
            <w:hideMark/>
          </w:tcPr>
          <w:p w14:paraId="7E04C70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85475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7B3A982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49%</w:t>
            </w:r>
          </w:p>
        </w:tc>
        <w:tc>
          <w:tcPr>
            <w:tcW w:w="191" w:type="dxa"/>
            <w:shd w:val="clear" w:color="auto" w:fill="FFFFFF"/>
            <w:noWrap/>
            <w:tcMar>
              <w:top w:w="15" w:type="dxa"/>
              <w:left w:w="0" w:type="dxa"/>
              <w:bottom w:w="0" w:type="dxa"/>
              <w:right w:w="15" w:type="dxa"/>
            </w:tcMar>
            <w:vAlign w:val="bottom"/>
            <w:hideMark/>
          </w:tcPr>
          <w:p w14:paraId="11EB9CC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6E985B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17BC4D2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DE95C9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6C91CAE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0219C5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1476A34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49%</w:t>
            </w:r>
          </w:p>
        </w:tc>
        <w:tc>
          <w:tcPr>
            <w:tcW w:w="193" w:type="dxa"/>
            <w:shd w:val="clear" w:color="auto" w:fill="FFFFFF"/>
            <w:noWrap/>
            <w:tcMar>
              <w:top w:w="15" w:type="dxa"/>
              <w:left w:w="0" w:type="dxa"/>
              <w:bottom w:w="0" w:type="dxa"/>
              <w:right w:w="15" w:type="dxa"/>
            </w:tcMar>
            <w:vAlign w:val="bottom"/>
            <w:hideMark/>
          </w:tcPr>
          <w:p w14:paraId="266271B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011F2AB" w14:textId="77777777" w:rsidTr="00141675">
        <w:tc>
          <w:tcPr>
            <w:tcW w:w="6956" w:type="dxa"/>
            <w:shd w:val="clear" w:color="auto" w:fill="CFF0FC"/>
            <w:tcMar>
              <w:top w:w="15" w:type="dxa"/>
              <w:left w:w="0" w:type="dxa"/>
              <w:bottom w:w="0" w:type="dxa"/>
              <w:right w:w="15" w:type="dxa"/>
            </w:tcMar>
            <w:hideMark/>
          </w:tcPr>
          <w:p w14:paraId="1BEE99B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EMEA</w:t>
            </w:r>
          </w:p>
        </w:tc>
        <w:tc>
          <w:tcPr>
            <w:tcW w:w="220" w:type="dxa"/>
            <w:shd w:val="clear" w:color="auto" w:fill="CFF0FC"/>
            <w:tcMar>
              <w:top w:w="15" w:type="dxa"/>
              <w:left w:w="0" w:type="dxa"/>
              <w:bottom w:w="0" w:type="dxa"/>
              <w:right w:w="15" w:type="dxa"/>
            </w:tcMar>
            <w:vAlign w:val="bottom"/>
            <w:hideMark/>
          </w:tcPr>
          <w:p w14:paraId="2B8B8DB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23C7B07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1" w:type="dxa"/>
            <w:shd w:val="clear" w:color="auto" w:fill="CFF0FC"/>
            <w:noWrap/>
            <w:tcMar>
              <w:top w:w="15" w:type="dxa"/>
              <w:left w:w="0" w:type="dxa"/>
              <w:bottom w:w="0" w:type="dxa"/>
              <w:right w:w="15" w:type="dxa"/>
            </w:tcMar>
            <w:vAlign w:val="bottom"/>
            <w:hideMark/>
          </w:tcPr>
          <w:p w14:paraId="3EC8C38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7020223"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6318C85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8CB74D9"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CFF0FC"/>
            <w:tcMar>
              <w:top w:w="15" w:type="dxa"/>
              <w:left w:w="0" w:type="dxa"/>
              <w:bottom w:w="0" w:type="dxa"/>
              <w:right w:w="15" w:type="dxa"/>
            </w:tcMar>
            <w:vAlign w:val="bottom"/>
            <w:hideMark/>
          </w:tcPr>
          <w:p w14:paraId="404E733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1CA7ACCD"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CFF0FC"/>
            <w:tcMar>
              <w:top w:w="15" w:type="dxa"/>
              <w:left w:w="0" w:type="dxa"/>
              <w:bottom w:w="0" w:type="dxa"/>
              <w:right w:w="15" w:type="dxa"/>
            </w:tcMar>
            <w:vAlign w:val="bottom"/>
            <w:hideMark/>
          </w:tcPr>
          <w:p w14:paraId="679CEC7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1" w:type="dxa"/>
            <w:shd w:val="clear" w:color="auto" w:fill="CFF0FC"/>
            <w:noWrap/>
            <w:tcMar>
              <w:top w:w="15" w:type="dxa"/>
              <w:left w:w="0" w:type="dxa"/>
              <w:bottom w:w="0" w:type="dxa"/>
              <w:right w:w="15" w:type="dxa"/>
            </w:tcMar>
            <w:vAlign w:val="bottom"/>
            <w:hideMark/>
          </w:tcPr>
          <w:p w14:paraId="0A279F3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D12E31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489F678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31%</w:t>
            </w:r>
          </w:p>
        </w:tc>
        <w:tc>
          <w:tcPr>
            <w:tcW w:w="191" w:type="dxa"/>
            <w:shd w:val="clear" w:color="auto" w:fill="CFF0FC"/>
            <w:noWrap/>
            <w:tcMar>
              <w:top w:w="15" w:type="dxa"/>
              <w:left w:w="0" w:type="dxa"/>
              <w:bottom w:w="0" w:type="dxa"/>
              <w:right w:w="15" w:type="dxa"/>
            </w:tcMar>
            <w:vAlign w:val="bottom"/>
            <w:hideMark/>
          </w:tcPr>
          <w:p w14:paraId="2652EB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616D35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44B7283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18FB8B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CFF0FC"/>
            <w:tcMar>
              <w:top w:w="15" w:type="dxa"/>
              <w:left w:w="0" w:type="dxa"/>
              <w:bottom w:w="0" w:type="dxa"/>
              <w:right w:w="15" w:type="dxa"/>
            </w:tcMar>
            <w:vAlign w:val="bottom"/>
            <w:hideMark/>
          </w:tcPr>
          <w:p w14:paraId="41AE881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FA8CA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CFF0FC"/>
            <w:tcMar>
              <w:top w:w="15" w:type="dxa"/>
              <w:left w:w="0" w:type="dxa"/>
              <w:bottom w:w="0" w:type="dxa"/>
              <w:right w:w="15" w:type="dxa"/>
            </w:tcMar>
            <w:vAlign w:val="bottom"/>
            <w:hideMark/>
          </w:tcPr>
          <w:p w14:paraId="697AF2D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3" w:type="dxa"/>
            <w:shd w:val="clear" w:color="auto" w:fill="CFF0FC"/>
            <w:noWrap/>
            <w:tcMar>
              <w:top w:w="15" w:type="dxa"/>
              <w:left w:w="0" w:type="dxa"/>
              <w:bottom w:w="0" w:type="dxa"/>
              <w:right w:w="15" w:type="dxa"/>
            </w:tcMar>
            <w:vAlign w:val="bottom"/>
            <w:hideMark/>
          </w:tcPr>
          <w:p w14:paraId="2CC4418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607B9DF" w14:textId="77777777" w:rsidTr="00141675">
        <w:tc>
          <w:tcPr>
            <w:tcW w:w="6956" w:type="dxa"/>
            <w:shd w:val="clear" w:color="auto" w:fill="FFFFFF"/>
            <w:tcMar>
              <w:top w:w="15" w:type="dxa"/>
              <w:left w:w="0" w:type="dxa"/>
              <w:bottom w:w="0" w:type="dxa"/>
              <w:right w:w="15" w:type="dxa"/>
            </w:tcMar>
            <w:hideMark/>
          </w:tcPr>
          <w:p w14:paraId="4B9746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Asia Pacific</w:t>
            </w:r>
          </w:p>
        </w:tc>
        <w:tc>
          <w:tcPr>
            <w:tcW w:w="220" w:type="dxa"/>
            <w:shd w:val="clear" w:color="auto" w:fill="FFFFFF"/>
            <w:tcMar>
              <w:top w:w="15" w:type="dxa"/>
              <w:left w:w="0" w:type="dxa"/>
              <w:bottom w:w="0" w:type="dxa"/>
              <w:right w:w="15" w:type="dxa"/>
            </w:tcMar>
            <w:vAlign w:val="bottom"/>
            <w:hideMark/>
          </w:tcPr>
          <w:p w14:paraId="0584785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4609CD3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20%</w:t>
            </w:r>
          </w:p>
        </w:tc>
        <w:tc>
          <w:tcPr>
            <w:tcW w:w="191" w:type="dxa"/>
            <w:shd w:val="clear" w:color="auto" w:fill="FFFFFF"/>
            <w:noWrap/>
            <w:tcMar>
              <w:top w:w="15" w:type="dxa"/>
              <w:left w:w="0" w:type="dxa"/>
              <w:bottom w:w="0" w:type="dxa"/>
              <w:right w:w="15" w:type="dxa"/>
            </w:tcMar>
            <w:vAlign w:val="bottom"/>
            <w:hideMark/>
          </w:tcPr>
          <w:p w14:paraId="0111A8F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D8CEA19"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41FD820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572D7D8"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5" w:type="dxa"/>
            <w:shd w:val="clear" w:color="auto" w:fill="FFFFFF"/>
            <w:tcMar>
              <w:top w:w="15" w:type="dxa"/>
              <w:left w:w="0" w:type="dxa"/>
              <w:bottom w:w="0" w:type="dxa"/>
              <w:right w:w="15" w:type="dxa"/>
            </w:tcMar>
            <w:vAlign w:val="bottom"/>
            <w:hideMark/>
          </w:tcPr>
          <w:p w14:paraId="11CF549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9ECAD2C"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8" w:type="dxa"/>
            <w:gridSpan w:val="2"/>
            <w:shd w:val="clear" w:color="auto" w:fill="FFFFFF"/>
            <w:tcMar>
              <w:top w:w="15" w:type="dxa"/>
              <w:left w:w="0" w:type="dxa"/>
              <w:bottom w:w="0" w:type="dxa"/>
              <w:right w:w="15" w:type="dxa"/>
            </w:tcMar>
            <w:vAlign w:val="bottom"/>
            <w:hideMark/>
          </w:tcPr>
          <w:p w14:paraId="67BC510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20%</w:t>
            </w:r>
          </w:p>
        </w:tc>
        <w:tc>
          <w:tcPr>
            <w:tcW w:w="191" w:type="dxa"/>
            <w:shd w:val="clear" w:color="auto" w:fill="FFFFFF"/>
            <w:noWrap/>
            <w:tcMar>
              <w:top w:w="15" w:type="dxa"/>
              <w:left w:w="0" w:type="dxa"/>
              <w:bottom w:w="0" w:type="dxa"/>
              <w:right w:w="15" w:type="dxa"/>
            </w:tcMar>
            <w:vAlign w:val="bottom"/>
            <w:hideMark/>
          </w:tcPr>
          <w:p w14:paraId="3E7DE79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F2A687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18F68A8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20%</w:t>
            </w:r>
          </w:p>
        </w:tc>
        <w:tc>
          <w:tcPr>
            <w:tcW w:w="191" w:type="dxa"/>
            <w:shd w:val="clear" w:color="auto" w:fill="FFFFFF"/>
            <w:noWrap/>
            <w:tcMar>
              <w:top w:w="15" w:type="dxa"/>
              <w:left w:w="0" w:type="dxa"/>
              <w:bottom w:w="0" w:type="dxa"/>
              <w:right w:w="15" w:type="dxa"/>
            </w:tcMar>
            <w:vAlign w:val="bottom"/>
            <w:hideMark/>
          </w:tcPr>
          <w:p w14:paraId="452E1DA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534BF7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23A17D9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55ACE8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5" w:type="dxa"/>
            <w:shd w:val="clear" w:color="auto" w:fill="FFFFFF"/>
            <w:tcMar>
              <w:top w:w="15" w:type="dxa"/>
              <w:left w:w="0" w:type="dxa"/>
              <w:bottom w:w="0" w:type="dxa"/>
              <w:right w:w="15" w:type="dxa"/>
            </w:tcMar>
            <w:vAlign w:val="bottom"/>
            <w:hideMark/>
          </w:tcPr>
          <w:p w14:paraId="07B233B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A76B41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8" w:type="dxa"/>
            <w:gridSpan w:val="2"/>
            <w:shd w:val="clear" w:color="auto" w:fill="FFFFFF"/>
            <w:tcMar>
              <w:top w:w="15" w:type="dxa"/>
              <w:left w:w="0" w:type="dxa"/>
              <w:bottom w:w="0" w:type="dxa"/>
              <w:right w:w="15" w:type="dxa"/>
            </w:tcMar>
            <w:vAlign w:val="bottom"/>
            <w:hideMark/>
          </w:tcPr>
          <w:p w14:paraId="16E6E00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w:t>
            </w:r>
          </w:p>
        </w:tc>
        <w:tc>
          <w:tcPr>
            <w:tcW w:w="193" w:type="dxa"/>
            <w:shd w:val="clear" w:color="auto" w:fill="FFFFFF"/>
            <w:noWrap/>
            <w:tcMar>
              <w:top w:w="15" w:type="dxa"/>
              <w:left w:w="0" w:type="dxa"/>
              <w:bottom w:w="0" w:type="dxa"/>
              <w:right w:w="15" w:type="dxa"/>
            </w:tcMar>
            <w:vAlign w:val="bottom"/>
            <w:hideMark/>
          </w:tcPr>
          <w:p w14:paraId="322DE71B"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1172694B" w14:textId="77777777" w:rsidR="00141675" w:rsidRPr="00141675" w:rsidRDefault="00141675" w:rsidP="00141675">
      <w:pPr>
        <w:widowControl/>
        <w:pBdr>
          <w:bottom w:val="single" w:sz="6" w:space="1" w:color="auto"/>
        </w:pBdr>
        <w:ind w:right="18324"/>
        <w:jc w:val="left"/>
        <w:rPr>
          <w:rFonts w:ascii="Calibri" w:eastAsia="宋体" w:hAnsi="Calibri" w:cs="Calibri"/>
          <w:color w:val="000000"/>
          <w:kern w:val="0"/>
          <w:sz w:val="8"/>
          <w:szCs w:val="8"/>
        </w:rPr>
      </w:pPr>
      <w:r w:rsidRPr="00141675">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6A68B00B" w14:textId="77777777" w:rsidTr="00141675">
        <w:tc>
          <w:tcPr>
            <w:tcW w:w="794" w:type="dxa"/>
            <w:noWrap/>
            <w:hideMark/>
          </w:tcPr>
          <w:p w14:paraId="6D3E2E72"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0588C135"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Excludes stock-based compensation and certain allocations. Also excludes certain other GAAP-based expenses, which were not allocated to our operating segment results for purposes of reporting to and review by our CODMs, as further described under “Presentation of Operating Segments and Other Financial Information” above.</w:t>
            </w:r>
          </w:p>
        </w:tc>
      </w:tr>
    </w:tbl>
    <w:p w14:paraId="4D369320"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Excluding the effects of currency rate fluctuations, our total services revenues decreased during the fiscal 2020 periods presented, relative to the corresponding prior year periods, primarily due to decreases in our education services revenues, partially offset by increases in consulting revenues and advanced customer services revenues. Constant currency decreases in revenue growth in the Americas and EMEA regions were partially offset by constant currency increases in revenue growth in the Asia Pacific region during the fiscal 2020 periods presented.</w:t>
      </w:r>
    </w:p>
    <w:p w14:paraId="41B71980"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 constant currency, total services expenses increased in the fiscal 2020 periods presented, relative to the corresponding prior year periods, primarily due to an increase in headcount and related expenses associated with our consulting offerings during the fiscal 2020 periods presented.</w:t>
      </w:r>
    </w:p>
    <w:p w14:paraId="285A2C67"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 constant currency, total margin and total margin as a percentage of total services revenues decreased during the fiscal 2020 periods presented, relative to the corresponding prior year periods, primarily due to the revenue declines and expense increases for this business in the fiscal 2020 periods presented.</w:t>
      </w:r>
    </w:p>
    <w:p w14:paraId="26662A49"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Research and Development Expenses:</w:t>
      </w:r>
      <w:r w:rsidRPr="00141675">
        <w:rPr>
          <w:rFonts w:ascii="Calibri" w:eastAsia="宋体" w:hAnsi="Calibri" w:cs="Calibri"/>
          <w:color w:val="000000"/>
          <w:kern w:val="0"/>
          <w:sz w:val="20"/>
          <w:szCs w:val="20"/>
        </w:rPr>
        <w:t>   Research and development expenses consist primarily of personnel related expenditures. We intend to continue to invest significantly in our research and development efforts because, in our judgment, they are essential to maintaining our competitive position.</w:t>
      </w:r>
    </w:p>
    <w:p w14:paraId="3870F535"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65"/>
        <w:gridCol w:w="221"/>
        <w:gridCol w:w="201"/>
        <w:gridCol w:w="1060"/>
        <w:gridCol w:w="201"/>
        <w:gridCol w:w="221"/>
        <w:gridCol w:w="1460"/>
        <w:gridCol w:w="220"/>
        <w:gridCol w:w="1489"/>
        <w:gridCol w:w="220"/>
        <w:gridCol w:w="200"/>
        <w:gridCol w:w="1134"/>
        <w:gridCol w:w="200"/>
        <w:gridCol w:w="220"/>
        <w:gridCol w:w="200"/>
        <w:gridCol w:w="1059"/>
        <w:gridCol w:w="200"/>
        <w:gridCol w:w="220"/>
        <w:gridCol w:w="1459"/>
        <w:gridCol w:w="220"/>
        <w:gridCol w:w="1489"/>
        <w:gridCol w:w="220"/>
        <w:gridCol w:w="200"/>
        <w:gridCol w:w="1134"/>
        <w:gridCol w:w="201"/>
      </w:tblGrid>
      <w:tr w:rsidR="00141675" w:rsidRPr="00141675" w14:paraId="576BE1C2" w14:textId="77777777" w:rsidTr="00141675">
        <w:tc>
          <w:tcPr>
            <w:tcW w:w="6950" w:type="dxa"/>
            <w:shd w:val="clear" w:color="auto" w:fill="FFFFFF"/>
            <w:tcMar>
              <w:top w:w="15" w:type="dxa"/>
              <w:left w:w="0" w:type="dxa"/>
              <w:bottom w:w="0" w:type="dxa"/>
              <w:right w:w="15" w:type="dxa"/>
            </w:tcMar>
            <w:vAlign w:val="center"/>
            <w:hideMark/>
          </w:tcPr>
          <w:p w14:paraId="607BBF0E"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065D5CE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46C18AB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2" w:type="dxa"/>
            <w:shd w:val="clear" w:color="auto" w:fill="FFFFFF"/>
            <w:noWrap/>
            <w:tcMar>
              <w:top w:w="15" w:type="dxa"/>
              <w:left w:w="0" w:type="dxa"/>
              <w:bottom w:w="0" w:type="dxa"/>
              <w:right w:w="15" w:type="dxa"/>
            </w:tcMar>
            <w:vAlign w:val="bottom"/>
            <w:hideMark/>
          </w:tcPr>
          <w:p w14:paraId="09F474C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0231341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34A80D8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2E1ADBB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EBCAE65" w14:textId="77777777" w:rsidTr="00141675">
        <w:tc>
          <w:tcPr>
            <w:tcW w:w="6950" w:type="dxa"/>
            <w:shd w:val="clear" w:color="auto" w:fill="FFFFFF"/>
            <w:tcMar>
              <w:top w:w="15" w:type="dxa"/>
              <w:left w:w="0" w:type="dxa"/>
              <w:bottom w:w="0" w:type="dxa"/>
              <w:right w:w="15" w:type="dxa"/>
            </w:tcMar>
            <w:vAlign w:val="center"/>
            <w:hideMark/>
          </w:tcPr>
          <w:p w14:paraId="60C0A6F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59D33E1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180277D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31BD1BE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3EE40C6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4DBC16E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3C71C5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48981F6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0EFAC4A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4556567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1C40D8D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ECCA63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0C11AFE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1D96DB0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3F5E9E9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2BF8213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91FF51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0A09EAE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3984F28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3C58629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25CAC38D"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339F67C6" w14:textId="77777777" w:rsidTr="00141675">
        <w:tc>
          <w:tcPr>
            <w:tcW w:w="6950" w:type="dxa"/>
            <w:tcBorders>
              <w:bottom w:val="single" w:sz="6" w:space="0" w:color="000000"/>
            </w:tcBorders>
            <w:shd w:val="clear" w:color="auto" w:fill="FFFFFF"/>
            <w:tcMar>
              <w:top w:w="15" w:type="dxa"/>
              <w:left w:w="0" w:type="dxa"/>
              <w:bottom w:w="0" w:type="dxa"/>
              <w:right w:w="15" w:type="dxa"/>
            </w:tcMar>
            <w:vAlign w:val="bottom"/>
            <w:hideMark/>
          </w:tcPr>
          <w:p w14:paraId="577B3F0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2E2E67A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454A752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547C9DE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center"/>
            <w:hideMark/>
          </w:tcPr>
          <w:p w14:paraId="4BC266C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BECF10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4BE7572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506992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center"/>
            <w:hideMark/>
          </w:tcPr>
          <w:p w14:paraId="692F4DC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56C7C3D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48B1660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58A2E5B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7C54786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4F9BBAB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2457F53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6667C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3CA7938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3D4A82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1042789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61181B3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74D8937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1E8E128" w14:textId="77777777" w:rsidTr="00141675">
        <w:tc>
          <w:tcPr>
            <w:tcW w:w="6950" w:type="dxa"/>
            <w:tcBorders>
              <w:top w:val="single" w:sz="6" w:space="0" w:color="000000"/>
            </w:tcBorders>
            <w:shd w:val="clear" w:color="auto" w:fill="CFF0FC"/>
            <w:tcMar>
              <w:top w:w="15" w:type="dxa"/>
              <w:left w:w="0" w:type="dxa"/>
              <w:bottom w:w="0" w:type="dxa"/>
              <w:right w:w="15" w:type="dxa"/>
            </w:tcMar>
            <w:hideMark/>
          </w:tcPr>
          <w:p w14:paraId="055CDB7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Research and development</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vAlign w:val="bottom"/>
            <w:hideMark/>
          </w:tcPr>
          <w:p w14:paraId="565D2BF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4F6C8F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12CDDDD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1,259</w:t>
            </w:r>
          </w:p>
        </w:tc>
        <w:tc>
          <w:tcPr>
            <w:tcW w:w="192" w:type="dxa"/>
            <w:shd w:val="clear" w:color="auto" w:fill="CFF0FC"/>
            <w:noWrap/>
            <w:tcMar>
              <w:top w:w="15" w:type="dxa"/>
              <w:left w:w="0" w:type="dxa"/>
              <w:bottom w:w="0" w:type="dxa"/>
              <w:right w:w="15" w:type="dxa"/>
            </w:tcMar>
            <w:vAlign w:val="bottom"/>
            <w:hideMark/>
          </w:tcPr>
          <w:p w14:paraId="7EC535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EAB4DF4"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3CDA6FC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CFF0FC"/>
            <w:tcMar>
              <w:top w:w="15" w:type="dxa"/>
              <w:left w:w="0" w:type="dxa"/>
              <w:bottom w:w="0" w:type="dxa"/>
              <w:right w:w="15" w:type="dxa"/>
            </w:tcMar>
            <w:vAlign w:val="bottom"/>
            <w:hideMark/>
          </w:tcPr>
          <w:p w14:paraId="22FEA239"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1DA22D6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71B41025"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23DC4BD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555615E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1,253</w:t>
            </w:r>
          </w:p>
        </w:tc>
        <w:tc>
          <w:tcPr>
            <w:tcW w:w="192" w:type="dxa"/>
            <w:shd w:val="clear" w:color="auto" w:fill="CFF0FC"/>
            <w:noWrap/>
            <w:tcMar>
              <w:top w:w="15" w:type="dxa"/>
              <w:left w:w="0" w:type="dxa"/>
              <w:bottom w:w="0" w:type="dxa"/>
              <w:right w:w="15" w:type="dxa"/>
            </w:tcMar>
            <w:vAlign w:val="bottom"/>
            <w:hideMark/>
          </w:tcPr>
          <w:p w14:paraId="62930B7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E2CD30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58A900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6686D37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2,545</w:t>
            </w:r>
          </w:p>
        </w:tc>
        <w:tc>
          <w:tcPr>
            <w:tcW w:w="192" w:type="dxa"/>
            <w:shd w:val="clear" w:color="auto" w:fill="CFF0FC"/>
            <w:noWrap/>
            <w:tcMar>
              <w:top w:w="15" w:type="dxa"/>
              <w:left w:w="0" w:type="dxa"/>
              <w:bottom w:w="0" w:type="dxa"/>
              <w:right w:w="15" w:type="dxa"/>
            </w:tcMar>
            <w:vAlign w:val="bottom"/>
            <w:hideMark/>
          </w:tcPr>
          <w:p w14:paraId="5D6CAAC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CE0162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2BBF37D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61CE83E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4AA8243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CFF0FC"/>
            <w:tcMar>
              <w:top w:w="15" w:type="dxa"/>
              <w:left w:w="0" w:type="dxa"/>
              <w:bottom w:w="0" w:type="dxa"/>
              <w:right w:w="15" w:type="dxa"/>
            </w:tcMar>
            <w:vAlign w:val="bottom"/>
            <w:hideMark/>
          </w:tcPr>
          <w:p w14:paraId="2F823B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32280E5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45BA343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2,560</w:t>
            </w:r>
          </w:p>
        </w:tc>
        <w:tc>
          <w:tcPr>
            <w:tcW w:w="193" w:type="dxa"/>
            <w:shd w:val="clear" w:color="auto" w:fill="CFF0FC"/>
            <w:noWrap/>
            <w:tcMar>
              <w:top w:w="15" w:type="dxa"/>
              <w:left w:w="0" w:type="dxa"/>
              <w:bottom w:w="0" w:type="dxa"/>
              <w:right w:w="15" w:type="dxa"/>
            </w:tcMar>
            <w:vAlign w:val="bottom"/>
            <w:hideMark/>
          </w:tcPr>
          <w:p w14:paraId="1372B07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1BC40E3" w14:textId="77777777" w:rsidTr="00141675">
        <w:tc>
          <w:tcPr>
            <w:tcW w:w="6950" w:type="dxa"/>
            <w:shd w:val="clear" w:color="auto" w:fill="FFFFFF"/>
            <w:tcMar>
              <w:top w:w="15" w:type="dxa"/>
              <w:left w:w="0" w:type="dxa"/>
              <w:bottom w:w="0" w:type="dxa"/>
              <w:right w:w="15" w:type="dxa"/>
            </w:tcMar>
            <w:hideMark/>
          </w:tcPr>
          <w:p w14:paraId="4E12952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Stock-based compensation</w:t>
            </w:r>
          </w:p>
        </w:tc>
        <w:tc>
          <w:tcPr>
            <w:tcW w:w="220" w:type="dxa"/>
            <w:shd w:val="clear" w:color="auto" w:fill="FFFFFF"/>
            <w:tcMar>
              <w:top w:w="15" w:type="dxa"/>
              <w:left w:w="0" w:type="dxa"/>
              <w:bottom w:w="0" w:type="dxa"/>
              <w:right w:w="15" w:type="dxa"/>
            </w:tcMar>
            <w:vAlign w:val="bottom"/>
            <w:hideMark/>
          </w:tcPr>
          <w:p w14:paraId="39F08F9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5CC0B9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68A46DD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272</w:t>
            </w:r>
          </w:p>
        </w:tc>
        <w:tc>
          <w:tcPr>
            <w:tcW w:w="192" w:type="dxa"/>
            <w:shd w:val="clear" w:color="auto" w:fill="FFFFFF"/>
            <w:noWrap/>
            <w:tcMar>
              <w:top w:w="15" w:type="dxa"/>
              <w:left w:w="0" w:type="dxa"/>
              <w:bottom w:w="0" w:type="dxa"/>
              <w:right w:w="15" w:type="dxa"/>
            </w:tcMar>
            <w:vAlign w:val="bottom"/>
            <w:hideMark/>
          </w:tcPr>
          <w:p w14:paraId="0716F42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6A1393D"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421D8E0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w:t>
            </w:r>
          </w:p>
        </w:tc>
        <w:tc>
          <w:tcPr>
            <w:tcW w:w="220" w:type="dxa"/>
            <w:shd w:val="clear" w:color="auto" w:fill="FFFFFF"/>
            <w:tcMar>
              <w:top w:w="15" w:type="dxa"/>
              <w:left w:w="0" w:type="dxa"/>
              <w:bottom w:w="0" w:type="dxa"/>
              <w:right w:w="15" w:type="dxa"/>
            </w:tcMar>
            <w:vAlign w:val="bottom"/>
            <w:hideMark/>
          </w:tcPr>
          <w:p w14:paraId="02DFB86F"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5BB32BC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w:t>
            </w:r>
          </w:p>
        </w:tc>
        <w:tc>
          <w:tcPr>
            <w:tcW w:w="220" w:type="dxa"/>
            <w:shd w:val="clear" w:color="auto" w:fill="FFFFFF"/>
            <w:tcMar>
              <w:top w:w="15" w:type="dxa"/>
              <w:left w:w="0" w:type="dxa"/>
              <w:bottom w:w="0" w:type="dxa"/>
              <w:right w:w="15" w:type="dxa"/>
            </w:tcMar>
            <w:vAlign w:val="bottom"/>
            <w:hideMark/>
          </w:tcPr>
          <w:p w14:paraId="03A346A5"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29D9C7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22D24B6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222</w:t>
            </w:r>
          </w:p>
        </w:tc>
        <w:tc>
          <w:tcPr>
            <w:tcW w:w="192" w:type="dxa"/>
            <w:shd w:val="clear" w:color="auto" w:fill="FFFFFF"/>
            <w:noWrap/>
            <w:tcMar>
              <w:top w:w="15" w:type="dxa"/>
              <w:left w:w="0" w:type="dxa"/>
              <w:bottom w:w="0" w:type="dxa"/>
              <w:right w:w="15" w:type="dxa"/>
            </w:tcMar>
            <w:vAlign w:val="bottom"/>
            <w:hideMark/>
          </w:tcPr>
          <w:p w14:paraId="78A4738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7F1079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54BC138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4E45F15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543</w:t>
            </w:r>
          </w:p>
        </w:tc>
        <w:tc>
          <w:tcPr>
            <w:tcW w:w="192" w:type="dxa"/>
            <w:shd w:val="clear" w:color="auto" w:fill="FFFFFF"/>
            <w:noWrap/>
            <w:tcMar>
              <w:top w:w="15" w:type="dxa"/>
              <w:left w:w="0" w:type="dxa"/>
              <w:bottom w:w="0" w:type="dxa"/>
              <w:right w:w="15" w:type="dxa"/>
            </w:tcMar>
            <w:vAlign w:val="bottom"/>
            <w:hideMark/>
          </w:tcPr>
          <w:p w14:paraId="6C47910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092D8B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6C918A6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w:t>
            </w:r>
          </w:p>
        </w:tc>
        <w:tc>
          <w:tcPr>
            <w:tcW w:w="220" w:type="dxa"/>
            <w:shd w:val="clear" w:color="auto" w:fill="FFFFFF"/>
            <w:tcMar>
              <w:top w:w="15" w:type="dxa"/>
              <w:left w:w="0" w:type="dxa"/>
              <w:bottom w:w="0" w:type="dxa"/>
              <w:right w:w="15" w:type="dxa"/>
            </w:tcMar>
            <w:vAlign w:val="bottom"/>
            <w:hideMark/>
          </w:tcPr>
          <w:p w14:paraId="2678412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6E69439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w:t>
            </w:r>
          </w:p>
        </w:tc>
        <w:tc>
          <w:tcPr>
            <w:tcW w:w="220" w:type="dxa"/>
            <w:shd w:val="clear" w:color="auto" w:fill="FFFFFF"/>
            <w:tcMar>
              <w:top w:w="15" w:type="dxa"/>
              <w:left w:w="0" w:type="dxa"/>
              <w:bottom w:w="0" w:type="dxa"/>
              <w:right w:w="15" w:type="dxa"/>
            </w:tcMar>
            <w:vAlign w:val="bottom"/>
            <w:hideMark/>
          </w:tcPr>
          <w:p w14:paraId="57522B4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06532AB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3F9AAC3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479</w:t>
            </w:r>
          </w:p>
        </w:tc>
        <w:tc>
          <w:tcPr>
            <w:tcW w:w="193" w:type="dxa"/>
            <w:shd w:val="clear" w:color="auto" w:fill="FFFFFF"/>
            <w:noWrap/>
            <w:tcMar>
              <w:top w:w="15" w:type="dxa"/>
              <w:left w:w="0" w:type="dxa"/>
              <w:bottom w:w="0" w:type="dxa"/>
              <w:right w:w="15" w:type="dxa"/>
            </w:tcMar>
            <w:vAlign w:val="bottom"/>
            <w:hideMark/>
          </w:tcPr>
          <w:p w14:paraId="2BCD658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76C600A1" w14:textId="77777777" w:rsidTr="00141675">
        <w:tc>
          <w:tcPr>
            <w:tcW w:w="6950" w:type="dxa"/>
            <w:shd w:val="clear" w:color="auto" w:fill="CFF0FC"/>
            <w:tcMar>
              <w:top w:w="15" w:type="dxa"/>
              <w:left w:w="0" w:type="dxa"/>
              <w:bottom w:w="0" w:type="dxa"/>
              <w:right w:w="15" w:type="dxa"/>
            </w:tcMar>
            <w:hideMark/>
          </w:tcPr>
          <w:p w14:paraId="2E120654"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expenses</w:t>
            </w:r>
          </w:p>
        </w:tc>
        <w:tc>
          <w:tcPr>
            <w:tcW w:w="220" w:type="dxa"/>
            <w:shd w:val="clear" w:color="auto" w:fill="CFF0FC"/>
            <w:tcMar>
              <w:top w:w="15" w:type="dxa"/>
              <w:left w:w="0" w:type="dxa"/>
              <w:bottom w:w="0" w:type="dxa"/>
              <w:right w:w="15" w:type="dxa"/>
            </w:tcMar>
            <w:vAlign w:val="bottom"/>
            <w:hideMark/>
          </w:tcPr>
          <w:p w14:paraId="0489916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C9BA81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A8CFA8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1,531</w:t>
            </w:r>
          </w:p>
        </w:tc>
        <w:tc>
          <w:tcPr>
            <w:tcW w:w="192" w:type="dxa"/>
            <w:shd w:val="clear" w:color="auto" w:fill="CFF0FC"/>
            <w:noWrap/>
            <w:tcMar>
              <w:top w:w="15" w:type="dxa"/>
              <w:left w:w="0" w:type="dxa"/>
              <w:bottom w:w="0" w:type="dxa"/>
              <w:right w:w="15" w:type="dxa"/>
            </w:tcMar>
            <w:vAlign w:val="bottom"/>
            <w:hideMark/>
          </w:tcPr>
          <w:p w14:paraId="3D7434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E17D768"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CFF0FC"/>
            <w:tcMar>
              <w:top w:w="15" w:type="dxa"/>
              <w:left w:w="0" w:type="dxa"/>
              <w:bottom w:w="0" w:type="dxa"/>
              <w:right w:w="15" w:type="dxa"/>
            </w:tcMar>
            <w:vAlign w:val="bottom"/>
            <w:hideMark/>
          </w:tcPr>
          <w:p w14:paraId="63AF72B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c>
          <w:tcPr>
            <w:tcW w:w="220" w:type="dxa"/>
            <w:shd w:val="clear" w:color="auto" w:fill="CFF0FC"/>
            <w:tcMar>
              <w:top w:w="15" w:type="dxa"/>
              <w:left w:w="0" w:type="dxa"/>
              <w:bottom w:w="0" w:type="dxa"/>
              <w:right w:w="15" w:type="dxa"/>
            </w:tcMar>
            <w:vAlign w:val="bottom"/>
            <w:hideMark/>
          </w:tcPr>
          <w:p w14:paraId="5CD0D0B0"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CFF0FC"/>
            <w:tcMar>
              <w:top w:w="15" w:type="dxa"/>
              <w:left w:w="0" w:type="dxa"/>
              <w:bottom w:w="0" w:type="dxa"/>
              <w:right w:w="15" w:type="dxa"/>
            </w:tcMar>
            <w:vAlign w:val="bottom"/>
            <w:hideMark/>
          </w:tcPr>
          <w:p w14:paraId="51E2D39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w:t>
            </w:r>
          </w:p>
        </w:tc>
        <w:tc>
          <w:tcPr>
            <w:tcW w:w="220" w:type="dxa"/>
            <w:shd w:val="clear" w:color="auto" w:fill="CFF0FC"/>
            <w:tcMar>
              <w:top w:w="15" w:type="dxa"/>
              <w:left w:w="0" w:type="dxa"/>
              <w:bottom w:w="0" w:type="dxa"/>
              <w:right w:w="15" w:type="dxa"/>
            </w:tcMar>
            <w:vAlign w:val="bottom"/>
            <w:hideMark/>
          </w:tcPr>
          <w:p w14:paraId="05DC3807"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C5E14C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050AF0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1,475</w:t>
            </w:r>
          </w:p>
        </w:tc>
        <w:tc>
          <w:tcPr>
            <w:tcW w:w="192" w:type="dxa"/>
            <w:shd w:val="clear" w:color="auto" w:fill="CFF0FC"/>
            <w:noWrap/>
            <w:tcMar>
              <w:top w:w="15" w:type="dxa"/>
              <w:left w:w="0" w:type="dxa"/>
              <w:bottom w:w="0" w:type="dxa"/>
              <w:right w:w="15" w:type="dxa"/>
            </w:tcMar>
            <w:vAlign w:val="bottom"/>
            <w:hideMark/>
          </w:tcPr>
          <w:p w14:paraId="6258509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11802E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350AA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E75AE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3,088</w:t>
            </w:r>
          </w:p>
        </w:tc>
        <w:tc>
          <w:tcPr>
            <w:tcW w:w="192" w:type="dxa"/>
            <w:shd w:val="clear" w:color="auto" w:fill="CFF0FC"/>
            <w:noWrap/>
            <w:tcMar>
              <w:top w:w="15" w:type="dxa"/>
              <w:left w:w="0" w:type="dxa"/>
              <w:bottom w:w="0" w:type="dxa"/>
              <w:right w:w="15" w:type="dxa"/>
            </w:tcMar>
            <w:vAlign w:val="bottom"/>
            <w:hideMark/>
          </w:tcPr>
          <w:p w14:paraId="0897116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683932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20B221B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CFF0FC"/>
            <w:tcMar>
              <w:top w:w="15" w:type="dxa"/>
              <w:left w:w="0" w:type="dxa"/>
              <w:bottom w:w="0" w:type="dxa"/>
              <w:right w:w="15" w:type="dxa"/>
            </w:tcMar>
            <w:vAlign w:val="bottom"/>
            <w:hideMark/>
          </w:tcPr>
          <w:p w14:paraId="6CC4CA7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5499092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w:t>
            </w:r>
          </w:p>
        </w:tc>
        <w:tc>
          <w:tcPr>
            <w:tcW w:w="220" w:type="dxa"/>
            <w:shd w:val="clear" w:color="auto" w:fill="CFF0FC"/>
            <w:tcMar>
              <w:top w:w="15" w:type="dxa"/>
              <w:left w:w="0" w:type="dxa"/>
              <w:bottom w:w="0" w:type="dxa"/>
              <w:right w:w="15" w:type="dxa"/>
            </w:tcMar>
            <w:vAlign w:val="bottom"/>
            <w:hideMark/>
          </w:tcPr>
          <w:p w14:paraId="0E01252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FB89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8DFC41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3,039</w:t>
            </w:r>
          </w:p>
        </w:tc>
        <w:tc>
          <w:tcPr>
            <w:tcW w:w="193" w:type="dxa"/>
            <w:shd w:val="clear" w:color="auto" w:fill="CFF0FC"/>
            <w:noWrap/>
            <w:tcMar>
              <w:top w:w="15" w:type="dxa"/>
              <w:left w:w="0" w:type="dxa"/>
              <w:bottom w:w="0" w:type="dxa"/>
              <w:right w:w="15" w:type="dxa"/>
            </w:tcMar>
            <w:vAlign w:val="bottom"/>
            <w:hideMark/>
          </w:tcPr>
          <w:p w14:paraId="7B729B8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84D1B83" w14:textId="77777777" w:rsidTr="00141675">
        <w:tc>
          <w:tcPr>
            <w:tcW w:w="6950" w:type="dxa"/>
            <w:shd w:val="clear" w:color="auto" w:fill="FFFFFF"/>
            <w:tcMar>
              <w:top w:w="15" w:type="dxa"/>
              <w:left w:w="0" w:type="dxa"/>
              <w:bottom w:w="0" w:type="dxa"/>
              <w:right w:w="15" w:type="dxa"/>
            </w:tcMar>
            <w:hideMark/>
          </w:tcPr>
          <w:p w14:paraId="2513184D"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 of Total Revenues</w:t>
            </w:r>
          </w:p>
        </w:tc>
        <w:tc>
          <w:tcPr>
            <w:tcW w:w="220" w:type="dxa"/>
            <w:shd w:val="clear" w:color="auto" w:fill="FFFFFF"/>
            <w:tcMar>
              <w:top w:w="15" w:type="dxa"/>
              <w:left w:w="0" w:type="dxa"/>
              <w:bottom w:w="0" w:type="dxa"/>
              <w:right w:w="15" w:type="dxa"/>
            </w:tcMar>
            <w:vAlign w:val="bottom"/>
            <w:hideMark/>
          </w:tcPr>
          <w:p w14:paraId="68980688" w14:textId="77777777" w:rsidR="00141675" w:rsidRPr="00141675" w:rsidRDefault="00141675" w:rsidP="00141675">
            <w:pPr>
              <w:widowControl/>
              <w:jc w:val="left"/>
              <w:rPr>
                <w:rFonts w:ascii="Calibri" w:eastAsia="宋体" w:hAnsi="Calibri" w:cs="Calibri"/>
                <w:b/>
                <w:bCs/>
                <w:i/>
                <w:iCs/>
                <w:color w:val="000000"/>
                <w:kern w:val="0"/>
                <w:sz w:val="22"/>
              </w:rPr>
            </w:pPr>
            <w:r w:rsidRPr="00141675">
              <w:rPr>
                <w:rFonts w:ascii="Calibri" w:eastAsia="宋体" w:hAnsi="Calibri" w:cs="Calibri"/>
                <w:b/>
                <w:bCs/>
                <w:i/>
                <w:iCs/>
                <w:color w:val="000000"/>
                <w:kern w:val="0"/>
                <w:sz w:val="22"/>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2B3F70F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tc>
        <w:tc>
          <w:tcPr>
            <w:tcW w:w="192" w:type="dxa"/>
            <w:shd w:val="clear" w:color="auto" w:fill="FFFFFF"/>
            <w:noWrap/>
            <w:tcMar>
              <w:top w:w="15" w:type="dxa"/>
              <w:left w:w="0" w:type="dxa"/>
              <w:bottom w:w="0" w:type="dxa"/>
              <w:right w:w="15" w:type="dxa"/>
            </w:tcMar>
            <w:vAlign w:val="bottom"/>
            <w:hideMark/>
          </w:tcPr>
          <w:p w14:paraId="3BDD7A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3AA74D14"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3F44C6B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C883B23"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215193B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19BCF4E"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616CD3A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w:t>
            </w:r>
          </w:p>
        </w:tc>
        <w:tc>
          <w:tcPr>
            <w:tcW w:w="192" w:type="dxa"/>
            <w:shd w:val="clear" w:color="auto" w:fill="FFFFFF"/>
            <w:noWrap/>
            <w:tcMar>
              <w:top w:w="15" w:type="dxa"/>
              <w:left w:w="0" w:type="dxa"/>
              <w:bottom w:w="0" w:type="dxa"/>
              <w:right w:w="15" w:type="dxa"/>
            </w:tcMar>
            <w:vAlign w:val="bottom"/>
            <w:hideMark/>
          </w:tcPr>
          <w:p w14:paraId="2700923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BF66567"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169D125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tc>
        <w:tc>
          <w:tcPr>
            <w:tcW w:w="192" w:type="dxa"/>
            <w:shd w:val="clear" w:color="auto" w:fill="FFFFFF"/>
            <w:noWrap/>
            <w:tcMar>
              <w:top w:w="15" w:type="dxa"/>
              <w:left w:w="0" w:type="dxa"/>
              <w:bottom w:w="0" w:type="dxa"/>
              <w:right w:w="15" w:type="dxa"/>
            </w:tcMar>
            <w:vAlign w:val="bottom"/>
            <w:hideMark/>
          </w:tcPr>
          <w:p w14:paraId="22D43E2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3608B9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69D83FF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81B3A0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378E011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DCC0A4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77B2E72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tc>
        <w:tc>
          <w:tcPr>
            <w:tcW w:w="193" w:type="dxa"/>
            <w:shd w:val="clear" w:color="auto" w:fill="FFFFFF"/>
            <w:noWrap/>
            <w:tcMar>
              <w:top w:w="15" w:type="dxa"/>
              <w:left w:w="0" w:type="dxa"/>
              <w:bottom w:w="0" w:type="dxa"/>
              <w:right w:w="15" w:type="dxa"/>
            </w:tcMar>
            <w:vAlign w:val="bottom"/>
            <w:hideMark/>
          </w:tcPr>
          <w:p w14:paraId="2559FD09"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112530E2" w14:textId="77777777" w:rsidR="00141675" w:rsidRPr="00141675" w:rsidRDefault="00141675" w:rsidP="00141675">
      <w:pPr>
        <w:widowControl/>
        <w:pBdr>
          <w:bottom w:val="single" w:sz="6" w:space="1" w:color="auto"/>
        </w:pBdr>
        <w:ind w:right="18324"/>
        <w:jc w:val="left"/>
        <w:rPr>
          <w:rFonts w:ascii="Calibri" w:eastAsia="宋体" w:hAnsi="Calibri" w:cs="Calibri"/>
          <w:color w:val="000000"/>
          <w:kern w:val="0"/>
          <w:sz w:val="8"/>
          <w:szCs w:val="8"/>
        </w:rPr>
      </w:pPr>
      <w:r w:rsidRPr="00141675">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6A10CA9A" w14:textId="77777777" w:rsidTr="00141675">
        <w:tc>
          <w:tcPr>
            <w:tcW w:w="794" w:type="dxa"/>
            <w:noWrap/>
            <w:hideMark/>
          </w:tcPr>
          <w:p w14:paraId="5AD0FBBB"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1E562687"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Excluding stock-based compensation</w:t>
            </w:r>
          </w:p>
        </w:tc>
      </w:tr>
    </w:tbl>
    <w:p w14:paraId="213973AD"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lastRenderedPageBreak/>
        <w:t>On a constant currency basis, total research and development expenses increased during the fiscal 2020 periods presented, relative to the corresponding prior year periods, primarily due to higher fiscal 2020 stock-based compensation expenses.</w:t>
      </w:r>
    </w:p>
    <w:p w14:paraId="341785BF"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37</w:t>
      </w:r>
    </w:p>
    <w:p w14:paraId="0572B852"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0F715686">
          <v:rect id="_x0000_i1063" style="width:0;height:1.5pt" o:hralign="center" o:hrstd="t" o:hrnoshade="t" o:hr="t" fillcolor="black" stroked="f"/>
        </w:pict>
      </w:r>
    </w:p>
    <w:p w14:paraId="1D15E3A7" w14:textId="77777777" w:rsidR="00141675" w:rsidRPr="00141675" w:rsidRDefault="00141675" w:rsidP="00141675">
      <w:pPr>
        <w:widowControl/>
        <w:jc w:val="left"/>
        <w:rPr>
          <w:rFonts w:ascii="Calibri" w:eastAsia="宋体" w:hAnsi="Calibri" w:cs="Calibri"/>
          <w:b/>
          <w:bCs/>
          <w:color w:val="000000"/>
          <w:kern w:val="0"/>
          <w:sz w:val="20"/>
          <w:szCs w:val="20"/>
        </w:rPr>
      </w:pPr>
      <w:hyperlink r:id="rId60" w:anchor="TABLE_CONTENTS" w:history="1">
        <w:r w:rsidRPr="00141675">
          <w:rPr>
            <w:rFonts w:ascii="Calibri" w:eastAsia="宋体" w:hAnsi="Calibri" w:cs="Calibri"/>
            <w:b/>
            <w:bCs/>
            <w:color w:val="0000FF"/>
            <w:kern w:val="0"/>
            <w:sz w:val="20"/>
            <w:szCs w:val="20"/>
            <w:u w:val="single"/>
          </w:rPr>
          <w:t>Table of Contents</w:t>
        </w:r>
      </w:hyperlink>
    </w:p>
    <w:p w14:paraId="6BCB4A8B"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70F79E45"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General and Administrative Expenses:  </w:t>
      </w:r>
      <w:r w:rsidRPr="00141675">
        <w:rPr>
          <w:rFonts w:ascii="Calibri" w:eastAsia="宋体" w:hAnsi="Calibri" w:cs="Calibri"/>
          <w:color w:val="000000"/>
          <w:kern w:val="0"/>
          <w:sz w:val="20"/>
          <w:szCs w:val="20"/>
        </w:rPr>
        <w:t> General and administrative expenses primarily consist of personnel related expenditures for IT, finance, legal and human resources support functions.</w:t>
      </w:r>
    </w:p>
    <w:p w14:paraId="667FACEF" w14:textId="77777777" w:rsidR="00141675" w:rsidRPr="00141675" w:rsidRDefault="00141675" w:rsidP="00141675">
      <w:pPr>
        <w:widowControl/>
        <w:jc w:val="left"/>
        <w:rPr>
          <w:rFonts w:ascii="Calibri" w:eastAsia="宋体" w:hAnsi="Calibri" w:cs="Calibri"/>
          <w:color w:val="000000"/>
          <w:kern w:val="0"/>
          <w:sz w:val="16"/>
          <w:szCs w:val="16"/>
        </w:rPr>
      </w:pPr>
      <w:r w:rsidRPr="00141675">
        <w:rPr>
          <w:rFonts w:ascii="Calibri" w:eastAsia="宋体" w:hAnsi="Calibri" w:cs="Calibri"/>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65"/>
        <w:gridCol w:w="221"/>
        <w:gridCol w:w="201"/>
        <w:gridCol w:w="1060"/>
        <w:gridCol w:w="201"/>
        <w:gridCol w:w="221"/>
        <w:gridCol w:w="1460"/>
        <w:gridCol w:w="220"/>
        <w:gridCol w:w="1489"/>
        <w:gridCol w:w="220"/>
        <w:gridCol w:w="200"/>
        <w:gridCol w:w="1134"/>
        <w:gridCol w:w="200"/>
        <w:gridCol w:w="220"/>
        <w:gridCol w:w="200"/>
        <w:gridCol w:w="1059"/>
        <w:gridCol w:w="200"/>
        <w:gridCol w:w="220"/>
        <w:gridCol w:w="1459"/>
        <w:gridCol w:w="220"/>
        <w:gridCol w:w="1489"/>
        <w:gridCol w:w="220"/>
        <w:gridCol w:w="200"/>
        <w:gridCol w:w="1134"/>
        <w:gridCol w:w="201"/>
      </w:tblGrid>
      <w:tr w:rsidR="00141675" w:rsidRPr="00141675" w14:paraId="669CA238" w14:textId="77777777" w:rsidTr="00141675">
        <w:tc>
          <w:tcPr>
            <w:tcW w:w="6950" w:type="dxa"/>
            <w:shd w:val="clear" w:color="auto" w:fill="FFFFFF"/>
            <w:tcMar>
              <w:top w:w="15" w:type="dxa"/>
              <w:left w:w="0" w:type="dxa"/>
              <w:bottom w:w="0" w:type="dxa"/>
              <w:right w:w="15" w:type="dxa"/>
            </w:tcMar>
            <w:vAlign w:val="center"/>
            <w:hideMark/>
          </w:tcPr>
          <w:p w14:paraId="4B1A2E02"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4663CCC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7DB2F3A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2" w:type="dxa"/>
            <w:shd w:val="clear" w:color="auto" w:fill="FFFFFF"/>
            <w:noWrap/>
            <w:tcMar>
              <w:top w:w="15" w:type="dxa"/>
              <w:left w:w="0" w:type="dxa"/>
              <w:bottom w:w="0" w:type="dxa"/>
              <w:right w:w="15" w:type="dxa"/>
            </w:tcMar>
            <w:vAlign w:val="bottom"/>
            <w:hideMark/>
          </w:tcPr>
          <w:p w14:paraId="553980C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A0EB7C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41ADF4F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499B51C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10269D9" w14:textId="77777777" w:rsidTr="00141675">
        <w:tc>
          <w:tcPr>
            <w:tcW w:w="6950" w:type="dxa"/>
            <w:shd w:val="clear" w:color="auto" w:fill="FFFFFF"/>
            <w:tcMar>
              <w:top w:w="15" w:type="dxa"/>
              <w:left w:w="0" w:type="dxa"/>
              <w:bottom w:w="0" w:type="dxa"/>
              <w:right w:w="15" w:type="dxa"/>
            </w:tcMar>
            <w:vAlign w:val="center"/>
            <w:hideMark/>
          </w:tcPr>
          <w:p w14:paraId="22082C4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2E96F21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6FD2177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69DB62D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206C6CF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7A9CE77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067BE3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56F9B1B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442413B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371664C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7125BAD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4F7E27B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35C7894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42E9454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0A1467C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4BDDF7B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D75DB3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4D67806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16B4FA4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37F35FD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0EB0D5B0"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6F6C0517" w14:textId="77777777" w:rsidTr="00141675">
        <w:tc>
          <w:tcPr>
            <w:tcW w:w="6950" w:type="dxa"/>
            <w:tcBorders>
              <w:bottom w:val="single" w:sz="6" w:space="0" w:color="000000"/>
            </w:tcBorders>
            <w:shd w:val="clear" w:color="auto" w:fill="FFFFFF"/>
            <w:tcMar>
              <w:top w:w="15" w:type="dxa"/>
              <w:left w:w="0" w:type="dxa"/>
              <w:bottom w:w="0" w:type="dxa"/>
              <w:right w:w="15" w:type="dxa"/>
            </w:tcMar>
            <w:vAlign w:val="bottom"/>
            <w:hideMark/>
          </w:tcPr>
          <w:p w14:paraId="44A38A6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5101E38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5082251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2BD5603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center"/>
            <w:hideMark/>
          </w:tcPr>
          <w:p w14:paraId="33D8B95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C4AB0D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center"/>
            <w:hideMark/>
          </w:tcPr>
          <w:p w14:paraId="786E31F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67ED99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center"/>
            <w:hideMark/>
          </w:tcPr>
          <w:p w14:paraId="3B6E7D8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18D3623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006AAEB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7BD962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5F36DAD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5676730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9280B4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3045183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65BF51D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7B2BC9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1EF96B0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618CEA8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760D185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394B8B7A" w14:textId="77777777" w:rsidTr="00141675">
        <w:tc>
          <w:tcPr>
            <w:tcW w:w="6950" w:type="dxa"/>
            <w:tcBorders>
              <w:top w:val="single" w:sz="6" w:space="0" w:color="000000"/>
            </w:tcBorders>
            <w:shd w:val="clear" w:color="auto" w:fill="CFF0FC"/>
            <w:tcMar>
              <w:top w:w="15" w:type="dxa"/>
              <w:left w:w="0" w:type="dxa"/>
              <w:bottom w:w="0" w:type="dxa"/>
              <w:right w:w="15" w:type="dxa"/>
            </w:tcMar>
            <w:hideMark/>
          </w:tcPr>
          <w:p w14:paraId="1E0C3F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General and administrative</w:t>
            </w:r>
            <w:r w:rsidRPr="00141675">
              <w:rPr>
                <w:rFonts w:ascii="Calibri" w:eastAsia="宋体" w:hAnsi="Calibri" w:cs="Calibri"/>
                <w:color w:val="000000"/>
                <w:kern w:val="0"/>
                <w:sz w:val="18"/>
                <w:szCs w:val="18"/>
                <w:vertAlign w:val="superscript"/>
              </w:rPr>
              <w:t>(1)</w:t>
            </w:r>
          </w:p>
        </w:tc>
        <w:tc>
          <w:tcPr>
            <w:tcW w:w="220" w:type="dxa"/>
            <w:shd w:val="clear" w:color="auto" w:fill="CFF0FC"/>
            <w:tcMar>
              <w:top w:w="15" w:type="dxa"/>
              <w:left w:w="0" w:type="dxa"/>
              <w:bottom w:w="0" w:type="dxa"/>
              <w:right w:w="15" w:type="dxa"/>
            </w:tcMar>
            <w:vAlign w:val="bottom"/>
            <w:hideMark/>
          </w:tcPr>
          <w:p w14:paraId="56F8DD2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24495C7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2D6E052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282</w:t>
            </w:r>
          </w:p>
        </w:tc>
        <w:tc>
          <w:tcPr>
            <w:tcW w:w="192" w:type="dxa"/>
            <w:shd w:val="clear" w:color="auto" w:fill="CFF0FC"/>
            <w:noWrap/>
            <w:tcMar>
              <w:top w:w="15" w:type="dxa"/>
              <w:left w:w="0" w:type="dxa"/>
              <w:bottom w:w="0" w:type="dxa"/>
              <w:right w:w="15" w:type="dxa"/>
            </w:tcMar>
            <w:vAlign w:val="bottom"/>
            <w:hideMark/>
          </w:tcPr>
          <w:p w14:paraId="70C83F3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D2D4A70"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5D8D8C7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w:t>
            </w:r>
          </w:p>
        </w:tc>
        <w:tc>
          <w:tcPr>
            <w:tcW w:w="220" w:type="dxa"/>
            <w:shd w:val="clear" w:color="auto" w:fill="CFF0FC"/>
            <w:tcMar>
              <w:top w:w="15" w:type="dxa"/>
              <w:left w:w="0" w:type="dxa"/>
              <w:bottom w:w="0" w:type="dxa"/>
              <w:right w:w="15" w:type="dxa"/>
            </w:tcMar>
            <w:vAlign w:val="bottom"/>
            <w:hideMark/>
          </w:tcPr>
          <w:p w14:paraId="1A52B302"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71AA1E4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w:t>
            </w:r>
          </w:p>
        </w:tc>
        <w:tc>
          <w:tcPr>
            <w:tcW w:w="220" w:type="dxa"/>
            <w:shd w:val="clear" w:color="auto" w:fill="CFF0FC"/>
            <w:tcMar>
              <w:top w:w="15" w:type="dxa"/>
              <w:left w:w="0" w:type="dxa"/>
              <w:bottom w:w="0" w:type="dxa"/>
              <w:right w:w="15" w:type="dxa"/>
            </w:tcMar>
            <w:vAlign w:val="bottom"/>
            <w:hideMark/>
          </w:tcPr>
          <w:p w14:paraId="26587FBB"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2C28FF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3BD23DC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256</w:t>
            </w:r>
          </w:p>
        </w:tc>
        <w:tc>
          <w:tcPr>
            <w:tcW w:w="192" w:type="dxa"/>
            <w:shd w:val="clear" w:color="auto" w:fill="CFF0FC"/>
            <w:noWrap/>
            <w:tcMar>
              <w:top w:w="15" w:type="dxa"/>
              <w:left w:w="0" w:type="dxa"/>
              <w:bottom w:w="0" w:type="dxa"/>
              <w:right w:w="15" w:type="dxa"/>
            </w:tcMar>
            <w:vAlign w:val="bottom"/>
            <w:hideMark/>
          </w:tcPr>
          <w:p w14:paraId="0B9A0D9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007EF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3B84DAA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72C462C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535</w:t>
            </w:r>
          </w:p>
        </w:tc>
        <w:tc>
          <w:tcPr>
            <w:tcW w:w="192" w:type="dxa"/>
            <w:shd w:val="clear" w:color="auto" w:fill="CFF0FC"/>
            <w:noWrap/>
            <w:tcMar>
              <w:top w:w="15" w:type="dxa"/>
              <w:left w:w="0" w:type="dxa"/>
              <w:bottom w:w="0" w:type="dxa"/>
              <w:right w:w="15" w:type="dxa"/>
            </w:tcMar>
            <w:vAlign w:val="bottom"/>
            <w:hideMark/>
          </w:tcPr>
          <w:p w14:paraId="730F262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738156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2D9A5C9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15DF324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2E9969D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4E7E744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6440E9A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29511F5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532</w:t>
            </w:r>
          </w:p>
        </w:tc>
        <w:tc>
          <w:tcPr>
            <w:tcW w:w="193" w:type="dxa"/>
            <w:shd w:val="clear" w:color="auto" w:fill="CFF0FC"/>
            <w:noWrap/>
            <w:tcMar>
              <w:top w:w="15" w:type="dxa"/>
              <w:left w:w="0" w:type="dxa"/>
              <w:bottom w:w="0" w:type="dxa"/>
              <w:right w:w="15" w:type="dxa"/>
            </w:tcMar>
            <w:vAlign w:val="bottom"/>
            <w:hideMark/>
          </w:tcPr>
          <w:p w14:paraId="282BF4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4B2AA79" w14:textId="77777777" w:rsidTr="00141675">
        <w:tc>
          <w:tcPr>
            <w:tcW w:w="6950" w:type="dxa"/>
            <w:shd w:val="clear" w:color="auto" w:fill="FFFFFF"/>
            <w:tcMar>
              <w:top w:w="15" w:type="dxa"/>
              <w:left w:w="0" w:type="dxa"/>
              <w:bottom w:w="0" w:type="dxa"/>
              <w:right w:w="15" w:type="dxa"/>
            </w:tcMar>
            <w:hideMark/>
          </w:tcPr>
          <w:p w14:paraId="2232976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Stock-based compensation</w:t>
            </w:r>
          </w:p>
        </w:tc>
        <w:tc>
          <w:tcPr>
            <w:tcW w:w="220" w:type="dxa"/>
            <w:shd w:val="clear" w:color="auto" w:fill="FFFFFF"/>
            <w:tcMar>
              <w:top w:w="15" w:type="dxa"/>
              <w:left w:w="0" w:type="dxa"/>
              <w:bottom w:w="0" w:type="dxa"/>
              <w:right w:w="15" w:type="dxa"/>
            </w:tcMar>
            <w:vAlign w:val="bottom"/>
            <w:hideMark/>
          </w:tcPr>
          <w:p w14:paraId="09E7C46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1B65954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231CAF0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41</w:t>
            </w:r>
          </w:p>
        </w:tc>
        <w:tc>
          <w:tcPr>
            <w:tcW w:w="192" w:type="dxa"/>
            <w:shd w:val="clear" w:color="auto" w:fill="FFFFFF"/>
            <w:noWrap/>
            <w:tcMar>
              <w:top w:w="15" w:type="dxa"/>
              <w:left w:w="0" w:type="dxa"/>
              <w:bottom w:w="0" w:type="dxa"/>
              <w:right w:w="15" w:type="dxa"/>
            </w:tcMar>
            <w:vAlign w:val="bottom"/>
            <w:hideMark/>
          </w:tcPr>
          <w:p w14:paraId="1E74023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3854A1F"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0B79812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vAlign w:val="bottom"/>
            <w:hideMark/>
          </w:tcPr>
          <w:p w14:paraId="4F5D3CC4"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46F1057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220" w:type="dxa"/>
            <w:shd w:val="clear" w:color="auto" w:fill="FFFFFF"/>
            <w:tcMar>
              <w:top w:w="15" w:type="dxa"/>
              <w:left w:w="0" w:type="dxa"/>
              <w:bottom w:w="0" w:type="dxa"/>
              <w:right w:w="15" w:type="dxa"/>
            </w:tcMar>
            <w:vAlign w:val="bottom"/>
            <w:hideMark/>
          </w:tcPr>
          <w:p w14:paraId="276C87E5"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09A61C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44ADCE0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43</w:t>
            </w:r>
          </w:p>
        </w:tc>
        <w:tc>
          <w:tcPr>
            <w:tcW w:w="192" w:type="dxa"/>
            <w:shd w:val="clear" w:color="auto" w:fill="FFFFFF"/>
            <w:noWrap/>
            <w:tcMar>
              <w:top w:w="15" w:type="dxa"/>
              <w:left w:w="0" w:type="dxa"/>
              <w:bottom w:w="0" w:type="dxa"/>
              <w:right w:w="15" w:type="dxa"/>
            </w:tcMar>
            <w:vAlign w:val="bottom"/>
            <w:hideMark/>
          </w:tcPr>
          <w:p w14:paraId="5AC5E5E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51145A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32A8F73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172209E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w:t>
            </w:r>
          </w:p>
        </w:tc>
        <w:tc>
          <w:tcPr>
            <w:tcW w:w="192" w:type="dxa"/>
            <w:shd w:val="clear" w:color="auto" w:fill="FFFFFF"/>
            <w:noWrap/>
            <w:tcMar>
              <w:top w:w="15" w:type="dxa"/>
              <w:left w:w="0" w:type="dxa"/>
              <w:bottom w:w="0" w:type="dxa"/>
              <w:right w:w="15" w:type="dxa"/>
            </w:tcMar>
            <w:vAlign w:val="bottom"/>
            <w:hideMark/>
          </w:tcPr>
          <w:p w14:paraId="0FE37B0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24F287C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0750339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220" w:type="dxa"/>
            <w:shd w:val="clear" w:color="auto" w:fill="FFFFFF"/>
            <w:tcMar>
              <w:top w:w="15" w:type="dxa"/>
              <w:left w:w="0" w:type="dxa"/>
              <w:bottom w:w="0" w:type="dxa"/>
              <w:right w:w="15" w:type="dxa"/>
            </w:tcMar>
            <w:vAlign w:val="bottom"/>
            <w:hideMark/>
          </w:tcPr>
          <w:p w14:paraId="2AD7EE3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38DA7CF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220" w:type="dxa"/>
            <w:shd w:val="clear" w:color="auto" w:fill="FFFFFF"/>
            <w:tcMar>
              <w:top w:w="15" w:type="dxa"/>
              <w:left w:w="0" w:type="dxa"/>
              <w:bottom w:w="0" w:type="dxa"/>
              <w:right w:w="15" w:type="dxa"/>
            </w:tcMar>
            <w:vAlign w:val="bottom"/>
            <w:hideMark/>
          </w:tcPr>
          <w:p w14:paraId="30F8C0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51ECDF5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0741931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87</w:t>
            </w:r>
          </w:p>
        </w:tc>
        <w:tc>
          <w:tcPr>
            <w:tcW w:w="193" w:type="dxa"/>
            <w:shd w:val="clear" w:color="auto" w:fill="FFFFFF"/>
            <w:noWrap/>
            <w:tcMar>
              <w:top w:w="15" w:type="dxa"/>
              <w:left w:w="0" w:type="dxa"/>
              <w:bottom w:w="0" w:type="dxa"/>
              <w:right w:w="15" w:type="dxa"/>
            </w:tcMar>
            <w:vAlign w:val="bottom"/>
            <w:hideMark/>
          </w:tcPr>
          <w:p w14:paraId="79B44B1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9AD424E" w14:textId="77777777" w:rsidTr="00141675">
        <w:tc>
          <w:tcPr>
            <w:tcW w:w="6950" w:type="dxa"/>
            <w:shd w:val="clear" w:color="auto" w:fill="CFF0FC"/>
            <w:tcMar>
              <w:top w:w="15" w:type="dxa"/>
              <w:left w:w="0" w:type="dxa"/>
              <w:bottom w:w="0" w:type="dxa"/>
              <w:right w:w="15" w:type="dxa"/>
            </w:tcMar>
            <w:hideMark/>
          </w:tcPr>
          <w:p w14:paraId="25429F14"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expenses</w:t>
            </w:r>
          </w:p>
        </w:tc>
        <w:tc>
          <w:tcPr>
            <w:tcW w:w="220" w:type="dxa"/>
            <w:shd w:val="clear" w:color="auto" w:fill="CFF0FC"/>
            <w:tcMar>
              <w:top w:w="15" w:type="dxa"/>
              <w:left w:w="0" w:type="dxa"/>
              <w:bottom w:w="0" w:type="dxa"/>
              <w:right w:w="15" w:type="dxa"/>
            </w:tcMar>
            <w:vAlign w:val="bottom"/>
            <w:hideMark/>
          </w:tcPr>
          <w:p w14:paraId="07DD81C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7C996D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BADDD7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323</w:t>
            </w:r>
          </w:p>
        </w:tc>
        <w:tc>
          <w:tcPr>
            <w:tcW w:w="192" w:type="dxa"/>
            <w:shd w:val="clear" w:color="auto" w:fill="CFF0FC"/>
            <w:noWrap/>
            <w:tcMar>
              <w:top w:w="15" w:type="dxa"/>
              <w:left w:w="0" w:type="dxa"/>
              <w:bottom w:w="0" w:type="dxa"/>
              <w:right w:w="15" w:type="dxa"/>
            </w:tcMar>
            <w:vAlign w:val="bottom"/>
            <w:hideMark/>
          </w:tcPr>
          <w:p w14:paraId="081568F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868534D"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CFF0FC"/>
            <w:tcMar>
              <w:top w:w="15" w:type="dxa"/>
              <w:left w:w="0" w:type="dxa"/>
              <w:bottom w:w="0" w:type="dxa"/>
              <w:right w:w="15" w:type="dxa"/>
            </w:tcMar>
            <w:vAlign w:val="bottom"/>
            <w:hideMark/>
          </w:tcPr>
          <w:p w14:paraId="155071B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220" w:type="dxa"/>
            <w:shd w:val="clear" w:color="auto" w:fill="CFF0FC"/>
            <w:tcMar>
              <w:top w:w="15" w:type="dxa"/>
              <w:left w:w="0" w:type="dxa"/>
              <w:bottom w:w="0" w:type="dxa"/>
              <w:right w:w="15" w:type="dxa"/>
            </w:tcMar>
            <w:vAlign w:val="bottom"/>
            <w:hideMark/>
          </w:tcPr>
          <w:p w14:paraId="4A272A8F"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CFF0FC"/>
            <w:tcMar>
              <w:top w:w="15" w:type="dxa"/>
              <w:left w:w="0" w:type="dxa"/>
              <w:bottom w:w="0" w:type="dxa"/>
              <w:right w:w="15" w:type="dxa"/>
            </w:tcMar>
            <w:vAlign w:val="bottom"/>
            <w:hideMark/>
          </w:tcPr>
          <w:p w14:paraId="5B9888D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tc>
        <w:tc>
          <w:tcPr>
            <w:tcW w:w="220" w:type="dxa"/>
            <w:shd w:val="clear" w:color="auto" w:fill="CFF0FC"/>
            <w:tcMar>
              <w:top w:w="15" w:type="dxa"/>
              <w:left w:w="0" w:type="dxa"/>
              <w:bottom w:w="0" w:type="dxa"/>
              <w:right w:w="15" w:type="dxa"/>
            </w:tcMar>
            <w:vAlign w:val="bottom"/>
            <w:hideMark/>
          </w:tcPr>
          <w:p w14:paraId="05C57DBD"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4757D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A6BA9E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299</w:t>
            </w:r>
          </w:p>
        </w:tc>
        <w:tc>
          <w:tcPr>
            <w:tcW w:w="192" w:type="dxa"/>
            <w:shd w:val="clear" w:color="auto" w:fill="CFF0FC"/>
            <w:noWrap/>
            <w:tcMar>
              <w:top w:w="15" w:type="dxa"/>
              <w:left w:w="0" w:type="dxa"/>
              <w:bottom w:w="0" w:type="dxa"/>
              <w:right w:w="15" w:type="dxa"/>
            </w:tcMar>
            <w:vAlign w:val="bottom"/>
            <w:hideMark/>
          </w:tcPr>
          <w:p w14:paraId="7F6222D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2DE773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B90DB0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F2FE8E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615</w:t>
            </w:r>
          </w:p>
        </w:tc>
        <w:tc>
          <w:tcPr>
            <w:tcW w:w="192" w:type="dxa"/>
            <w:shd w:val="clear" w:color="auto" w:fill="CFF0FC"/>
            <w:noWrap/>
            <w:tcMar>
              <w:top w:w="15" w:type="dxa"/>
              <w:left w:w="0" w:type="dxa"/>
              <w:bottom w:w="0" w:type="dxa"/>
              <w:right w:w="15" w:type="dxa"/>
            </w:tcMar>
            <w:vAlign w:val="bottom"/>
            <w:hideMark/>
          </w:tcPr>
          <w:p w14:paraId="4C077A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600E43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7B402F2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w:t>
            </w:r>
          </w:p>
        </w:tc>
        <w:tc>
          <w:tcPr>
            <w:tcW w:w="220" w:type="dxa"/>
            <w:shd w:val="clear" w:color="auto" w:fill="CFF0FC"/>
            <w:tcMar>
              <w:top w:w="15" w:type="dxa"/>
              <w:left w:w="0" w:type="dxa"/>
              <w:bottom w:w="0" w:type="dxa"/>
              <w:right w:w="15" w:type="dxa"/>
            </w:tcMar>
            <w:vAlign w:val="bottom"/>
            <w:hideMark/>
          </w:tcPr>
          <w:p w14:paraId="685ED4B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19129A8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0%</w:t>
            </w:r>
          </w:p>
        </w:tc>
        <w:tc>
          <w:tcPr>
            <w:tcW w:w="220" w:type="dxa"/>
            <w:shd w:val="clear" w:color="auto" w:fill="CFF0FC"/>
            <w:tcMar>
              <w:top w:w="15" w:type="dxa"/>
              <w:left w:w="0" w:type="dxa"/>
              <w:bottom w:w="0" w:type="dxa"/>
              <w:right w:w="15" w:type="dxa"/>
            </w:tcMar>
            <w:vAlign w:val="bottom"/>
            <w:hideMark/>
          </w:tcPr>
          <w:p w14:paraId="79BF6CD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C00DC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5DCC39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619</w:t>
            </w:r>
          </w:p>
        </w:tc>
        <w:tc>
          <w:tcPr>
            <w:tcW w:w="193" w:type="dxa"/>
            <w:shd w:val="clear" w:color="auto" w:fill="CFF0FC"/>
            <w:noWrap/>
            <w:tcMar>
              <w:top w:w="15" w:type="dxa"/>
              <w:left w:w="0" w:type="dxa"/>
              <w:bottom w:w="0" w:type="dxa"/>
              <w:right w:w="15" w:type="dxa"/>
            </w:tcMar>
            <w:vAlign w:val="bottom"/>
            <w:hideMark/>
          </w:tcPr>
          <w:p w14:paraId="414831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CA5B19E" w14:textId="77777777" w:rsidTr="00141675">
        <w:tc>
          <w:tcPr>
            <w:tcW w:w="6950" w:type="dxa"/>
            <w:shd w:val="clear" w:color="auto" w:fill="FFFFFF"/>
            <w:tcMar>
              <w:top w:w="15" w:type="dxa"/>
              <w:left w:w="0" w:type="dxa"/>
              <w:bottom w:w="0" w:type="dxa"/>
              <w:right w:w="15" w:type="dxa"/>
            </w:tcMar>
            <w:hideMark/>
          </w:tcPr>
          <w:p w14:paraId="56D55019" w14:textId="77777777" w:rsidR="00141675" w:rsidRPr="00141675" w:rsidRDefault="00141675" w:rsidP="00141675">
            <w:pPr>
              <w:widowControl/>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 of Total Revenues</w:t>
            </w:r>
          </w:p>
        </w:tc>
        <w:tc>
          <w:tcPr>
            <w:tcW w:w="220" w:type="dxa"/>
            <w:shd w:val="clear" w:color="auto" w:fill="FFFFFF"/>
            <w:tcMar>
              <w:top w:w="15" w:type="dxa"/>
              <w:left w:w="0" w:type="dxa"/>
              <w:bottom w:w="0" w:type="dxa"/>
              <w:right w:w="15" w:type="dxa"/>
            </w:tcMar>
            <w:vAlign w:val="bottom"/>
            <w:hideMark/>
          </w:tcPr>
          <w:p w14:paraId="506EBDE6" w14:textId="77777777" w:rsidR="00141675" w:rsidRPr="00141675" w:rsidRDefault="00141675" w:rsidP="00141675">
            <w:pPr>
              <w:widowControl/>
              <w:jc w:val="left"/>
              <w:rPr>
                <w:rFonts w:ascii="Calibri" w:eastAsia="宋体" w:hAnsi="Calibri" w:cs="Calibri"/>
                <w:b/>
                <w:bCs/>
                <w:i/>
                <w:iCs/>
                <w:color w:val="000000"/>
                <w:kern w:val="0"/>
                <w:sz w:val="22"/>
              </w:rPr>
            </w:pPr>
            <w:r w:rsidRPr="00141675">
              <w:rPr>
                <w:rFonts w:ascii="Calibri" w:eastAsia="宋体" w:hAnsi="Calibri" w:cs="Calibri"/>
                <w:b/>
                <w:bCs/>
                <w:i/>
                <w:iCs/>
                <w:color w:val="000000"/>
                <w:kern w:val="0"/>
                <w:sz w:val="22"/>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4378133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2" w:type="dxa"/>
            <w:shd w:val="clear" w:color="auto" w:fill="FFFFFF"/>
            <w:noWrap/>
            <w:tcMar>
              <w:top w:w="15" w:type="dxa"/>
              <w:left w:w="0" w:type="dxa"/>
              <w:bottom w:w="0" w:type="dxa"/>
              <w:right w:w="15" w:type="dxa"/>
            </w:tcMar>
            <w:vAlign w:val="bottom"/>
            <w:hideMark/>
          </w:tcPr>
          <w:p w14:paraId="70853B8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24AA0FC"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440EBAB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41CD54C"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612F728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449FF3B"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55D1783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2" w:type="dxa"/>
            <w:shd w:val="clear" w:color="auto" w:fill="FFFFFF"/>
            <w:noWrap/>
            <w:tcMar>
              <w:top w:w="15" w:type="dxa"/>
              <w:left w:w="0" w:type="dxa"/>
              <w:bottom w:w="0" w:type="dxa"/>
              <w:right w:w="15" w:type="dxa"/>
            </w:tcMar>
            <w:vAlign w:val="bottom"/>
            <w:hideMark/>
          </w:tcPr>
          <w:p w14:paraId="5FFE951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4AAD13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68295C2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2" w:type="dxa"/>
            <w:shd w:val="clear" w:color="auto" w:fill="FFFFFF"/>
            <w:noWrap/>
            <w:tcMar>
              <w:top w:w="15" w:type="dxa"/>
              <w:left w:w="0" w:type="dxa"/>
              <w:bottom w:w="0" w:type="dxa"/>
              <w:right w:w="15" w:type="dxa"/>
            </w:tcMar>
            <w:vAlign w:val="bottom"/>
            <w:hideMark/>
          </w:tcPr>
          <w:p w14:paraId="15C2672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DFCAC4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4169B02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E96AC6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4560605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1D5C54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7A2FFCF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w:t>
            </w:r>
          </w:p>
        </w:tc>
        <w:tc>
          <w:tcPr>
            <w:tcW w:w="193" w:type="dxa"/>
            <w:shd w:val="clear" w:color="auto" w:fill="FFFFFF"/>
            <w:noWrap/>
            <w:tcMar>
              <w:top w:w="15" w:type="dxa"/>
              <w:left w:w="0" w:type="dxa"/>
              <w:bottom w:w="0" w:type="dxa"/>
              <w:right w:w="15" w:type="dxa"/>
            </w:tcMar>
            <w:vAlign w:val="bottom"/>
            <w:hideMark/>
          </w:tcPr>
          <w:p w14:paraId="1E08A4C4"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0B9BE001" w14:textId="77777777" w:rsidR="00141675" w:rsidRPr="00141675" w:rsidRDefault="00141675" w:rsidP="00141675">
      <w:pPr>
        <w:widowControl/>
        <w:pBdr>
          <w:bottom w:val="single" w:sz="6" w:space="1" w:color="auto"/>
        </w:pBdr>
        <w:ind w:right="18324"/>
        <w:jc w:val="left"/>
        <w:rPr>
          <w:rFonts w:ascii="Calibri" w:eastAsia="宋体" w:hAnsi="Calibri" w:cs="Calibri"/>
          <w:color w:val="000000"/>
          <w:kern w:val="0"/>
          <w:sz w:val="8"/>
          <w:szCs w:val="8"/>
        </w:rPr>
      </w:pPr>
      <w:r w:rsidRPr="00141675">
        <w:rPr>
          <w:rFonts w:ascii="Calibri" w:eastAsia="宋体" w:hAnsi="Calibri" w:cs="Calibri"/>
          <w:color w:val="000000"/>
          <w:kern w:val="0"/>
          <w:sz w:val="8"/>
          <w:szCs w:val="8"/>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1E1C38C7" w14:textId="77777777" w:rsidTr="00141675">
        <w:tc>
          <w:tcPr>
            <w:tcW w:w="794" w:type="dxa"/>
            <w:noWrap/>
            <w:hideMark/>
          </w:tcPr>
          <w:p w14:paraId="75ED4586"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8"/>
                <w:szCs w:val="18"/>
                <w:vertAlign w:val="superscript"/>
              </w:rPr>
              <w:t>(1)</w:t>
            </w:r>
          </w:p>
        </w:tc>
        <w:tc>
          <w:tcPr>
            <w:tcW w:w="0" w:type="auto"/>
            <w:hideMark/>
          </w:tcPr>
          <w:p w14:paraId="2A912A9B" w14:textId="77777777" w:rsidR="00141675" w:rsidRPr="00141675" w:rsidRDefault="00141675" w:rsidP="00141675">
            <w:pPr>
              <w:widowControl/>
              <w:spacing w:before="40"/>
              <w:rPr>
                <w:rFonts w:ascii="Calibri" w:eastAsia="宋体" w:hAnsi="Calibri" w:cs="Calibri"/>
                <w:kern w:val="0"/>
                <w:sz w:val="15"/>
                <w:szCs w:val="15"/>
              </w:rPr>
            </w:pPr>
            <w:r w:rsidRPr="00141675">
              <w:rPr>
                <w:rFonts w:ascii="Calibri" w:eastAsia="宋体" w:hAnsi="Calibri" w:cs="Calibri"/>
                <w:kern w:val="0"/>
                <w:sz w:val="15"/>
                <w:szCs w:val="15"/>
              </w:rPr>
              <w:t>Excluding stock-based compensation</w:t>
            </w:r>
          </w:p>
        </w:tc>
      </w:tr>
    </w:tbl>
    <w:p w14:paraId="3BBAF42C"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Fiscal Second Quarter 2020 Compared to Fiscal Second Quarter 2019:   </w:t>
      </w:r>
      <w:r w:rsidRPr="00141675">
        <w:rPr>
          <w:rFonts w:ascii="Calibri" w:eastAsia="宋体" w:hAnsi="Calibri" w:cs="Calibri"/>
          <w:color w:val="000000"/>
          <w:kern w:val="0"/>
          <w:sz w:val="20"/>
          <w:szCs w:val="20"/>
        </w:rPr>
        <w:t>On a constant currency basis, total general and administrative expenses increased during the second quarter of fiscal 2020 relative to the corresponding prior year period primarily due to higher employee related expenses and professional fees.</w:t>
      </w:r>
    </w:p>
    <w:p w14:paraId="0E361993"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First Half Fiscal 2020 Compared to First Half Fiscal 2019:   </w:t>
      </w:r>
      <w:r w:rsidRPr="00141675">
        <w:rPr>
          <w:rFonts w:ascii="Calibri" w:eastAsia="宋体" w:hAnsi="Calibri" w:cs="Calibri"/>
          <w:color w:val="000000"/>
          <w:kern w:val="0"/>
          <w:sz w:val="20"/>
          <w:szCs w:val="20"/>
        </w:rPr>
        <w:t>On a constant currency basis, total general and administrative expenses were flat during the first half of fiscal 2020 relative to the corresponding prior year period. Higher constant currency employee related expenses during the first half of fiscal 2020 were offset by a $29 million litigation related benefit that we do not expect to recur that was recorded during the same period.</w:t>
      </w:r>
    </w:p>
    <w:p w14:paraId="4C7FCADC"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Amortization of Intangible Assets:</w:t>
      </w:r>
      <w:r w:rsidRPr="00141675">
        <w:rPr>
          <w:rFonts w:ascii="Calibri" w:eastAsia="宋体" w:hAnsi="Calibri" w:cs="Calibri"/>
          <w:color w:val="000000"/>
          <w:kern w:val="0"/>
          <w:sz w:val="20"/>
          <w:szCs w:val="20"/>
        </w:rPr>
        <w:t>   Substantially all of our intangible assets were acquired through our business combinations. We amortize our intangible assets over, and monitor the appropriateness of, the estimated useful lives of these assets. We also periodically review these intangible assets for potential impairment based upon relevant facts and circumstances. Note 4 of Notes to Condensed Consolidated Financial Statements included elsewhere in this Quarterly Report has additional information regarding our intangible assets and related amortization.</w:t>
      </w:r>
    </w:p>
    <w:p w14:paraId="5D962513"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65"/>
        <w:gridCol w:w="221"/>
        <w:gridCol w:w="201"/>
        <w:gridCol w:w="1060"/>
        <w:gridCol w:w="201"/>
        <w:gridCol w:w="221"/>
        <w:gridCol w:w="1460"/>
        <w:gridCol w:w="220"/>
        <w:gridCol w:w="1489"/>
        <w:gridCol w:w="220"/>
        <w:gridCol w:w="200"/>
        <w:gridCol w:w="1134"/>
        <w:gridCol w:w="200"/>
        <w:gridCol w:w="220"/>
        <w:gridCol w:w="200"/>
        <w:gridCol w:w="1059"/>
        <w:gridCol w:w="200"/>
        <w:gridCol w:w="220"/>
        <w:gridCol w:w="1459"/>
        <w:gridCol w:w="220"/>
        <w:gridCol w:w="1489"/>
        <w:gridCol w:w="220"/>
        <w:gridCol w:w="200"/>
        <w:gridCol w:w="1134"/>
        <w:gridCol w:w="201"/>
      </w:tblGrid>
      <w:tr w:rsidR="00141675" w:rsidRPr="00141675" w14:paraId="79D8E9AF" w14:textId="77777777" w:rsidTr="00141675">
        <w:tc>
          <w:tcPr>
            <w:tcW w:w="6950" w:type="dxa"/>
            <w:shd w:val="clear" w:color="auto" w:fill="FFFFFF"/>
            <w:tcMar>
              <w:top w:w="15" w:type="dxa"/>
              <w:left w:w="0" w:type="dxa"/>
              <w:bottom w:w="0" w:type="dxa"/>
              <w:right w:w="15" w:type="dxa"/>
            </w:tcMar>
            <w:vAlign w:val="center"/>
            <w:hideMark/>
          </w:tcPr>
          <w:p w14:paraId="64192ADC"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348E156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49D82EA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2" w:type="dxa"/>
            <w:shd w:val="clear" w:color="auto" w:fill="FFFFFF"/>
            <w:noWrap/>
            <w:tcMar>
              <w:top w:w="15" w:type="dxa"/>
              <w:left w:w="0" w:type="dxa"/>
              <w:bottom w:w="0" w:type="dxa"/>
              <w:right w:w="15" w:type="dxa"/>
            </w:tcMar>
            <w:vAlign w:val="bottom"/>
            <w:hideMark/>
          </w:tcPr>
          <w:p w14:paraId="0583219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2ABDAD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65F8680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05BB347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2A4C3FE6" w14:textId="77777777" w:rsidTr="00141675">
        <w:tc>
          <w:tcPr>
            <w:tcW w:w="6950" w:type="dxa"/>
            <w:shd w:val="clear" w:color="auto" w:fill="FFFFFF"/>
            <w:tcMar>
              <w:top w:w="15" w:type="dxa"/>
              <w:left w:w="0" w:type="dxa"/>
              <w:bottom w:w="0" w:type="dxa"/>
              <w:right w:w="15" w:type="dxa"/>
            </w:tcMar>
            <w:vAlign w:val="center"/>
            <w:hideMark/>
          </w:tcPr>
          <w:p w14:paraId="1189D5B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6FD879C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5EC4151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2369F8E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337DD4A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7D543A1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344CD3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2181501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78EA09B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4582EA3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4A60709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0CC093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5E89DA2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6982979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51FDF64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16DF23F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973B0D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365325F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2EE3EE4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79394EE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2694820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4F9841ED" w14:textId="77777777" w:rsidTr="00141675">
        <w:tc>
          <w:tcPr>
            <w:tcW w:w="6950" w:type="dxa"/>
            <w:tcBorders>
              <w:bottom w:val="single" w:sz="6" w:space="0" w:color="000000"/>
            </w:tcBorders>
            <w:shd w:val="clear" w:color="auto" w:fill="FFFFFF"/>
            <w:tcMar>
              <w:top w:w="15" w:type="dxa"/>
              <w:left w:w="0" w:type="dxa"/>
              <w:bottom w:w="0" w:type="dxa"/>
              <w:right w:w="15" w:type="dxa"/>
            </w:tcMar>
            <w:vAlign w:val="bottom"/>
            <w:hideMark/>
          </w:tcPr>
          <w:p w14:paraId="4A3C24B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005A136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1AA6CE0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0C3AAF3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425FF26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E3324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280C266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52942C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4AF2FF6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673D77E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3C2E809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5F07CAE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48FF62D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087FE66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2DB64FB7"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61CDA9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5BFB057C"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80E411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65E3B71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6BF2EB5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613BD64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03FF9C2B" w14:textId="77777777" w:rsidTr="00141675">
        <w:tc>
          <w:tcPr>
            <w:tcW w:w="6950" w:type="dxa"/>
            <w:tcBorders>
              <w:top w:val="single" w:sz="6" w:space="0" w:color="000000"/>
            </w:tcBorders>
            <w:shd w:val="clear" w:color="auto" w:fill="CFF0FC"/>
            <w:tcMar>
              <w:top w:w="15" w:type="dxa"/>
              <w:left w:w="0" w:type="dxa"/>
              <w:bottom w:w="0" w:type="dxa"/>
              <w:right w:w="15" w:type="dxa"/>
            </w:tcMar>
            <w:hideMark/>
          </w:tcPr>
          <w:p w14:paraId="1F25FCA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Developed technology</w:t>
            </w:r>
          </w:p>
        </w:tc>
        <w:tc>
          <w:tcPr>
            <w:tcW w:w="220" w:type="dxa"/>
            <w:shd w:val="clear" w:color="auto" w:fill="CFF0FC"/>
            <w:tcMar>
              <w:top w:w="15" w:type="dxa"/>
              <w:left w:w="0" w:type="dxa"/>
              <w:bottom w:w="0" w:type="dxa"/>
              <w:right w:w="15" w:type="dxa"/>
            </w:tcMar>
            <w:vAlign w:val="bottom"/>
            <w:hideMark/>
          </w:tcPr>
          <w:p w14:paraId="0F5AB7E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264D46C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7DA1D6F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204</w:t>
            </w:r>
          </w:p>
        </w:tc>
        <w:tc>
          <w:tcPr>
            <w:tcW w:w="192" w:type="dxa"/>
            <w:shd w:val="clear" w:color="auto" w:fill="CFF0FC"/>
            <w:noWrap/>
            <w:tcMar>
              <w:top w:w="15" w:type="dxa"/>
              <w:left w:w="0" w:type="dxa"/>
              <w:bottom w:w="0" w:type="dxa"/>
              <w:right w:w="15" w:type="dxa"/>
            </w:tcMar>
            <w:vAlign w:val="bottom"/>
            <w:hideMark/>
          </w:tcPr>
          <w:p w14:paraId="44C0161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181D8831"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3FFE8CF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CFF0FC"/>
            <w:tcMar>
              <w:top w:w="15" w:type="dxa"/>
              <w:left w:w="0" w:type="dxa"/>
              <w:bottom w:w="0" w:type="dxa"/>
              <w:right w:w="15" w:type="dxa"/>
            </w:tcMar>
            <w:vAlign w:val="bottom"/>
            <w:hideMark/>
          </w:tcPr>
          <w:p w14:paraId="2373301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15095B1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CFF0FC"/>
            <w:tcMar>
              <w:top w:w="15" w:type="dxa"/>
              <w:left w:w="0" w:type="dxa"/>
              <w:bottom w:w="0" w:type="dxa"/>
              <w:right w:w="15" w:type="dxa"/>
            </w:tcMar>
            <w:vAlign w:val="bottom"/>
            <w:hideMark/>
          </w:tcPr>
          <w:p w14:paraId="22F9698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55528C3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5ADA76A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212</w:t>
            </w:r>
          </w:p>
        </w:tc>
        <w:tc>
          <w:tcPr>
            <w:tcW w:w="192" w:type="dxa"/>
            <w:shd w:val="clear" w:color="auto" w:fill="CFF0FC"/>
            <w:noWrap/>
            <w:tcMar>
              <w:top w:w="15" w:type="dxa"/>
              <w:left w:w="0" w:type="dxa"/>
              <w:bottom w:w="0" w:type="dxa"/>
              <w:right w:w="15" w:type="dxa"/>
            </w:tcMar>
            <w:vAlign w:val="bottom"/>
            <w:hideMark/>
          </w:tcPr>
          <w:p w14:paraId="0A066F2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3E33BD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2F7C10B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459ABD6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415</w:t>
            </w:r>
          </w:p>
        </w:tc>
        <w:tc>
          <w:tcPr>
            <w:tcW w:w="192" w:type="dxa"/>
            <w:shd w:val="clear" w:color="auto" w:fill="CFF0FC"/>
            <w:noWrap/>
            <w:tcMar>
              <w:top w:w="15" w:type="dxa"/>
              <w:left w:w="0" w:type="dxa"/>
              <w:bottom w:w="0" w:type="dxa"/>
              <w:right w:w="15" w:type="dxa"/>
            </w:tcMar>
            <w:vAlign w:val="bottom"/>
            <w:hideMark/>
          </w:tcPr>
          <w:p w14:paraId="5C61391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18D7057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0BF85F6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CFF0FC"/>
            <w:tcMar>
              <w:top w:w="15" w:type="dxa"/>
              <w:left w:w="0" w:type="dxa"/>
              <w:bottom w:w="0" w:type="dxa"/>
              <w:right w:w="15" w:type="dxa"/>
            </w:tcMar>
            <w:vAlign w:val="bottom"/>
            <w:hideMark/>
          </w:tcPr>
          <w:p w14:paraId="526F968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1DEDA84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220" w:type="dxa"/>
            <w:shd w:val="clear" w:color="auto" w:fill="CFF0FC"/>
            <w:tcMar>
              <w:top w:w="15" w:type="dxa"/>
              <w:left w:w="0" w:type="dxa"/>
              <w:bottom w:w="0" w:type="dxa"/>
              <w:right w:w="15" w:type="dxa"/>
            </w:tcMar>
            <w:vAlign w:val="bottom"/>
            <w:hideMark/>
          </w:tcPr>
          <w:p w14:paraId="415DAEB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4203A2A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2083BF2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424</w:t>
            </w:r>
          </w:p>
        </w:tc>
        <w:tc>
          <w:tcPr>
            <w:tcW w:w="193" w:type="dxa"/>
            <w:shd w:val="clear" w:color="auto" w:fill="CFF0FC"/>
            <w:noWrap/>
            <w:tcMar>
              <w:top w:w="15" w:type="dxa"/>
              <w:left w:w="0" w:type="dxa"/>
              <w:bottom w:w="0" w:type="dxa"/>
              <w:right w:w="15" w:type="dxa"/>
            </w:tcMar>
            <w:vAlign w:val="bottom"/>
            <w:hideMark/>
          </w:tcPr>
          <w:p w14:paraId="794916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C99AC61" w14:textId="77777777" w:rsidTr="00141675">
        <w:tc>
          <w:tcPr>
            <w:tcW w:w="6950" w:type="dxa"/>
            <w:shd w:val="clear" w:color="auto" w:fill="FFFFFF"/>
            <w:tcMar>
              <w:top w:w="15" w:type="dxa"/>
              <w:left w:w="0" w:type="dxa"/>
              <w:bottom w:w="0" w:type="dxa"/>
              <w:right w:w="15" w:type="dxa"/>
            </w:tcMar>
            <w:hideMark/>
          </w:tcPr>
          <w:p w14:paraId="0016DCCA" w14:textId="77777777" w:rsidR="00141675" w:rsidRPr="00141675" w:rsidRDefault="00141675" w:rsidP="00141675">
            <w:pPr>
              <w:widowControl/>
              <w:ind w:left="144"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Cloud services and license support agreements and related relationships</w:t>
            </w:r>
          </w:p>
        </w:tc>
        <w:tc>
          <w:tcPr>
            <w:tcW w:w="220" w:type="dxa"/>
            <w:shd w:val="clear" w:color="auto" w:fill="FFFFFF"/>
            <w:tcMar>
              <w:top w:w="15" w:type="dxa"/>
              <w:left w:w="0" w:type="dxa"/>
              <w:bottom w:w="0" w:type="dxa"/>
              <w:right w:w="15" w:type="dxa"/>
            </w:tcMar>
            <w:vAlign w:val="bottom"/>
            <w:hideMark/>
          </w:tcPr>
          <w:p w14:paraId="0820E99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71ADB57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3" w:type="dxa"/>
            <w:shd w:val="clear" w:color="auto" w:fill="FFFFFF"/>
            <w:noWrap/>
            <w:tcMar>
              <w:top w:w="15" w:type="dxa"/>
              <w:left w:w="0" w:type="dxa"/>
              <w:bottom w:w="0" w:type="dxa"/>
              <w:right w:w="15" w:type="dxa"/>
            </w:tcMar>
            <w:vAlign w:val="bottom"/>
            <w:hideMark/>
          </w:tcPr>
          <w:p w14:paraId="3016C66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171</w:t>
            </w:r>
          </w:p>
        </w:tc>
        <w:tc>
          <w:tcPr>
            <w:tcW w:w="192" w:type="dxa"/>
            <w:shd w:val="clear" w:color="auto" w:fill="FFFFFF"/>
            <w:noWrap/>
            <w:tcMar>
              <w:top w:w="15" w:type="dxa"/>
              <w:left w:w="0" w:type="dxa"/>
              <w:bottom w:w="0" w:type="dxa"/>
              <w:right w:w="15" w:type="dxa"/>
            </w:tcMar>
            <w:vAlign w:val="bottom"/>
            <w:hideMark/>
          </w:tcPr>
          <w:p w14:paraId="74C5312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4BFBB508"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456" w:type="dxa"/>
            <w:shd w:val="clear" w:color="auto" w:fill="FFFFFF"/>
            <w:tcMar>
              <w:top w:w="15" w:type="dxa"/>
              <w:left w:w="0" w:type="dxa"/>
              <w:bottom w:w="0" w:type="dxa"/>
              <w:right w:w="15" w:type="dxa"/>
            </w:tcMar>
            <w:vAlign w:val="bottom"/>
            <w:hideMark/>
          </w:tcPr>
          <w:p w14:paraId="125CC42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220" w:type="dxa"/>
            <w:shd w:val="clear" w:color="auto" w:fill="FFFFFF"/>
            <w:tcMar>
              <w:top w:w="15" w:type="dxa"/>
              <w:left w:w="0" w:type="dxa"/>
              <w:bottom w:w="0" w:type="dxa"/>
              <w:right w:w="15" w:type="dxa"/>
            </w:tcMar>
            <w:vAlign w:val="bottom"/>
            <w:hideMark/>
          </w:tcPr>
          <w:p w14:paraId="0BDDFA9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5DE428D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220" w:type="dxa"/>
            <w:shd w:val="clear" w:color="auto" w:fill="FFFFFF"/>
            <w:tcMar>
              <w:top w:w="15" w:type="dxa"/>
              <w:left w:w="0" w:type="dxa"/>
              <w:bottom w:w="0" w:type="dxa"/>
              <w:right w:w="15" w:type="dxa"/>
            </w:tcMar>
            <w:vAlign w:val="bottom"/>
            <w:hideMark/>
          </w:tcPr>
          <w:p w14:paraId="14FF5E6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shd w:val="clear" w:color="auto" w:fill="FFFFFF"/>
            <w:noWrap/>
            <w:tcMar>
              <w:top w:w="15" w:type="dxa"/>
              <w:left w:w="0" w:type="dxa"/>
              <w:bottom w:w="0" w:type="dxa"/>
              <w:right w:w="15" w:type="dxa"/>
            </w:tcMar>
            <w:vAlign w:val="bottom"/>
            <w:hideMark/>
          </w:tcPr>
          <w:p w14:paraId="23D4716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3" w:type="dxa"/>
            <w:shd w:val="clear" w:color="auto" w:fill="FFFFFF"/>
            <w:noWrap/>
            <w:tcMar>
              <w:top w:w="15" w:type="dxa"/>
              <w:left w:w="0" w:type="dxa"/>
              <w:bottom w:w="0" w:type="dxa"/>
              <w:right w:w="15" w:type="dxa"/>
            </w:tcMar>
            <w:vAlign w:val="bottom"/>
            <w:hideMark/>
          </w:tcPr>
          <w:p w14:paraId="280F3EC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184</w:t>
            </w:r>
          </w:p>
        </w:tc>
        <w:tc>
          <w:tcPr>
            <w:tcW w:w="192" w:type="dxa"/>
            <w:shd w:val="clear" w:color="auto" w:fill="FFFFFF"/>
            <w:noWrap/>
            <w:tcMar>
              <w:top w:w="15" w:type="dxa"/>
              <w:left w:w="0" w:type="dxa"/>
              <w:bottom w:w="0" w:type="dxa"/>
              <w:right w:w="15" w:type="dxa"/>
            </w:tcMar>
            <w:vAlign w:val="bottom"/>
            <w:hideMark/>
          </w:tcPr>
          <w:p w14:paraId="6BE93C2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DB488E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41F56B6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3" w:type="dxa"/>
            <w:shd w:val="clear" w:color="auto" w:fill="FFFFFF"/>
            <w:noWrap/>
            <w:tcMar>
              <w:top w:w="15" w:type="dxa"/>
              <w:left w:w="0" w:type="dxa"/>
              <w:bottom w:w="0" w:type="dxa"/>
              <w:right w:w="15" w:type="dxa"/>
            </w:tcMar>
            <w:vAlign w:val="bottom"/>
            <w:hideMark/>
          </w:tcPr>
          <w:p w14:paraId="7F26F62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342</w:t>
            </w:r>
          </w:p>
        </w:tc>
        <w:tc>
          <w:tcPr>
            <w:tcW w:w="192" w:type="dxa"/>
            <w:shd w:val="clear" w:color="auto" w:fill="FFFFFF"/>
            <w:noWrap/>
            <w:tcMar>
              <w:top w:w="15" w:type="dxa"/>
              <w:left w:w="0" w:type="dxa"/>
              <w:bottom w:w="0" w:type="dxa"/>
              <w:right w:w="15" w:type="dxa"/>
            </w:tcMar>
            <w:vAlign w:val="bottom"/>
            <w:hideMark/>
          </w:tcPr>
          <w:p w14:paraId="14BE5A4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65998E6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4EF841D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w:t>
            </w:r>
          </w:p>
        </w:tc>
        <w:tc>
          <w:tcPr>
            <w:tcW w:w="220" w:type="dxa"/>
            <w:shd w:val="clear" w:color="auto" w:fill="FFFFFF"/>
            <w:tcMar>
              <w:top w:w="15" w:type="dxa"/>
              <w:left w:w="0" w:type="dxa"/>
              <w:bottom w:w="0" w:type="dxa"/>
              <w:right w:w="15" w:type="dxa"/>
            </w:tcMar>
            <w:vAlign w:val="bottom"/>
            <w:hideMark/>
          </w:tcPr>
          <w:p w14:paraId="2502685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686A856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w:t>
            </w:r>
          </w:p>
        </w:tc>
        <w:tc>
          <w:tcPr>
            <w:tcW w:w="220" w:type="dxa"/>
            <w:shd w:val="clear" w:color="auto" w:fill="FFFFFF"/>
            <w:tcMar>
              <w:top w:w="15" w:type="dxa"/>
              <w:left w:w="0" w:type="dxa"/>
              <w:bottom w:w="0" w:type="dxa"/>
              <w:right w:w="15" w:type="dxa"/>
            </w:tcMar>
            <w:vAlign w:val="bottom"/>
            <w:hideMark/>
          </w:tcPr>
          <w:p w14:paraId="598CEDE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0E8E975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3" w:type="dxa"/>
            <w:shd w:val="clear" w:color="auto" w:fill="FFFFFF"/>
            <w:noWrap/>
            <w:tcMar>
              <w:top w:w="15" w:type="dxa"/>
              <w:left w:w="0" w:type="dxa"/>
              <w:bottom w:w="0" w:type="dxa"/>
              <w:right w:w="15" w:type="dxa"/>
            </w:tcMar>
            <w:vAlign w:val="bottom"/>
            <w:hideMark/>
          </w:tcPr>
          <w:p w14:paraId="0F5002A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376</w:t>
            </w:r>
          </w:p>
        </w:tc>
        <w:tc>
          <w:tcPr>
            <w:tcW w:w="193" w:type="dxa"/>
            <w:shd w:val="clear" w:color="auto" w:fill="FFFFFF"/>
            <w:noWrap/>
            <w:tcMar>
              <w:top w:w="15" w:type="dxa"/>
              <w:left w:w="0" w:type="dxa"/>
              <w:bottom w:w="0" w:type="dxa"/>
              <w:right w:w="15" w:type="dxa"/>
            </w:tcMar>
            <w:vAlign w:val="bottom"/>
            <w:hideMark/>
          </w:tcPr>
          <w:p w14:paraId="0B83712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34860FDC" w14:textId="77777777" w:rsidTr="00141675">
        <w:tc>
          <w:tcPr>
            <w:tcW w:w="6950" w:type="dxa"/>
            <w:shd w:val="clear" w:color="auto" w:fill="CFF0FC"/>
            <w:tcMar>
              <w:top w:w="15" w:type="dxa"/>
              <w:left w:w="0" w:type="dxa"/>
              <w:bottom w:w="0" w:type="dxa"/>
              <w:right w:w="15" w:type="dxa"/>
            </w:tcMar>
            <w:hideMark/>
          </w:tcPr>
          <w:p w14:paraId="3E76E7B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Other</w:t>
            </w:r>
          </w:p>
        </w:tc>
        <w:tc>
          <w:tcPr>
            <w:tcW w:w="220" w:type="dxa"/>
            <w:shd w:val="clear" w:color="auto" w:fill="CFF0FC"/>
            <w:tcMar>
              <w:top w:w="15" w:type="dxa"/>
              <w:left w:w="0" w:type="dxa"/>
              <w:bottom w:w="0" w:type="dxa"/>
              <w:right w:w="15" w:type="dxa"/>
            </w:tcMar>
            <w:vAlign w:val="bottom"/>
            <w:hideMark/>
          </w:tcPr>
          <w:p w14:paraId="72A3651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0169090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3" w:type="dxa"/>
            <w:tcBorders>
              <w:bottom w:val="single" w:sz="6" w:space="0" w:color="000000"/>
            </w:tcBorders>
            <w:shd w:val="clear" w:color="auto" w:fill="CFF0FC"/>
            <w:noWrap/>
            <w:tcMar>
              <w:top w:w="15" w:type="dxa"/>
              <w:left w:w="0" w:type="dxa"/>
              <w:bottom w:w="0" w:type="dxa"/>
              <w:right w:w="15" w:type="dxa"/>
            </w:tcMar>
            <w:vAlign w:val="bottom"/>
            <w:hideMark/>
          </w:tcPr>
          <w:p w14:paraId="358B3E4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32</w:t>
            </w:r>
          </w:p>
        </w:tc>
        <w:tc>
          <w:tcPr>
            <w:tcW w:w="192" w:type="dxa"/>
            <w:shd w:val="clear" w:color="auto" w:fill="CFF0FC"/>
            <w:noWrap/>
            <w:tcMar>
              <w:top w:w="15" w:type="dxa"/>
              <w:left w:w="0" w:type="dxa"/>
              <w:bottom w:w="0" w:type="dxa"/>
              <w:right w:w="15" w:type="dxa"/>
            </w:tcMar>
            <w:vAlign w:val="bottom"/>
            <w:hideMark/>
          </w:tcPr>
          <w:p w14:paraId="39E2397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6C3443A" w14:textId="77777777" w:rsidR="00141675" w:rsidRPr="00141675" w:rsidRDefault="00141675" w:rsidP="00141675">
            <w:pPr>
              <w:widowControl/>
              <w:jc w:val="left"/>
              <w:rPr>
                <w:rFonts w:ascii="Calibri" w:eastAsia="宋体" w:hAnsi="Calibri" w:cs="Calibri"/>
                <w:b/>
                <w:bCs/>
                <w:color w:val="000000"/>
                <w:kern w:val="0"/>
                <w:sz w:val="22"/>
              </w:rPr>
            </w:pPr>
            <w:r w:rsidRPr="00141675">
              <w:rPr>
                <w:rFonts w:ascii="Calibri" w:eastAsia="宋体" w:hAnsi="Calibri" w:cs="Calibri"/>
                <w:b/>
                <w:bCs/>
                <w:color w:val="000000"/>
                <w:kern w:val="0"/>
                <w:sz w:val="22"/>
              </w:rPr>
              <w:t> </w:t>
            </w:r>
          </w:p>
        </w:tc>
        <w:tc>
          <w:tcPr>
            <w:tcW w:w="1456" w:type="dxa"/>
            <w:shd w:val="clear" w:color="auto" w:fill="CFF0FC"/>
            <w:tcMar>
              <w:top w:w="15" w:type="dxa"/>
              <w:left w:w="0" w:type="dxa"/>
              <w:bottom w:w="0" w:type="dxa"/>
              <w:right w:w="15" w:type="dxa"/>
            </w:tcMar>
            <w:vAlign w:val="bottom"/>
            <w:hideMark/>
          </w:tcPr>
          <w:p w14:paraId="7C1D2F2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w:t>
            </w:r>
          </w:p>
        </w:tc>
        <w:tc>
          <w:tcPr>
            <w:tcW w:w="220" w:type="dxa"/>
            <w:shd w:val="clear" w:color="auto" w:fill="CFF0FC"/>
            <w:tcMar>
              <w:top w:w="15" w:type="dxa"/>
              <w:left w:w="0" w:type="dxa"/>
              <w:bottom w:w="0" w:type="dxa"/>
              <w:right w:w="15" w:type="dxa"/>
            </w:tcMar>
            <w:vAlign w:val="bottom"/>
            <w:hideMark/>
          </w:tcPr>
          <w:p w14:paraId="06A79D7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CFF0FC"/>
            <w:tcMar>
              <w:top w:w="15" w:type="dxa"/>
              <w:left w:w="0" w:type="dxa"/>
              <w:bottom w:w="0" w:type="dxa"/>
              <w:right w:w="15" w:type="dxa"/>
            </w:tcMar>
            <w:vAlign w:val="bottom"/>
            <w:hideMark/>
          </w:tcPr>
          <w:p w14:paraId="675119C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14%</w:t>
            </w:r>
          </w:p>
        </w:tc>
        <w:tc>
          <w:tcPr>
            <w:tcW w:w="220" w:type="dxa"/>
            <w:shd w:val="clear" w:color="auto" w:fill="CFF0FC"/>
            <w:tcMar>
              <w:top w:w="15" w:type="dxa"/>
              <w:left w:w="0" w:type="dxa"/>
              <w:bottom w:w="0" w:type="dxa"/>
              <w:right w:w="15" w:type="dxa"/>
            </w:tcMar>
            <w:vAlign w:val="bottom"/>
            <w:hideMark/>
          </w:tcPr>
          <w:p w14:paraId="2D56B39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7233BE6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3" w:type="dxa"/>
            <w:tcBorders>
              <w:bottom w:val="single" w:sz="6" w:space="0" w:color="000000"/>
            </w:tcBorders>
            <w:shd w:val="clear" w:color="auto" w:fill="CFF0FC"/>
            <w:noWrap/>
            <w:tcMar>
              <w:top w:w="15" w:type="dxa"/>
              <w:left w:w="0" w:type="dxa"/>
              <w:bottom w:w="0" w:type="dxa"/>
              <w:right w:w="15" w:type="dxa"/>
            </w:tcMar>
            <w:vAlign w:val="bottom"/>
            <w:hideMark/>
          </w:tcPr>
          <w:p w14:paraId="461D6C5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w:t>
            </w:r>
          </w:p>
        </w:tc>
        <w:tc>
          <w:tcPr>
            <w:tcW w:w="192" w:type="dxa"/>
            <w:shd w:val="clear" w:color="auto" w:fill="CFF0FC"/>
            <w:noWrap/>
            <w:tcMar>
              <w:top w:w="15" w:type="dxa"/>
              <w:left w:w="0" w:type="dxa"/>
              <w:bottom w:w="0" w:type="dxa"/>
              <w:right w:w="15" w:type="dxa"/>
            </w:tcMar>
            <w:vAlign w:val="bottom"/>
            <w:hideMark/>
          </w:tcPr>
          <w:p w14:paraId="71D2DC9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16463A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43506B9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3" w:type="dxa"/>
            <w:tcBorders>
              <w:bottom w:val="single" w:sz="6" w:space="0" w:color="000000"/>
            </w:tcBorders>
            <w:shd w:val="clear" w:color="auto" w:fill="CFF0FC"/>
            <w:noWrap/>
            <w:tcMar>
              <w:top w:w="15" w:type="dxa"/>
              <w:left w:w="0" w:type="dxa"/>
              <w:bottom w:w="0" w:type="dxa"/>
              <w:right w:w="15" w:type="dxa"/>
            </w:tcMar>
            <w:vAlign w:val="bottom"/>
            <w:hideMark/>
          </w:tcPr>
          <w:p w14:paraId="7F3B685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64</w:t>
            </w:r>
          </w:p>
        </w:tc>
        <w:tc>
          <w:tcPr>
            <w:tcW w:w="192" w:type="dxa"/>
            <w:shd w:val="clear" w:color="auto" w:fill="CFF0FC"/>
            <w:noWrap/>
            <w:tcMar>
              <w:top w:w="15" w:type="dxa"/>
              <w:left w:w="0" w:type="dxa"/>
              <w:bottom w:w="0" w:type="dxa"/>
              <w:right w:w="15" w:type="dxa"/>
            </w:tcMar>
            <w:vAlign w:val="bottom"/>
            <w:hideMark/>
          </w:tcPr>
          <w:p w14:paraId="251F13E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344B11E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3EF9CED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w:t>
            </w:r>
          </w:p>
        </w:tc>
        <w:tc>
          <w:tcPr>
            <w:tcW w:w="220" w:type="dxa"/>
            <w:shd w:val="clear" w:color="auto" w:fill="CFF0FC"/>
            <w:tcMar>
              <w:top w:w="15" w:type="dxa"/>
              <w:left w:w="0" w:type="dxa"/>
              <w:bottom w:w="0" w:type="dxa"/>
              <w:right w:w="15" w:type="dxa"/>
            </w:tcMar>
            <w:vAlign w:val="bottom"/>
            <w:hideMark/>
          </w:tcPr>
          <w:p w14:paraId="1080C96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37BA355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w:t>
            </w:r>
          </w:p>
        </w:tc>
        <w:tc>
          <w:tcPr>
            <w:tcW w:w="220" w:type="dxa"/>
            <w:shd w:val="clear" w:color="auto" w:fill="CFF0FC"/>
            <w:tcMar>
              <w:top w:w="15" w:type="dxa"/>
              <w:left w:w="0" w:type="dxa"/>
              <w:bottom w:w="0" w:type="dxa"/>
              <w:right w:w="15" w:type="dxa"/>
            </w:tcMar>
            <w:vAlign w:val="bottom"/>
            <w:hideMark/>
          </w:tcPr>
          <w:p w14:paraId="7D9D90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bottom w:val="single" w:sz="6" w:space="0" w:color="000000"/>
            </w:tcBorders>
            <w:shd w:val="clear" w:color="auto" w:fill="CFF0FC"/>
            <w:noWrap/>
            <w:tcMar>
              <w:top w:w="15" w:type="dxa"/>
              <w:left w:w="0" w:type="dxa"/>
              <w:bottom w:w="0" w:type="dxa"/>
              <w:right w:w="15" w:type="dxa"/>
            </w:tcMar>
            <w:vAlign w:val="bottom"/>
            <w:hideMark/>
          </w:tcPr>
          <w:p w14:paraId="20BD009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3" w:type="dxa"/>
            <w:tcBorders>
              <w:bottom w:val="single" w:sz="6" w:space="0" w:color="000000"/>
            </w:tcBorders>
            <w:shd w:val="clear" w:color="auto" w:fill="CFF0FC"/>
            <w:noWrap/>
            <w:tcMar>
              <w:top w:w="15" w:type="dxa"/>
              <w:left w:w="0" w:type="dxa"/>
              <w:bottom w:w="0" w:type="dxa"/>
              <w:right w:w="15" w:type="dxa"/>
            </w:tcMar>
            <w:vAlign w:val="bottom"/>
            <w:hideMark/>
          </w:tcPr>
          <w:p w14:paraId="0DCCCAB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58</w:t>
            </w:r>
          </w:p>
        </w:tc>
        <w:tc>
          <w:tcPr>
            <w:tcW w:w="193" w:type="dxa"/>
            <w:shd w:val="clear" w:color="auto" w:fill="CFF0FC"/>
            <w:noWrap/>
            <w:tcMar>
              <w:top w:w="15" w:type="dxa"/>
              <w:left w:w="0" w:type="dxa"/>
              <w:bottom w:w="0" w:type="dxa"/>
              <w:right w:w="15" w:type="dxa"/>
            </w:tcMar>
            <w:vAlign w:val="bottom"/>
            <w:hideMark/>
          </w:tcPr>
          <w:p w14:paraId="0489C63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2E9EEAAD" w14:textId="77777777" w:rsidTr="00141675">
        <w:tc>
          <w:tcPr>
            <w:tcW w:w="6950" w:type="dxa"/>
            <w:shd w:val="clear" w:color="auto" w:fill="FFFFFF"/>
            <w:tcMar>
              <w:top w:w="15" w:type="dxa"/>
              <w:left w:w="0" w:type="dxa"/>
              <w:bottom w:w="0" w:type="dxa"/>
              <w:right w:w="15" w:type="dxa"/>
            </w:tcMar>
            <w:hideMark/>
          </w:tcPr>
          <w:p w14:paraId="161B49A2" w14:textId="77777777" w:rsidR="00141675" w:rsidRPr="00141675" w:rsidRDefault="00141675" w:rsidP="00141675">
            <w:pPr>
              <w:widowControl/>
              <w:ind w:left="547" w:hanging="144"/>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lastRenderedPageBreak/>
              <w:t>Total amortization of intangible assets</w:t>
            </w:r>
          </w:p>
        </w:tc>
        <w:tc>
          <w:tcPr>
            <w:tcW w:w="220" w:type="dxa"/>
            <w:shd w:val="clear" w:color="auto" w:fill="FFFFFF"/>
            <w:tcMar>
              <w:top w:w="15" w:type="dxa"/>
              <w:left w:w="0" w:type="dxa"/>
              <w:bottom w:w="0" w:type="dxa"/>
              <w:right w:w="15" w:type="dxa"/>
            </w:tcMar>
            <w:vAlign w:val="bottom"/>
            <w:hideMark/>
          </w:tcPr>
          <w:p w14:paraId="2FE4961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F5F63D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3987489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407</w:t>
            </w:r>
          </w:p>
        </w:tc>
        <w:tc>
          <w:tcPr>
            <w:tcW w:w="192" w:type="dxa"/>
            <w:shd w:val="clear" w:color="auto" w:fill="FFFFFF"/>
            <w:noWrap/>
            <w:tcMar>
              <w:top w:w="15" w:type="dxa"/>
              <w:left w:w="0" w:type="dxa"/>
              <w:bottom w:w="0" w:type="dxa"/>
              <w:right w:w="15" w:type="dxa"/>
            </w:tcMar>
            <w:vAlign w:val="bottom"/>
            <w:hideMark/>
          </w:tcPr>
          <w:p w14:paraId="15F895F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7C9DAE5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4835633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FFFFFF"/>
            <w:tcMar>
              <w:top w:w="15" w:type="dxa"/>
              <w:left w:w="0" w:type="dxa"/>
              <w:bottom w:w="0" w:type="dxa"/>
              <w:right w:w="15" w:type="dxa"/>
            </w:tcMar>
            <w:vAlign w:val="bottom"/>
            <w:hideMark/>
          </w:tcPr>
          <w:p w14:paraId="432C36A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123A9B2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FFFFFF"/>
            <w:tcMar>
              <w:top w:w="15" w:type="dxa"/>
              <w:left w:w="0" w:type="dxa"/>
              <w:bottom w:w="0" w:type="dxa"/>
              <w:right w:w="15" w:type="dxa"/>
            </w:tcMar>
            <w:vAlign w:val="bottom"/>
            <w:hideMark/>
          </w:tcPr>
          <w:p w14:paraId="6D5F479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B4A419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C2767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424</w:t>
            </w:r>
          </w:p>
        </w:tc>
        <w:tc>
          <w:tcPr>
            <w:tcW w:w="192" w:type="dxa"/>
            <w:shd w:val="clear" w:color="auto" w:fill="FFFFFF"/>
            <w:noWrap/>
            <w:tcMar>
              <w:top w:w="15" w:type="dxa"/>
              <w:left w:w="0" w:type="dxa"/>
              <w:bottom w:w="0" w:type="dxa"/>
              <w:right w:w="15" w:type="dxa"/>
            </w:tcMar>
            <w:vAlign w:val="bottom"/>
            <w:hideMark/>
          </w:tcPr>
          <w:p w14:paraId="4146EFB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9674CC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AF9F79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29D232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821</w:t>
            </w:r>
          </w:p>
        </w:tc>
        <w:tc>
          <w:tcPr>
            <w:tcW w:w="192" w:type="dxa"/>
            <w:shd w:val="clear" w:color="auto" w:fill="FFFFFF"/>
            <w:noWrap/>
            <w:tcMar>
              <w:top w:w="15" w:type="dxa"/>
              <w:left w:w="0" w:type="dxa"/>
              <w:bottom w:w="0" w:type="dxa"/>
              <w:right w:w="15" w:type="dxa"/>
            </w:tcMar>
            <w:vAlign w:val="bottom"/>
            <w:hideMark/>
          </w:tcPr>
          <w:p w14:paraId="315A058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6591EF2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2A902AA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FFFFFF"/>
            <w:tcMar>
              <w:top w:w="15" w:type="dxa"/>
              <w:left w:w="0" w:type="dxa"/>
              <w:bottom w:w="0" w:type="dxa"/>
              <w:right w:w="15" w:type="dxa"/>
            </w:tcMar>
            <w:vAlign w:val="bottom"/>
            <w:hideMark/>
          </w:tcPr>
          <w:p w14:paraId="77C0CB5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3A469D4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220" w:type="dxa"/>
            <w:shd w:val="clear" w:color="auto" w:fill="FFFFFF"/>
            <w:tcMar>
              <w:top w:w="15" w:type="dxa"/>
              <w:left w:w="0" w:type="dxa"/>
              <w:bottom w:w="0" w:type="dxa"/>
              <w:right w:w="15" w:type="dxa"/>
            </w:tcMar>
            <w:vAlign w:val="bottom"/>
            <w:hideMark/>
          </w:tcPr>
          <w:p w14:paraId="420D902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D60FC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3"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CB7C895"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858</w:t>
            </w:r>
          </w:p>
        </w:tc>
        <w:tc>
          <w:tcPr>
            <w:tcW w:w="193" w:type="dxa"/>
            <w:shd w:val="clear" w:color="auto" w:fill="FFFFFF"/>
            <w:noWrap/>
            <w:tcMar>
              <w:top w:w="15" w:type="dxa"/>
              <w:left w:w="0" w:type="dxa"/>
              <w:bottom w:w="0" w:type="dxa"/>
              <w:right w:w="15" w:type="dxa"/>
            </w:tcMar>
            <w:vAlign w:val="bottom"/>
            <w:hideMark/>
          </w:tcPr>
          <w:p w14:paraId="2196BB5F"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219DCD69" w14:textId="77777777" w:rsidR="00141675" w:rsidRPr="00141675" w:rsidRDefault="00141675" w:rsidP="00141675">
      <w:pPr>
        <w:widowControl/>
        <w:rPr>
          <w:rFonts w:ascii="Times New Roman" w:eastAsia="宋体" w:hAnsi="Times New Roman" w:cs="Times New Roman"/>
          <w:color w:val="000000"/>
          <w:kern w:val="0"/>
          <w:sz w:val="12"/>
          <w:szCs w:val="12"/>
        </w:rPr>
      </w:pPr>
      <w:r w:rsidRPr="00141675">
        <w:rPr>
          <w:rFonts w:ascii="Times New Roman" w:eastAsia="宋体" w:hAnsi="Times New Roman" w:cs="Times New Roman"/>
          <w:color w:val="000000"/>
          <w:kern w:val="0"/>
          <w:sz w:val="12"/>
          <w:szCs w:val="12"/>
        </w:rPr>
        <w:t> </w:t>
      </w:r>
    </w:p>
    <w:p w14:paraId="3DDDF176" w14:textId="77777777" w:rsidR="00141675" w:rsidRPr="00141675" w:rsidRDefault="00141675" w:rsidP="00141675">
      <w:pPr>
        <w:widowControl/>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Amortization of intangible assets decreased during the fiscal 2020 periods presented, relative to the corresponding prior year periods, due to a reduction in expenses associated with certain of our intangible assets that became fully amortized</w:t>
      </w:r>
      <w:r w:rsidRPr="00141675">
        <w:rPr>
          <w:rFonts w:ascii="Calibri" w:eastAsia="宋体" w:hAnsi="Calibri" w:cs="Calibri"/>
          <w:color w:val="000000"/>
          <w:kern w:val="0"/>
          <w:sz w:val="20"/>
          <w:szCs w:val="20"/>
          <w:shd w:val="clear" w:color="auto" w:fill="FFFFFF"/>
        </w:rPr>
        <w:t>,</w:t>
      </w:r>
      <w:r w:rsidRPr="00141675">
        <w:rPr>
          <w:rFonts w:ascii="Calibri" w:eastAsia="宋体" w:hAnsi="Calibri" w:cs="Calibri"/>
          <w:color w:val="000000"/>
          <w:kern w:val="0"/>
          <w:sz w:val="20"/>
          <w:szCs w:val="20"/>
        </w:rPr>
        <w:t> partially offset by additional amortization from intangible assets that we acquired in connection with our recent acquisitions.</w:t>
      </w:r>
    </w:p>
    <w:p w14:paraId="06851E2D"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Acquisition Related and Other Expenses:</w:t>
      </w:r>
      <w:r w:rsidRPr="00141675">
        <w:rPr>
          <w:rFonts w:ascii="Calibri" w:eastAsia="宋体" w:hAnsi="Calibri" w:cs="Calibri"/>
          <w:color w:val="000000"/>
          <w:kern w:val="0"/>
          <w:sz w:val="20"/>
          <w:szCs w:val="20"/>
        </w:rPr>
        <w:t>   Acquisition related and other expenses primarily consist of personnel related costs for transitional and certain other employees, integration related professional services, certain business combination adjustments, including adjustments after the measurement period has ended and certain other operating items, net.</w:t>
      </w:r>
    </w:p>
    <w:p w14:paraId="3BE363D0"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71"/>
        <w:gridCol w:w="221"/>
        <w:gridCol w:w="200"/>
        <w:gridCol w:w="1060"/>
        <w:gridCol w:w="200"/>
        <w:gridCol w:w="221"/>
        <w:gridCol w:w="1459"/>
        <w:gridCol w:w="221"/>
        <w:gridCol w:w="1488"/>
        <w:gridCol w:w="220"/>
        <w:gridCol w:w="199"/>
        <w:gridCol w:w="1136"/>
        <w:gridCol w:w="199"/>
        <w:gridCol w:w="220"/>
        <w:gridCol w:w="199"/>
        <w:gridCol w:w="1059"/>
        <w:gridCol w:w="199"/>
        <w:gridCol w:w="220"/>
        <w:gridCol w:w="1458"/>
        <w:gridCol w:w="220"/>
        <w:gridCol w:w="1488"/>
        <w:gridCol w:w="220"/>
        <w:gridCol w:w="199"/>
        <w:gridCol w:w="1136"/>
        <w:gridCol w:w="201"/>
      </w:tblGrid>
      <w:tr w:rsidR="00141675" w:rsidRPr="00141675" w14:paraId="3CD5F80E" w14:textId="77777777" w:rsidTr="00141675">
        <w:tc>
          <w:tcPr>
            <w:tcW w:w="6956" w:type="dxa"/>
            <w:shd w:val="clear" w:color="auto" w:fill="FFFFFF"/>
            <w:tcMar>
              <w:top w:w="15" w:type="dxa"/>
              <w:left w:w="0" w:type="dxa"/>
              <w:bottom w:w="0" w:type="dxa"/>
              <w:right w:w="15" w:type="dxa"/>
            </w:tcMar>
            <w:vAlign w:val="center"/>
            <w:hideMark/>
          </w:tcPr>
          <w:p w14:paraId="1D78F6A2" w14:textId="77777777" w:rsidR="00141675" w:rsidRPr="00141675" w:rsidRDefault="00141675" w:rsidP="00141675">
            <w:pPr>
              <w:widowControl/>
              <w:jc w:val="left"/>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220" w:type="dxa"/>
            <w:shd w:val="clear" w:color="auto" w:fill="FFFFFF"/>
            <w:tcMar>
              <w:top w:w="15" w:type="dxa"/>
              <w:left w:w="0" w:type="dxa"/>
              <w:bottom w:w="0" w:type="dxa"/>
              <w:right w:w="15" w:type="dxa"/>
            </w:tcMar>
            <w:vAlign w:val="bottom"/>
            <w:hideMark/>
          </w:tcPr>
          <w:p w14:paraId="449A770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4" w:type="dxa"/>
            <w:gridSpan w:val="10"/>
            <w:tcBorders>
              <w:bottom w:val="single" w:sz="6" w:space="0" w:color="000000"/>
            </w:tcBorders>
            <w:shd w:val="clear" w:color="auto" w:fill="FFFFFF"/>
            <w:tcMar>
              <w:top w:w="15" w:type="dxa"/>
              <w:left w:w="0" w:type="dxa"/>
              <w:bottom w:w="0" w:type="dxa"/>
              <w:right w:w="15" w:type="dxa"/>
            </w:tcMar>
            <w:vAlign w:val="bottom"/>
            <w:hideMark/>
          </w:tcPr>
          <w:p w14:paraId="74D5EB2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1" w:type="dxa"/>
            <w:shd w:val="clear" w:color="auto" w:fill="FFFFFF"/>
            <w:noWrap/>
            <w:tcMar>
              <w:top w:w="15" w:type="dxa"/>
              <w:left w:w="0" w:type="dxa"/>
              <w:bottom w:w="0" w:type="dxa"/>
              <w:right w:w="15" w:type="dxa"/>
            </w:tcMar>
            <w:vAlign w:val="bottom"/>
            <w:hideMark/>
          </w:tcPr>
          <w:p w14:paraId="4DAB820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47A7087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4" w:type="dxa"/>
            <w:gridSpan w:val="10"/>
            <w:tcBorders>
              <w:bottom w:val="single" w:sz="6" w:space="0" w:color="000000"/>
            </w:tcBorders>
            <w:shd w:val="clear" w:color="auto" w:fill="FFFFFF"/>
            <w:tcMar>
              <w:top w:w="15" w:type="dxa"/>
              <w:left w:w="0" w:type="dxa"/>
              <w:bottom w:w="0" w:type="dxa"/>
              <w:right w:w="15" w:type="dxa"/>
            </w:tcMar>
            <w:vAlign w:val="bottom"/>
            <w:hideMark/>
          </w:tcPr>
          <w:p w14:paraId="6DFC046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7842FC4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8184DF8" w14:textId="77777777" w:rsidTr="00141675">
        <w:tc>
          <w:tcPr>
            <w:tcW w:w="6956" w:type="dxa"/>
            <w:shd w:val="clear" w:color="auto" w:fill="FFFFFF"/>
            <w:tcMar>
              <w:top w:w="15" w:type="dxa"/>
              <w:left w:w="0" w:type="dxa"/>
              <w:bottom w:w="0" w:type="dxa"/>
              <w:right w:w="15" w:type="dxa"/>
            </w:tcMar>
            <w:vAlign w:val="center"/>
            <w:hideMark/>
          </w:tcPr>
          <w:p w14:paraId="779A021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6A4EC70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6B364AD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1CE2A24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3D794FC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71F7073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CDBEAF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0BD1216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70FB3DF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7184120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72B386E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6C4B445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center"/>
            <w:hideMark/>
          </w:tcPr>
          <w:p w14:paraId="1E89207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center"/>
            <w:hideMark/>
          </w:tcPr>
          <w:p w14:paraId="0DAF0F8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shd w:val="clear" w:color="auto" w:fill="FFFFFF"/>
            <w:noWrap/>
            <w:tcMar>
              <w:top w:w="15" w:type="dxa"/>
              <w:left w:w="0" w:type="dxa"/>
              <w:bottom w:w="0" w:type="dxa"/>
              <w:right w:w="15" w:type="dxa"/>
            </w:tcMar>
            <w:vAlign w:val="center"/>
            <w:hideMark/>
          </w:tcPr>
          <w:p w14:paraId="0FF3A4E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110928B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0"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6C2B0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7BBAB17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1" w:type="dxa"/>
            <w:tcBorders>
              <w:top w:val="single" w:sz="6" w:space="0" w:color="000000"/>
            </w:tcBorders>
            <w:shd w:val="clear" w:color="auto" w:fill="FFFFFF"/>
            <w:noWrap/>
            <w:tcMar>
              <w:top w:w="15" w:type="dxa"/>
              <w:left w:w="0" w:type="dxa"/>
              <w:bottom w:w="0" w:type="dxa"/>
              <w:right w:w="15" w:type="dxa"/>
            </w:tcMar>
            <w:vAlign w:val="bottom"/>
            <w:hideMark/>
          </w:tcPr>
          <w:p w14:paraId="4437C00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2" w:type="dxa"/>
            <w:tcBorders>
              <w:top w:val="single" w:sz="6" w:space="0" w:color="000000"/>
            </w:tcBorders>
            <w:shd w:val="clear" w:color="auto" w:fill="FFFFFF"/>
            <w:noWrap/>
            <w:tcMar>
              <w:top w:w="15" w:type="dxa"/>
              <w:left w:w="0" w:type="dxa"/>
              <w:bottom w:w="0" w:type="dxa"/>
              <w:right w:w="15" w:type="dxa"/>
            </w:tcMar>
            <w:vAlign w:val="bottom"/>
            <w:hideMark/>
          </w:tcPr>
          <w:p w14:paraId="29CDDE2D"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59D128D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2790A19A" w14:textId="77777777" w:rsidTr="00141675">
        <w:tc>
          <w:tcPr>
            <w:tcW w:w="6956" w:type="dxa"/>
            <w:tcBorders>
              <w:bottom w:val="single" w:sz="6" w:space="0" w:color="000000"/>
            </w:tcBorders>
            <w:shd w:val="clear" w:color="auto" w:fill="FFFFFF"/>
            <w:tcMar>
              <w:top w:w="15" w:type="dxa"/>
              <w:left w:w="0" w:type="dxa"/>
              <w:bottom w:w="0" w:type="dxa"/>
              <w:right w:w="15" w:type="dxa"/>
            </w:tcMar>
            <w:vAlign w:val="bottom"/>
            <w:hideMark/>
          </w:tcPr>
          <w:p w14:paraId="6773EDB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6573A8B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211D9FB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08854B1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C9F2EE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1D7944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465F8C4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966E7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5819C6A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6FE7615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1" w:type="dxa"/>
            <w:shd w:val="clear" w:color="auto" w:fill="FFFFFF"/>
            <w:noWrap/>
            <w:tcMar>
              <w:top w:w="15" w:type="dxa"/>
              <w:left w:w="0" w:type="dxa"/>
              <w:bottom w:w="0" w:type="dxa"/>
              <w:right w:w="15" w:type="dxa"/>
            </w:tcMar>
            <w:vAlign w:val="bottom"/>
            <w:hideMark/>
          </w:tcPr>
          <w:p w14:paraId="1A8F256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009B64C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6476A14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616F3D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299587D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897CA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7D7EFC6F"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5"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BA7274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2699EF69"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8" w:type="dxa"/>
            <w:gridSpan w:val="2"/>
            <w:tcBorders>
              <w:bottom w:val="single" w:sz="6" w:space="0" w:color="000000"/>
            </w:tcBorders>
            <w:shd w:val="clear" w:color="auto" w:fill="FFFFFF"/>
            <w:tcMar>
              <w:top w:w="15" w:type="dxa"/>
              <w:left w:w="0" w:type="dxa"/>
              <w:bottom w:w="0" w:type="dxa"/>
              <w:right w:w="15" w:type="dxa"/>
            </w:tcMar>
            <w:vAlign w:val="bottom"/>
            <w:hideMark/>
          </w:tcPr>
          <w:p w14:paraId="7A82603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76B20C5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289A2D80" w14:textId="77777777" w:rsidTr="00141675">
        <w:tc>
          <w:tcPr>
            <w:tcW w:w="6956" w:type="dxa"/>
            <w:tcBorders>
              <w:top w:val="single" w:sz="6" w:space="0" w:color="000000"/>
            </w:tcBorders>
            <w:shd w:val="clear" w:color="auto" w:fill="CFF0FC"/>
            <w:tcMar>
              <w:top w:w="15" w:type="dxa"/>
              <w:left w:w="0" w:type="dxa"/>
              <w:bottom w:w="0" w:type="dxa"/>
              <w:right w:w="15" w:type="dxa"/>
            </w:tcMar>
            <w:hideMark/>
          </w:tcPr>
          <w:p w14:paraId="729460B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Transitional and other employee related costs</w:t>
            </w:r>
          </w:p>
        </w:tc>
        <w:tc>
          <w:tcPr>
            <w:tcW w:w="220" w:type="dxa"/>
            <w:shd w:val="clear" w:color="auto" w:fill="CFF0FC"/>
            <w:tcMar>
              <w:top w:w="15" w:type="dxa"/>
              <w:left w:w="0" w:type="dxa"/>
              <w:bottom w:w="0" w:type="dxa"/>
              <w:right w:w="15" w:type="dxa"/>
            </w:tcMar>
            <w:vAlign w:val="bottom"/>
            <w:hideMark/>
          </w:tcPr>
          <w:p w14:paraId="4150440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F4E5C5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3C395E5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191" w:type="dxa"/>
            <w:shd w:val="clear" w:color="auto" w:fill="CFF0FC"/>
            <w:noWrap/>
            <w:tcMar>
              <w:top w:w="15" w:type="dxa"/>
              <w:left w:w="0" w:type="dxa"/>
              <w:bottom w:w="0" w:type="dxa"/>
              <w:right w:w="15" w:type="dxa"/>
            </w:tcMar>
            <w:vAlign w:val="bottom"/>
            <w:hideMark/>
          </w:tcPr>
          <w:p w14:paraId="7FE5A05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274567A0"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2CA5312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-73%</w:t>
            </w:r>
          </w:p>
        </w:tc>
        <w:tc>
          <w:tcPr>
            <w:tcW w:w="220" w:type="dxa"/>
            <w:shd w:val="clear" w:color="auto" w:fill="CFF0FC"/>
            <w:tcMar>
              <w:top w:w="15" w:type="dxa"/>
              <w:left w:w="0" w:type="dxa"/>
              <w:bottom w:w="0" w:type="dxa"/>
              <w:right w:w="15" w:type="dxa"/>
            </w:tcMar>
            <w:vAlign w:val="bottom"/>
            <w:hideMark/>
          </w:tcPr>
          <w:p w14:paraId="585C73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6DBC3BE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-73%</w:t>
            </w:r>
          </w:p>
        </w:tc>
        <w:tc>
          <w:tcPr>
            <w:tcW w:w="220" w:type="dxa"/>
            <w:shd w:val="clear" w:color="auto" w:fill="CFF0FC"/>
            <w:tcMar>
              <w:top w:w="15" w:type="dxa"/>
              <w:left w:w="0" w:type="dxa"/>
              <w:bottom w:w="0" w:type="dxa"/>
              <w:right w:w="15" w:type="dxa"/>
            </w:tcMar>
            <w:vAlign w:val="bottom"/>
            <w:hideMark/>
          </w:tcPr>
          <w:p w14:paraId="6953C91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4E574B7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05F68CE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11</w:t>
            </w:r>
          </w:p>
        </w:tc>
        <w:tc>
          <w:tcPr>
            <w:tcW w:w="191" w:type="dxa"/>
            <w:shd w:val="clear" w:color="auto" w:fill="CFF0FC"/>
            <w:noWrap/>
            <w:tcMar>
              <w:top w:w="15" w:type="dxa"/>
              <w:left w:w="0" w:type="dxa"/>
              <w:bottom w:w="0" w:type="dxa"/>
              <w:right w:w="15" w:type="dxa"/>
            </w:tcMar>
            <w:vAlign w:val="bottom"/>
            <w:hideMark/>
          </w:tcPr>
          <w:p w14:paraId="5E87C1F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192846D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9319A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3F12C3C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w:t>
            </w:r>
          </w:p>
        </w:tc>
        <w:tc>
          <w:tcPr>
            <w:tcW w:w="191" w:type="dxa"/>
            <w:shd w:val="clear" w:color="auto" w:fill="CFF0FC"/>
            <w:noWrap/>
            <w:tcMar>
              <w:top w:w="15" w:type="dxa"/>
              <w:left w:w="0" w:type="dxa"/>
              <w:bottom w:w="0" w:type="dxa"/>
              <w:right w:w="15" w:type="dxa"/>
            </w:tcMar>
            <w:vAlign w:val="bottom"/>
            <w:hideMark/>
          </w:tcPr>
          <w:p w14:paraId="4DEE9A0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5975FA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2B3E299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-71%</w:t>
            </w:r>
          </w:p>
        </w:tc>
        <w:tc>
          <w:tcPr>
            <w:tcW w:w="220" w:type="dxa"/>
            <w:shd w:val="clear" w:color="auto" w:fill="CFF0FC"/>
            <w:tcMar>
              <w:top w:w="15" w:type="dxa"/>
              <w:left w:w="0" w:type="dxa"/>
              <w:bottom w:w="0" w:type="dxa"/>
              <w:right w:w="15" w:type="dxa"/>
            </w:tcMar>
            <w:vAlign w:val="bottom"/>
            <w:hideMark/>
          </w:tcPr>
          <w:p w14:paraId="0ACF6D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tcBorders>
              <w:top w:val="single" w:sz="6" w:space="0" w:color="000000"/>
            </w:tcBorders>
            <w:shd w:val="clear" w:color="auto" w:fill="CFF0FC"/>
            <w:tcMar>
              <w:top w:w="15" w:type="dxa"/>
              <w:left w:w="0" w:type="dxa"/>
              <w:bottom w:w="0" w:type="dxa"/>
              <w:right w:w="15" w:type="dxa"/>
            </w:tcMar>
            <w:vAlign w:val="bottom"/>
            <w:hideMark/>
          </w:tcPr>
          <w:p w14:paraId="52BA4ED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-71%</w:t>
            </w:r>
          </w:p>
        </w:tc>
        <w:tc>
          <w:tcPr>
            <w:tcW w:w="220" w:type="dxa"/>
            <w:shd w:val="clear" w:color="auto" w:fill="CFF0FC"/>
            <w:tcMar>
              <w:top w:w="15" w:type="dxa"/>
              <w:left w:w="0" w:type="dxa"/>
              <w:bottom w:w="0" w:type="dxa"/>
              <w:right w:w="15" w:type="dxa"/>
            </w:tcMar>
            <w:vAlign w:val="bottom"/>
            <w:hideMark/>
          </w:tcPr>
          <w:p w14:paraId="5070154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6EC357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tcBorders>
            <w:shd w:val="clear" w:color="auto" w:fill="CFF0FC"/>
            <w:noWrap/>
            <w:tcMar>
              <w:top w:w="15" w:type="dxa"/>
              <w:left w:w="0" w:type="dxa"/>
              <w:bottom w:w="0" w:type="dxa"/>
              <w:right w:w="15" w:type="dxa"/>
            </w:tcMar>
            <w:vAlign w:val="bottom"/>
            <w:hideMark/>
          </w:tcPr>
          <w:p w14:paraId="5ECB90F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25</w:t>
            </w:r>
          </w:p>
        </w:tc>
        <w:tc>
          <w:tcPr>
            <w:tcW w:w="193" w:type="dxa"/>
            <w:shd w:val="clear" w:color="auto" w:fill="CFF0FC"/>
            <w:noWrap/>
            <w:tcMar>
              <w:top w:w="15" w:type="dxa"/>
              <w:left w:w="0" w:type="dxa"/>
              <w:bottom w:w="0" w:type="dxa"/>
              <w:right w:w="15" w:type="dxa"/>
            </w:tcMar>
            <w:vAlign w:val="bottom"/>
            <w:hideMark/>
          </w:tcPr>
          <w:p w14:paraId="4285F87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DE250B2" w14:textId="77777777" w:rsidTr="00141675">
        <w:tc>
          <w:tcPr>
            <w:tcW w:w="6956" w:type="dxa"/>
            <w:shd w:val="clear" w:color="auto" w:fill="FFFFFF"/>
            <w:tcMar>
              <w:top w:w="15" w:type="dxa"/>
              <w:left w:w="0" w:type="dxa"/>
              <w:bottom w:w="0" w:type="dxa"/>
              <w:right w:w="15" w:type="dxa"/>
            </w:tcMar>
            <w:hideMark/>
          </w:tcPr>
          <w:p w14:paraId="3DD03E6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Business combination adjustments, net</w:t>
            </w:r>
          </w:p>
        </w:tc>
        <w:tc>
          <w:tcPr>
            <w:tcW w:w="220" w:type="dxa"/>
            <w:shd w:val="clear" w:color="auto" w:fill="FFFFFF"/>
            <w:tcMar>
              <w:top w:w="15" w:type="dxa"/>
              <w:left w:w="0" w:type="dxa"/>
              <w:bottom w:w="0" w:type="dxa"/>
              <w:right w:w="15" w:type="dxa"/>
            </w:tcMar>
            <w:vAlign w:val="bottom"/>
            <w:hideMark/>
          </w:tcPr>
          <w:p w14:paraId="78F7948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shd w:val="clear" w:color="auto" w:fill="FFFFFF"/>
            <w:noWrap/>
            <w:tcMar>
              <w:top w:w="15" w:type="dxa"/>
              <w:left w:w="0" w:type="dxa"/>
              <w:bottom w:w="0" w:type="dxa"/>
              <w:right w:w="15" w:type="dxa"/>
            </w:tcMar>
            <w:vAlign w:val="bottom"/>
            <w:hideMark/>
          </w:tcPr>
          <w:p w14:paraId="4D0A742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25161BE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191" w:type="dxa"/>
            <w:shd w:val="clear" w:color="auto" w:fill="FFFFFF"/>
            <w:noWrap/>
            <w:tcMar>
              <w:top w:w="15" w:type="dxa"/>
              <w:left w:w="0" w:type="dxa"/>
              <w:bottom w:w="0" w:type="dxa"/>
              <w:right w:w="15" w:type="dxa"/>
            </w:tcMar>
            <w:vAlign w:val="bottom"/>
            <w:hideMark/>
          </w:tcPr>
          <w:p w14:paraId="5C389DA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20" w:type="dxa"/>
            <w:shd w:val="clear" w:color="auto" w:fill="FFFFFF"/>
            <w:tcMar>
              <w:top w:w="15" w:type="dxa"/>
              <w:left w:w="0" w:type="dxa"/>
              <w:bottom w:w="0" w:type="dxa"/>
              <w:right w:w="15" w:type="dxa"/>
            </w:tcMar>
            <w:vAlign w:val="bottom"/>
            <w:hideMark/>
          </w:tcPr>
          <w:p w14:paraId="0304960A"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61FCC1F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-224%</w:t>
            </w:r>
          </w:p>
        </w:tc>
        <w:tc>
          <w:tcPr>
            <w:tcW w:w="220" w:type="dxa"/>
            <w:shd w:val="clear" w:color="auto" w:fill="FFFFFF"/>
            <w:tcMar>
              <w:top w:w="15" w:type="dxa"/>
              <w:left w:w="0" w:type="dxa"/>
              <w:bottom w:w="0" w:type="dxa"/>
              <w:right w:w="15" w:type="dxa"/>
            </w:tcMar>
            <w:vAlign w:val="bottom"/>
            <w:hideMark/>
          </w:tcPr>
          <w:p w14:paraId="38AA13C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6FC4704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-224%</w:t>
            </w:r>
          </w:p>
        </w:tc>
        <w:tc>
          <w:tcPr>
            <w:tcW w:w="220" w:type="dxa"/>
            <w:shd w:val="clear" w:color="auto" w:fill="FFFFFF"/>
            <w:tcMar>
              <w:top w:w="15" w:type="dxa"/>
              <w:left w:w="0" w:type="dxa"/>
              <w:bottom w:w="0" w:type="dxa"/>
              <w:right w:w="15" w:type="dxa"/>
            </w:tcMar>
            <w:vAlign w:val="bottom"/>
            <w:hideMark/>
          </w:tcPr>
          <w:p w14:paraId="5E13871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2E31710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39C9782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w:t>
            </w:r>
          </w:p>
        </w:tc>
        <w:tc>
          <w:tcPr>
            <w:tcW w:w="191" w:type="dxa"/>
            <w:shd w:val="clear" w:color="auto" w:fill="FFFFFF"/>
            <w:noWrap/>
            <w:tcMar>
              <w:top w:w="15" w:type="dxa"/>
              <w:left w:w="0" w:type="dxa"/>
              <w:bottom w:w="0" w:type="dxa"/>
              <w:right w:w="15" w:type="dxa"/>
            </w:tcMar>
            <w:vAlign w:val="bottom"/>
            <w:hideMark/>
          </w:tcPr>
          <w:p w14:paraId="01123D0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33BB90A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DAA2EF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44D8913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w:t>
            </w:r>
          </w:p>
        </w:tc>
        <w:tc>
          <w:tcPr>
            <w:tcW w:w="191" w:type="dxa"/>
            <w:shd w:val="clear" w:color="auto" w:fill="FFFFFF"/>
            <w:noWrap/>
            <w:tcMar>
              <w:top w:w="15" w:type="dxa"/>
              <w:left w:w="0" w:type="dxa"/>
              <w:bottom w:w="0" w:type="dxa"/>
              <w:right w:w="15" w:type="dxa"/>
            </w:tcMar>
            <w:vAlign w:val="bottom"/>
            <w:hideMark/>
          </w:tcPr>
          <w:p w14:paraId="43478DB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2B15BD0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C011A1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100%</w:t>
            </w:r>
          </w:p>
        </w:tc>
        <w:tc>
          <w:tcPr>
            <w:tcW w:w="220" w:type="dxa"/>
            <w:shd w:val="clear" w:color="auto" w:fill="FFFFFF"/>
            <w:tcMar>
              <w:top w:w="15" w:type="dxa"/>
              <w:left w:w="0" w:type="dxa"/>
              <w:bottom w:w="0" w:type="dxa"/>
              <w:right w:w="15" w:type="dxa"/>
            </w:tcMar>
            <w:vAlign w:val="bottom"/>
            <w:hideMark/>
          </w:tcPr>
          <w:p w14:paraId="5153DEA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1992240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100%</w:t>
            </w:r>
          </w:p>
        </w:tc>
        <w:tc>
          <w:tcPr>
            <w:tcW w:w="220" w:type="dxa"/>
            <w:shd w:val="clear" w:color="auto" w:fill="FFFFFF"/>
            <w:tcMar>
              <w:top w:w="15" w:type="dxa"/>
              <w:left w:w="0" w:type="dxa"/>
              <w:bottom w:w="0" w:type="dxa"/>
              <w:right w:w="15" w:type="dxa"/>
            </w:tcMar>
            <w:vAlign w:val="bottom"/>
            <w:hideMark/>
          </w:tcPr>
          <w:p w14:paraId="167C2B0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shd w:val="clear" w:color="auto" w:fill="FFFFFF"/>
            <w:noWrap/>
            <w:tcMar>
              <w:top w:w="15" w:type="dxa"/>
              <w:left w:w="0" w:type="dxa"/>
              <w:bottom w:w="0" w:type="dxa"/>
              <w:right w:w="15" w:type="dxa"/>
            </w:tcMar>
            <w:vAlign w:val="bottom"/>
            <w:hideMark/>
          </w:tcPr>
          <w:p w14:paraId="348C991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shd w:val="clear" w:color="auto" w:fill="FFFFFF"/>
            <w:noWrap/>
            <w:tcMar>
              <w:top w:w="15" w:type="dxa"/>
              <w:left w:w="0" w:type="dxa"/>
              <w:bottom w:w="0" w:type="dxa"/>
              <w:right w:w="15" w:type="dxa"/>
            </w:tcMar>
            <w:vAlign w:val="bottom"/>
            <w:hideMark/>
          </w:tcPr>
          <w:p w14:paraId="10DAF65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w:t>
            </w:r>
          </w:p>
        </w:tc>
        <w:tc>
          <w:tcPr>
            <w:tcW w:w="193" w:type="dxa"/>
            <w:shd w:val="clear" w:color="auto" w:fill="FFFFFF"/>
            <w:noWrap/>
            <w:tcMar>
              <w:top w:w="15" w:type="dxa"/>
              <w:left w:w="0" w:type="dxa"/>
              <w:bottom w:w="0" w:type="dxa"/>
              <w:right w:w="15" w:type="dxa"/>
            </w:tcMar>
            <w:vAlign w:val="bottom"/>
            <w:hideMark/>
          </w:tcPr>
          <w:p w14:paraId="3B29CE7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1CDEC9C5" w14:textId="77777777" w:rsidTr="00141675">
        <w:tc>
          <w:tcPr>
            <w:tcW w:w="6956" w:type="dxa"/>
            <w:shd w:val="clear" w:color="auto" w:fill="CFF0FC"/>
            <w:tcMar>
              <w:top w:w="15" w:type="dxa"/>
              <w:left w:w="0" w:type="dxa"/>
              <w:bottom w:w="0" w:type="dxa"/>
              <w:right w:w="15" w:type="dxa"/>
            </w:tcMar>
            <w:hideMark/>
          </w:tcPr>
          <w:p w14:paraId="7E3E8F9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Other, net</w:t>
            </w:r>
          </w:p>
        </w:tc>
        <w:tc>
          <w:tcPr>
            <w:tcW w:w="220" w:type="dxa"/>
            <w:shd w:val="clear" w:color="auto" w:fill="CFF0FC"/>
            <w:tcMar>
              <w:top w:w="15" w:type="dxa"/>
              <w:left w:w="0" w:type="dxa"/>
              <w:bottom w:w="0" w:type="dxa"/>
              <w:right w:w="15" w:type="dxa"/>
            </w:tcMar>
            <w:vAlign w:val="bottom"/>
            <w:hideMark/>
          </w:tcPr>
          <w:p w14:paraId="4118306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806E75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CFF0FC"/>
            <w:noWrap/>
            <w:tcMar>
              <w:top w:w="15" w:type="dxa"/>
              <w:left w:w="0" w:type="dxa"/>
              <w:bottom w:w="0" w:type="dxa"/>
              <w:right w:w="15" w:type="dxa"/>
            </w:tcMar>
            <w:vAlign w:val="bottom"/>
            <w:hideMark/>
          </w:tcPr>
          <w:p w14:paraId="1BE6E13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13</w:t>
            </w:r>
          </w:p>
        </w:tc>
        <w:tc>
          <w:tcPr>
            <w:tcW w:w="191" w:type="dxa"/>
            <w:shd w:val="clear" w:color="auto" w:fill="CFF0FC"/>
            <w:noWrap/>
            <w:tcMar>
              <w:top w:w="15" w:type="dxa"/>
              <w:left w:w="0" w:type="dxa"/>
              <w:bottom w:w="0" w:type="dxa"/>
              <w:right w:w="15" w:type="dxa"/>
            </w:tcMar>
            <w:vAlign w:val="bottom"/>
            <w:hideMark/>
          </w:tcPr>
          <w:p w14:paraId="035A82D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425A9B72" w14:textId="77777777" w:rsidR="00141675" w:rsidRPr="00141675" w:rsidRDefault="00141675" w:rsidP="00141675">
            <w:pPr>
              <w:widowControl/>
              <w:jc w:val="left"/>
              <w:rPr>
                <w:rFonts w:ascii="Calibri" w:eastAsia="宋体" w:hAnsi="Calibri" w:cs="Calibri"/>
                <w:b/>
                <w:bCs/>
                <w:color w:val="000000"/>
                <w:kern w:val="0"/>
                <w:sz w:val="18"/>
                <w:szCs w:val="18"/>
              </w:rPr>
            </w:pPr>
            <w:r w:rsidRPr="00141675">
              <w:rPr>
                <w:rFonts w:ascii="Calibri" w:eastAsia="宋体" w:hAnsi="Calibri" w:cs="Calibri"/>
                <w:b/>
                <w:bCs/>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290A2B5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204%</w:t>
            </w:r>
          </w:p>
        </w:tc>
        <w:tc>
          <w:tcPr>
            <w:tcW w:w="220" w:type="dxa"/>
            <w:shd w:val="clear" w:color="auto" w:fill="CFF0FC"/>
            <w:tcMar>
              <w:top w:w="15" w:type="dxa"/>
              <w:left w:w="0" w:type="dxa"/>
              <w:bottom w:w="0" w:type="dxa"/>
              <w:right w:w="15" w:type="dxa"/>
            </w:tcMar>
            <w:vAlign w:val="bottom"/>
            <w:hideMark/>
          </w:tcPr>
          <w:p w14:paraId="062EB5E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49042E7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205%</w:t>
            </w:r>
          </w:p>
        </w:tc>
        <w:tc>
          <w:tcPr>
            <w:tcW w:w="220" w:type="dxa"/>
            <w:shd w:val="clear" w:color="auto" w:fill="CFF0FC"/>
            <w:tcMar>
              <w:top w:w="15" w:type="dxa"/>
              <w:left w:w="0" w:type="dxa"/>
              <w:bottom w:w="0" w:type="dxa"/>
              <w:right w:w="15" w:type="dxa"/>
            </w:tcMar>
            <w:vAlign w:val="bottom"/>
            <w:hideMark/>
          </w:tcPr>
          <w:p w14:paraId="407747C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3B0947C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CFF0FC"/>
            <w:noWrap/>
            <w:tcMar>
              <w:top w:w="15" w:type="dxa"/>
              <w:left w:w="0" w:type="dxa"/>
              <w:bottom w:w="0" w:type="dxa"/>
              <w:right w:w="15" w:type="dxa"/>
            </w:tcMar>
            <w:vAlign w:val="bottom"/>
            <w:hideMark/>
          </w:tcPr>
          <w:p w14:paraId="6E1376C1"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4</w:t>
            </w:r>
          </w:p>
        </w:tc>
        <w:tc>
          <w:tcPr>
            <w:tcW w:w="191" w:type="dxa"/>
            <w:shd w:val="clear" w:color="auto" w:fill="CFF0FC"/>
            <w:noWrap/>
            <w:tcMar>
              <w:top w:w="15" w:type="dxa"/>
              <w:left w:w="0" w:type="dxa"/>
              <w:bottom w:w="0" w:type="dxa"/>
              <w:right w:w="15" w:type="dxa"/>
            </w:tcMar>
            <w:vAlign w:val="bottom"/>
            <w:hideMark/>
          </w:tcPr>
          <w:p w14:paraId="7BBFC5A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070F1F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6A2C6E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CFF0FC"/>
            <w:noWrap/>
            <w:tcMar>
              <w:top w:w="15" w:type="dxa"/>
              <w:left w:w="0" w:type="dxa"/>
              <w:bottom w:w="0" w:type="dxa"/>
              <w:right w:w="15" w:type="dxa"/>
            </w:tcMar>
            <w:vAlign w:val="bottom"/>
            <w:hideMark/>
          </w:tcPr>
          <w:p w14:paraId="458C545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28</w:t>
            </w:r>
          </w:p>
        </w:tc>
        <w:tc>
          <w:tcPr>
            <w:tcW w:w="191" w:type="dxa"/>
            <w:shd w:val="clear" w:color="auto" w:fill="CFF0FC"/>
            <w:noWrap/>
            <w:tcMar>
              <w:top w:w="15" w:type="dxa"/>
              <w:left w:w="0" w:type="dxa"/>
              <w:bottom w:w="0" w:type="dxa"/>
              <w:right w:w="15" w:type="dxa"/>
            </w:tcMar>
            <w:vAlign w:val="bottom"/>
            <w:hideMark/>
          </w:tcPr>
          <w:p w14:paraId="338DA3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CFF0FC"/>
            <w:tcMar>
              <w:top w:w="15" w:type="dxa"/>
              <w:left w:w="0" w:type="dxa"/>
              <w:bottom w:w="0" w:type="dxa"/>
              <w:right w:w="15" w:type="dxa"/>
            </w:tcMar>
            <w:vAlign w:val="bottom"/>
            <w:hideMark/>
          </w:tcPr>
          <w:p w14:paraId="5BB4B15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3E052AD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331%</w:t>
            </w:r>
          </w:p>
        </w:tc>
        <w:tc>
          <w:tcPr>
            <w:tcW w:w="220" w:type="dxa"/>
            <w:shd w:val="clear" w:color="auto" w:fill="CFF0FC"/>
            <w:tcMar>
              <w:top w:w="15" w:type="dxa"/>
              <w:left w:w="0" w:type="dxa"/>
              <w:bottom w:w="0" w:type="dxa"/>
              <w:right w:w="15" w:type="dxa"/>
            </w:tcMar>
            <w:vAlign w:val="bottom"/>
            <w:hideMark/>
          </w:tcPr>
          <w:p w14:paraId="6749E6E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CFF0FC"/>
            <w:tcMar>
              <w:top w:w="15" w:type="dxa"/>
              <w:left w:w="0" w:type="dxa"/>
              <w:bottom w:w="0" w:type="dxa"/>
              <w:right w:w="15" w:type="dxa"/>
            </w:tcMar>
            <w:vAlign w:val="bottom"/>
            <w:hideMark/>
          </w:tcPr>
          <w:p w14:paraId="192B1EF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331%</w:t>
            </w:r>
          </w:p>
        </w:tc>
        <w:tc>
          <w:tcPr>
            <w:tcW w:w="220" w:type="dxa"/>
            <w:shd w:val="clear" w:color="auto" w:fill="CFF0FC"/>
            <w:tcMar>
              <w:top w:w="15" w:type="dxa"/>
              <w:left w:w="0" w:type="dxa"/>
              <w:bottom w:w="0" w:type="dxa"/>
              <w:right w:w="15" w:type="dxa"/>
            </w:tcMar>
            <w:vAlign w:val="bottom"/>
            <w:hideMark/>
          </w:tcPr>
          <w:p w14:paraId="2650437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70394CF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042" w:type="dxa"/>
            <w:tcBorders>
              <w:bottom w:val="single" w:sz="6" w:space="0" w:color="000000"/>
            </w:tcBorders>
            <w:shd w:val="clear" w:color="auto" w:fill="CFF0FC"/>
            <w:noWrap/>
            <w:tcMar>
              <w:top w:w="15" w:type="dxa"/>
              <w:left w:w="0" w:type="dxa"/>
              <w:bottom w:w="0" w:type="dxa"/>
              <w:right w:w="15" w:type="dxa"/>
            </w:tcMar>
            <w:vAlign w:val="bottom"/>
            <w:hideMark/>
          </w:tcPr>
          <w:p w14:paraId="6149F7D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6</w:t>
            </w:r>
          </w:p>
        </w:tc>
        <w:tc>
          <w:tcPr>
            <w:tcW w:w="193" w:type="dxa"/>
            <w:shd w:val="clear" w:color="auto" w:fill="CFF0FC"/>
            <w:noWrap/>
            <w:tcMar>
              <w:top w:w="15" w:type="dxa"/>
              <w:left w:w="0" w:type="dxa"/>
              <w:bottom w:w="0" w:type="dxa"/>
              <w:right w:w="15" w:type="dxa"/>
            </w:tcMar>
            <w:vAlign w:val="bottom"/>
            <w:hideMark/>
          </w:tcPr>
          <w:p w14:paraId="6DB6E79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41A2924F" w14:textId="77777777" w:rsidTr="00141675">
        <w:tc>
          <w:tcPr>
            <w:tcW w:w="6956" w:type="dxa"/>
            <w:shd w:val="clear" w:color="auto" w:fill="FFFFFF"/>
            <w:tcMar>
              <w:top w:w="15" w:type="dxa"/>
              <w:left w:w="0" w:type="dxa"/>
              <w:bottom w:w="0" w:type="dxa"/>
              <w:right w:w="15" w:type="dxa"/>
            </w:tcMar>
            <w:hideMark/>
          </w:tcPr>
          <w:p w14:paraId="29EF5C9D"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 acquisition related and other expenses</w:t>
            </w:r>
          </w:p>
        </w:tc>
        <w:tc>
          <w:tcPr>
            <w:tcW w:w="220" w:type="dxa"/>
            <w:shd w:val="clear" w:color="auto" w:fill="FFFFFF"/>
            <w:tcMar>
              <w:top w:w="15" w:type="dxa"/>
              <w:left w:w="0" w:type="dxa"/>
              <w:bottom w:w="0" w:type="dxa"/>
              <w:right w:w="15" w:type="dxa"/>
            </w:tcMar>
            <w:vAlign w:val="bottom"/>
            <w:hideMark/>
          </w:tcPr>
          <w:p w14:paraId="5EC0C8E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E825E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02DC8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12</w:t>
            </w:r>
          </w:p>
        </w:tc>
        <w:tc>
          <w:tcPr>
            <w:tcW w:w="191" w:type="dxa"/>
            <w:shd w:val="clear" w:color="auto" w:fill="FFFFFF"/>
            <w:noWrap/>
            <w:tcMar>
              <w:top w:w="15" w:type="dxa"/>
              <w:left w:w="0" w:type="dxa"/>
              <w:bottom w:w="0" w:type="dxa"/>
              <w:right w:w="15" w:type="dxa"/>
            </w:tcMar>
            <w:vAlign w:val="bottom"/>
            <w:hideMark/>
          </w:tcPr>
          <w:p w14:paraId="7DD3A13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3ADD1B1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4F65264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-33%</w:t>
            </w:r>
          </w:p>
        </w:tc>
        <w:tc>
          <w:tcPr>
            <w:tcW w:w="220" w:type="dxa"/>
            <w:shd w:val="clear" w:color="auto" w:fill="FFFFFF"/>
            <w:tcMar>
              <w:top w:w="15" w:type="dxa"/>
              <w:left w:w="0" w:type="dxa"/>
              <w:bottom w:w="0" w:type="dxa"/>
              <w:right w:w="15" w:type="dxa"/>
            </w:tcMar>
            <w:vAlign w:val="bottom"/>
            <w:hideMark/>
          </w:tcPr>
          <w:p w14:paraId="767A8BB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564E08F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-32%</w:t>
            </w:r>
          </w:p>
        </w:tc>
        <w:tc>
          <w:tcPr>
            <w:tcW w:w="220" w:type="dxa"/>
            <w:shd w:val="clear" w:color="auto" w:fill="FFFFFF"/>
            <w:tcMar>
              <w:top w:w="15" w:type="dxa"/>
              <w:left w:w="0" w:type="dxa"/>
              <w:bottom w:w="0" w:type="dxa"/>
              <w:right w:w="15" w:type="dxa"/>
            </w:tcMar>
            <w:vAlign w:val="bottom"/>
            <w:hideMark/>
          </w:tcPr>
          <w:p w14:paraId="0ABA31A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410030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54FF257"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18</w:t>
            </w:r>
          </w:p>
        </w:tc>
        <w:tc>
          <w:tcPr>
            <w:tcW w:w="191" w:type="dxa"/>
            <w:shd w:val="clear" w:color="auto" w:fill="FFFFFF"/>
            <w:noWrap/>
            <w:tcMar>
              <w:top w:w="15" w:type="dxa"/>
              <w:left w:w="0" w:type="dxa"/>
              <w:bottom w:w="0" w:type="dxa"/>
              <w:right w:w="15" w:type="dxa"/>
            </w:tcMar>
            <w:vAlign w:val="bottom"/>
            <w:hideMark/>
          </w:tcPr>
          <w:p w14:paraId="3710B73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1750A68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0C102BD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36F429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37</w:t>
            </w:r>
          </w:p>
        </w:tc>
        <w:tc>
          <w:tcPr>
            <w:tcW w:w="191" w:type="dxa"/>
            <w:shd w:val="clear" w:color="auto" w:fill="FFFFFF"/>
            <w:noWrap/>
            <w:tcMar>
              <w:top w:w="15" w:type="dxa"/>
              <w:left w:w="0" w:type="dxa"/>
              <w:bottom w:w="0" w:type="dxa"/>
              <w:right w:w="15" w:type="dxa"/>
            </w:tcMar>
            <w:vAlign w:val="bottom"/>
            <w:hideMark/>
          </w:tcPr>
          <w:p w14:paraId="3E5B0A2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20" w:type="dxa"/>
            <w:shd w:val="clear" w:color="auto" w:fill="FFFFFF"/>
            <w:tcMar>
              <w:top w:w="15" w:type="dxa"/>
              <w:left w:w="0" w:type="dxa"/>
              <w:bottom w:w="0" w:type="dxa"/>
              <w:right w:w="15" w:type="dxa"/>
            </w:tcMar>
            <w:vAlign w:val="bottom"/>
            <w:hideMark/>
          </w:tcPr>
          <w:p w14:paraId="45A24055"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7C8ACA80"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w:t>
            </w:r>
          </w:p>
        </w:tc>
        <w:tc>
          <w:tcPr>
            <w:tcW w:w="220" w:type="dxa"/>
            <w:shd w:val="clear" w:color="auto" w:fill="FFFFFF"/>
            <w:tcMar>
              <w:top w:w="15" w:type="dxa"/>
              <w:left w:w="0" w:type="dxa"/>
              <w:bottom w:w="0" w:type="dxa"/>
              <w:right w:w="15" w:type="dxa"/>
            </w:tcMar>
            <w:vAlign w:val="bottom"/>
            <w:hideMark/>
          </w:tcPr>
          <w:p w14:paraId="7387979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455" w:type="dxa"/>
            <w:shd w:val="clear" w:color="auto" w:fill="FFFFFF"/>
            <w:tcMar>
              <w:top w:w="15" w:type="dxa"/>
              <w:left w:w="0" w:type="dxa"/>
              <w:bottom w:w="0" w:type="dxa"/>
              <w:right w:w="15" w:type="dxa"/>
            </w:tcMar>
            <w:vAlign w:val="bottom"/>
            <w:hideMark/>
          </w:tcPr>
          <w:p w14:paraId="33CF8F3E"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16%</w:t>
            </w:r>
          </w:p>
        </w:tc>
        <w:tc>
          <w:tcPr>
            <w:tcW w:w="220" w:type="dxa"/>
            <w:shd w:val="clear" w:color="auto" w:fill="FFFFFF"/>
            <w:tcMar>
              <w:top w:w="15" w:type="dxa"/>
              <w:left w:w="0" w:type="dxa"/>
              <w:bottom w:w="0" w:type="dxa"/>
              <w:right w:w="15" w:type="dxa"/>
            </w:tcMar>
            <w:vAlign w:val="bottom"/>
            <w:hideMark/>
          </w:tcPr>
          <w:p w14:paraId="3CB6FC1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52F1CB8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1042"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119FDB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32</w:t>
            </w:r>
          </w:p>
        </w:tc>
        <w:tc>
          <w:tcPr>
            <w:tcW w:w="193" w:type="dxa"/>
            <w:shd w:val="clear" w:color="auto" w:fill="FFFFFF"/>
            <w:noWrap/>
            <w:tcMar>
              <w:top w:w="15" w:type="dxa"/>
              <w:left w:w="0" w:type="dxa"/>
              <w:bottom w:w="0" w:type="dxa"/>
              <w:right w:w="15" w:type="dxa"/>
            </w:tcMar>
            <w:vAlign w:val="bottom"/>
            <w:hideMark/>
          </w:tcPr>
          <w:p w14:paraId="7D264E9B"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14D3C03C"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38</w:t>
      </w:r>
    </w:p>
    <w:p w14:paraId="1A8287FA"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0A111A3D">
          <v:rect id="_x0000_i1064" style="width:0;height:1.5pt" o:hralign="center" o:hrstd="t" o:hrnoshade="t" o:hr="t" fillcolor="black" stroked="f"/>
        </w:pict>
      </w:r>
    </w:p>
    <w:p w14:paraId="1CA754EB" w14:textId="77777777" w:rsidR="00141675" w:rsidRPr="00141675" w:rsidRDefault="00141675" w:rsidP="00141675">
      <w:pPr>
        <w:widowControl/>
        <w:jc w:val="left"/>
        <w:rPr>
          <w:rFonts w:ascii="Calibri" w:eastAsia="宋体" w:hAnsi="Calibri" w:cs="Calibri"/>
          <w:b/>
          <w:bCs/>
          <w:color w:val="000000"/>
          <w:kern w:val="0"/>
          <w:sz w:val="20"/>
          <w:szCs w:val="20"/>
        </w:rPr>
      </w:pPr>
      <w:hyperlink r:id="rId61" w:anchor="TABLE_CONTENTS" w:history="1">
        <w:r w:rsidRPr="00141675">
          <w:rPr>
            <w:rFonts w:ascii="Calibri" w:eastAsia="宋体" w:hAnsi="Calibri" w:cs="Calibri"/>
            <w:b/>
            <w:bCs/>
            <w:color w:val="0000FF"/>
            <w:kern w:val="0"/>
            <w:sz w:val="20"/>
            <w:szCs w:val="20"/>
            <w:u w:val="single"/>
          </w:rPr>
          <w:t>Table of Contents</w:t>
        </w:r>
      </w:hyperlink>
    </w:p>
    <w:p w14:paraId="5A717FB4"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4F3D0F68"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Fiscal Second Quarter 2020 Compared to Fiscal Second Quarter 2019:  </w:t>
      </w:r>
      <w:r w:rsidRPr="00141675">
        <w:rPr>
          <w:rFonts w:ascii="Calibri" w:eastAsia="宋体" w:hAnsi="Calibri" w:cs="Calibri"/>
          <w:color w:val="000000"/>
          <w:kern w:val="0"/>
          <w:sz w:val="20"/>
          <w:szCs w:val="20"/>
        </w:rPr>
        <w:t>On a constant currency basis, acquisition related and other expenses decreased in the second quarter of fiscal 2020, relative to the corresponding prior year period, primarily due to lower transitional employee related costs and certain favorable business combination related adjustments that were recorded in the second quarter of fiscal 2020. These constant currency expense reductions during the second quarter of fiscal 2020 were partially offset by higher asset impairment costs incurred during the second quarter of fiscal 2020, as further described below.</w:t>
      </w:r>
    </w:p>
    <w:p w14:paraId="7484DBA6"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First Half Fiscal 2020 Compared to First Half Fiscal 2019:  </w:t>
      </w:r>
      <w:r w:rsidRPr="00141675">
        <w:rPr>
          <w:rFonts w:ascii="Calibri" w:eastAsia="宋体" w:hAnsi="Calibri" w:cs="Calibri"/>
          <w:color w:val="000000"/>
          <w:kern w:val="0"/>
          <w:sz w:val="20"/>
          <w:szCs w:val="20"/>
        </w:rPr>
        <w:t>On a constant currency basis, acquisition related and other expenses increased in the first half of fiscal 2020, relative to the corresponding prior year period, due to higher other expenses, net, which was primarily attributable to higher asset impairment costs related to certain right of use assets and other assets that were abandoned in connection with plans to improve our cost structure and operations prospectively. These constant currency expense increases were partially offset by lower transitional employee related costs during the first half of fiscal 2020, as described above.</w:t>
      </w:r>
    </w:p>
    <w:p w14:paraId="27EB6B76"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Restructuring Expenses: </w:t>
      </w:r>
      <w:r w:rsidRPr="00141675">
        <w:rPr>
          <w:rFonts w:ascii="Calibri" w:eastAsia="宋体" w:hAnsi="Calibri" w:cs="Calibri"/>
          <w:color w:val="000000"/>
          <w:kern w:val="0"/>
          <w:sz w:val="20"/>
          <w:szCs w:val="20"/>
        </w:rPr>
        <w:t xml:space="preserve">Restructuring expenses resulted from the execution of management approved restructuring plans that were generally developed to improve our cost structure and/or operations, often in conjunction with our acquisition integration strategies. Restructuring expenses consist of employee severance costs and other contract termination costs to improve our cost structure prospectively. Prior to fiscal 2020, restructuring expenses also included charges for duplicate facilities. </w:t>
      </w:r>
      <w:r w:rsidRPr="00141675">
        <w:rPr>
          <w:rFonts w:ascii="Calibri" w:eastAsia="宋体" w:hAnsi="Calibri" w:cs="Calibri"/>
          <w:color w:val="000000"/>
          <w:kern w:val="0"/>
          <w:sz w:val="20"/>
          <w:szCs w:val="20"/>
        </w:rPr>
        <w:lastRenderedPageBreak/>
        <w:t>For additional information regarding our restructuring plans, see Note 5 of Notes to Condensed Consolidated Financial Statements included elsewhere in this Quarterly Report and Note 8 of Notes to Consolidated Financial Statements included in our Annual Report on Form 10-K for the fiscal year ended May 31, 2019.</w:t>
      </w:r>
    </w:p>
    <w:p w14:paraId="0D8666F6"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65"/>
        <w:gridCol w:w="221"/>
        <w:gridCol w:w="201"/>
        <w:gridCol w:w="1060"/>
        <w:gridCol w:w="201"/>
        <w:gridCol w:w="221"/>
        <w:gridCol w:w="1460"/>
        <w:gridCol w:w="220"/>
        <w:gridCol w:w="1489"/>
        <w:gridCol w:w="220"/>
        <w:gridCol w:w="200"/>
        <w:gridCol w:w="1134"/>
        <w:gridCol w:w="200"/>
        <w:gridCol w:w="220"/>
        <w:gridCol w:w="200"/>
        <w:gridCol w:w="1059"/>
        <w:gridCol w:w="200"/>
        <w:gridCol w:w="220"/>
        <w:gridCol w:w="1459"/>
        <w:gridCol w:w="220"/>
        <w:gridCol w:w="1489"/>
        <w:gridCol w:w="220"/>
        <w:gridCol w:w="200"/>
        <w:gridCol w:w="1134"/>
        <w:gridCol w:w="201"/>
      </w:tblGrid>
      <w:tr w:rsidR="00141675" w:rsidRPr="00141675" w14:paraId="2B5D9E97" w14:textId="77777777" w:rsidTr="00141675">
        <w:tc>
          <w:tcPr>
            <w:tcW w:w="6950" w:type="dxa"/>
            <w:shd w:val="clear" w:color="auto" w:fill="FFFFFF"/>
            <w:tcMar>
              <w:top w:w="15" w:type="dxa"/>
              <w:left w:w="0" w:type="dxa"/>
              <w:bottom w:w="0" w:type="dxa"/>
              <w:right w:w="15" w:type="dxa"/>
            </w:tcMar>
            <w:vAlign w:val="bottom"/>
            <w:hideMark/>
          </w:tcPr>
          <w:p w14:paraId="78289DB7"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4937781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7006882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2" w:type="dxa"/>
            <w:shd w:val="clear" w:color="auto" w:fill="FFFFFF"/>
            <w:noWrap/>
            <w:tcMar>
              <w:top w:w="15" w:type="dxa"/>
              <w:left w:w="0" w:type="dxa"/>
              <w:bottom w:w="0" w:type="dxa"/>
              <w:right w:w="15" w:type="dxa"/>
            </w:tcMar>
            <w:vAlign w:val="bottom"/>
            <w:hideMark/>
          </w:tcPr>
          <w:p w14:paraId="45A342A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2340B08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03C1C75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3C08742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53F8266E" w14:textId="77777777" w:rsidTr="00141675">
        <w:tc>
          <w:tcPr>
            <w:tcW w:w="6950" w:type="dxa"/>
            <w:shd w:val="clear" w:color="auto" w:fill="FFFFFF"/>
            <w:tcMar>
              <w:top w:w="15" w:type="dxa"/>
              <w:left w:w="0" w:type="dxa"/>
              <w:bottom w:w="0" w:type="dxa"/>
              <w:right w:w="15" w:type="dxa"/>
            </w:tcMar>
            <w:vAlign w:val="bottom"/>
            <w:hideMark/>
          </w:tcPr>
          <w:p w14:paraId="4199E23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47875BC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2ED7A87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2265F32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bottom"/>
            <w:hideMark/>
          </w:tcPr>
          <w:p w14:paraId="3C2D316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2CCCEBE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C839CB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70200C7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188B385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2FFCB52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bottom"/>
            <w:hideMark/>
          </w:tcPr>
          <w:p w14:paraId="0CBF3DD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FB4275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5D55097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22591F8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bottom"/>
            <w:hideMark/>
          </w:tcPr>
          <w:p w14:paraId="501B5D3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44D3619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C53C58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34CEC16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7ADEB77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4D31B775" w14:textId="77777777" w:rsidR="00141675" w:rsidRPr="00141675" w:rsidRDefault="00141675" w:rsidP="00141675">
            <w:pPr>
              <w:widowControl/>
              <w:jc w:val="center"/>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0757F254"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66DA57B1" w14:textId="77777777" w:rsidTr="00141675">
        <w:tc>
          <w:tcPr>
            <w:tcW w:w="6950" w:type="dxa"/>
            <w:tcBorders>
              <w:bottom w:val="single" w:sz="6" w:space="0" w:color="000000"/>
            </w:tcBorders>
            <w:shd w:val="clear" w:color="auto" w:fill="FFFFFF"/>
            <w:tcMar>
              <w:top w:w="15" w:type="dxa"/>
              <w:left w:w="0" w:type="dxa"/>
              <w:bottom w:w="0" w:type="dxa"/>
              <w:right w:w="15" w:type="dxa"/>
            </w:tcMar>
            <w:vAlign w:val="bottom"/>
            <w:hideMark/>
          </w:tcPr>
          <w:p w14:paraId="71E7205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4AD1071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5009FAD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29E9AD4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04A9511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98A01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7042902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4A14DD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7B33D59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0E9613A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2E7D4CE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17FB31B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1AAE715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313E5A1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4011FAA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CC955D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22EE36E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7BC043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72F9BD50" w14:textId="77777777" w:rsidR="00141675" w:rsidRPr="00141675" w:rsidRDefault="00141675" w:rsidP="00141675">
            <w:pPr>
              <w:widowControl/>
              <w:jc w:val="center"/>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71E0AD6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5368643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1633A4F2" w14:textId="77777777" w:rsidTr="00141675">
        <w:tc>
          <w:tcPr>
            <w:tcW w:w="6950" w:type="dxa"/>
            <w:tcBorders>
              <w:top w:val="single" w:sz="6" w:space="0" w:color="000000"/>
            </w:tcBorders>
            <w:shd w:val="clear" w:color="auto" w:fill="CFF0FC"/>
            <w:tcMar>
              <w:top w:w="15" w:type="dxa"/>
              <w:left w:w="0" w:type="dxa"/>
              <w:bottom w:w="0" w:type="dxa"/>
              <w:right w:w="15" w:type="dxa"/>
            </w:tcMar>
            <w:hideMark/>
          </w:tcPr>
          <w:p w14:paraId="616311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Restructuring expenses</w:t>
            </w:r>
          </w:p>
        </w:tc>
        <w:tc>
          <w:tcPr>
            <w:tcW w:w="220" w:type="dxa"/>
            <w:shd w:val="clear" w:color="auto" w:fill="CFF0FC"/>
            <w:tcMar>
              <w:top w:w="15" w:type="dxa"/>
              <w:left w:w="0" w:type="dxa"/>
              <w:bottom w:w="0" w:type="dxa"/>
              <w:right w:w="15" w:type="dxa"/>
            </w:tcMar>
            <w:vAlign w:val="bottom"/>
            <w:hideMark/>
          </w:tcPr>
          <w:p w14:paraId="30B05E9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928A50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4F30B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42</w:t>
            </w:r>
          </w:p>
        </w:tc>
        <w:tc>
          <w:tcPr>
            <w:tcW w:w="192" w:type="dxa"/>
            <w:shd w:val="clear" w:color="auto" w:fill="CFF0FC"/>
            <w:noWrap/>
            <w:tcMar>
              <w:top w:w="15" w:type="dxa"/>
              <w:left w:w="0" w:type="dxa"/>
              <w:bottom w:w="0" w:type="dxa"/>
              <w:right w:w="15" w:type="dxa"/>
            </w:tcMar>
            <w:vAlign w:val="bottom"/>
            <w:hideMark/>
          </w:tcPr>
          <w:p w14:paraId="240DBBF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DF0F5DB"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6014A77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-71%</w:t>
            </w:r>
          </w:p>
        </w:tc>
        <w:tc>
          <w:tcPr>
            <w:tcW w:w="220" w:type="dxa"/>
            <w:shd w:val="clear" w:color="auto" w:fill="CFF0FC"/>
            <w:tcMar>
              <w:top w:w="15" w:type="dxa"/>
              <w:left w:w="0" w:type="dxa"/>
              <w:bottom w:w="0" w:type="dxa"/>
              <w:right w:w="15" w:type="dxa"/>
            </w:tcMar>
            <w:vAlign w:val="bottom"/>
            <w:hideMark/>
          </w:tcPr>
          <w:p w14:paraId="1368DF44"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3949EA2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-70%</w:t>
            </w:r>
          </w:p>
        </w:tc>
        <w:tc>
          <w:tcPr>
            <w:tcW w:w="220" w:type="dxa"/>
            <w:shd w:val="clear" w:color="auto" w:fill="CFF0FC"/>
            <w:tcMar>
              <w:top w:w="15" w:type="dxa"/>
              <w:left w:w="0" w:type="dxa"/>
              <w:bottom w:w="0" w:type="dxa"/>
              <w:right w:w="15" w:type="dxa"/>
            </w:tcMar>
            <w:vAlign w:val="bottom"/>
            <w:hideMark/>
          </w:tcPr>
          <w:p w14:paraId="63A99C35" w14:textId="77777777" w:rsidR="00141675" w:rsidRPr="00141675" w:rsidRDefault="00141675" w:rsidP="00141675">
            <w:pPr>
              <w:widowControl/>
              <w:jc w:val="righ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CDA919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11379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143</w:t>
            </w:r>
          </w:p>
        </w:tc>
        <w:tc>
          <w:tcPr>
            <w:tcW w:w="192" w:type="dxa"/>
            <w:shd w:val="clear" w:color="auto" w:fill="CFF0FC"/>
            <w:noWrap/>
            <w:tcMar>
              <w:top w:w="15" w:type="dxa"/>
              <w:left w:w="0" w:type="dxa"/>
              <w:bottom w:w="0" w:type="dxa"/>
              <w:right w:w="15" w:type="dxa"/>
            </w:tcMar>
            <w:vAlign w:val="bottom"/>
            <w:hideMark/>
          </w:tcPr>
          <w:p w14:paraId="778F340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4BCB36D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E04021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AD01AD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120</w:t>
            </w:r>
          </w:p>
        </w:tc>
        <w:tc>
          <w:tcPr>
            <w:tcW w:w="192" w:type="dxa"/>
            <w:shd w:val="clear" w:color="auto" w:fill="CFF0FC"/>
            <w:noWrap/>
            <w:tcMar>
              <w:top w:w="15" w:type="dxa"/>
              <w:left w:w="0" w:type="dxa"/>
              <w:bottom w:w="0" w:type="dxa"/>
              <w:right w:w="15" w:type="dxa"/>
            </w:tcMar>
            <w:vAlign w:val="bottom"/>
            <w:hideMark/>
          </w:tcPr>
          <w:p w14:paraId="6CA2B40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8E2198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54FB5DB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w:t>
            </w:r>
          </w:p>
        </w:tc>
        <w:tc>
          <w:tcPr>
            <w:tcW w:w="220" w:type="dxa"/>
            <w:shd w:val="clear" w:color="auto" w:fill="CFF0FC"/>
            <w:tcMar>
              <w:top w:w="15" w:type="dxa"/>
              <w:left w:w="0" w:type="dxa"/>
              <w:bottom w:w="0" w:type="dxa"/>
              <w:right w:w="15" w:type="dxa"/>
            </w:tcMar>
            <w:vAlign w:val="bottom"/>
            <w:hideMark/>
          </w:tcPr>
          <w:p w14:paraId="4A46018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7AB48029"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-47%</w:t>
            </w:r>
          </w:p>
        </w:tc>
        <w:tc>
          <w:tcPr>
            <w:tcW w:w="220" w:type="dxa"/>
            <w:shd w:val="clear" w:color="auto" w:fill="CFF0FC"/>
            <w:tcMar>
              <w:top w:w="15" w:type="dxa"/>
              <w:left w:w="0" w:type="dxa"/>
              <w:bottom w:w="0" w:type="dxa"/>
              <w:right w:w="15" w:type="dxa"/>
            </w:tcMar>
            <w:vAlign w:val="bottom"/>
            <w:hideMark/>
          </w:tcPr>
          <w:p w14:paraId="79A59DF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AA6E0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24C56F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233</w:t>
            </w:r>
          </w:p>
        </w:tc>
        <w:tc>
          <w:tcPr>
            <w:tcW w:w="193" w:type="dxa"/>
            <w:shd w:val="clear" w:color="auto" w:fill="CFF0FC"/>
            <w:noWrap/>
            <w:tcMar>
              <w:top w:w="15" w:type="dxa"/>
              <w:left w:w="0" w:type="dxa"/>
              <w:bottom w:w="0" w:type="dxa"/>
              <w:right w:w="15" w:type="dxa"/>
            </w:tcMar>
            <w:vAlign w:val="bottom"/>
            <w:hideMark/>
          </w:tcPr>
          <w:p w14:paraId="25B119B3"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564BA53D" w14:textId="77777777" w:rsidR="00141675" w:rsidRPr="00141675" w:rsidRDefault="00141675" w:rsidP="00141675">
      <w:pPr>
        <w:widowControl/>
        <w:rPr>
          <w:rFonts w:ascii="Times New Roman" w:eastAsia="宋体" w:hAnsi="Times New Roman" w:cs="Times New Roman"/>
          <w:color w:val="000000"/>
          <w:kern w:val="0"/>
          <w:sz w:val="12"/>
          <w:szCs w:val="12"/>
        </w:rPr>
      </w:pPr>
      <w:r w:rsidRPr="00141675">
        <w:rPr>
          <w:rFonts w:ascii="Times New Roman" w:eastAsia="宋体" w:hAnsi="Times New Roman" w:cs="Times New Roman"/>
          <w:color w:val="000000"/>
          <w:kern w:val="0"/>
          <w:sz w:val="12"/>
          <w:szCs w:val="12"/>
        </w:rPr>
        <w:t> </w:t>
      </w:r>
    </w:p>
    <w:p w14:paraId="2F0F0062" w14:textId="77777777" w:rsidR="00141675" w:rsidRPr="00141675" w:rsidRDefault="00141675" w:rsidP="00141675">
      <w:pPr>
        <w:widowControl/>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Restructuring expenses in the fiscal 2020 and 2019 periods presented primarily related to our 2019 Restructuring Plan. Our management approved, committed to and initiated the 2019 Restructuring Plan in order to restructure and further improve efficiencies in our operations. The total estimated restructuring costs associated with the 2019 Restructuring Plan are up to $626 million, of which approximately $25 million were remaining as of November 30, 2019, and will be recorded to the restructuring expense line item within our condensed consolidated statements of operations as they are incurred through an expected end date of fiscal 2020. Our estimated costs are subject to change in future periods.</w:t>
      </w:r>
    </w:p>
    <w:p w14:paraId="6D8E86AA"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The majority of the initiatives undertaken by our 2019 Restructuring Plan were effected to implement our continued emphasis in developing, marketing and selling our cloud-based offerings. These initiatives impacted certain of our sales and marketing and research and development operations. Cost savings that are expected to be realized pursuant to our 2019 Restructuring Plan initiatives are primarily expected to be offset by investments in resources and geographies that best address the development, marketing and sale of our cloud</w:t>
      </w:r>
      <w:r w:rsidRPr="00141675">
        <w:rPr>
          <w:rFonts w:ascii="Calibri" w:eastAsia="宋体" w:hAnsi="Calibri" w:cs="Calibri"/>
          <w:color w:val="000000"/>
          <w:kern w:val="0"/>
          <w:sz w:val="20"/>
          <w:szCs w:val="20"/>
        </w:rPr>
        <w:noBreakHyphen/>
        <w:t>based offerings including investments in our second</w:t>
      </w:r>
      <w:r w:rsidRPr="00141675">
        <w:rPr>
          <w:rFonts w:ascii="Calibri" w:eastAsia="宋体" w:hAnsi="Calibri" w:cs="Calibri"/>
          <w:color w:val="000000"/>
          <w:kern w:val="0"/>
          <w:sz w:val="20"/>
          <w:szCs w:val="20"/>
        </w:rPr>
        <w:noBreakHyphen/>
        <w:t>generation cloud infrastructure.</w:t>
      </w:r>
    </w:p>
    <w:p w14:paraId="0FD12A83" w14:textId="77777777" w:rsidR="00141675" w:rsidRPr="00141675" w:rsidRDefault="00141675" w:rsidP="00141675">
      <w:pPr>
        <w:widowControl/>
        <w:spacing w:before="24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Interest Expense:</w:t>
      </w:r>
    </w:p>
    <w:p w14:paraId="665895B7"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65"/>
        <w:gridCol w:w="221"/>
        <w:gridCol w:w="201"/>
        <w:gridCol w:w="1060"/>
        <w:gridCol w:w="201"/>
        <w:gridCol w:w="221"/>
        <w:gridCol w:w="1460"/>
        <w:gridCol w:w="220"/>
        <w:gridCol w:w="1489"/>
        <w:gridCol w:w="220"/>
        <w:gridCol w:w="200"/>
        <w:gridCol w:w="1134"/>
        <w:gridCol w:w="200"/>
        <w:gridCol w:w="220"/>
        <w:gridCol w:w="200"/>
        <w:gridCol w:w="1059"/>
        <w:gridCol w:w="200"/>
        <w:gridCol w:w="220"/>
        <w:gridCol w:w="1459"/>
        <w:gridCol w:w="220"/>
        <w:gridCol w:w="1489"/>
        <w:gridCol w:w="220"/>
        <w:gridCol w:w="200"/>
        <w:gridCol w:w="1134"/>
        <w:gridCol w:w="201"/>
      </w:tblGrid>
      <w:tr w:rsidR="00141675" w:rsidRPr="00141675" w14:paraId="30FF4FA8" w14:textId="77777777" w:rsidTr="00141675">
        <w:tc>
          <w:tcPr>
            <w:tcW w:w="6950" w:type="dxa"/>
            <w:shd w:val="clear" w:color="auto" w:fill="FFFFFF"/>
            <w:tcMar>
              <w:top w:w="15" w:type="dxa"/>
              <w:left w:w="0" w:type="dxa"/>
              <w:bottom w:w="0" w:type="dxa"/>
              <w:right w:w="15" w:type="dxa"/>
            </w:tcMar>
            <w:vAlign w:val="center"/>
            <w:hideMark/>
          </w:tcPr>
          <w:p w14:paraId="6F747B2C"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62A6443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1F92D35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2" w:type="dxa"/>
            <w:shd w:val="clear" w:color="auto" w:fill="FFFFFF"/>
            <w:noWrap/>
            <w:tcMar>
              <w:top w:w="15" w:type="dxa"/>
              <w:left w:w="0" w:type="dxa"/>
              <w:bottom w:w="0" w:type="dxa"/>
              <w:right w:w="15" w:type="dxa"/>
            </w:tcMar>
            <w:vAlign w:val="bottom"/>
            <w:hideMark/>
          </w:tcPr>
          <w:p w14:paraId="5EC335C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01F4015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08E3665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16D97F8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75AC0339" w14:textId="77777777" w:rsidTr="00141675">
        <w:tc>
          <w:tcPr>
            <w:tcW w:w="6950" w:type="dxa"/>
            <w:shd w:val="clear" w:color="auto" w:fill="FFFFFF"/>
            <w:tcMar>
              <w:top w:w="15" w:type="dxa"/>
              <w:left w:w="0" w:type="dxa"/>
              <w:bottom w:w="0" w:type="dxa"/>
              <w:right w:w="15" w:type="dxa"/>
            </w:tcMar>
            <w:vAlign w:val="center"/>
            <w:hideMark/>
          </w:tcPr>
          <w:p w14:paraId="4D9FABE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019259C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668BFB5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2335373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4B93B6F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7CDEB28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6733FC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0E63913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1CC59FA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6489980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0D99919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57733A4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7A8F894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6F91B68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4413C47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4563D87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274875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6B79690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2BBF098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5ADCA3A8"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5D7F3F4B"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05A60ABB" w14:textId="77777777" w:rsidTr="00141675">
        <w:tc>
          <w:tcPr>
            <w:tcW w:w="6950" w:type="dxa"/>
            <w:tcBorders>
              <w:bottom w:val="single" w:sz="6" w:space="0" w:color="000000"/>
            </w:tcBorders>
            <w:shd w:val="clear" w:color="auto" w:fill="FFFFFF"/>
            <w:tcMar>
              <w:top w:w="15" w:type="dxa"/>
              <w:left w:w="0" w:type="dxa"/>
              <w:bottom w:w="0" w:type="dxa"/>
              <w:right w:w="15" w:type="dxa"/>
            </w:tcMar>
            <w:vAlign w:val="bottom"/>
            <w:hideMark/>
          </w:tcPr>
          <w:p w14:paraId="63049FE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43769CC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386A86C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69C0F7A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2AEA85F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21E73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69B0E3D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2211F9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0BC60A6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478AA2E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2C9877A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033CFB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0EB444D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34C2EB1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34C0ACA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EACC62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253AC28D"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4662C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5948580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4766591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3C75937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1E0ACA4A" w14:textId="77777777" w:rsidTr="00141675">
        <w:tc>
          <w:tcPr>
            <w:tcW w:w="6950" w:type="dxa"/>
            <w:tcBorders>
              <w:top w:val="single" w:sz="6" w:space="0" w:color="000000"/>
            </w:tcBorders>
            <w:shd w:val="clear" w:color="auto" w:fill="CFF0FC"/>
            <w:tcMar>
              <w:top w:w="15" w:type="dxa"/>
              <w:left w:w="0" w:type="dxa"/>
              <w:bottom w:w="0" w:type="dxa"/>
              <w:right w:w="15" w:type="dxa"/>
            </w:tcMar>
            <w:hideMark/>
          </w:tcPr>
          <w:p w14:paraId="4DF64FA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Interest expense</w:t>
            </w:r>
          </w:p>
        </w:tc>
        <w:tc>
          <w:tcPr>
            <w:tcW w:w="220" w:type="dxa"/>
            <w:shd w:val="clear" w:color="auto" w:fill="CFF0FC"/>
            <w:tcMar>
              <w:top w:w="15" w:type="dxa"/>
              <w:left w:w="0" w:type="dxa"/>
              <w:bottom w:w="0" w:type="dxa"/>
              <w:right w:w="15" w:type="dxa"/>
            </w:tcMar>
            <w:vAlign w:val="bottom"/>
            <w:hideMark/>
          </w:tcPr>
          <w:p w14:paraId="7D5A511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CE6E67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24DCD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465</w:t>
            </w:r>
          </w:p>
        </w:tc>
        <w:tc>
          <w:tcPr>
            <w:tcW w:w="192" w:type="dxa"/>
            <w:shd w:val="clear" w:color="auto" w:fill="CFF0FC"/>
            <w:noWrap/>
            <w:tcMar>
              <w:top w:w="15" w:type="dxa"/>
              <w:left w:w="0" w:type="dxa"/>
              <w:bottom w:w="0" w:type="dxa"/>
              <w:right w:w="15" w:type="dxa"/>
            </w:tcMar>
            <w:vAlign w:val="bottom"/>
            <w:hideMark/>
          </w:tcPr>
          <w:p w14:paraId="4E38197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936A8E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20FA6D4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w:t>
            </w:r>
          </w:p>
        </w:tc>
        <w:tc>
          <w:tcPr>
            <w:tcW w:w="220" w:type="dxa"/>
            <w:shd w:val="clear" w:color="auto" w:fill="CFF0FC"/>
            <w:tcMar>
              <w:top w:w="15" w:type="dxa"/>
              <w:left w:w="0" w:type="dxa"/>
              <w:bottom w:w="0" w:type="dxa"/>
              <w:right w:w="15" w:type="dxa"/>
            </w:tcMar>
            <w:vAlign w:val="bottom"/>
            <w:hideMark/>
          </w:tcPr>
          <w:p w14:paraId="423E071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60A2EB3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w:t>
            </w:r>
          </w:p>
        </w:tc>
        <w:tc>
          <w:tcPr>
            <w:tcW w:w="220" w:type="dxa"/>
            <w:shd w:val="clear" w:color="auto" w:fill="CFF0FC"/>
            <w:tcMar>
              <w:top w:w="15" w:type="dxa"/>
              <w:left w:w="0" w:type="dxa"/>
              <w:bottom w:w="0" w:type="dxa"/>
              <w:right w:w="15" w:type="dxa"/>
            </w:tcMar>
            <w:vAlign w:val="bottom"/>
            <w:hideMark/>
          </w:tcPr>
          <w:p w14:paraId="6525E84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A4DDDE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4825B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519</w:t>
            </w:r>
          </w:p>
        </w:tc>
        <w:tc>
          <w:tcPr>
            <w:tcW w:w="192" w:type="dxa"/>
            <w:shd w:val="clear" w:color="auto" w:fill="CFF0FC"/>
            <w:noWrap/>
            <w:tcMar>
              <w:top w:w="15" w:type="dxa"/>
              <w:left w:w="0" w:type="dxa"/>
              <w:bottom w:w="0" w:type="dxa"/>
              <w:right w:w="15" w:type="dxa"/>
            </w:tcMar>
            <w:vAlign w:val="bottom"/>
            <w:hideMark/>
          </w:tcPr>
          <w:p w14:paraId="22DBBC1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2CC8E2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C777F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F59ED2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959</w:t>
            </w:r>
          </w:p>
        </w:tc>
        <w:tc>
          <w:tcPr>
            <w:tcW w:w="192" w:type="dxa"/>
            <w:shd w:val="clear" w:color="auto" w:fill="CFF0FC"/>
            <w:noWrap/>
            <w:tcMar>
              <w:top w:w="15" w:type="dxa"/>
              <w:left w:w="0" w:type="dxa"/>
              <w:bottom w:w="0" w:type="dxa"/>
              <w:right w:w="15" w:type="dxa"/>
            </w:tcMar>
            <w:vAlign w:val="bottom"/>
            <w:hideMark/>
          </w:tcPr>
          <w:p w14:paraId="67ECCE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2B19E0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7307790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220" w:type="dxa"/>
            <w:shd w:val="clear" w:color="auto" w:fill="CFF0FC"/>
            <w:tcMar>
              <w:top w:w="15" w:type="dxa"/>
              <w:left w:w="0" w:type="dxa"/>
              <w:bottom w:w="0" w:type="dxa"/>
              <w:right w:w="15" w:type="dxa"/>
            </w:tcMar>
            <w:vAlign w:val="bottom"/>
            <w:hideMark/>
          </w:tcPr>
          <w:p w14:paraId="00BA2A1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00EE194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220" w:type="dxa"/>
            <w:shd w:val="clear" w:color="auto" w:fill="CFF0FC"/>
            <w:tcMar>
              <w:top w:w="15" w:type="dxa"/>
              <w:left w:w="0" w:type="dxa"/>
              <w:bottom w:w="0" w:type="dxa"/>
              <w:right w:w="15" w:type="dxa"/>
            </w:tcMar>
            <w:vAlign w:val="bottom"/>
            <w:hideMark/>
          </w:tcPr>
          <w:p w14:paraId="494BF5C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21DCB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81CB01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1,048</w:t>
            </w:r>
          </w:p>
        </w:tc>
        <w:tc>
          <w:tcPr>
            <w:tcW w:w="193" w:type="dxa"/>
            <w:shd w:val="clear" w:color="auto" w:fill="CFF0FC"/>
            <w:noWrap/>
            <w:tcMar>
              <w:top w:w="15" w:type="dxa"/>
              <w:left w:w="0" w:type="dxa"/>
              <w:bottom w:w="0" w:type="dxa"/>
              <w:right w:w="15" w:type="dxa"/>
            </w:tcMar>
            <w:vAlign w:val="bottom"/>
            <w:hideMark/>
          </w:tcPr>
          <w:p w14:paraId="2F9C663C"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1EFF3F18" w14:textId="77777777" w:rsidR="00141675" w:rsidRPr="00141675" w:rsidRDefault="00141675" w:rsidP="00141675">
      <w:pPr>
        <w:widowControl/>
        <w:jc w:val="left"/>
        <w:rPr>
          <w:rFonts w:ascii="Times New Roman" w:eastAsia="宋体" w:hAnsi="Times New Roman" w:cs="Times New Roman"/>
          <w:color w:val="000000"/>
          <w:kern w:val="0"/>
          <w:sz w:val="12"/>
          <w:szCs w:val="12"/>
        </w:rPr>
      </w:pPr>
      <w:r w:rsidRPr="00141675">
        <w:rPr>
          <w:rFonts w:ascii="Times New Roman" w:eastAsia="宋体" w:hAnsi="Times New Roman" w:cs="Times New Roman"/>
          <w:color w:val="000000"/>
          <w:kern w:val="0"/>
          <w:sz w:val="12"/>
          <w:szCs w:val="12"/>
        </w:rPr>
        <w:t> </w:t>
      </w:r>
    </w:p>
    <w:p w14:paraId="412436C3" w14:textId="77777777" w:rsidR="00141675" w:rsidRPr="00141675" w:rsidRDefault="00141675" w:rsidP="00141675">
      <w:pPr>
        <w:widowControl/>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Interest expense decreased due to lower average borrowings during the fiscal 2020 periods presented, relative to the corresponding prior year periods, primarily due to the maturities and repayments of $4.5 billion of senior notes during the fiscal 2020 periods presented and $2.0 billion of senior notes during fiscal 2019.</w:t>
      </w:r>
    </w:p>
    <w:p w14:paraId="2555B5C7"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39</w:t>
      </w:r>
    </w:p>
    <w:p w14:paraId="642B4C16"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4D285B8B">
          <v:rect id="_x0000_i1065" style="width:0;height:1.5pt" o:hralign="center" o:hrstd="t" o:hrnoshade="t" o:hr="t" fillcolor="black" stroked="f"/>
        </w:pict>
      </w:r>
    </w:p>
    <w:p w14:paraId="6C12DC0E" w14:textId="77777777" w:rsidR="00141675" w:rsidRPr="00141675" w:rsidRDefault="00141675" w:rsidP="00141675">
      <w:pPr>
        <w:widowControl/>
        <w:jc w:val="left"/>
        <w:rPr>
          <w:rFonts w:ascii="Calibri" w:eastAsia="宋体" w:hAnsi="Calibri" w:cs="Calibri"/>
          <w:b/>
          <w:bCs/>
          <w:color w:val="000000"/>
          <w:kern w:val="0"/>
          <w:sz w:val="20"/>
          <w:szCs w:val="20"/>
        </w:rPr>
      </w:pPr>
      <w:hyperlink r:id="rId62" w:anchor="TABLE_CONTENTS" w:history="1">
        <w:r w:rsidRPr="00141675">
          <w:rPr>
            <w:rFonts w:ascii="Calibri" w:eastAsia="宋体" w:hAnsi="Calibri" w:cs="Calibri"/>
            <w:b/>
            <w:bCs/>
            <w:color w:val="0000FF"/>
            <w:kern w:val="0"/>
            <w:sz w:val="20"/>
            <w:szCs w:val="20"/>
            <w:u w:val="single"/>
          </w:rPr>
          <w:t>Table of Contents</w:t>
        </w:r>
      </w:hyperlink>
    </w:p>
    <w:p w14:paraId="2A90ECCA"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14D8C3D9" w14:textId="77777777" w:rsidR="00141675" w:rsidRPr="00141675" w:rsidRDefault="00141675" w:rsidP="00141675">
      <w:pPr>
        <w:widowControl/>
        <w:rPr>
          <w:rFonts w:ascii="Times New Roman" w:eastAsia="宋体" w:hAnsi="Times New Roman" w:cs="Times New Roman"/>
          <w:b/>
          <w:bCs/>
          <w:color w:val="000000"/>
          <w:kern w:val="0"/>
          <w:sz w:val="12"/>
          <w:szCs w:val="12"/>
        </w:rPr>
      </w:pPr>
      <w:r w:rsidRPr="00141675">
        <w:rPr>
          <w:rFonts w:ascii="Times New Roman" w:eastAsia="宋体" w:hAnsi="Times New Roman" w:cs="Times New Roman"/>
          <w:b/>
          <w:bCs/>
          <w:color w:val="000000"/>
          <w:kern w:val="0"/>
          <w:sz w:val="12"/>
          <w:szCs w:val="12"/>
        </w:rPr>
        <w:t> </w:t>
      </w:r>
    </w:p>
    <w:p w14:paraId="5ADE13BA" w14:textId="77777777" w:rsidR="00141675" w:rsidRPr="00141675" w:rsidRDefault="00141675" w:rsidP="00141675">
      <w:pPr>
        <w:widowControl/>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lastRenderedPageBreak/>
        <w:t>Non-Operating Income, net:</w:t>
      </w:r>
      <w:r w:rsidRPr="00141675">
        <w:rPr>
          <w:rFonts w:ascii="Calibri" w:eastAsia="宋体" w:hAnsi="Calibri" w:cs="Calibri"/>
          <w:color w:val="000000"/>
          <w:kern w:val="0"/>
          <w:sz w:val="20"/>
          <w:szCs w:val="20"/>
        </w:rPr>
        <w:t>   Non-operating income, net consists primarily of interest income, net foreign currency exchange gains (losses), the noncontrolling interests in the net profits of our majority-owned subsidiaries (primarily Oracle Financial Services Software Limited and Oracle Corporation Japan) and net other income (losses), including net realized gains and losses related to all of our investments, net unrealized gains and losses related to the small portion of our investment portfolio related to our deferred compensation plan, </w:t>
      </w:r>
      <w:r w:rsidRPr="00141675">
        <w:rPr>
          <w:rFonts w:ascii="Calibri" w:eastAsia="宋体" w:hAnsi="Calibri" w:cs="Calibri"/>
          <w:color w:val="000000"/>
          <w:kern w:val="0"/>
          <w:sz w:val="20"/>
          <w:szCs w:val="20"/>
          <w:shd w:val="clear" w:color="auto" w:fill="FFFFFF"/>
        </w:rPr>
        <w:t>net unrealized gains and losses related to certain equity securities</w:t>
      </w:r>
      <w:r w:rsidRPr="00141675">
        <w:rPr>
          <w:rFonts w:ascii="Calibri" w:eastAsia="宋体" w:hAnsi="Calibri" w:cs="Calibri"/>
          <w:color w:val="000000"/>
          <w:kern w:val="0"/>
          <w:sz w:val="20"/>
          <w:szCs w:val="20"/>
        </w:rPr>
        <w:t> and non-service net periodic pension income (losses).</w:t>
      </w:r>
    </w:p>
    <w:p w14:paraId="14A7B3BE"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65"/>
        <w:gridCol w:w="221"/>
        <w:gridCol w:w="201"/>
        <w:gridCol w:w="1060"/>
        <w:gridCol w:w="201"/>
        <w:gridCol w:w="221"/>
        <w:gridCol w:w="1460"/>
        <w:gridCol w:w="220"/>
        <w:gridCol w:w="1489"/>
        <w:gridCol w:w="220"/>
        <w:gridCol w:w="200"/>
        <w:gridCol w:w="1134"/>
        <w:gridCol w:w="200"/>
        <w:gridCol w:w="220"/>
        <w:gridCol w:w="200"/>
        <w:gridCol w:w="1059"/>
        <w:gridCol w:w="200"/>
        <w:gridCol w:w="220"/>
        <w:gridCol w:w="1459"/>
        <w:gridCol w:w="220"/>
        <w:gridCol w:w="1489"/>
        <w:gridCol w:w="220"/>
        <w:gridCol w:w="200"/>
        <w:gridCol w:w="1134"/>
        <w:gridCol w:w="201"/>
      </w:tblGrid>
      <w:tr w:rsidR="00141675" w:rsidRPr="00141675" w14:paraId="263DC47F" w14:textId="77777777" w:rsidTr="00141675">
        <w:tc>
          <w:tcPr>
            <w:tcW w:w="6950" w:type="dxa"/>
            <w:shd w:val="clear" w:color="auto" w:fill="FFFFFF"/>
            <w:tcMar>
              <w:top w:w="15" w:type="dxa"/>
              <w:left w:w="0" w:type="dxa"/>
              <w:bottom w:w="0" w:type="dxa"/>
              <w:right w:w="15" w:type="dxa"/>
            </w:tcMar>
            <w:vAlign w:val="center"/>
            <w:hideMark/>
          </w:tcPr>
          <w:p w14:paraId="00A74C74"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2D2CBC1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283939F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2" w:type="dxa"/>
            <w:shd w:val="clear" w:color="auto" w:fill="FFFFFF"/>
            <w:noWrap/>
            <w:tcMar>
              <w:top w:w="15" w:type="dxa"/>
              <w:left w:w="0" w:type="dxa"/>
              <w:bottom w:w="0" w:type="dxa"/>
              <w:right w:w="15" w:type="dxa"/>
            </w:tcMar>
            <w:vAlign w:val="bottom"/>
            <w:hideMark/>
          </w:tcPr>
          <w:p w14:paraId="36719C2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3F7F3C3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0F36288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2BBDAA5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17A13B4E" w14:textId="77777777" w:rsidTr="00141675">
        <w:tc>
          <w:tcPr>
            <w:tcW w:w="6950" w:type="dxa"/>
            <w:shd w:val="clear" w:color="auto" w:fill="FFFFFF"/>
            <w:tcMar>
              <w:top w:w="15" w:type="dxa"/>
              <w:left w:w="0" w:type="dxa"/>
              <w:bottom w:w="0" w:type="dxa"/>
              <w:right w:w="15" w:type="dxa"/>
            </w:tcMar>
            <w:vAlign w:val="center"/>
            <w:hideMark/>
          </w:tcPr>
          <w:p w14:paraId="2AA808A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0B60408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0697BFA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069F356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24D0161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5DED601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68CB22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0E9BE49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0D9DBEC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77AD12D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45B98D1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A65847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center"/>
            <w:hideMark/>
          </w:tcPr>
          <w:p w14:paraId="23989BE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center"/>
            <w:hideMark/>
          </w:tcPr>
          <w:p w14:paraId="30A1EDB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center"/>
            <w:hideMark/>
          </w:tcPr>
          <w:p w14:paraId="4F298EE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085BEC5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98696D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4B5518F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1AAB55F5"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3A0D6182"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2E629956"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r>
      <w:tr w:rsidR="00141675" w:rsidRPr="00141675" w14:paraId="4F88C954" w14:textId="77777777" w:rsidTr="00141675">
        <w:tc>
          <w:tcPr>
            <w:tcW w:w="6950" w:type="dxa"/>
            <w:tcBorders>
              <w:bottom w:val="single" w:sz="6" w:space="0" w:color="000000"/>
            </w:tcBorders>
            <w:shd w:val="clear" w:color="auto" w:fill="FFFFFF"/>
            <w:tcMar>
              <w:top w:w="15" w:type="dxa"/>
              <w:left w:w="0" w:type="dxa"/>
              <w:bottom w:w="0" w:type="dxa"/>
              <w:right w:w="15" w:type="dxa"/>
            </w:tcMar>
            <w:vAlign w:val="bottom"/>
            <w:hideMark/>
          </w:tcPr>
          <w:p w14:paraId="1F6CE89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3024C19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0D24005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392F04A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5BD2EAE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4589ED5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57630B8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DBD391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2F44106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6136329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773F5EE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5529EAB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441F2E8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7B47B62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09248F6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9D242C"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5981A511"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DA66B6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5472E2F3"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5679554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07C945D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45E35139" w14:textId="77777777" w:rsidTr="00141675">
        <w:tc>
          <w:tcPr>
            <w:tcW w:w="6950" w:type="dxa"/>
            <w:tcBorders>
              <w:top w:val="single" w:sz="6" w:space="0" w:color="000000"/>
            </w:tcBorders>
            <w:shd w:val="clear" w:color="auto" w:fill="CFF0FC"/>
            <w:tcMar>
              <w:top w:w="15" w:type="dxa"/>
              <w:left w:w="0" w:type="dxa"/>
              <w:bottom w:w="0" w:type="dxa"/>
              <w:right w:w="15" w:type="dxa"/>
            </w:tcMar>
            <w:hideMark/>
          </w:tcPr>
          <w:p w14:paraId="4DA08A4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Interest income</w:t>
            </w:r>
          </w:p>
        </w:tc>
        <w:tc>
          <w:tcPr>
            <w:tcW w:w="220" w:type="dxa"/>
            <w:shd w:val="clear" w:color="auto" w:fill="CFF0FC"/>
            <w:tcMar>
              <w:top w:w="15" w:type="dxa"/>
              <w:left w:w="0" w:type="dxa"/>
              <w:bottom w:w="0" w:type="dxa"/>
              <w:right w:w="15" w:type="dxa"/>
            </w:tcMar>
            <w:vAlign w:val="bottom"/>
            <w:hideMark/>
          </w:tcPr>
          <w:p w14:paraId="22E4F1A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441747D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4C2B06F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145</w:t>
            </w:r>
          </w:p>
        </w:tc>
        <w:tc>
          <w:tcPr>
            <w:tcW w:w="192" w:type="dxa"/>
            <w:shd w:val="clear" w:color="auto" w:fill="CFF0FC"/>
            <w:noWrap/>
            <w:tcMar>
              <w:top w:w="15" w:type="dxa"/>
              <w:left w:w="0" w:type="dxa"/>
              <w:bottom w:w="0" w:type="dxa"/>
              <w:right w:w="15" w:type="dxa"/>
            </w:tcMar>
            <w:vAlign w:val="bottom"/>
            <w:hideMark/>
          </w:tcPr>
          <w:p w14:paraId="29B672F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764592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3FBCD93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w:t>
            </w:r>
          </w:p>
        </w:tc>
        <w:tc>
          <w:tcPr>
            <w:tcW w:w="220" w:type="dxa"/>
            <w:shd w:val="clear" w:color="auto" w:fill="CFF0FC"/>
            <w:tcMar>
              <w:top w:w="15" w:type="dxa"/>
              <w:left w:w="0" w:type="dxa"/>
              <w:bottom w:w="0" w:type="dxa"/>
              <w:right w:w="15" w:type="dxa"/>
            </w:tcMar>
            <w:vAlign w:val="bottom"/>
            <w:hideMark/>
          </w:tcPr>
          <w:p w14:paraId="4AE6586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01DACC4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-51%</w:t>
            </w:r>
          </w:p>
        </w:tc>
        <w:tc>
          <w:tcPr>
            <w:tcW w:w="220" w:type="dxa"/>
            <w:shd w:val="clear" w:color="auto" w:fill="CFF0FC"/>
            <w:tcMar>
              <w:top w:w="15" w:type="dxa"/>
              <w:left w:w="0" w:type="dxa"/>
              <w:bottom w:w="0" w:type="dxa"/>
              <w:right w:w="15" w:type="dxa"/>
            </w:tcMar>
            <w:vAlign w:val="bottom"/>
            <w:hideMark/>
          </w:tcPr>
          <w:p w14:paraId="41DA82C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76D6CEE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29CB510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296</w:t>
            </w:r>
          </w:p>
        </w:tc>
        <w:tc>
          <w:tcPr>
            <w:tcW w:w="192" w:type="dxa"/>
            <w:shd w:val="clear" w:color="auto" w:fill="CFF0FC"/>
            <w:noWrap/>
            <w:tcMar>
              <w:top w:w="15" w:type="dxa"/>
              <w:left w:w="0" w:type="dxa"/>
              <w:bottom w:w="0" w:type="dxa"/>
              <w:right w:w="15" w:type="dxa"/>
            </w:tcMar>
            <w:vAlign w:val="bottom"/>
            <w:hideMark/>
          </w:tcPr>
          <w:p w14:paraId="77F0318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4A862B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5AE0686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6E11909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335</w:t>
            </w:r>
          </w:p>
        </w:tc>
        <w:tc>
          <w:tcPr>
            <w:tcW w:w="192" w:type="dxa"/>
            <w:shd w:val="clear" w:color="auto" w:fill="CFF0FC"/>
            <w:noWrap/>
            <w:tcMar>
              <w:top w:w="15" w:type="dxa"/>
              <w:left w:w="0" w:type="dxa"/>
              <w:bottom w:w="0" w:type="dxa"/>
              <w:right w:w="15" w:type="dxa"/>
            </w:tcMar>
            <w:vAlign w:val="bottom"/>
            <w:hideMark/>
          </w:tcPr>
          <w:p w14:paraId="32E560B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24BB9D8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4C96159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w:t>
            </w:r>
          </w:p>
        </w:tc>
        <w:tc>
          <w:tcPr>
            <w:tcW w:w="220" w:type="dxa"/>
            <w:shd w:val="clear" w:color="auto" w:fill="CFF0FC"/>
            <w:tcMar>
              <w:top w:w="15" w:type="dxa"/>
              <w:left w:w="0" w:type="dxa"/>
              <w:bottom w:w="0" w:type="dxa"/>
              <w:right w:w="15" w:type="dxa"/>
            </w:tcMar>
            <w:vAlign w:val="bottom"/>
            <w:hideMark/>
          </w:tcPr>
          <w:p w14:paraId="34C7E0E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730BF8F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w:t>
            </w:r>
          </w:p>
        </w:tc>
        <w:tc>
          <w:tcPr>
            <w:tcW w:w="220" w:type="dxa"/>
            <w:shd w:val="clear" w:color="auto" w:fill="CFF0FC"/>
            <w:tcMar>
              <w:top w:w="15" w:type="dxa"/>
              <w:left w:w="0" w:type="dxa"/>
              <w:bottom w:w="0" w:type="dxa"/>
              <w:right w:w="15" w:type="dxa"/>
            </w:tcMar>
            <w:vAlign w:val="bottom"/>
            <w:hideMark/>
          </w:tcPr>
          <w:p w14:paraId="2D5A65D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tcBorders>
            <w:shd w:val="clear" w:color="auto" w:fill="CFF0FC"/>
            <w:noWrap/>
            <w:tcMar>
              <w:top w:w="15" w:type="dxa"/>
              <w:left w:w="0" w:type="dxa"/>
              <w:bottom w:w="0" w:type="dxa"/>
              <w:right w:w="15" w:type="dxa"/>
            </w:tcMar>
            <w:vAlign w:val="bottom"/>
            <w:hideMark/>
          </w:tcPr>
          <w:p w14:paraId="00026BD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tcBorders>
            <w:shd w:val="clear" w:color="auto" w:fill="CFF0FC"/>
            <w:noWrap/>
            <w:tcMar>
              <w:top w:w="15" w:type="dxa"/>
              <w:left w:w="0" w:type="dxa"/>
              <w:bottom w:w="0" w:type="dxa"/>
              <w:right w:w="15" w:type="dxa"/>
            </w:tcMar>
            <w:vAlign w:val="bottom"/>
            <w:hideMark/>
          </w:tcPr>
          <w:p w14:paraId="77EFAC1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644</w:t>
            </w:r>
          </w:p>
        </w:tc>
        <w:tc>
          <w:tcPr>
            <w:tcW w:w="193" w:type="dxa"/>
            <w:shd w:val="clear" w:color="auto" w:fill="CFF0FC"/>
            <w:noWrap/>
            <w:tcMar>
              <w:top w:w="15" w:type="dxa"/>
              <w:left w:w="0" w:type="dxa"/>
              <w:bottom w:w="0" w:type="dxa"/>
              <w:right w:w="15" w:type="dxa"/>
            </w:tcMar>
            <w:vAlign w:val="bottom"/>
            <w:hideMark/>
          </w:tcPr>
          <w:p w14:paraId="40A99C7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4525BAAA" w14:textId="77777777" w:rsidTr="00141675">
        <w:tc>
          <w:tcPr>
            <w:tcW w:w="6950" w:type="dxa"/>
            <w:shd w:val="clear" w:color="auto" w:fill="FFFFFF"/>
            <w:tcMar>
              <w:top w:w="15" w:type="dxa"/>
              <w:left w:w="0" w:type="dxa"/>
              <w:bottom w:w="0" w:type="dxa"/>
              <w:right w:w="15" w:type="dxa"/>
            </w:tcMar>
            <w:hideMark/>
          </w:tcPr>
          <w:p w14:paraId="3CAFDE0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Foreign currency losses, net</w:t>
            </w:r>
          </w:p>
        </w:tc>
        <w:tc>
          <w:tcPr>
            <w:tcW w:w="220" w:type="dxa"/>
            <w:shd w:val="clear" w:color="auto" w:fill="FFFFFF"/>
            <w:tcMar>
              <w:top w:w="15" w:type="dxa"/>
              <w:left w:w="0" w:type="dxa"/>
              <w:bottom w:w="0" w:type="dxa"/>
              <w:right w:w="15" w:type="dxa"/>
            </w:tcMar>
            <w:vAlign w:val="bottom"/>
            <w:hideMark/>
          </w:tcPr>
          <w:p w14:paraId="41E6C3E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shd w:val="clear" w:color="auto" w:fill="FFFFFF"/>
            <w:noWrap/>
            <w:tcMar>
              <w:top w:w="15" w:type="dxa"/>
              <w:left w:w="0" w:type="dxa"/>
              <w:bottom w:w="0" w:type="dxa"/>
              <w:right w:w="15" w:type="dxa"/>
            </w:tcMar>
            <w:vAlign w:val="bottom"/>
            <w:hideMark/>
          </w:tcPr>
          <w:p w14:paraId="4CF7838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shd w:val="clear" w:color="auto" w:fill="FFFFFF"/>
            <w:noWrap/>
            <w:tcMar>
              <w:top w:w="15" w:type="dxa"/>
              <w:left w:w="0" w:type="dxa"/>
              <w:bottom w:w="0" w:type="dxa"/>
              <w:right w:w="15" w:type="dxa"/>
            </w:tcMar>
            <w:vAlign w:val="bottom"/>
            <w:hideMark/>
          </w:tcPr>
          <w:p w14:paraId="4E7E053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(26</w:t>
            </w:r>
          </w:p>
        </w:tc>
        <w:tc>
          <w:tcPr>
            <w:tcW w:w="192" w:type="dxa"/>
            <w:shd w:val="clear" w:color="auto" w:fill="FFFFFF"/>
            <w:noWrap/>
            <w:tcMar>
              <w:top w:w="15" w:type="dxa"/>
              <w:left w:w="0" w:type="dxa"/>
              <w:bottom w:w="0" w:type="dxa"/>
              <w:right w:w="15" w:type="dxa"/>
            </w:tcMar>
            <w:vAlign w:val="bottom"/>
            <w:hideMark/>
          </w:tcPr>
          <w:p w14:paraId="539A349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0" w:type="dxa"/>
            <w:shd w:val="clear" w:color="auto" w:fill="FFFFFF"/>
            <w:tcMar>
              <w:top w:w="15" w:type="dxa"/>
              <w:left w:w="0" w:type="dxa"/>
              <w:bottom w:w="0" w:type="dxa"/>
              <w:right w:w="15" w:type="dxa"/>
            </w:tcMar>
            <w:vAlign w:val="bottom"/>
            <w:hideMark/>
          </w:tcPr>
          <w:p w14:paraId="5DE168F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2B8598B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w:t>
            </w:r>
          </w:p>
        </w:tc>
        <w:tc>
          <w:tcPr>
            <w:tcW w:w="220" w:type="dxa"/>
            <w:shd w:val="clear" w:color="auto" w:fill="FFFFFF"/>
            <w:tcMar>
              <w:top w:w="15" w:type="dxa"/>
              <w:left w:w="0" w:type="dxa"/>
              <w:bottom w:w="0" w:type="dxa"/>
              <w:right w:w="15" w:type="dxa"/>
            </w:tcMar>
            <w:vAlign w:val="bottom"/>
            <w:hideMark/>
          </w:tcPr>
          <w:p w14:paraId="3F40600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23B195B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w:t>
            </w:r>
          </w:p>
        </w:tc>
        <w:tc>
          <w:tcPr>
            <w:tcW w:w="220" w:type="dxa"/>
            <w:shd w:val="clear" w:color="auto" w:fill="FFFFFF"/>
            <w:tcMar>
              <w:top w:w="15" w:type="dxa"/>
              <w:left w:w="0" w:type="dxa"/>
              <w:bottom w:w="0" w:type="dxa"/>
              <w:right w:w="15" w:type="dxa"/>
            </w:tcMar>
            <w:vAlign w:val="bottom"/>
            <w:hideMark/>
          </w:tcPr>
          <w:p w14:paraId="6EC9296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shd w:val="clear" w:color="auto" w:fill="FFFFFF"/>
            <w:noWrap/>
            <w:tcMar>
              <w:top w:w="15" w:type="dxa"/>
              <w:left w:w="0" w:type="dxa"/>
              <w:bottom w:w="0" w:type="dxa"/>
              <w:right w:w="15" w:type="dxa"/>
            </w:tcMar>
            <w:vAlign w:val="bottom"/>
            <w:hideMark/>
          </w:tcPr>
          <w:p w14:paraId="3647314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shd w:val="clear" w:color="auto" w:fill="FFFFFF"/>
            <w:noWrap/>
            <w:tcMar>
              <w:top w:w="15" w:type="dxa"/>
              <w:left w:w="0" w:type="dxa"/>
              <w:bottom w:w="0" w:type="dxa"/>
              <w:right w:w="15" w:type="dxa"/>
            </w:tcMar>
            <w:vAlign w:val="bottom"/>
            <w:hideMark/>
          </w:tcPr>
          <w:p w14:paraId="643A8C9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w:t>
            </w:r>
          </w:p>
        </w:tc>
        <w:tc>
          <w:tcPr>
            <w:tcW w:w="192" w:type="dxa"/>
            <w:shd w:val="clear" w:color="auto" w:fill="FFFFFF"/>
            <w:noWrap/>
            <w:tcMar>
              <w:top w:w="15" w:type="dxa"/>
              <w:left w:w="0" w:type="dxa"/>
              <w:bottom w:w="0" w:type="dxa"/>
              <w:right w:w="15" w:type="dxa"/>
            </w:tcMar>
            <w:vAlign w:val="bottom"/>
            <w:hideMark/>
          </w:tcPr>
          <w:p w14:paraId="352F88B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0" w:type="dxa"/>
            <w:shd w:val="clear" w:color="auto" w:fill="FFFFFF"/>
            <w:tcMar>
              <w:top w:w="15" w:type="dxa"/>
              <w:left w:w="0" w:type="dxa"/>
              <w:bottom w:w="0" w:type="dxa"/>
              <w:right w:w="15" w:type="dxa"/>
            </w:tcMar>
            <w:vAlign w:val="bottom"/>
            <w:hideMark/>
          </w:tcPr>
          <w:p w14:paraId="7B9CBF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4778F33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shd w:val="clear" w:color="auto" w:fill="FFFFFF"/>
            <w:noWrap/>
            <w:tcMar>
              <w:top w:w="15" w:type="dxa"/>
              <w:left w:w="0" w:type="dxa"/>
              <w:bottom w:w="0" w:type="dxa"/>
              <w:right w:w="15" w:type="dxa"/>
            </w:tcMar>
            <w:vAlign w:val="bottom"/>
            <w:hideMark/>
          </w:tcPr>
          <w:p w14:paraId="0616BFA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(80</w:t>
            </w:r>
          </w:p>
        </w:tc>
        <w:tc>
          <w:tcPr>
            <w:tcW w:w="192" w:type="dxa"/>
            <w:shd w:val="clear" w:color="auto" w:fill="FFFFFF"/>
            <w:noWrap/>
            <w:tcMar>
              <w:top w:w="15" w:type="dxa"/>
              <w:left w:w="0" w:type="dxa"/>
              <w:bottom w:w="0" w:type="dxa"/>
              <w:right w:w="15" w:type="dxa"/>
            </w:tcMar>
            <w:vAlign w:val="bottom"/>
            <w:hideMark/>
          </w:tcPr>
          <w:p w14:paraId="31C402A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0" w:type="dxa"/>
            <w:shd w:val="clear" w:color="auto" w:fill="FFFFFF"/>
            <w:tcMar>
              <w:top w:w="15" w:type="dxa"/>
              <w:left w:w="0" w:type="dxa"/>
              <w:bottom w:w="0" w:type="dxa"/>
              <w:right w:w="15" w:type="dxa"/>
            </w:tcMar>
            <w:vAlign w:val="bottom"/>
            <w:hideMark/>
          </w:tcPr>
          <w:p w14:paraId="47A679F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58A2B70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45%</w:t>
            </w:r>
          </w:p>
        </w:tc>
        <w:tc>
          <w:tcPr>
            <w:tcW w:w="220" w:type="dxa"/>
            <w:shd w:val="clear" w:color="auto" w:fill="FFFFFF"/>
            <w:tcMar>
              <w:top w:w="15" w:type="dxa"/>
              <w:left w:w="0" w:type="dxa"/>
              <w:bottom w:w="0" w:type="dxa"/>
              <w:right w:w="15" w:type="dxa"/>
            </w:tcMar>
            <w:vAlign w:val="bottom"/>
            <w:hideMark/>
          </w:tcPr>
          <w:p w14:paraId="7554526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3EE9D82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46%</w:t>
            </w:r>
          </w:p>
        </w:tc>
        <w:tc>
          <w:tcPr>
            <w:tcW w:w="220" w:type="dxa"/>
            <w:shd w:val="clear" w:color="auto" w:fill="FFFFFF"/>
            <w:tcMar>
              <w:top w:w="15" w:type="dxa"/>
              <w:left w:w="0" w:type="dxa"/>
              <w:bottom w:w="0" w:type="dxa"/>
              <w:right w:w="15" w:type="dxa"/>
            </w:tcMar>
            <w:vAlign w:val="bottom"/>
            <w:hideMark/>
          </w:tcPr>
          <w:p w14:paraId="2C15A2D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shd w:val="clear" w:color="auto" w:fill="FFFFFF"/>
            <w:noWrap/>
            <w:tcMar>
              <w:top w:w="15" w:type="dxa"/>
              <w:left w:w="0" w:type="dxa"/>
              <w:bottom w:w="0" w:type="dxa"/>
              <w:right w:w="15" w:type="dxa"/>
            </w:tcMar>
            <w:vAlign w:val="bottom"/>
            <w:hideMark/>
          </w:tcPr>
          <w:p w14:paraId="5514C9B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shd w:val="clear" w:color="auto" w:fill="FFFFFF"/>
            <w:noWrap/>
            <w:tcMar>
              <w:top w:w="15" w:type="dxa"/>
              <w:left w:w="0" w:type="dxa"/>
              <w:bottom w:w="0" w:type="dxa"/>
              <w:right w:w="15" w:type="dxa"/>
            </w:tcMar>
            <w:vAlign w:val="bottom"/>
            <w:hideMark/>
          </w:tcPr>
          <w:p w14:paraId="198ACFB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(55</w:t>
            </w:r>
          </w:p>
        </w:tc>
        <w:tc>
          <w:tcPr>
            <w:tcW w:w="193" w:type="dxa"/>
            <w:shd w:val="clear" w:color="auto" w:fill="FFFFFF"/>
            <w:noWrap/>
            <w:tcMar>
              <w:top w:w="15" w:type="dxa"/>
              <w:left w:w="0" w:type="dxa"/>
              <w:bottom w:w="0" w:type="dxa"/>
              <w:right w:w="15" w:type="dxa"/>
            </w:tcMar>
            <w:vAlign w:val="bottom"/>
            <w:hideMark/>
          </w:tcPr>
          <w:p w14:paraId="7D4E6FD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398EF2FB" w14:textId="77777777" w:rsidTr="00141675">
        <w:tc>
          <w:tcPr>
            <w:tcW w:w="6950" w:type="dxa"/>
            <w:shd w:val="clear" w:color="auto" w:fill="CFF0FC"/>
            <w:tcMar>
              <w:top w:w="15" w:type="dxa"/>
              <w:left w:w="0" w:type="dxa"/>
              <w:bottom w:w="0" w:type="dxa"/>
              <w:right w:w="15" w:type="dxa"/>
            </w:tcMar>
            <w:hideMark/>
          </w:tcPr>
          <w:p w14:paraId="5376D5B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Noncontrolling interests in income</w:t>
            </w:r>
          </w:p>
        </w:tc>
        <w:tc>
          <w:tcPr>
            <w:tcW w:w="220" w:type="dxa"/>
            <w:shd w:val="clear" w:color="auto" w:fill="CFF0FC"/>
            <w:tcMar>
              <w:top w:w="15" w:type="dxa"/>
              <w:left w:w="0" w:type="dxa"/>
              <w:bottom w:w="0" w:type="dxa"/>
              <w:right w:w="15" w:type="dxa"/>
            </w:tcMar>
            <w:vAlign w:val="bottom"/>
            <w:hideMark/>
          </w:tcPr>
          <w:p w14:paraId="10F18BA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shd w:val="clear" w:color="auto" w:fill="CFF0FC"/>
            <w:noWrap/>
            <w:tcMar>
              <w:top w:w="15" w:type="dxa"/>
              <w:left w:w="0" w:type="dxa"/>
              <w:bottom w:w="0" w:type="dxa"/>
              <w:right w:w="15" w:type="dxa"/>
            </w:tcMar>
            <w:vAlign w:val="bottom"/>
            <w:hideMark/>
          </w:tcPr>
          <w:p w14:paraId="1D88162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shd w:val="clear" w:color="auto" w:fill="CFF0FC"/>
            <w:noWrap/>
            <w:tcMar>
              <w:top w:w="15" w:type="dxa"/>
              <w:left w:w="0" w:type="dxa"/>
              <w:bottom w:w="0" w:type="dxa"/>
              <w:right w:w="15" w:type="dxa"/>
            </w:tcMar>
            <w:vAlign w:val="bottom"/>
            <w:hideMark/>
          </w:tcPr>
          <w:p w14:paraId="08C7D49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(46</w:t>
            </w:r>
          </w:p>
        </w:tc>
        <w:tc>
          <w:tcPr>
            <w:tcW w:w="192" w:type="dxa"/>
            <w:shd w:val="clear" w:color="auto" w:fill="CFF0FC"/>
            <w:noWrap/>
            <w:tcMar>
              <w:top w:w="15" w:type="dxa"/>
              <w:left w:w="0" w:type="dxa"/>
              <w:bottom w:w="0" w:type="dxa"/>
              <w:right w:w="15" w:type="dxa"/>
            </w:tcMar>
            <w:vAlign w:val="bottom"/>
            <w:hideMark/>
          </w:tcPr>
          <w:p w14:paraId="7533F56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0" w:type="dxa"/>
            <w:shd w:val="clear" w:color="auto" w:fill="CFF0FC"/>
            <w:tcMar>
              <w:top w:w="15" w:type="dxa"/>
              <w:left w:w="0" w:type="dxa"/>
              <w:bottom w:w="0" w:type="dxa"/>
              <w:right w:w="15" w:type="dxa"/>
            </w:tcMar>
            <w:vAlign w:val="bottom"/>
            <w:hideMark/>
          </w:tcPr>
          <w:p w14:paraId="6559777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CFF0FC"/>
            <w:tcMar>
              <w:top w:w="15" w:type="dxa"/>
              <w:left w:w="0" w:type="dxa"/>
              <w:bottom w:w="0" w:type="dxa"/>
              <w:right w:w="15" w:type="dxa"/>
            </w:tcMar>
            <w:vAlign w:val="bottom"/>
            <w:hideMark/>
          </w:tcPr>
          <w:p w14:paraId="3449A39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45%</w:t>
            </w:r>
          </w:p>
        </w:tc>
        <w:tc>
          <w:tcPr>
            <w:tcW w:w="220" w:type="dxa"/>
            <w:shd w:val="clear" w:color="auto" w:fill="CFF0FC"/>
            <w:tcMar>
              <w:top w:w="15" w:type="dxa"/>
              <w:left w:w="0" w:type="dxa"/>
              <w:bottom w:w="0" w:type="dxa"/>
              <w:right w:w="15" w:type="dxa"/>
            </w:tcMar>
            <w:vAlign w:val="bottom"/>
            <w:hideMark/>
          </w:tcPr>
          <w:p w14:paraId="0815C60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CFF0FC"/>
            <w:tcMar>
              <w:top w:w="15" w:type="dxa"/>
              <w:left w:w="0" w:type="dxa"/>
              <w:bottom w:w="0" w:type="dxa"/>
              <w:right w:w="15" w:type="dxa"/>
            </w:tcMar>
            <w:vAlign w:val="bottom"/>
            <w:hideMark/>
          </w:tcPr>
          <w:p w14:paraId="4659C84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45%</w:t>
            </w:r>
          </w:p>
        </w:tc>
        <w:tc>
          <w:tcPr>
            <w:tcW w:w="220" w:type="dxa"/>
            <w:shd w:val="clear" w:color="auto" w:fill="CFF0FC"/>
            <w:tcMar>
              <w:top w:w="15" w:type="dxa"/>
              <w:left w:w="0" w:type="dxa"/>
              <w:bottom w:w="0" w:type="dxa"/>
              <w:right w:w="15" w:type="dxa"/>
            </w:tcMar>
            <w:vAlign w:val="bottom"/>
            <w:hideMark/>
          </w:tcPr>
          <w:p w14:paraId="7D6593F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shd w:val="clear" w:color="auto" w:fill="CFF0FC"/>
            <w:noWrap/>
            <w:tcMar>
              <w:top w:w="15" w:type="dxa"/>
              <w:left w:w="0" w:type="dxa"/>
              <w:bottom w:w="0" w:type="dxa"/>
              <w:right w:w="15" w:type="dxa"/>
            </w:tcMar>
            <w:vAlign w:val="bottom"/>
            <w:hideMark/>
          </w:tcPr>
          <w:p w14:paraId="3CEBAB0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shd w:val="clear" w:color="auto" w:fill="CFF0FC"/>
            <w:noWrap/>
            <w:tcMar>
              <w:top w:w="15" w:type="dxa"/>
              <w:left w:w="0" w:type="dxa"/>
              <w:bottom w:w="0" w:type="dxa"/>
              <w:right w:w="15" w:type="dxa"/>
            </w:tcMar>
            <w:vAlign w:val="bottom"/>
            <w:hideMark/>
          </w:tcPr>
          <w:p w14:paraId="380CFC1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(32</w:t>
            </w:r>
          </w:p>
        </w:tc>
        <w:tc>
          <w:tcPr>
            <w:tcW w:w="192" w:type="dxa"/>
            <w:shd w:val="clear" w:color="auto" w:fill="CFF0FC"/>
            <w:noWrap/>
            <w:tcMar>
              <w:top w:w="15" w:type="dxa"/>
              <w:left w:w="0" w:type="dxa"/>
              <w:bottom w:w="0" w:type="dxa"/>
              <w:right w:w="15" w:type="dxa"/>
            </w:tcMar>
            <w:vAlign w:val="bottom"/>
            <w:hideMark/>
          </w:tcPr>
          <w:p w14:paraId="652FE24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0" w:type="dxa"/>
            <w:shd w:val="clear" w:color="auto" w:fill="CFF0FC"/>
            <w:tcMar>
              <w:top w:w="15" w:type="dxa"/>
              <w:left w:w="0" w:type="dxa"/>
              <w:bottom w:w="0" w:type="dxa"/>
              <w:right w:w="15" w:type="dxa"/>
            </w:tcMar>
            <w:vAlign w:val="bottom"/>
            <w:hideMark/>
          </w:tcPr>
          <w:p w14:paraId="7909D6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09720D6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shd w:val="clear" w:color="auto" w:fill="CFF0FC"/>
            <w:noWrap/>
            <w:tcMar>
              <w:top w:w="15" w:type="dxa"/>
              <w:left w:w="0" w:type="dxa"/>
              <w:bottom w:w="0" w:type="dxa"/>
              <w:right w:w="15" w:type="dxa"/>
            </w:tcMar>
            <w:vAlign w:val="bottom"/>
            <w:hideMark/>
          </w:tcPr>
          <w:p w14:paraId="7777CFF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(87</w:t>
            </w:r>
          </w:p>
        </w:tc>
        <w:tc>
          <w:tcPr>
            <w:tcW w:w="192" w:type="dxa"/>
            <w:shd w:val="clear" w:color="auto" w:fill="CFF0FC"/>
            <w:noWrap/>
            <w:tcMar>
              <w:top w:w="15" w:type="dxa"/>
              <w:left w:w="0" w:type="dxa"/>
              <w:bottom w:w="0" w:type="dxa"/>
              <w:right w:w="15" w:type="dxa"/>
            </w:tcMar>
            <w:vAlign w:val="bottom"/>
            <w:hideMark/>
          </w:tcPr>
          <w:p w14:paraId="4A71805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0" w:type="dxa"/>
            <w:shd w:val="clear" w:color="auto" w:fill="CFF0FC"/>
            <w:tcMar>
              <w:top w:w="15" w:type="dxa"/>
              <w:left w:w="0" w:type="dxa"/>
              <w:bottom w:w="0" w:type="dxa"/>
              <w:right w:w="15" w:type="dxa"/>
            </w:tcMar>
            <w:vAlign w:val="bottom"/>
            <w:hideMark/>
          </w:tcPr>
          <w:p w14:paraId="7F551BC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7F18D9B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w:t>
            </w:r>
          </w:p>
        </w:tc>
        <w:tc>
          <w:tcPr>
            <w:tcW w:w="220" w:type="dxa"/>
            <w:shd w:val="clear" w:color="auto" w:fill="CFF0FC"/>
            <w:tcMar>
              <w:top w:w="15" w:type="dxa"/>
              <w:left w:w="0" w:type="dxa"/>
              <w:bottom w:w="0" w:type="dxa"/>
              <w:right w:w="15" w:type="dxa"/>
            </w:tcMar>
            <w:vAlign w:val="bottom"/>
            <w:hideMark/>
          </w:tcPr>
          <w:p w14:paraId="77655C0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06897AC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22%</w:t>
            </w:r>
          </w:p>
        </w:tc>
        <w:tc>
          <w:tcPr>
            <w:tcW w:w="220" w:type="dxa"/>
            <w:shd w:val="clear" w:color="auto" w:fill="CFF0FC"/>
            <w:tcMar>
              <w:top w:w="15" w:type="dxa"/>
              <w:left w:w="0" w:type="dxa"/>
              <w:bottom w:w="0" w:type="dxa"/>
              <w:right w:w="15" w:type="dxa"/>
            </w:tcMar>
            <w:vAlign w:val="bottom"/>
            <w:hideMark/>
          </w:tcPr>
          <w:p w14:paraId="6338CB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shd w:val="clear" w:color="auto" w:fill="CFF0FC"/>
            <w:noWrap/>
            <w:tcMar>
              <w:top w:w="15" w:type="dxa"/>
              <w:left w:w="0" w:type="dxa"/>
              <w:bottom w:w="0" w:type="dxa"/>
              <w:right w:w="15" w:type="dxa"/>
            </w:tcMar>
            <w:vAlign w:val="bottom"/>
            <w:hideMark/>
          </w:tcPr>
          <w:p w14:paraId="14ECCD2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shd w:val="clear" w:color="auto" w:fill="CFF0FC"/>
            <w:noWrap/>
            <w:tcMar>
              <w:top w:w="15" w:type="dxa"/>
              <w:left w:w="0" w:type="dxa"/>
              <w:bottom w:w="0" w:type="dxa"/>
              <w:right w:w="15" w:type="dxa"/>
            </w:tcMar>
            <w:vAlign w:val="bottom"/>
            <w:hideMark/>
          </w:tcPr>
          <w:p w14:paraId="5B87338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(71</w:t>
            </w:r>
          </w:p>
        </w:tc>
        <w:tc>
          <w:tcPr>
            <w:tcW w:w="193" w:type="dxa"/>
            <w:shd w:val="clear" w:color="auto" w:fill="CFF0FC"/>
            <w:noWrap/>
            <w:tcMar>
              <w:top w:w="15" w:type="dxa"/>
              <w:left w:w="0" w:type="dxa"/>
              <w:bottom w:w="0" w:type="dxa"/>
              <w:right w:w="15" w:type="dxa"/>
            </w:tcMar>
            <w:vAlign w:val="bottom"/>
            <w:hideMark/>
          </w:tcPr>
          <w:p w14:paraId="6CD16EA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5F3B734A" w14:textId="77777777" w:rsidTr="00141675">
        <w:tc>
          <w:tcPr>
            <w:tcW w:w="6950" w:type="dxa"/>
            <w:shd w:val="clear" w:color="auto" w:fill="FFFFFF"/>
            <w:tcMar>
              <w:top w:w="15" w:type="dxa"/>
              <w:left w:w="0" w:type="dxa"/>
              <w:bottom w:w="0" w:type="dxa"/>
              <w:right w:w="15" w:type="dxa"/>
            </w:tcMar>
            <w:hideMark/>
          </w:tcPr>
          <w:p w14:paraId="3C0C59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Other income (loss), net</w:t>
            </w:r>
          </w:p>
        </w:tc>
        <w:tc>
          <w:tcPr>
            <w:tcW w:w="220" w:type="dxa"/>
            <w:shd w:val="clear" w:color="auto" w:fill="FFFFFF"/>
            <w:tcMar>
              <w:top w:w="15" w:type="dxa"/>
              <w:left w:w="0" w:type="dxa"/>
              <w:bottom w:w="0" w:type="dxa"/>
              <w:right w:w="15" w:type="dxa"/>
            </w:tcMar>
            <w:vAlign w:val="bottom"/>
            <w:hideMark/>
          </w:tcPr>
          <w:p w14:paraId="40DF014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4640731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318BBD4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w:t>
            </w:r>
          </w:p>
        </w:tc>
        <w:tc>
          <w:tcPr>
            <w:tcW w:w="192" w:type="dxa"/>
            <w:shd w:val="clear" w:color="auto" w:fill="FFFFFF"/>
            <w:noWrap/>
            <w:tcMar>
              <w:top w:w="15" w:type="dxa"/>
              <w:left w:w="0" w:type="dxa"/>
              <w:bottom w:w="0" w:type="dxa"/>
              <w:right w:w="15" w:type="dxa"/>
            </w:tcMar>
            <w:vAlign w:val="bottom"/>
            <w:hideMark/>
          </w:tcPr>
          <w:p w14:paraId="58E82B2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DCD188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2033530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138%</w:t>
            </w:r>
          </w:p>
        </w:tc>
        <w:tc>
          <w:tcPr>
            <w:tcW w:w="220" w:type="dxa"/>
            <w:shd w:val="clear" w:color="auto" w:fill="FFFFFF"/>
            <w:tcMar>
              <w:top w:w="15" w:type="dxa"/>
              <w:left w:w="0" w:type="dxa"/>
              <w:bottom w:w="0" w:type="dxa"/>
              <w:right w:w="15" w:type="dxa"/>
            </w:tcMar>
            <w:vAlign w:val="bottom"/>
            <w:hideMark/>
          </w:tcPr>
          <w:p w14:paraId="6C04244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75F0AC9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138%</w:t>
            </w:r>
          </w:p>
        </w:tc>
        <w:tc>
          <w:tcPr>
            <w:tcW w:w="220" w:type="dxa"/>
            <w:shd w:val="clear" w:color="auto" w:fill="FFFFFF"/>
            <w:tcMar>
              <w:top w:w="15" w:type="dxa"/>
              <w:left w:w="0" w:type="dxa"/>
              <w:bottom w:w="0" w:type="dxa"/>
              <w:right w:w="15" w:type="dxa"/>
            </w:tcMar>
            <w:vAlign w:val="bottom"/>
            <w:hideMark/>
          </w:tcPr>
          <w:p w14:paraId="2D1A970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702147A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47C6B68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(50</w:t>
            </w:r>
          </w:p>
        </w:tc>
        <w:tc>
          <w:tcPr>
            <w:tcW w:w="192" w:type="dxa"/>
            <w:shd w:val="clear" w:color="auto" w:fill="FFFFFF"/>
            <w:noWrap/>
            <w:tcMar>
              <w:top w:w="15" w:type="dxa"/>
              <w:left w:w="0" w:type="dxa"/>
              <w:bottom w:w="0" w:type="dxa"/>
              <w:right w:w="15" w:type="dxa"/>
            </w:tcMar>
            <w:vAlign w:val="bottom"/>
            <w:hideMark/>
          </w:tcPr>
          <w:p w14:paraId="2D54F90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20" w:type="dxa"/>
            <w:shd w:val="clear" w:color="auto" w:fill="FFFFFF"/>
            <w:tcMar>
              <w:top w:w="15" w:type="dxa"/>
              <w:left w:w="0" w:type="dxa"/>
              <w:bottom w:w="0" w:type="dxa"/>
              <w:right w:w="15" w:type="dxa"/>
            </w:tcMar>
            <w:vAlign w:val="bottom"/>
            <w:hideMark/>
          </w:tcPr>
          <w:p w14:paraId="2FE2BD9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289106B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5EBBED7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w:t>
            </w:r>
          </w:p>
        </w:tc>
        <w:tc>
          <w:tcPr>
            <w:tcW w:w="192" w:type="dxa"/>
            <w:shd w:val="clear" w:color="auto" w:fill="FFFFFF"/>
            <w:noWrap/>
            <w:tcMar>
              <w:top w:w="15" w:type="dxa"/>
              <w:left w:w="0" w:type="dxa"/>
              <w:bottom w:w="0" w:type="dxa"/>
              <w:right w:w="15" w:type="dxa"/>
            </w:tcMar>
            <w:vAlign w:val="bottom"/>
            <w:hideMark/>
          </w:tcPr>
          <w:p w14:paraId="6A924E5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9D4447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2F53291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169%</w:t>
            </w:r>
          </w:p>
        </w:tc>
        <w:tc>
          <w:tcPr>
            <w:tcW w:w="220" w:type="dxa"/>
            <w:shd w:val="clear" w:color="auto" w:fill="FFFFFF"/>
            <w:tcMar>
              <w:top w:w="15" w:type="dxa"/>
              <w:left w:w="0" w:type="dxa"/>
              <w:bottom w:w="0" w:type="dxa"/>
              <w:right w:w="15" w:type="dxa"/>
            </w:tcMar>
            <w:vAlign w:val="bottom"/>
            <w:hideMark/>
          </w:tcPr>
          <w:p w14:paraId="245B9F5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69FB78A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168%</w:t>
            </w:r>
          </w:p>
        </w:tc>
        <w:tc>
          <w:tcPr>
            <w:tcW w:w="220" w:type="dxa"/>
            <w:shd w:val="clear" w:color="auto" w:fill="FFFFFF"/>
            <w:tcMar>
              <w:top w:w="15" w:type="dxa"/>
              <w:left w:w="0" w:type="dxa"/>
              <w:bottom w:w="0" w:type="dxa"/>
              <w:right w:w="15" w:type="dxa"/>
            </w:tcMar>
            <w:vAlign w:val="bottom"/>
            <w:hideMark/>
          </w:tcPr>
          <w:p w14:paraId="6F4FBE0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bottom w:val="single" w:sz="6" w:space="0" w:color="000000"/>
            </w:tcBorders>
            <w:shd w:val="clear" w:color="auto" w:fill="FFFFFF"/>
            <w:noWrap/>
            <w:tcMar>
              <w:top w:w="15" w:type="dxa"/>
              <w:left w:w="0" w:type="dxa"/>
              <w:bottom w:w="0" w:type="dxa"/>
              <w:right w:w="15" w:type="dxa"/>
            </w:tcMar>
            <w:vAlign w:val="bottom"/>
            <w:hideMark/>
          </w:tcPr>
          <w:p w14:paraId="613946C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043" w:type="dxa"/>
            <w:tcBorders>
              <w:bottom w:val="single" w:sz="6" w:space="0" w:color="000000"/>
            </w:tcBorders>
            <w:shd w:val="clear" w:color="auto" w:fill="FFFFFF"/>
            <w:noWrap/>
            <w:tcMar>
              <w:top w:w="15" w:type="dxa"/>
              <w:left w:w="0" w:type="dxa"/>
              <w:bottom w:w="0" w:type="dxa"/>
              <w:right w:w="15" w:type="dxa"/>
            </w:tcMar>
            <w:vAlign w:val="bottom"/>
            <w:hideMark/>
          </w:tcPr>
          <w:p w14:paraId="6D5D9B2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(34</w:t>
            </w:r>
          </w:p>
        </w:tc>
        <w:tc>
          <w:tcPr>
            <w:tcW w:w="193" w:type="dxa"/>
            <w:shd w:val="clear" w:color="auto" w:fill="FFFFFF"/>
            <w:noWrap/>
            <w:tcMar>
              <w:top w:w="15" w:type="dxa"/>
              <w:left w:w="0" w:type="dxa"/>
              <w:bottom w:w="0" w:type="dxa"/>
              <w:right w:w="15" w:type="dxa"/>
            </w:tcMar>
            <w:vAlign w:val="bottom"/>
            <w:hideMark/>
          </w:tcPr>
          <w:p w14:paraId="3B163D5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6C957779" w14:textId="77777777" w:rsidTr="00141675">
        <w:tc>
          <w:tcPr>
            <w:tcW w:w="6950" w:type="dxa"/>
            <w:shd w:val="clear" w:color="auto" w:fill="CFF0FC"/>
            <w:tcMar>
              <w:top w:w="15" w:type="dxa"/>
              <w:left w:w="0" w:type="dxa"/>
              <w:bottom w:w="0" w:type="dxa"/>
              <w:right w:w="15" w:type="dxa"/>
            </w:tcMar>
            <w:hideMark/>
          </w:tcPr>
          <w:p w14:paraId="06C2CB6F" w14:textId="77777777" w:rsidR="00141675" w:rsidRPr="00141675" w:rsidRDefault="00141675" w:rsidP="00141675">
            <w:pPr>
              <w:widowControl/>
              <w:ind w:left="410"/>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Total non-operating income, net</w:t>
            </w:r>
          </w:p>
        </w:tc>
        <w:tc>
          <w:tcPr>
            <w:tcW w:w="220" w:type="dxa"/>
            <w:shd w:val="clear" w:color="auto" w:fill="CFF0FC"/>
            <w:tcMar>
              <w:top w:w="15" w:type="dxa"/>
              <w:left w:w="0" w:type="dxa"/>
              <w:bottom w:w="0" w:type="dxa"/>
              <w:right w:w="15" w:type="dxa"/>
            </w:tcMar>
            <w:vAlign w:val="bottom"/>
            <w:hideMark/>
          </w:tcPr>
          <w:p w14:paraId="7A0303D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0B82B5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464BF8B"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92</w:t>
            </w:r>
          </w:p>
        </w:tc>
        <w:tc>
          <w:tcPr>
            <w:tcW w:w="192" w:type="dxa"/>
            <w:shd w:val="clear" w:color="auto" w:fill="CFF0FC"/>
            <w:noWrap/>
            <w:tcMar>
              <w:top w:w="15" w:type="dxa"/>
              <w:left w:w="0" w:type="dxa"/>
              <w:bottom w:w="0" w:type="dxa"/>
              <w:right w:w="15" w:type="dxa"/>
            </w:tcMar>
            <w:vAlign w:val="bottom"/>
            <w:hideMark/>
          </w:tcPr>
          <w:p w14:paraId="7814FDC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5858A3A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CFF0FC"/>
            <w:tcMar>
              <w:top w:w="15" w:type="dxa"/>
              <w:left w:w="0" w:type="dxa"/>
              <w:bottom w:w="0" w:type="dxa"/>
              <w:right w:w="15" w:type="dxa"/>
            </w:tcMar>
            <w:vAlign w:val="bottom"/>
            <w:hideMark/>
          </w:tcPr>
          <w:p w14:paraId="5B8BB20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-52%</w:t>
            </w:r>
          </w:p>
        </w:tc>
        <w:tc>
          <w:tcPr>
            <w:tcW w:w="220" w:type="dxa"/>
            <w:shd w:val="clear" w:color="auto" w:fill="CFF0FC"/>
            <w:tcMar>
              <w:top w:w="15" w:type="dxa"/>
              <w:left w:w="0" w:type="dxa"/>
              <w:bottom w:w="0" w:type="dxa"/>
              <w:right w:w="15" w:type="dxa"/>
            </w:tcMar>
            <w:vAlign w:val="bottom"/>
            <w:hideMark/>
          </w:tcPr>
          <w:p w14:paraId="1938DD3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CFF0FC"/>
            <w:tcMar>
              <w:top w:w="15" w:type="dxa"/>
              <w:left w:w="0" w:type="dxa"/>
              <w:bottom w:w="0" w:type="dxa"/>
              <w:right w:w="15" w:type="dxa"/>
            </w:tcMar>
            <w:vAlign w:val="bottom"/>
            <w:hideMark/>
          </w:tcPr>
          <w:p w14:paraId="358BE67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-52%</w:t>
            </w:r>
          </w:p>
        </w:tc>
        <w:tc>
          <w:tcPr>
            <w:tcW w:w="220" w:type="dxa"/>
            <w:shd w:val="clear" w:color="auto" w:fill="CFF0FC"/>
            <w:tcMar>
              <w:top w:w="15" w:type="dxa"/>
              <w:left w:w="0" w:type="dxa"/>
              <w:bottom w:w="0" w:type="dxa"/>
              <w:right w:w="15" w:type="dxa"/>
            </w:tcMar>
            <w:vAlign w:val="bottom"/>
            <w:hideMark/>
          </w:tcPr>
          <w:p w14:paraId="5316433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1E88B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66F196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192</w:t>
            </w:r>
          </w:p>
        </w:tc>
        <w:tc>
          <w:tcPr>
            <w:tcW w:w="192" w:type="dxa"/>
            <w:shd w:val="clear" w:color="auto" w:fill="CFF0FC"/>
            <w:noWrap/>
            <w:tcMar>
              <w:top w:w="15" w:type="dxa"/>
              <w:left w:w="0" w:type="dxa"/>
              <w:bottom w:w="0" w:type="dxa"/>
              <w:right w:w="15" w:type="dxa"/>
            </w:tcMar>
            <w:vAlign w:val="bottom"/>
            <w:hideMark/>
          </w:tcPr>
          <w:p w14:paraId="4F2FB26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3DD108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2CF304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617CFB8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191</w:t>
            </w:r>
          </w:p>
        </w:tc>
        <w:tc>
          <w:tcPr>
            <w:tcW w:w="192" w:type="dxa"/>
            <w:shd w:val="clear" w:color="auto" w:fill="CFF0FC"/>
            <w:noWrap/>
            <w:tcMar>
              <w:top w:w="15" w:type="dxa"/>
              <w:left w:w="0" w:type="dxa"/>
              <w:bottom w:w="0" w:type="dxa"/>
              <w:right w:w="15" w:type="dxa"/>
            </w:tcMar>
            <w:vAlign w:val="bottom"/>
            <w:hideMark/>
          </w:tcPr>
          <w:p w14:paraId="12CA1FB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6F2EBC3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6EF8626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-60%</w:t>
            </w:r>
          </w:p>
        </w:tc>
        <w:tc>
          <w:tcPr>
            <w:tcW w:w="220" w:type="dxa"/>
            <w:shd w:val="clear" w:color="auto" w:fill="CFF0FC"/>
            <w:tcMar>
              <w:top w:w="15" w:type="dxa"/>
              <w:left w:w="0" w:type="dxa"/>
              <w:bottom w:w="0" w:type="dxa"/>
              <w:right w:w="15" w:type="dxa"/>
            </w:tcMar>
            <w:vAlign w:val="bottom"/>
            <w:hideMark/>
          </w:tcPr>
          <w:p w14:paraId="49E4C99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CFF0FC"/>
            <w:tcMar>
              <w:top w:w="15" w:type="dxa"/>
              <w:left w:w="0" w:type="dxa"/>
              <w:bottom w:w="0" w:type="dxa"/>
              <w:right w:w="15" w:type="dxa"/>
            </w:tcMar>
            <w:vAlign w:val="bottom"/>
            <w:hideMark/>
          </w:tcPr>
          <w:p w14:paraId="69165F2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-60%</w:t>
            </w:r>
          </w:p>
        </w:tc>
        <w:tc>
          <w:tcPr>
            <w:tcW w:w="220" w:type="dxa"/>
            <w:shd w:val="clear" w:color="auto" w:fill="CFF0FC"/>
            <w:tcMar>
              <w:top w:w="15" w:type="dxa"/>
              <w:left w:w="0" w:type="dxa"/>
              <w:bottom w:w="0" w:type="dxa"/>
              <w:right w:w="15" w:type="dxa"/>
            </w:tcMar>
            <w:vAlign w:val="bottom"/>
            <w:hideMark/>
          </w:tcPr>
          <w:p w14:paraId="1A4E197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133B51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7B6D21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484</w:t>
            </w:r>
          </w:p>
        </w:tc>
        <w:tc>
          <w:tcPr>
            <w:tcW w:w="193" w:type="dxa"/>
            <w:shd w:val="clear" w:color="auto" w:fill="CFF0FC"/>
            <w:noWrap/>
            <w:tcMar>
              <w:top w:w="15" w:type="dxa"/>
              <w:left w:w="0" w:type="dxa"/>
              <w:bottom w:w="0" w:type="dxa"/>
              <w:right w:w="15" w:type="dxa"/>
            </w:tcMar>
            <w:vAlign w:val="bottom"/>
            <w:hideMark/>
          </w:tcPr>
          <w:p w14:paraId="3BA60EE0"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3D153D77"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72E3D645" w14:textId="77777777" w:rsidR="00141675" w:rsidRPr="00141675" w:rsidRDefault="00141675" w:rsidP="00141675">
      <w:pPr>
        <w:widowControl/>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t>On a constant currency basis, our non-operating income, net decreased during the fiscal 2020 periods presented, relative to the corresponding prior year periods, primarily due to lower interest income in the fiscal 2020 periods presented, which was primarily attributable to lower average cash, cash equivalent and marketable securities balances during the fiscal 2020 periods presented. These decreases during the fiscal 2020 periods presented were partially offset by higher other income, net, during the fiscal 2020 periods presented, which was primarily attributable to changes in market values associated with certain marketable equity securities that we held for certain employee benefit plans and classified as trading, and for which an equal and offsetting amount was recorded to our operating expenses in the same periods.</w:t>
      </w:r>
    </w:p>
    <w:p w14:paraId="299FFF51" w14:textId="77777777" w:rsidR="00141675" w:rsidRPr="00141675" w:rsidRDefault="00141675" w:rsidP="00141675">
      <w:pPr>
        <w:widowControl/>
        <w:rPr>
          <w:rFonts w:ascii="Times New Roman" w:eastAsia="宋体" w:hAnsi="Times New Roman" w:cs="Times New Roman"/>
          <w:color w:val="000000"/>
          <w:kern w:val="0"/>
          <w:sz w:val="12"/>
          <w:szCs w:val="12"/>
        </w:rPr>
      </w:pPr>
      <w:r w:rsidRPr="00141675">
        <w:rPr>
          <w:rFonts w:ascii="Times New Roman" w:eastAsia="宋体" w:hAnsi="Times New Roman" w:cs="Times New Roman"/>
          <w:color w:val="000000"/>
          <w:kern w:val="0"/>
          <w:sz w:val="12"/>
          <w:szCs w:val="12"/>
        </w:rPr>
        <w:t> </w:t>
      </w:r>
    </w:p>
    <w:p w14:paraId="7A128FC7" w14:textId="77777777" w:rsidR="00141675" w:rsidRPr="00141675" w:rsidRDefault="00141675" w:rsidP="00141675">
      <w:pPr>
        <w:widowControl/>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Provision for Income Taxes:</w:t>
      </w:r>
      <w:r w:rsidRPr="00141675">
        <w:rPr>
          <w:rFonts w:ascii="Calibri" w:eastAsia="宋体" w:hAnsi="Calibri" w:cs="Calibri"/>
          <w:color w:val="000000"/>
          <w:kern w:val="0"/>
          <w:sz w:val="20"/>
          <w:szCs w:val="20"/>
        </w:rPr>
        <w:t>   Our effective tax rates for each of the periods presented were the result of the mix of income earned in various tax jurisdictions that apply a broad range of income tax rates. Our provision for income taxes varied from the tax computed at the U.S. federal statutory income tax rate for the periods presented primarily due to earnings in foreign operations, state taxes, the U.S. research and development tax credit, settlements with tax authorities, the tax effects of stock-based compensation, the Foreign Derived Intangible Income deduction and the tax effect of Global Intangible Low-Taxed Income. Our effective tax rate in the first half of fiscal 2019 was also affected by an adjustment made pursuant to SAB 118 related to the enactment of the Tax Act, for which the more significant provisions of the Tax Act as applicable to us are described in our Annual Report on Form 10-K for the fiscal year ended May 31, 2019. Future effective tax rates could be adversely affected by an unfavorable shift of earnings weighted to jurisdictions with higher tax rates, by unfavorable changes in tax laws and regulations, by adverse rulings in tax related litigation, or by shortfalls in stock-based compensation realized by employees relative to stock-based compensation that was recorded for book purposes, among others.</w:t>
      </w:r>
    </w:p>
    <w:p w14:paraId="3522BED4"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6965"/>
        <w:gridCol w:w="221"/>
        <w:gridCol w:w="201"/>
        <w:gridCol w:w="1060"/>
        <w:gridCol w:w="201"/>
        <w:gridCol w:w="221"/>
        <w:gridCol w:w="1460"/>
        <w:gridCol w:w="220"/>
        <w:gridCol w:w="1489"/>
        <w:gridCol w:w="220"/>
        <w:gridCol w:w="200"/>
        <w:gridCol w:w="1134"/>
        <w:gridCol w:w="200"/>
        <w:gridCol w:w="220"/>
        <w:gridCol w:w="200"/>
        <w:gridCol w:w="1059"/>
        <w:gridCol w:w="200"/>
        <w:gridCol w:w="220"/>
        <w:gridCol w:w="1459"/>
        <w:gridCol w:w="220"/>
        <w:gridCol w:w="1489"/>
        <w:gridCol w:w="220"/>
        <w:gridCol w:w="200"/>
        <w:gridCol w:w="1134"/>
        <w:gridCol w:w="201"/>
      </w:tblGrid>
      <w:tr w:rsidR="00141675" w:rsidRPr="00141675" w14:paraId="578C56E0" w14:textId="77777777" w:rsidTr="00141675">
        <w:tc>
          <w:tcPr>
            <w:tcW w:w="6950" w:type="dxa"/>
            <w:shd w:val="clear" w:color="auto" w:fill="FFFFFF"/>
            <w:tcMar>
              <w:top w:w="15" w:type="dxa"/>
              <w:left w:w="0" w:type="dxa"/>
              <w:bottom w:w="0" w:type="dxa"/>
              <w:right w:w="15" w:type="dxa"/>
            </w:tcMar>
            <w:vAlign w:val="bottom"/>
            <w:hideMark/>
          </w:tcPr>
          <w:p w14:paraId="10FF9679"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220" w:type="dxa"/>
            <w:shd w:val="clear" w:color="auto" w:fill="FFFFFF"/>
            <w:tcMar>
              <w:top w:w="15" w:type="dxa"/>
              <w:left w:w="0" w:type="dxa"/>
              <w:bottom w:w="0" w:type="dxa"/>
              <w:right w:w="15" w:type="dxa"/>
            </w:tcMar>
            <w:vAlign w:val="bottom"/>
            <w:hideMark/>
          </w:tcPr>
          <w:p w14:paraId="383C501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7CD840D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Three Months Ended November 30,</w:t>
            </w:r>
          </w:p>
        </w:tc>
        <w:tc>
          <w:tcPr>
            <w:tcW w:w="192" w:type="dxa"/>
            <w:shd w:val="clear" w:color="auto" w:fill="FFFFFF"/>
            <w:noWrap/>
            <w:tcMar>
              <w:top w:w="15" w:type="dxa"/>
              <w:left w:w="0" w:type="dxa"/>
              <w:bottom w:w="0" w:type="dxa"/>
              <w:right w:w="15" w:type="dxa"/>
            </w:tcMar>
            <w:vAlign w:val="bottom"/>
            <w:hideMark/>
          </w:tcPr>
          <w:p w14:paraId="0F3B64F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749C7BA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367" w:type="dxa"/>
            <w:gridSpan w:val="10"/>
            <w:tcBorders>
              <w:bottom w:val="single" w:sz="6" w:space="0" w:color="000000"/>
            </w:tcBorders>
            <w:shd w:val="clear" w:color="auto" w:fill="FFFFFF"/>
            <w:tcMar>
              <w:top w:w="15" w:type="dxa"/>
              <w:left w:w="0" w:type="dxa"/>
              <w:bottom w:w="0" w:type="dxa"/>
              <w:right w:w="15" w:type="dxa"/>
            </w:tcMar>
            <w:vAlign w:val="bottom"/>
            <w:hideMark/>
          </w:tcPr>
          <w:p w14:paraId="324039B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3" w:type="dxa"/>
            <w:shd w:val="clear" w:color="auto" w:fill="FFFFFF"/>
            <w:noWrap/>
            <w:tcMar>
              <w:top w:w="15" w:type="dxa"/>
              <w:left w:w="0" w:type="dxa"/>
              <w:bottom w:w="0" w:type="dxa"/>
              <w:right w:w="15" w:type="dxa"/>
            </w:tcMar>
            <w:vAlign w:val="bottom"/>
            <w:hideMark/>
          </w:tcPr>
          <w:p w14:paraId="64F2F42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9AA6B5D" w14:textId="77777777" w:rsidTr="00141675">
        <w:tc>
          <w:tcPr>
            <w:tcW w:w="6950" w:type="dxa"/>
            <w:shd w:val="clear" w:color="auto" w:fill="FFFFFF"/>
            <w:tcMar>
              <w:top w:w="15" w:type="dxa"/>
              <w:left w:w="0" w:type="dxa"/>
              <w:bottom w:w="0" w:type="dxa"/>
              <w:right w:w="15" w:type="dxa"/>
            </w:tcMar>
            <w:vAlign w:val="bottom"/>
            <w:hideMark/>
          </w:tcPr>
          <w:p w14:paraId="3DEDB4C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lastRenderedPageBreak/>
              <w:t> </w:t>
            </w:r>
          </w:p>
        </w:tc>
        <w:tc>
          <w:tcPr>
            <w:tcW w:w="220" w:type="dxa"/>
            <w:shd w:val="clear" w:color="auto" w:fill="FFFFFF"/>
            <w:tcMar>
              <w:top w:w="15" w:type="dxa"/>
              <w:left w:w="0" w:type="dxa"/>
              <w:bottom w:w="0" w:type="dxa"/>
              <w:right w:w="15" w:type="dxa"/>
            </w:tcMar>
            <w:vAlign w:val="bottom"/>
            <w:hideMark/>
          </w:tcPr>
          <w:p w14:paraId="633C20B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14C0B73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4041C0E7"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bottom"/>
            <w:hideMark/>
          </w:tcPr>
          <w:p w14:paraId="3592246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428C408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1993D66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57950E1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0C49D4E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07789DC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bottom"/>
            <w:hideMark/>
          </w:tcPr>
          <w:p w14:paraId="3948725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2B57582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50DDED97"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6CF0ABB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shd w:val="clear" w:color="auto" w:fill="FFFFFF"/>
            <w:noWrap/>
            <w:tcMar>
              <w:top w:w="15" w:type="dxa"/>
              <w:left w:w="0" w:type="dxa"/>
              <w:bottom w:w="0" w:type="dxa"/>
              <w:right w:w="15" w:type="dxa"/>
            </w:tcMar>
            <w:vAlign w:val="bottom"/>
            <w:hideMark/>
          </w:tcPr>
          <w:p w14:paraId="67F99BD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6DDBB49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62" w:type="dxa"/>
            <w:gridSpan w:val="3"/>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0AC9F0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Percent Change</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195DF88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2" w:type="dxa"/>
            <w:tcBorders>
              <w:top w:val="single" w:sz="6" w:space="0" w:color="000000"/>
            </w:tcBorders>
            <w:shd w:val="clear" w:color="auto" w:fill="FFFFFF"/>
            <w:noWrap/>
            <w:tcMar>
              <w:top w:w="15" w:type="dxa"/>
              <w:left w:w="0" w:type="dxa"/>
              <w:bottom w:w="0" w:type="dxa"/>
              <w:right w:w="15" w:type="dxa"/>
            </w:tcMar>
            <w:vAlign w:val="bottom"/>
            <w:hideMark/>
          </w:tcPr>
          <w:p w14:paraId="45135DB5"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043" w:type="dxa"/>
            <w:tcBorders>
              <w:top w:val="single" w:sz="6" w:space="0" w:color="000000"/>
            </w:tcBorders>
            <w:shd w:val="clear" w:color="auto" w:fill="FFFFFF"/>
            <w:noWrap/>
            <w:tcMar>
              <w:top w:w="15" w:type="dxa"/>
              <w:left w:w="0" w:type="dxa"/>
              <w:bottom w:w="0" w:type="dxa"/>
              <w:right w:w="15" w:type="dxa"/>
            </w:tcMar>
            <w:vAlign w:val="bottom"/>
            <w:hideMark/>
          </w:tcPr>
          <w:p w14:paraId="12FEB15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93" w:type="dxa"/>
            <w:shd w:val="clear" w:color="auto" w:fill="FFFFFF"/>
            <w:noWrap/>
            <w:tcMar>
              <w:top w:w="15" w:type="dxa"/>
              <w:left w:w="0" w:type="dxa"/>
              <w:bottom w:w="0" w:type="dxa"/>
              <w:right w:w="15" w:type="dxa"/>
            </w:tcMar>
            <w:vAlign w:val="bottom"/>
            <w:hideMark/>
          </w:tcPr>
          <w:p w14:paraId="4FE6F0A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282341A8" w14:textId="77777777" w:rsidTr="00141675">
        <w:tc>
          <w:tcPr>
            <w:tcW w:w="6950" w:type="dxa"/>
            <w:tcBorders>
              <w:bottom w:val="single" w:sz="6" w:space="0" w:color="000000"/>
            </w:tcBorders>
            <w:shd w:val="clear" w:color="auto" w:fill="FFFFFF"/>
            <w:tcMar>
              <w:top w:w="15" w:type="dxa"/>
              <w:left w:w="0" w:type="dxa"/>
              <w:bottom w:w="0" w:type="dxa"/>
              <w:right w:w="15" w:type="dxa"/>
            </w:tcMar>
            <w:vAlign w:val="bottom"/>
            <w:hideMark/>
          </w:tcPr>
          <w:p w14:paraId="49E5B9E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20" w:type="dxa"/>
            <w:shd w:val="clear" w:color="auto" w:fill="FFFFFF"/>
            <w:tcMar>
              <w:top w:w="15" w:type="dxa"/>
              <w:left w:w="0" w:type="dxa"/>
              <w:bottom w:w="0" w:type="dxa"/>
              <w:right w:w="15" w:type="dxa"/>
            </w:tcMar>
            <w:vAlign w:val="bottom"/>
            <w:hideMark/>
          </w:tcPr>
          <w:p w14:paraId="0D1AD5E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598D9F3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2922E59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3ACDAF9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FD4F08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271BE38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73F56BC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29342C59"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51962CC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094064A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0661068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5344FA1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183ACD9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20" w:type="dxa"/>
            <w:shd w:val="clear" w:color="auto" w:fill="FFFFFF"/>
            <w:tcMar>
              <w:top w:w="15" w:type="dxa"/>
              <w:left w:w="0" w:type="dxa"/>
              <w:bottom w:w="0" w:type="dxa"/>
              <w:right w:w="15" w:type="dxa"/>
            </w:tcMar>
            <w:vAlign w:val="bottom"/>
            <w:hideMark/>
          </w:tcPr>
          <w:p w14:paraId="22ED40F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2E319C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Actual</w:t>
            </w:r>
          </w:p>
        </w:tc>
        <w:tc>
          <w:tcPr>
            <w:tcW w:w="220" w:type="dxa"/>
            <w:tcBorders>
              <w:top w:val="single" w:sz="6" w:space="0" w:color="000000"/>
            </w:tcBorders>
            <w:shd w:val="clear" w:color="auto" w:fill="FFFFFF"/>
            <w:tcMar>
              <w:top w:w="15" w:type="dxa"/>
              <w:left w:w="0" w:type="dxa"/>
              <w:bottom w:w="0" w:type="dxa"/>
              <w:right w:w="15" w:type="dxa"/>
            </w:tcMar>
            <w:vAlign w:val="bottom"/>
            <w:hideMark/>
          </w:tcPr>
          <w:p w14:paraId="5D60C86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456"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4F4DA7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Constant</w:t>
            </w:r>
          </w:p>
        </w:tc>
        <w:tc>
          <w:tcPr>
            <w:tcW w:w="220" w:type="dxa"/>
            <w:shd w:val="clear" w:color="auto" w:fill="FFFFFF"/>
            <w:tcMar>
              <w:top w:w="15" w:type="dxa"/>
              <w:left w:w="0" w:type="dxa"/>
              <w:bottom w:w="0" w:type="dxa"/>
              <w:right w:w="15" w:type="dxa"/>
            </w:tcMar>
            <w:vAlign w:val="bottom"/>
            <w:hideMark/>
          </w:tcPr>
          <w:p w14:paraId="206E80F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249" w:type="dxa"/>
            <w:gridSpan w:val="2"/>
            <w:tcBorders>
              <w:bottom w:val="single" w:sz="6" w:space="0" w:color="000000"/>
            </w:tcBorders>
            <w:shd w:val="clear" w:color="auto" w:fill="FFFFFF"/>
            <w:tcMar>
              <w:top w:w="15" w:type="dxa"/>
              <w:left w:w="0" w:type="dxa"/>
              <w:bottom w:w="0" w:type="dxa"/>
              <w:right w:w="15" w:type="dxa"/>
            </w:tcMar>
            <w:vAlign w:val="bottom"/>
            <w:hideMark/>
          </w:tcPr>
          <w:p w14:paraId="4A566D3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3" w:type="dxa"/>
            <w:shd w:val="clear" w:color="auto" w:fill="FFFFFF"/>
            <w:noWrap/>
            <w:tcMar>
              <w:top w:w="15" w:type="dxa"/>
              <w:left w:w="0" w:type="dxa"/>
              <w:bottom w:w="0" w:type="dxa"/>
              <w:right w:w="15" w:type="dxa"/>
            </w:tcMar>
            <w:vAlign w:val="bottom"/>
            <w:hideMark/>
          </w:tcPr>
          <w:p w14:paraId="70A940A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53E745C0" w14:textId="77777777" w:rsidTr="00141675">
        <w:tc>
          <w:tcPr>
            <w:tcW w:w="6950" w:type="dxa"/>
            <w:tcBorders>
              <w:top w:val="single" w:sz="6" w:space="0" w:color="000000"/>
            </w:tcBorders>
            <w:shd w:val="clear" w:color="auto" w:fill="CFF0FC"/>
            <w:tcMar>
              <w:top w:w="15" w:type="dxa"/>
              <w:left w:w="0" w:type="dxa"/>
              <w:bottom w:w="0" w:type="dxa"/>
              <w:right w:w="15" w:type="dxa"/>
            </w:tcMar>
            <w:hideMark/>
          </w:tcPr>
          <w:p w14:paraId="6B9A99F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Provision for income taxes</w:t>
            </w:r>
          </w:p>
        </w:tc>
        <w:tc>
          <w:tcPr>
            <w:tcW w:w="220" w:type="dxa"/>
            <w:shd w:val="clear" w:color="auto" w:fill="CFF0FC"/>
            <w:tcMar>
              <w:top w:w="15" w:type="dxa"/>
              <w:left w:w="0" w:type="dxa"/>
              <w:bottom w:w="0" w:type="dxa"/>
              <w:right w:w="15" w:type="dxa"/>
            </w:tcMar>
            <w:vAlign w:val="bottom"/>
            <w:hideMark/>
          </w:tcPr>
          <w:p w14:paraId="251204C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3F4D40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1B20BE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499</w:t>
            </w:r>
          </w:p>
        </w:tc>
        <w:tc>
          <w:tcPr>
            <w:tcW w:w="192" w:type="dxa"/>
            <w:shd w:val="clear" w:color="auto" w:fill="CFF0FC"/>
            <w:noWrap/>
            <w:tcMar>
              <w:top w:w="15" w:type="dxa"/>
              <w:left w:w="0" w:type="dxa"/>
              <w:bottom w:w="0" w:type="dxa"/>
              <w:right w:w="15" w:type="dxa"/>
            </w:tcMar>
            <w:vAlign w:val="bottom"/>
            <w:hideMark/>
          </w:tcPr>
          <w:p w14:paraId="768097D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3E4D8F3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407BD35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220" w:type="dxa"/>
            <w:shd w:val="clear" w:color="auto" w:fill="CFF0FC"/>
            <w:tcMar>
              <w:top w:w="15" w:type="dxa"/>
              <w:left w:w="0" w:type="dxa"/>
              <w:bottom w:w="0" w:type="dxa"/>
              <w:right w:w="15" w:type="dxa"/>
            </w:tcMar>
            <w:vAlign w:val="bottom"/>
            <w:hideMark/>
          </w:tcPr>
          <w:p w14:paraId="6968CBA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7459FEA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w:t>
            </w:r>
          </w:p>
        </w:tc>
        <w:tc>
          <w:tcPr>
            <w:tcW w:w="220" w:type="dxa"/>
            <w:shd w:val="clear" w:color="auto" w:fill="CFF0FC"/>
            <w:tcMar>
              <w:top w:w="15" w:type="dxa"/>
              <w:left w:w="0" w:type="dxa"/>
              <w:bottom w:w="0" w:type="dxa"/>
              <w:right w:w="15" w:type="dxa"/>
            </w:tcMar>
            <w:vAlign w:val="bottom"/>
            <w:hideMark/>
          </w:tcPr>
          <w:p w14:paraId="3B8BABA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845151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D46CAA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441</w:t>
            </w:r>
          </w:p>
        </w:tc>
        <w:tc>
          <w:tcPr>
            <w:tcW w:w="192" w:type="dxa"/>
            <w:shd w:val="clear" w:color="auto" w:fill="CFF0FC"/>
            <w:noWrap/>
            <w:tcMar>
              <w:top w:w="15" w:type="dxa"/>
              <w:left w:w="0" w:type="dxa"/>
              <w:bottom w:w="0" w:type="dxa"/>
              <w:right w:w="15" w:type="dxa"/>
            </w:tcMar>
            <w:vAlign w:val="bottom"/>
            <w:hideMark/>
          </w:tcPr>
          <w:p w14:paraId="6FD9449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7D29C34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635540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06E59DA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844</w:t>
            </w:r>
          </w:p>
        </w:tc>
        <w:tc>
          <w:tcPr>
            <w:tcW w:w="192" w:type="dxa"/>
            <w:shd w:val="clear" w:color="auto" w:fill="CFF0FC"/>
            <w:noWrap/>
            <w:tcMar>
              <w:top w:w="15" w:type="dxa"/>
              <w:left w:w="0" w:type="dxa"/>
              <w:bottom w:w="0" w:type="dxa"/>
              <w:right w:w="15" w:type="dxa"/>
            </w:tcMar>
            <w:vAlign w:val="bottom"/>
            <w:hideMark/>
          </w:tcPr>
          <w:p w14:paraId="31DD2AD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CFF0FC"/>
            <w:tcMar>
              <w:top w:w="15" w:type="dxa"/>
              <w:left w:w="0" w:type="dxa"/>
              <w:bottom w:w="0" w:type="dxa"/>
              <w:right w:w="15" w:type="dxa"/>
            </w:tcMar>
            <w:vAlign w:val="bottom"/>
            <w:hideMark/>
          </w:tcPr>
          <w:p w14:paraId="0CC05B0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4A712A3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18%</w:t>
            </w:r>
          </w:p>
        </w:tc>
        <w:tc>
          <w:tcPr>
            <w:tcW w:w="220" w:type="dxa"/>
            <w:shd w:val="clear" w:color="auto" w:fill="CFF0FC"/>
            <w:tcMar>
              <w:top w:w="15" w:type="dxa"/>
              <w:left w:w="0" w:type="dxa"/>
              <w:bottom w:w="0" w:type="dxa"/>
              <w:right w:w="15" w:type="dxa"/>
            </w:tcMar>
            <w:vAlign w:val="bottom"/>
            <w:hideMark/>
          </w:tcPr>
          <w:p w14:paraId="726D071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tcBorders>
              <w:top w:val="single" w:sz="6" w:space="0" w:color="000000"/>
            </w:tcBorders>
            <w:shd w:val="clear" w:color="auto" w:fill="CFF0FC"/>
            <w:tcMar>
              <w:top w:w="15" w:type="dxa"/>
              <w:left w:w="0" w:type="dxa"/>
              <w:bottom w:w="0" w:type="dxa"/>
              <w:right w:w="15" w:type="dxa"/>
            </w:tcMar>
            <w:vAlign w:val="bottom"/>
            <w:hideMark/>
          </w:tcPr>
          <w:p w14:paraId="5BB62DB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w:t>
            </w:r>
          </w:p>
        </w:tc>
        <w:tc>
          <w:tcPr>
            <w:tcW w:w="220" w:type="dxa"/>
            <w:shd w:val="clear" w:color="auto" w:fill="CFF0FC"/>
            <w:tcMar>
              <w:top w:w="15" w:type="dxa"/>
              <w:left w:w="0" w:type="dxa"/>
              <w:bottom w:w="0" w:type="dxa"/>
              <w:right w:w="15" w:type="dxa"/>
            </w:tcMar>
            <w:vAlign w:val="bottom"/>
            <w:hideMark/>
          </w:tcPr>
          <w:p w14:paraId="7705759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92"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77DEC9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043"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24EA2DB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716</w:t>
            </w:r>
          </w:p>
        </w:tc>
        <w:tc>
          <w:tcPr>
            <w:tcW w:w="193" w:type="dxa"/>
            <w:shd w:val="clear" w:color="auto" w:fill="CFF0FC"/>
            <w:noWrap/>
            <w:tcMar>
              <w:top w:w="15" w:type="dxa"/>
              <w:left w:w="0" w:type="dxa"/>
              <w:bottom w:w="0" w:type="dxa"/>
              <w:right w:w="15" w:type="dxa"/>
            </w:tcMar>
            <w:vAlign w:val="bottom"/>
            <w:hideMark/>
          </w:tcPr>
          <w:p w14:paraId="46E82BD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3B38DE0C" w14:textId="77777777" w:rsidTr="00141675">
        <w:tc>
          <w:tcPr>
            <w:tcW w:w="6950" w:type="dxa"/>
            <w:shd w:val="clear" w:color="auto" w:fill="FFFFFF"/>
            <w:tcMar>
              <w:top w:w="15" w:type="dxa"/>
              <w:left w:w="0" w:type="dxa"/>
              <w:bottom w:w="0" w:type="dxa"/>
              <w:right w:w="15" w:type="dxa"/>
            </w:tcMar>
            <w:hideMark/>
          </w:tcPr>
          <w:p w14:paraId="6A6BC4BE" w14:textId="77777777" w:rsidR="00141675" w:rsidRPr="00141675" w:rsidRDefault="00141675" w:rsidP="00141675">
            <w:pPr>
              <w:widowControl/>
              <w:ind w:left="410"/>
              <w:jc w:val="left"/>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Effective tax rate</w:t>
            </w:r>
          </w:p>
        </w:tc>
        <w:tc>
          <w:tcPr>
            <w:tcW w:w="220" w:type="dxa"/>
            <w:shd w:val="clear" w:color="auto" w:fill="FFFFFF"/>
            <w:tcMar>
              <w:top w:w="15" w:type="dxa"/>
              <w:left w:w="0" w:type="dxa"/>
              <w:bottom w:w="0" w:type="dxa"/>
              <w:right w:w="15" w:type="dxa"/>
            </w:tcMar>
            <w:vAlign w:val="bottom"/>
            <w:hideMark/>
          </w:tcPr>
          <w:p w14:paraId="43679FB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7967F30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17.7%</w:t>
            </w:r>
          </w:p>
        </w:tc>
        <w:tc>
          <w:tcPr>
            <w:tcW w:w="192" w:type="dxa"/>
            <w:shd w:val="clear" w:color="auto" w:fill="FFFFFF"/>
            <w:noWrap/>
            <w:tcMar>
              <w:top w:w="15" w:type="dxa"/>
              <w:left w:w="0" w:type="dxa"/>
              <w:bottom w:w="0" w:type="dxa"/>
              <w:right w:w="15" w:type="dxa"/>
            </w:tcMar>
            <w:vAlign w:val="bottom"/>
            <w:hideMark/>
          </w:tcPr>
          <w:p w14:paraId="23E2ED1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3AE894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69D6828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65594A6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456" w:type="dxa"/>
            <w:shd w:val="clear" w:color="auto" w:fill="FFFFFF"/>
            <w:tcMar>
              <w:top w:w="15" w:type="dxa"/>
              <w:left w:w="0" w:type="dxa"/>
              <w:bottom w:w="0" w:type="dxa"/>
              <w:right w:w="15" w:type="dxa"/>
            </w:tcMar>
            <w:vAlign w:val="bottom"/>
            <w:hideMark/>
          </w:tcPr>
          <w:p w14:paraId="2D89475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6818A6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32A6553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15.9%</w:t>
            </w:r>
          </w:p>
        </w:tc>
        <w:tc>
          <w:tcPr>
            <w:tcW w:w="192" w:type="dxa"/>
            <w:shd w:val="clear" w:color="auto" w:fill="FFFFFF"/>
            <w:noWrap/>
            <w:tcMar>
              <w:top w:w="15" w:type="dxa"/>
              <w:left w:w="0" w:type="dxa"/>
              <w:bottom w:w="0" w:type="dxa"/>
              <w:right w:w="15" w:type="dxa"/>
            </w:tcMar>
            <w:vAlign w:val="bottom"/>
            <w:hideMark/>
          </w:tcPr>
          <w:p w14:paraId="321F54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76FC7D7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4F65436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16.0%</w:t>
            </w:r>
          </w:p>
        </w:tc>
        <w:tc>
          <w:tcPr>
            <w:tcW w:w="192" w:type="dxa"/>
            <w:shd w:val="clear" w:color="auto" w:fill="FFFFFF"/>
            <w:noWrap/>
            <w:tcMar>
              <w:top w:w="15" w:type="dxa"/>
              <w:left w:w="0" w:type="dxa"/>
              <w:bottom w:w="0" w:type="dxa"/>
              <w:right w:w="15" w:type="dxa"/>
            </w:tcMar>
            <w:vAlign w:val="bottom"/>
            <w:hideMark/>
          </w:tcPr>
          <w:p w14:paraId="7AD86B4F"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5B99B72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33150E64"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49D5F26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456" w:type="dxa"/>
            <w:shd w:val="clear" w:color="auto" w:fill="FFFFFF"/>
            <w:tcMar>
              <w:top w:w="15" w:type="dxa"/>
              <w:left w:w="0" w:type="dxa"/>
              <w:bottom w:w="0" w:type="dxa"/>
              <w:right w:w="15" w:type="dxa"/>
            </w:tcMar>
            <w:vAlign w:val="bottom"/>
            <w:hideMark/>
          </w:tcPr>
          <w:p w14:paraId="2FC0948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20" w:type="dxa"/>
            <w:shd w:val="clear" w:color="auto" w:fill="FFFFFF"/>
            <w:tcMar>
              <w:top w:w="15" w:type="dxa"/>
              <w:left w:w="0" w:type="dxa"/>
              <w:bottom w:w="0" w:type="dxa"/>
              <w:right w:w="15" w:type="dxa"/>
            </w:tcMar>
            <w:vAlign w:val="bottom"/>
            <w:hideMark/>
          </w:tcPr>
          <w:p w14:paraId="0A100E9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249" w:type="dxa"/>
            <w:gridSpan w:val="2"/>
            <w:tcBorders>
              <w:top w:val="double" w:sz="6" w:space="0" w:color="000000"/>
            </w:tcBorders>
            <w:shd w:val="clear" w:color="auto" w:fill="FFFFFF"/>
            <w:tcMar>
              <w:top w:w="15" w:type="dxa"/>
              <w:left w:w="0" w:type="dxa"/>
              <w:bottom w:w="0" w:type="dxa"/>
              <w:right w:w="15" w:type="dxa"/>
            </w:tcMar>
            <w:vAlign w:val="bottom"/>
            <w:hideMark/>
          </w:tcPr>
          <w:p w14:paraId="250B714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13.5%</w:t>
            </w:r>
          </w:p>
        </w:tc>
        <w:tc>
          <w:tcPr>
            <w:tcW w:w="193" w:type="dxa"/>
            <w:shd w:val="clear" w:color="auto" w:fill="FFFFFF"/>
            <w:noWrap/>
            <w:tcMar>
              <w:top w:w="15" w:type="dxa"/>
              <w:left w:w="0" w:type="dxa"/>
              <w:bottom w:w="0" w:type="dxa"/>
              <w:right w:w="15" w:type="dxa"/>
            </w:tcMar>
            <w:vAlign w:val="bottom"/>
            <w:hideMark/>
          </w:tcPr>
          <w:p w14:paraId="43053E6E"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0FAB5545"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Fiscal Second Quarter 2020 Compared to Fiscal Second Quarter 2019:</w:t>
      </w:r>
      <w:r w:rsidRPr="00141675">
        <w:rPr>
          <w:rFonts w:ascii="Calibri" w:eastAsia="宋体" w:hAnsi="Calibri" w:cs="Calibri"/>
          <w:color w:val="000000"/>
          <w:kern w:val="0"/>
          <w:sz w:val="20"/>
          <w:szCs w:val="20"/>
        </w:rPr>
        <w:t> Provision for income taxes increased in the second quarter of fiscal 2020, relative to the corresponding prior year period, primarily due to lower excess tax benefits recognized on stock-based compensation expenses during the second quarter of fiscal 2020.</w:t>
      </w:r>
    </w:p>
    <w:p w14:paraId="3AF2E28D"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First Half Fiscal 2020 Compared to First Half Fiscal 2019:</w:t>
      </w:r>
      <w:r w:rsidRPr="00141675">
        <w:rPr>
          <w:rFonts w:ascii="Calibri" w:eastAsia="宋体" w:hAnsi="Calibri" w:cs="Calibri"/>
          <w:color w:val="000000"/>
          <w:kern w:val="0"/>
          <w:sz w:val="20"/>
          <w:szCs w:val="20"/>
        </w:rPr>
        <w:t> Provision for income taxes increased in the first half of fiscal 2020, relative to the corresponding prior year period, primarily due to the absence of the net favorable impact of a change in estimate related to our adoption of the Tax Act, as recorded pursuant to SAB 118, in the first half of fiscal 2019.</w:t>
      </w:r>
    </w:p>
    <w:p w14:paraId="12EA14B1"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40</w:t>
      </w:r>
    </w:p>
    <w:p w14:paraId="39287922"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204CC4FB">
          <v:rect id="_x0000_i1066" style="width:0;height:1.5pt" o:hralign="center" o:hrstd="t" o:hrnoshade="t" o:hr="t" fillcolor="black" stroked="f"/>
        </w:pict>
      </w:r>
    </w:p>
    <w:p w14:paraId="60BBD4FB" w14:textId="77777777" w:rsidR="00141675" w:rsidRPr="00141675" w:rsidRDefault="00141675" w:rsidP="00141675">
      <w:pPr>
        <w:widowControl/>
        <w:jc w:val="left"/>
        <w:rPr>
          <w:rFonts w:ascii="Calibri" w:eastAsia="宋体" w:hAnsi="Calibri" w:cs="Calibri"/>
          <w:b/>
          <w:bCs/>
          <w:color w:val="000000"/>
          <w:kern w:val="0"/>
          <w:sz w:val="20"/>
          <w:szCs w:val="20"/>
        </w:rPr>
      </w:pPr>
      <w:hyperlink r:id="rId63" w:anchor="TABLE_CONTENTS" w:history="1">
        <w:r w:rsidRPr="00141675">
          <w:rPr>
            <w:rFonts w:ascii="Calibri" w:eastAsia="宋体" w:hAnsi="Calibri" w:cs="Calibri"/>
            <w:b/>
            <w:bCs/>
            <w:color w:val="0000FF"/>
            <w:kern w:val="0"/>
            <w:sz w:val="20"/>
            <w:szCs w:val="20"/>
            <w:u w:val="single"/>
          </w:rPr>
          <w:t>Table of Contents</w:t>
        </w:r>
      </w:hyperlink>
    </w:p>
    <w:p w14:paraId="20E693E7"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48C4BBEA"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Liquidity and Capital Resources</w:t>
      </w:r>
    </w:p>
    <w:p w14:paraId="3E69E649" w14:textId="77777777" w:rsidR="00141675" w:rsidRPr="00141675" w:rsidRDefault="00141675" w:rsidP="00141675">
      <w:pPr>
        <w:widowControl/>
        <w:rPr>
          <w:rFonts w:ascii="Times New Roman" w:eastAsia="宋体" w:hAnsi="Times New Roman" w:cs="Times New Roman"/>
          <w:b/>
          <w:bCs/>
          <w:color w:val="000000"/>
          <w:kern w:val="0"/>
          <w:sz w:val="16"/>
          <w:szCs w:val="16"/>
        </w:rPr>
      </w:pPr>
      <w:r w:rsidRPr="00141675">
        <w:rPr>
          <w:rFonts w:ascii="Times New Roman" w:eastAsia="宋体" w:hAnsi="Times New Roman" w:cs="Times New Roman"/>
          <w:b/>
          <w:bCs/>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2029"/>
        <w:gridCol w:w="300"/>
        <w:gridCol w:w="200"/>
        <w:gridCol w:w="2467"/>
        <w:gridCol w:w="200"/>
        <w:gridCol w:w="300"/>
        <w:gridCol w:w="1950"/>
        <w:gridCol w:w="300"/>
        <w:gridCol w:w="200"/>
        <w:gridCol w:w="2467"/>
        <w:gridCol w:w="201"/>
      </w:tblGrid>
      <w:tr w:rsidR="00141675" w:rsidRPr="00141675" w14:paraId="02B5FE99" w14:textId="77777777" w:rsidTr="00141675">
        <w:tc>
          <w:tcPr>
            <w:tcW w:w="11969" w:type="dxa"/>
            <w:tcBorders>
              <w:bottom w:val="single" w:sz="6" w:space="0" w:color="000000"/>
            </w:tcBorders>
            <w:shd w:val="clear" w:color="auto" w:fill="FFFFFF"/>
            <w:tcMar>
              <w:top w:w="15" w:type="dxa"/>
              <w:left w:w="0" w:type="dxa"/>
              <w:bottom w:w="0" w:type="dxa"/>
              <w:right w:w="15" w:type="dxa"/>
            </w:tcMar>
            <w:vAlign w:val="bottom"/>
            <w:hideMark/>
          </w:tcPr>
          <w:p w14:paraId="7FB4560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298" w:type="dxa"/>
            <w:shd w:val="clear" w:color="auto" w:fill="FFFFFF"/>
            <w:tcMar>
              <w:top w:w="15" w:type="dxa"/>
              <w:left w:w="0" w:type="dxa"/>
              <w:bottom w:w="0" w:type="dxa"/>
              <w:right w:w="15" w:type="dxa"/>
            </w:tcMar>
            <w:vAlign w:val="bottom"/>
            <w:hideMark/>
          </w:tcPr>
          <w:p w14:paraId="4455771A"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2646" w:type="dxa"/>
            <w:gridSpan w:val="2"/>
            <w:tcBorders>
              <w:bottom w:val="single" w:sz="6" w:space="0" w:color="000000"/>
            </w:tcBorders>
            <w:shd w:val="clear" w:color="auto" w:fill="FFFFFF"/>
            <w:tcMar>
              <w:top w:w="15" w:type="dxa"/>
              <w:left w:w="0" w:type="dxa"/>
              <w:bottom w:w="0" w:type="dxa"/>
              <w:right w:w="15" w:type="dxa"/>
            </w:tcMar>
            <w:vAlign w:val="bottom"/>
            <w:hideMark/>
          </w:tcPr>
          <w:p w14:paraId="1DC7069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November 30,</w:t>
            </w:r>
          </w:p>
          <w:p w14:paraId="7753FEFB"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6C69CB4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98" w:type="dxa"/>
            <w:shd w:val="clear" w:color="auto" w:fill="FFFFFF"/>
            <w:tcMar>
              <w:top w:w="15" w:type="dxa"/>
              <w:left w:w="0" w:type="dxa"/>
              <w:bottom w:w="0" w:type="dxa"/>
              <w:right w:w="15" w:type="dxa"/>
            </w:tcMar>
            <w:vAlign w:val="bottom"/>
            <w:hideMark/>
          </w:tcPr>
          <w:p w14:paraId="31A7885B"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1940" w:type="dxa"/>
            <w:tcBorders>
              <w:bottom w:val="single" w:sz="6" w:space="0" w:color="000000"/>
            </w:tcBorders>
            <w:shd w:val="clear" w:color="auto" w:fill="FFFFFF"/>
            <w:tcMar>
              <w:top w:w="15" w:type="dxa"/>
              <w:left w:w="0" w:type="dxa"/>
              <w:bottom w:w="0" w:type="dxa"/>
              <w:right w:w="15" w:type="dxa"/>
            </w:tcMar>
            <w:vAlign w:val="bottom"/>
            <w:hideMark/>
          </w:tcPr>
          <w:p w14:paraId="0326DBC3"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Change</w:t>
            </w:r>
          </w:p>
        </w:tc>
        <w:tc>
          <w:tcPr>
            <w:tcW w:w="298" w:type="dxa"/>
            <w:shd w:val="clear" w:color="auto" w:fill="FFFFFF"/>
            <w:tcMar>
              <w:top w:w="15" w:type="dxa"/>
              <w:left w:w="0" w:type="dxa"/>
              <w:bottom w:w="0" w:type="dxa"/>
              <w:right w:w="15" w:type="dxa"/>
            </w:tcMar>
            <w:vAlign w:val="bottom"/>
            <w:hideMark/>
          </w:tcPr>
          <w:p w14:paraId="04C96D02"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2646" w:type="dxa"/>
            <w:gridSpan w:val="2"/>
            <w:tcBorders>
              <w:bottom w:val="single" w:sz="6" w:space="0" w:color="000000"/>
            </w:tcBorders>
            <w:shd w:val="clear" w:color="auto" w:fill="FFFFFF"/>
            <w:tcMar>
              <w:top w:w="15" w:type="dxa"/>
              <w:left w:w="0" w:type="dxa"/>
              <w:bottom w:w="0" w:type="dxa"/>
              <w:right w:w="15" w:type="dxa"/>
            </w:tcMar>
            <w:vAlign w:val="bottom"/>
            <w:hideMark/>
          </w:tcPr>
          <w:p w14:paraId="3E679CC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May 31,</w:t>
            </w:r>
          </w:p>
          <w:p w14:paraId="27F7425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2" w:type="dxa"/>
            <w:shd w:val="clear" w:color="auto" w:fill="FFFFFF"/>
            <w:noWrap/>
            <w:tcMar>
              <w:top w:w="15" w:type="dxa"/>
              <w:left w:w="0" w:type="dxa"/>
              <w:bottom w:w="0" w:type="dxa"/>
              <w:right w:w="15" w:type="dxa"/>
            </w:tcMar>
            <w:vAlign w:val="bottom"/>
            <w:hideMark/>
          </w:tcPr>
          <w:p w14:paraId="53B931B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280CE8FF" w14:textId="77777777" w:rsidTr="00141675">
        <w:tc>
          <w:tcPr>
            <w:tcW w:w="11969" w:type="dxa"/>
            <w:tcBorders>
              <w:top w:val="single" w:sz="6" w:space="0" w:color="000000"/>
            </w:tcBorders>
            <w:shd w:val="clear" w:color="auto" w:fill="CFF0FC"/>
            <w:tcMar>
              <w:top w:w="15" w:type="dxa"/>
              <w:left w:w="0" w:type="dxa"/>
              <w:bottom w:w="0" w:type="dxa"/>
              <w:right w:w="15" w:type="dxa"/>
            </w:tcMar>
            <w:hideMark/>
          </w:tcPr>
          <w:p w14:paraId="1AF4EC6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Working capital</w:t>
            </w:r>
          </w:p>
        </w:tc>
        <w:tc>
          <w:tcPr>
            <w:tcW w:w="298" w:type="dxa"/>
            <w:shd w:val="clear" w:color="auto" w:fill="CFF0FC"/>
            <w:tcMar>
              <w:top w:w="15" w:type="dxa"/>
              <w:left w:w="0" w:type="dxa"/>
              <w:bottom w:w="0" w:type="dxa"/>
              <w:right w:w="15" w:type="dxa"/>
            </w:tcMar>
            <w:vAlign w:val="bottom"/>
            <w:hideMark/>
          </w:tcPr>
          <w:p w14:paraId="411D12F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36C7FE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440" w:type="dxa"/>
            <w:tcBorders>
              <w:top w:val="single" w:sz="6" w:space="0" w:color="000000"/>
            </w:tcBorders>
            <w:shd w:val="clear" w:color="auto" w:fill="CFF0FC"/>
            <w:noWrap/>
            <w:tcMar>
              <w:top w:w="15" w:type="dxa"/>
              <w:left w:w="0" w:type="dxa"/>
              <w:bottom w:w="0" w:type="dxa"/>
              <w:right w:w="15" w:type="dxa"/>
            </w:tcMar>
            <w:vAlign w:val="bottom"/>
            <w:hideMark/>
          </w:tcPr>
          <w:p w14:paraId="44732D9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19,948</w:t>
            </w:r>
          </w:p>
        </w:tc>
        <w:tc>
          <w:tcPr>
            <w:tcW w:w="191" w:type="dxa"/>
            <w:shd w:val="clear" w:color="auto" w:fill="CFF0FC"/>
            <w:noWrap/>
            <w:tcMar>
              <w:top w:w="15" w:type="dxa"/>
              <w:left w:w="0" w:type="dxa"/>
              <w:bottom w:w="0" w:type="dxa"/>
              <w:right w:w="15" w:type="dxa"/>
            </w:tcMar>
            <w:vAlign w:val="bottom"/>
            <w:hideMark/>
          </w:tcPr>
          <w:p w14:paraId="11A8B29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98" w:type="dxa"/>
            <w:shd w:val="clear" w:color="auto" w:fill="CFF0FC"/>
            <w:tcMar>
              <w:top w:w="15" w:type="dxa"/>
              <w:left w:w="0" w:type="dxa"/>
              <w:bottom w:w="0" w:type="dxa"/>
              <w:right w:w="15" w:type="dxa"/>
            </w:tcMar>
            <w:vAlign w:val="bottom"/>
            <w:hideMark/>
          </w:tcPr>
          <w:p w14:paraId="0FD79E8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40" w:type="dxa"/>
            <w:tcBorders>
              <w:top w:val="single" w:sz="6" w:space="0" w:color="000000"/>
            </w:tcBorders>
            <w:shd w:val="clear" w:color="auto" w:fill="CFF0FC"/>
            <w:tcMar>
              <w:top w:w="15" w:type="dxa"/>
              <w:left w:w="0" w:type="dxa"/>
              <w:bottom w:w="0" w:type="dxa"/>
              <w:right w:w="15" w:type="dxa"/>
            </w:tcMar>
            <w:vAlign w:val="bottom"/>
            <w:hideMark/>
          </w:tcPr>
          <w:p w14:paraId="5DE859F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-28%</w:t>
            </w:r>
          </w:p>
        </w:tc>
        <w:tc>
          <w:tcPr>
            <w:tcW w:w="298" w:type="dxa"/>
            <w:shd w:val="clear" w:color="auto" w:fill="CFF0FC"/>
            <w:tcMar>
              <w:top w:w="15" w:type="dxa"/>
              <w:left w:w="0" w:type="dxa"/>
              <w:bottom w:w="0" w:type="dxa"/>
              <w:right w:w="15" w:type="dxa"/>
            </w:tcMar>
            <w:vAlign w:val="bottom"/>
            <w:hideMark/>
          </w:tcPr>
          <w:p w14:paraId="35CFF47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5E1E7E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440" w:type="dxa"/>
            <w:tcBorders>
              <w:top w:val="single" w:sz="6" w:space="0" w:color="000000"/>
            </w:tcBorders>
            <w:shd w:val="clear" w:color="auto" w:fill="CFF0FC"/>
            <w:noWrap/>
            <w:tcMar>
              <w:top w:w="15" w:type="dxa"/>
              <w:left w:w="0" w:type="dxa"/>
              <w:bottom w:w="0" w:type="dxa"/>
              <w:right w:w="15" w:type="dxa"/>
            </w:tcMar>
            <w:vAlign w:val="bottom"/>
            <w:hideMark/>
          </w:tcPr>
          <w:p w14:paraId="468B242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27,756</w:t>
            </w:r>
          </w:p>
        </w:tc>
        <w:tc>
          <w:tcPr>
            <w:tcW w:w="192" w:type="dxa"/>
            <w:shd w:val="clear" w:color="auto" w:fill="CFF0FC"/>
            <w:noWrap/>
            <w:tcMar>
              <w:top w:w="15" w:type="dxa"/>
              <w:left w:w="0" w:type="dxa"/>
              <w:bottom w:w="0" w:type="dxa"/>
              <w:right w:w="15" w:type="dxa"/>
            </w:tcMar>
            <w:vAlign w:val="bottom"/>
            <w:hideMark/>
          </w:tcPr>
          <w:p w14:paraId="62F6905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1A1D786" w14:textId="77777777" w:rsidTr="00141675">
        <w:tc>
          <w:tcPr>
            <w:tcW w:w="11969" w:type="dxa"/>
            <w:shd w:val="clear" w:color="auto" w:fill="FFFFFF"/>
            <w:tcMar>
              <w:top w:w="15" w:type="dxa"/>
              <w:left w:w="0" w:type="dxa"/>
              <w:bottom w:w="0" w:type="dxa"/>
              <w:right w:w="15" w:type="dxa"/>
            </w:tcMar>
            <w:hideMark/>
          </w:tcPr>
          <w:p w14:paraId="125354B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Cash, cash equivalents and marketable securities</w:t>
            </w:r>
          </w:p>
        </w:tc>
        <w:tc>
          <w:tcPr>
            <w:tcW w:w="298" w:type="dxa"/>
            <w:shd w:val="clear" w:color="auto" w:fill="FFFFFF"/>
            <w:tcMar>
              <w:top w:w="15" w:type="dxa"/>
              <w:left w:w="0" w:type="dxa"/>
              <w:bottom w:w="0" w:type="dxa"/>
              <w:right w:w="15" w:type="dxa"/>
            </w:tcMar>
            <w:vAlign w:val="bottom"/>
            <w:hideMark/>
          </w:tcPr>
          <w:p w14:paraId="21E6587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1CDC682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440" w:type="dxa"/>
            <w:shd w:val="clear" w:color="auto" w:fill="FFFFFF"/>
            <w:noWrap/>
            <w:tcMar>
              <w:top w:w="15" w:type="dxa"/>
              <w:left w:w="0" w:type="dxa"/>
              <w:bottom w:w="0" w:type="dxa"/>
              <w:right w:w="15" w:type="dxa"/>
            </w:tcMar>
            <w:vAlign w:val="bottom"/>
            <w:hideMark/>
          </w:tcPr>
          <w:p w14:paraId="4E939BD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27,444</w:t>
            </w:r>
          </w:p>
        </w:tc>
        <w:tc>
          <w:tcPr>
            <w:tcW w:w="191" w:type="dxa"/>
            <w:shd w:val="clear" w:color="auto" w:fill="FFFFFF"/>
            <w:noWrap/>
            <w:tcMar>
              <w:top w:w="15" w:type="dxa"/>
              <w:left w:w="0" w:type="dxa"/>
              <w:bottom w:w="0" w:type="dxa"/>
              <w:right w:w="15" w:type="dxa"/>
            </w:tcMar>
            <w:vAlign w:val="bottom"/>
            <w:hideMark/>
          </w:tcPr>
          <w:p w14:paraId="0FCE8FD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298" w:type="dxa"/>
            <w:shd w:val="clear" w:color="auto" w:fill="FFFFFF"/>
            <w:tcMar>
              <w:top w:w="15" w:type="dxa"/>
              <w:left w:w="0" w:type="dxa"/>
              <w:bottom w:w="0" w:type="dxa"/>
              <w:right w:w="15" w:type="dxa"/>
            </w:tcMar>
            <w:vAlign w:val="bottom"/>
            <w:hideMark/>
          </w:tcPr>
          <w:p w14:paraId="027164A2"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40" w:type="dxa"/>
            <w:shd w:val="clear" w:color="auto" w:fill="FFFFFF"/>
            <w:tcMar>
              <w:top w:w="15" w:type="dxa"/>
              <w:left w:w="0" w:type="dxa"/>
              <w:bottom w:w="0" w:type="dxa"/>
              <w:right w:w="15" w:type="dxa"/>
            </w:tcMar>
            <w:vAlign w:val="bottom"/>
            <w:hideMark/>
          </w:tcPr>
          <w:p w14:paraId="532E447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-27%</w:t>
            </w:r>
          </w:p>
        </w:tc>
        <w:tc>
          <w:tcPr>
            <w:tcW w:w="298" w:type="dxa"/>
            <w:shd w:val="clear" w:color="auto" w:fill="FFFFFF"/>
            <w:tcMar>
              <w:top w:w="15" w:type="dxa"/>
              <w:left w:w="0" w:type="dxa"/>
              <w:bottom w:w="0" w:type="dxa"/>
              <w:right w:w="15" w:type="dxa"/>
            </w:tcMar>
            <w:vAlign w:val="bottom"/>
            <w:hideMark/>
          </w:tcPr>
          <w:p w14:paraId="31044F4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D618E4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2440" w:type="dxa"/>
            <w:shd w:val="clear" w:color="auto" w:fill="FFFFFF"/>
            <w:noWrap/>
            <w:tcMar>
              <w:top w:w="15" w:type="dxa"/>
              <w:left w:w="0" w:type="dxa"/>
              <w:bottom w:w="0" w:type="dxa"/>
              <w:right w:w="15" w:type="dxa"/>
            </w:tcMar>
            <w:vAlign w:val="bottom"/>
            <w:hideMark/>
          </w:tcPr>
          <w:p w14:paraId="729B80C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37,827</w:t>
            </w:r>
          </w:p>
        </w:tc>
        <w:tc>
          <w:tcPr>
            <w:tcW w:w="192" w:type="dxa"/>
            <w:shd w:val="clear" w:color="auto" w:fill="FFFFFF"/>
            <w:noWrap/>
            <w:tcMar>
              <w:top w:w="15" w:type="dxa"/>
              <w:left w:w="0" w:type="dxa"/>
              <w:bottom w:w="0" w:type="dxa"/>
              <w:right w:w="15" w:type="dxa"/>
            </w:tcMar>
            <w:vAlign w:val="bottom"/>
            <w:hideMark/>
          </w:tcPr>
          <w:p w14:paraId="52A7FD00"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08D5E016" w14:textId="77777777" w:rsidR="00141675" w:rsidRPr="00141675" w:rsidRDefault="00141675" w:rsidP="00141675">
      <w:pPr>
        <w:widowControl/>
        <w:jc w:val="left"/>
        <w:rPr>
          <w:rFonts w:ascii="Times New Roman" w:eastAsia="宋体" w:hAnsi="Times New Roman" w:cs="Times New Roman"/>
          <w:color w:val="000000"/>
          <w:kern w:val="0"/>
          <w:sz w:val="12"/>
          <w:szCs w:val="12"/>
        </w:rPr>
      </w:pPr>
      <w:r w:rsidRPr="00141675">
        <w:rPr>
          <w:rFonts w:ascii="Times New Roman" w:eastAsia="宋体" w:hAnsi="Times New Roman" w:cs="Times New Roman"/>
          <w:color w:val="000000"/>
          <w:kern w:val="0"/>
          <w:sz w:val="12"/>
          <w:szCs w:val="12"/>
        </w:rPr>
        <w:t> </w:t>
      </w:r>
    </w:p>
    <w:p w14:paraId="10026C82" w14:textId="77777777" w:rsidR="00141675" w:rsidRPr="00141675" w:rsidRDefault="00141675" w:rsidP="00141675">
      <w:pPr>
        <w:widowControl/>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Working capital:</w:t>
      </w:r>
      <w:r w:rsidRPr="00141675">
        <w:rPr>
          <w:rFonts w:ascii="Calibri" w:eastAsia="宋体" w:hAnsi="Calibri" w:cs="Calibri"/>
          <w:color w:val="000000"/>
          <w:kern w:val="0"/>
          <w:sz w:val="20"/>
          <w:szCs w:val="20"/>
        </w:rPr>
        <w:t>   The decrease in working capital as of November 30, 2019 in comparison to May 31, 2019 was primarily due to cash used for repurchases of our common stock, the reclassification of $1.0 billion of long-term senior notes as a current liability, cash used to pay dividends to our stockholders during the first half of fiscal 2020, and the prospective recognition of current operating lease liabilities associated with our adoption of Topic 842 </w:t>
      </w:r>
      <w:r w:rsidRPr="00141675">
        <w:rPr>
          <w:rFonts w:ascii="Calibri" w:eastAsia="宋体" w:hAnsi="Calibri" w:cs="Calibri"/>
          <w:color w:val="000000"/>
          <w:kern w:val="0"/>
          <w:sz w:val="20"/>
          <w:szCs w:val="20"/>
          <w:shd w:val="clear" w:color="auto" w:fill="FFFFFF"/>
        </w:rPr>
        <w:t>as of June 1, 2019</w:t>
      </w:r>
      <w:r w:rsidRPr="00141675">
        <w:rPr>
          <w:rFonts w:ascii="Calibri" w:eastAsia="宋体" w:hAnsi="Calibri" w:cs="Calibri"/>
          <w:color w:val="000000"/>
          <w:kern w:val="0"/>
          <w:sz w:val="20"/>
          <w:szCs w:val="20"/>
        </w:rPr>
        <w:t>. These unfavorable impacts were partially offset by the favorable effects to our net current assets resulting from our net income during the first half of fiscal 2020 and, to a lesser extent, proceeds from stock option exercises. Our working capital may be impacted by some or all of the aforementioned factors in future periods, the amounts and timing of which are variable.</w:t>
      </w:r>
    </w:p>
    <w:p w14:paraId="480979C3"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Cash, cash equivalents and marketable securities:</w:t>
      </w:r>
      <w:r w:rsidRPr="00141675">
        <w:rPr>
          <w:rFonts w:ascii="Calibri" w:eastAsia="宋体" w:hAnsi="Calibri" w:cs="Calibri"/>
          <w:color w:val="000000"/>
          <w:kern w:val="0"/>
          <w:sz w:val="20"/>
          <w:szCs w:val="20"/>
        </w:rPr>
        <w:t>   Cash and cash equivalents primarily consist of deposits held at major banks, Tier-1 commercial paper and other securities with original maturities of 90 days or less. Marketable securities consist of corporate debt securities and certain other securities. The decrease in cash, cash equivalents and marketable securities at November 30, 2019 in comparison to May 31, 2019 was primarily due to $10.0 billion of repurchases of our common stock, the repayments of $4.5 billion of borrowings, payments of cash dividends to our stockholders and cash used for capital expenditures. These cash outflows during the first half of fiscal 2020 were partially offset by certain cash inflows, primarily cash inflows generated by our operations and cash inflows from stock option exercises during the first half of fiscal 2020.</w:t>
      </w:r>
    </w:p>
    <w:p w14:paraId="2E911312"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lastRenderedPageBreak/>
        <w:t>The amount of cash, cash equivalents and marketable securities that we report in U.S. Dollars for a significant portion of the cash, cash equivalents and marketable securities balances held by our foreign subsidiaries is subject to translation adjustments caused by changes in foreign currency exchange rates as of the end of each respective reporting period (the offset to which is substantially recorded to accumulated other comprehensive loss in our condensed consolidated balance sheets and is also presented as a line item in our condensed consolidated statements of comprehensive income included elsewhere in this Quarterly Report). As the U.S. Dollar generally strengthened against certain major international currencies on a net basis during the first half of fiscal 2020, the amount of cash, cash equivalents and marketable securities that we reported in U.S. Dollars for these subsidiaries decreased on a net basis as of November 30, 2019 relative to what we would have reported using constant currency rates from the May 31, 2019 balance sheet date.</w:t>
      </w:r>
    </w:p>
    <w:p w14:paraId="0E955C3B"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3501"/>
        <w:gridCol w:w="312"/>
        <w:gridCol w:w="199"/>
        <w:gridCol w:w="1636"/>
        <w:gridCol w:w="199"/>
        <w:gridCol w:w="311"/>
        <w:gridCol w:w="2034"/>
        <w:gridCol w:w="311"/>
        <w:gridCol w:w="199"/>
        <w:gridCol w:w="1712"/>
        <w:gridCol w:w="200"/>
      </w:tblGrid>
      <w:tr w:rsidR="00141675" w:rsidRPr="00141675" w14:paraId="47F51F96" w14:textId="77777777" w:rsidTr="00141675">
        <w:tc>
          <w:tcPr>
            <w:tcW w:w="13482" w:type="dxa"/>
            <w:shd w:val="clear" w:color="auto" w:fill="FFFFFF"/>
            <w:tcMar>
              <w:top w:w="15" w:type="dxa"/>
              <w:left w:w="0" w:type="dxa"/>
              <w:bottom w:w="0" w:type="dxa"/>
              <w:right w:w="15" w:type="dxa"/>
            </w:tcMar>
            <w:vAlign w:val="bottom"/>
            <w:hideMark/>
          </w:tcPr>
          <w:p w14:paraId="12FFE9E0"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311" w:type="dxa"/>
            <w:shd w:val="clear" w:color="auto" w:fill="FFFFFF"/>
            <w:tcMar>
              <w:top w:w="15" w:type="dxa"/>
              <w:left w:w="0" w:type="dxa"/>
              <w:bottom w:w="0" w:type="dxa"/>
              <w:right w:w="15" w:type="dxa"/>
            </w:tcMar>
            <w:vAlign w:val="bottom"/>
            <w:hideMark/>
          </w:tcPr>
          <w:p w14:paraId="7EBBF0D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6570" w:type="dxa"/>
            <w:gridSpan w:val="8"/>
            <w:tcBorders>
              <w:bottom w:val="single" w:sz="6" w:space="0" w:color="000000"/>
            </w:tcBorders>
            <w:shd w:val="clear" w:color="auto" w:fill="FFFFFF"/>
            <w:tcMar>
              <w:top w:w="15" w:type="dxa"/>
              <w:left w:w="0" w:type="dxa"/>
              <w:bottom w:w="0" w:type="dxa"/>
              <w:right w:w="15" w:type="dxa"/>
            </w:tcMar>
            <w:vAlign w:val="bottom"/>
            <w:hideMark/>
          </w:tcPr>
          <w:p w14:paraId="0B1275D8"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Six Months Ended November 30,</w:t>
            </w:r>
          </w:p>
        </w:tc>
        <w:tc>
          <w:tcPr>
            <w:tcW w:w="192" w:type="dxa"/>
            <w:shd w:val="clear" w:color="auto" w:fill="FFFFFF"/>
            <w:noWrap/>
            <w:tcMar>
              <w:top w:w="15" w:type="dxa"/>
              <w:left w:w="0" w:type="dxa"/>
              <w:bottom w:w="0" w:type="dxa"/>
              <w:right w:w="15" w:type="dxa"/>
            </w:tcMar>
            <w:vAlign w:val="bottom"/>
            <w:hideMark/>
          </w:tcPr>
          <w:p w14:paraId="5E3F92F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3EE5037" w14:textId="77777777" w:rsidTr="00141675">
        <w:tc>
          <w:tcPr>
            <w:tcW w:w="13482" w:type="dxa"/>
            <w:tcBorders>
              <w:bottom w:val="single" w:sz="6" w:space="0" w:color="000000"/>
            </w:tcBorders>
            <w:shd w:val="clear" w:color="auto" w:fill="FFFFFF"/>
            <w:tcMar>
              <w:top w:w="15" w:type="dxa"/>
              <w:left w:w="0" w:type="dxa"/>
              <w:bottom w:w="0" w:type="dxa"/>
              <w:right w:w="15" w:type="dxa"/>
            </w:tcMar>
            <w:vAlign w:val="bottom"/>
            <w:hideMark/>
          </w:tcPr>
          <w:p w14:paraId="21C996E2"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311" w:type="dxa"/>
            <w:shd w:val="clear" w:color="auto" w:fill="FFFFFF"/>
            <w:tcMar>
              <w:top w:w="15" w:type="dxa"/>
              <w:left w:w="0" w:type="dxa"/>
              <w:bottom w:w="0" w:type="dxa"/>
              <w:right w:w="15" w:type="dxa"/>
            </w:tcMar>
            <w:vAlign w:val="bottom"/>
            <w:hideMark/>
          </w:tcPr>
          <w:p w14:paraId="4DAE2A5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82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D9AA44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209CB70C"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372701E1"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31"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E7FE94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Change</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3C245E9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82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5A4EC4EA"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1AE525F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66B4AB13" w14:textId="77777777" w:rsidTr="00141675">
        <w:tc>
          <w:tcPr>
            <w:tcW w:w="13482" w:type="dxa"/>
            <w:tcBorders>
              <w:top w:val="single" w:sz="6" w:space="0" w:color="000000"/>
            </w:tcBorders>
            <w:shd w:val="clear" w:color="auto" w:fill="CFF0FC"/>
            <w:tcMar>
              <w:top w:w="15" w:type="dxa"/>
              <w:left w:w="0" w:type="dxa"/>
              <w:bottom w:w="0" w:type="dxa"/>
              <w:right w:w="15" w:type="dxa"/>
            </w:tcMar>
            <w:hideMark/>
          </w:tcPr>
          <w:p w14:paraId="488845D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Net cash provided by operating activities</w:t>
            </w:r>
          </w:p>
        </w:tc>
        <w:tc>
          <w:tcPr>
            <w:tcW w:w="311" w:type="dxa"/>
            <w:shd w:val="clear" w:color="auto" w:fill="CFF0FC"/>
            <w:tcMar>
              <w:top w:w="15" w:type="dxa"/>
              <w:left w:w="0" w:type="dxa"/>
              <w:bottom w:w="0" w:type="dxa"/>
              <w:right w:w="15" w:type="dxa"/>
            </w:tcMar>
            <w:vAlign w:val="bottom"/>
            <w:hideMark/>
          </w:tcPr>
          <w:p w14:paraId="2EED211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A1BB8E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tcBorders>
              <w:top w:val="single" w:sz="6" w:space="0" w:color="000000"/>
            </w:tcBorders>
            <w:shd w:val="clear" w:color="auto" w:fill="CFF0FC"/>
            <w:noWrap/>
            <w:tcMar>
              <w:top w:w="15" w:type="dxa"/>
              <w:left w:w="0" w:type="dxa"/>
              <w:bottom w:w="0" w:type="dxa"/>
              <w:right w:w="15" w:type="dxa"/>
            </w:tcMar>
            <w:vAlign w:val="bottom"/>
            <w:hideMark/>
          </w:tcPr>
          <w:p w14:paraId="7491B40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6,513</w:t>
            </w:r>
          </w:p>
        </w:tc>
        <w:tc>
          <w:tcPr>
            <w:tcW w:w="191" w:type="dxa"/>
            <w:shd w:val="clear" w:color="auto" w:fill="CFF0FC"/>
            <w:noWrap/>
            <w:tcMar>
              <w:top w:w="15" w:type="dxa"/>
              <w:left w:w="0" w:type="dxa"/>
              <w:bottom w:w="0" w:type="dxa"/>
              <w:right w:w="15" w:type="dxa"/>
            </w:tcMar>
            <w:vAlign w:val="bottom"/>
            <w:hideMark/>
          </w:tcPr>
          <w:p w14:paraId="14B3AA1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1" w:type="dxa"/>
            <w:shd w:val="clear" w:color="auto" w:fill="CFF0FC"/>
            <w:tcMar>
              <w:top w:w="15" w:type="dxa"/>
              <w:left w:w="0" w:type="dxa"/>
              <w:bottom w:w="0" w:type="dxa"/>
              <w:right w:w="15" w:type="dxa"/>
            </w:tcMar>
            <w:vAlign w:val="bottom"/>
            <w:hideMark/>
          </w:tcPr>
          <w:p w14:paraId="4B91D7E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031" w:type="dxa"/>
            <w:tcBorders>
              <w:top w:val="single" w:sz="6" w:space="0" w:color="000000"/>
            </w:tcBorders>
            <w:shd w:val="clear" w:color="auto" w:fill="CFF0FC"/>
            <w:tcMar>
              <w:top w:w="15" w:type="dxa"/>
              <w:left w:w="0" w:type="dxa"/>
              <w:bottom w:w="0" w:type="dxa"/>
              <w:right w:w="15" w:type="dxa"/>
            </w:tcMar>
            <w:vAlign w:val="bottom"/>
            <w:hideMark/>
          </w:tcPr>
          <w:p w14:paraId="351489B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w:t>
            </w:r>
          </w:p>
        </w:tc>
        <w:tc>
          <w:tcPr>
            <w:tcW w:w="311" w:type="dxa"/>
            <w:shd w:val="clear" w:color="auto" w:fill="CFF0FC"/>
            <w:tcMar>
              <w:top w:w="15" w:type="dxa"/>
              <w:left w:w="0" w:type="dxa"/>
              <w:bottom w:w="0" w:type="dxa"/>
              <w:right w:w="15" w:type="dxa"/>
            </w:tcMar>
            <w:vAlign w:val="bottom"/>
            <w:hideMark/>
          </w:tcPr>
          <w:p w14:paraId="6FF31DC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CCAF46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tcBorders>
              <w:top w:val="single" w:sz="6" w:space="0" w:color="000000"/>
            </w:tcBorders>
            <w:shd w:val="clear" w:color="auto" w:fill="CFF0FC"/>
            <w:noWrap/>
            <w:tcMar>
              <w:top w:w="15" w:type="dxa"/>
              <w:left w:w="0" w:type="dxa"/>
              <w:bottom w:w="0" w:type="dxa"/>
              <w:right w:w="15" w:type="dxa"/>
            </w:tcMar>
            <w:vAlign w:val="bottom"/>
            <w:hideMark/>
          </w:tcPr>
          <w:p w14:paraId="710FC0DA"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7,268</w:t>
            </w:r>
          </w:p>
        </w:tc>
        <w:tc>
          <w:tcPr>
            <w:tcW w:w="192" w:type="dxa"/>
            <w:shd w:val="clear" w:color="auto" w:fill="CFF0FC"/>
            <w:noWrap/>
            <w:tcMar>
              <w:top w:w="15" w:type="dxa"/>
              <w:left w:w="0" w:type="dxa"/>
              <w:bottom w:w="0" w:type="dxa"/>
              <w:right w:w="15" w:type="dxa"/>
            </w:tcMar>
            <w:vAlign w:val="bottom"/>
            <w:hideMark/>
          </w:tcPr>
          <w:p w14:paraId="04666170"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91793E0" w14:textId="77777777" w:rsidTr="00141675">
        <w:tc>
          <w:tcPr>
            <w:tcW w:w="13482" w:type="dxa"/>
            <w:shd w:val="clear" w:color="auto" w:fill="FFFFFF"/>
            <w:tcMar>
              <w:top w:w="15" w:type="dxa"/>
              <w:left w:w="0" w:type="dxa"/>
              <w:bottom w:w="0" w:type="dxa"/>
              <w:right w:w="15" w:type="dxa"/>
            </w:tcMar>
            <w:hideMark/>
          </w:tcPr>
          <w:p w14:paraId="3C13EA3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Net cash provided by investing activities</w:t>
            </w:r>
          </w:p>
        </w:tc>
        <w:tc>
          <w:tcPr>
            <w:tcW w:w="311" w:type="dxa"/>
            <w:shd w:val="clear" w:color="auto" w:fill="FFFFFF"/>
            <w:tcMar>
              <w:top w:w="15" w:type="dxa"/>
              <w:left w:w="0" w:type="dxa"/>
              <w:bottom w:w="0" w:type="dxa"/>
              <w:right w:w="15" w:type="dxa"/>
            </w:tcMar>
            <w:vAlign w:val="bottom"/>
            <w:hideMark/>
          </w:tcPr>
          <w:p w14:paraId="630E2D6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1F0C34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shd w:val="clear" w:color="auto" w:fill="FFFFFF"/>
            <w:noWrap/>
            <w:tcMar>
              <w:top w:w="15" w:type="dxa"/>
              <w:left w:w="0" w:type="dxa"/>
              <w:bottom w:w="0" w:type="dxa"/>
              <w:right w:w="15" w:type="dxa"/>
            </w:tcMar>
            <w:vAlign w:val="bottom"/>
            <w:hideMark/>
          </w:tcPr>
          <w:p w14:paraId="7C81369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13,619</w:t>
            </w:r>
          </w:p>
        </w:tc>
        <w:tc>
          <w:tcPr>
            <w:tcW w:w="191" w:type="dxa"/>
            <w:shd w:val="clear" w:color="auto" w:fill="FFFFFF"/>
            <w:noWrap/>
            <w:tcMar>
              <w:top w:w="15" w:type="dxa"/>
              <w:left w:w="0" w:type="dxa"/>
              <w:bottom w:w="0" w:type="dxa"/>
              <w:right w:w="15" w:type="dxa"/>
            </w:tcMar>
            <w:vAlign w:val="bottom"/>
            <w:hideMark/>
          </w:tcPr>
          <w:p w14:paraId="0419167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1" w:type="dxa"/>
            <w:shd w:val="clear" w:color="auto" w:fill="FFFFFF"/>
            <w:tcMar>
              <w:top w:w="15" w:type="dxa"/>
              <w:left w:w="0" w:type="dxa"/>
              <w:bottom w:w="0" w:type="dxa"/>
              <w:right w:w="15" w:type="dxa"/>
            </w:tcMar>
            <w:vAlign w:val="bottom"/>
            <w:hideMark/>
          </w:tcPr>
          <w:p w14:paraId="5180207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031" w:type="dxa"/>
            <w:shd w:val="clear" w:color="auto" w:fill="FFFFFF"/>
            <w:tcMar>
              <w:top w:w="15" w:type="dxa"/>
              <w:left w:w="0" w:type="dxa"/>
              <w:bottom w:w="0" w:type="dxa"/>
              <w:right w:w="15" w:type="dxa"/>
            </w:tcMar>
            <w:vAlign w:val="bottom"/>
            <w:hideMark/>
          </w:tcPr>
          <w:p w14:paraId="3B6A160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150%</w:t>
            </w:r>
          </w:p>
        </w:tc>
        <w:tc>
          <w:tcPr>
            <w:tcW w:w="311" w:type="dxa"/>
            <w:shd w:val="clear" w:color="auto" w:fill="FFFFFF"/>
            <w:tcMar>
              <w:top w:w="15" w:type="dxa"/>
              <w:left w:w="0" w:type="dxa"/>
              <w:bottom w:w="0" w:type="dxa"/>
              <w:right w:w="15" w:type="dxa"/>
            </w:tcMar>
            <w:vAlign w:val="bottom"/>
            <w:hideMark/>
          </w:tcPr>
          <w:p w14:paraId="6FDCB9A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1CA253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shd w:val="clear" w:color="auto" w:fill="FFFFFF"/>
            <w:noWrap/>
            <w:tcMar>
              <w:top w:w="15" w:type="dxa"/>
              <w:left w:w="0" w:type="dxa"/>
              <w:bottom w:w="0" w:type="dxa"/>
              <w:right w:w="15" w:type="dxa"/>
            </w:tcMar>
            <w:vAlign w:val="bottom"/>
            <w:hideMark/>
          </w:tcPr>
          <w:p w14:paraId="43026CA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5,452</w:t>
            </w:r>
          </w:p>
        </w:tc>
        <w:tc>
          <w:tcPr>
            <w:tcW w:w="192" w:type="dxa"/>
            <w:shd w:val="clear" w:color="auto" w:fill="FFFFFF"/>
            <w:noWrap/>
            <w:tcMar>
              <w:top w:w="15" w:type="dxa"/>
              <w:left w:w="0" w:type="dxa"/>
              <w:bottom w:w="0" w:type="dxa"/>
              <w:right w:w="15" w:type="dxa"/>
            </w:tcMar>
            <w:vAlign w:val="bottom"/>
            <w:hideMark/>
          </w:tcPr>
          <w:p w14:paraId="4F0EE29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629732DD" w14:textId="77777777" w:rsidTr="00141675">
        <w:tc>
          <w:tcPr>
            <w:tcW w:w="13482" w:type="dxa"/>
            <w:shd w:val="clear" w:color="auto" w:fill="CFF0FC"/>
            <w:tcMar>
              <w:top w:w="15" w:type="dxa"/>
              <w:left w:w="0" w:type="dxa"/>
              <w:bottom w:w="0" w:type="dxa"/>
              <w:right w:w="15" w:type="dxa"/>
            </w:tcMar>
            <w:hideMark/>
          </w:tcPr>
          <w:p w14:paraId="6890A3C2"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Net cash used for financing activities</w:t>
            </w:r>
          </w:p>
        </w:tc>
        <w:tc>
          <w:tcPr>
            <w:tcW w:w="311" w:type="dxa"/>
            <w:shd w:val="clear" w:color="auto" w:fill="CFF0FC"/>
            <w:tcMar>
              <w:top w:w="15" w:type="dxa"/>
              <w:left w:w="0" w:type="dxa"/>
              <w:bottom w:w="0" w:type="dxa"/>
              <w:right w:w="15" w:type="dxa"/>
            </w:tcMar>
            <w:vAlign w:val="bottom"/>
            <w:hideMark/>
          </w:tcPr>
          <w:p w14:paraId="0FE729D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323CC0D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shd w:val="clear" w:color="auto" w:fill="CFF0FC"/>
            <w:noWrap/>
            <w:tcMar>
              <w:top w:w="15" w:type="dxa"/>
              <w:left w:w="0" w:type="dxa"/>
              <w:bottom w:w="0" w:type="dxa"/>
              <w:right w:w="15" w:type="dxa"/>
            </w:tcMar>
            <w:vAlign w:val="bottom"/>
            <w:hideMark/>
          </w:tcPr>
          <w:p w14:paraId="5FBF10F5"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(16,096</w:t>
            </w:r>
          </w:p>
        </w:tc>
        <w:tc>
          <w:tcPr>
            <w:tcW w:w="191" w:type="dxa"/>
            <w:shd w:val="clear" w:color="auto" w:fill="CFF0FC"/>
            <w:noWrap/>
            <w:tcMar>
              <w:top w:w="15" w:type="dxa"/>
              <w:left w:w="0" w:type="dxa"/>
              <w:bottom w:w="0" w:type="dxa"/>
              <w:right w:w="15" w:type="dxa"/>
            </w:tcMar>
            <w:vAlign w:val="bottom"/>
            <w:hideMark/>
          </w:tcPr>
          <w:p w14:paraId="3FFA75D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311" w:type="dxa"/>
            <w:shd w:val="clear" w:color="auto" w:fill="CFF0FC"/>
            <w:tcMar>
              <w:top w:w="15" w:type="dxa"/>
              <w:left w:w="0" w:type="dxa"/>
              <w:bottom w:w="0" w:type="dxa"/>
              <w:right w:w="15" w:type="dxa"/>
            </w:tcMar>
            <w:vAlign w:val="bottom"/>
            <w:hideMark/>
          </w:tcPr>
          <w:p w14:paraId="0686EBEF"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031" w:type="dxa"/>
            <w:shd w:val="clear" w:color="auto" w:fill="CFF0FC"/>
            <w:tcMar>
              <w:top w:w="15" w:type="dxa"/>
              <w:left w:w="0" w:type="dxa"/>
              <w:bottom w:w="0" w:type="dxa"/>
              <w:right w:w="15" w:type="dxa"/>
            </w:tcMar>
            <w:vAlign w:val="bottom"/>
            <w:hideMark/>
          </w:tcPr>
          <w:p w14:paraId="0115DFD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-31%</w:t>
            </w:r>
          </w:p>
        </w:tc>
        <w:tc>
          <w:tcPr>
            <w:tcW w:w="311" w:type="dxa"/>
            <w:shd w:val="clear" w:color="auto" w:fill="CFF0FC"/>
            <w:tcMar>
              <w:top w:w="15" w:type="dxa"/>
              <w:left w:w="0" w:type="dxa"/>
              <w:bottom w:w="0" w:type="dxa"/>
              <w:right w:w="15" w:type="dxa"/>
            </w:tcMar>
            <w:vAlign w:val="bottom"/>
            <w:hideMark/>
          </w:tcPr>
          <w:p w14:paraId="3F399898"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F9FD65D"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shd w:val="clear" w:color="auto" w:fill="CFF0FC"/>
            <w:noWrap/>
            <w:tcMar>
              <w:top w:w="15" w:type="dxa"/>
              <w:left w:w="0" w:type="dxa"/>
              <w:bottom w:w="0" w:type="dxa"/>
              <w:right w:w="15" w:type="dxa"/>
            </w:tcMar>
            <w:vAlign w:val="bottom"/>
            <w:hideMark/>
          </w:tcPr>
          <w:p w14:paraId="51EF763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(23,356</w:t>
            </w:r>
          </w:p>
        </w:tc>
        <w:tc>
          <w:tcPr>
            <w:tcW w:w="192" w:type="dxa"/>
            <w:shd w:val="clear" w:color="auto" w:fill="CFF0FC"/>
            <w:noWrap/>
            <w:tcMar>
              <w:top w:w="15" w:type="dxa"/>
              <w:left w:w="0" w:type="dxa"/>
              <w:bottom w:w="0" w:type="dxa"/>
              <w:right w:w="15" w:type="dxa"/>
            </w:tcMar>
            <w:vAlign w:val="bottom"/>
            <w:hideMark/>
          </w:tcPr>
          <w:p w14:paraId="6A97F4C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bl>
    <w:p w14:paraId="5D8732AF"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26B03AB8" w14:textId="77777777" w:rsidR="00141675" w:rsidRPr="00141675" w:rsidRDefault="00141675" w:rsidP="00141675">
      <w:pPr>
        <w:widowControl/>
        <w:rPr>
          <w:rFonts w:ascii="Calibri" w:eastAsia="宋体" w:hAnsi="Calibri" w:cs="Calibri" w:hint="eastAsia"/>
          <w:b/>
          <w:bCs/>
          <w:i/>
          <w:iCs/>
          <w:color w:val="000000"/>
          <w:kern w:val="0"/>
          <w:sz w:val="20"/>
          <w:szCs w:val="20"/>
        </w:rPr>
      </w:pPr>
      <w:r w:rsidRPr="00141675">
        <w:rPr>
          <w:rFonts w:ascii="Calibri" w:eastAsia="宋体" w:hAnsi="Calibri" w:cs="Calibri"/>
          <w:b/>
          <w:bCs/>
          <w:i/>
          <w:iCs/>
          <w:color w:val="000000"/>
          <w:kern w:val="0"/>
          <w:sz w:val="20"/>
          <w:szCs w:val="20"/>
        </w:rPr>
        <w:t>Cash flows from operating activities:</w:t>
      </w:r>
      <w:r w:rsidRPr="00141675">
        <w:rPr>
          <w:rFonts w:ascii="Calibri" w:eastAsia="宋体" w:hAnsi="Calibri" w:cs="Calibri"/>
          <w:color w:val="000000"/>
          <w:kern w:val="0"/>
          <w:sz w:val="20"/>
          <w:szCs w:val="20"/>
        </w:rPr>
        <w:t>   Our largest source of operating cash flows is cash collections from our customers following the purchase and renewal of their license support agreements. Payments from customers for these support agreements are generally received near the beginning of the contracts’ terms, which are generally one year in length. Over the course of a fiscal year, we also have historically generated cash from the sales of new licenses, cloud services, hardware offerings and other services. Our primary uses of cash from operating activities are for employee related expenditures, material and manufacturing costs related to the production of our hardware products, taxes, interest payments and leased facilities.</w:t>
      </w:r>
    </w:p>
    <w:p w14:paraId="51C961D6"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Net cash provided by operating activities decreased in the first half of fiscal 2020, relative to the corresponding prior year period, due primarily to lower net income and certain cash unfavorable changes in working capital balances during the first half of fiscal 2020, in each case relative to the corresponding prior year period.</w:t>
      </w:r>
    </w:p>
    <w:p w14:paraId="35BB230A"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Cash flows from investing activities:</w:t>
      </w:r>
      <w:r w:rsidRPr="00141675">
        <w:rPr>
          <w:rFonts w:ascii="Calibri" w:eastAsia="宋体" w:hAnsi="Calibri" w:cs="Calibri"/>
          <w:color w:val="000000"/>
          <w:kern w:val="0"/>
          <w:sz w:val="20"/>
          <w:szCs w:val="20"/>
        </w:rPr>
        <w:t>   The changes in cash flows from investing activities primarily relate to the timing of our purchases, maturities and sales of our investments in marketable securities, and investments in capital and other assets, including certain intangible assets, to support our growth.</w:t>
      </w:r>
    </w:p>
    <w:p w14:paraId="673BF75E"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41</w:t>
      </w:r>
    </w:p>
    <w:p w14:paraId="028DCEF5"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3C2D90B9">
          <v:rect id="_x0000_i1067" style="width:0;height:1.5pt" o:hralign="center" o:hrstd="t" o:hrnoshade="t" o:hr="t" fillcolor="black" stroked="f"/>
        </w:pict>
      </w:r>
    </w:p>
    <w:p w14:paraId="15493F82" w14:textId="77777777" w:rsidR="00141675" w:rsidRPr="00141675" w:rsidRDefault="00141675" w:rsidP="00141675">
      <w:pPr>
        <w:widowControl/>
        <w:jc w:val="left"/>
        <w:rPr>
          <w:rFonts w:ascii="Calibri" w:eastAsia="宋体" w:hAnsi="Calibri" w:cs="Calibri"/>
          <w:b/>
          <w:bCs/>
          <w:color w:val="000000"/>
          <w:kern w:val="0"/>
          <w:sz w:val="20"/>
          <w:szCs w:val="20"/>
        </w:rPr>
      </w:pPr>
      <w:hyperlink r:id="rId64" w:anchor="TABLE_CONTENTS" w:history="1">
        <w:r w:rsidRPr="00141675">
          <w:rPr>
            <w:rFonts w:ascii="Calibri" w:eastAsia="宋体" w:hAnsi="Calibri" w:cs="Calibri"/>
            <w:b/>
            <w:bCs/>
            <w:color w:val="0000FF"/>
            <w:kern w:val="0"/>
            <w:sz w:val="20"/>
            <w:szCs w:val="20"/>
            <w:u w:val="single"/>
          </w:rPr>
          <w:t>Table of Contents</w:t>
        </w:r>
      </w:hyperlink>
    </w:p>
    <w:p w14:paraId="3616220A"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0A24B2E0"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Net cash provided by investing activities increased during the first half of fiscal 2020, primarily due to an increase in the sales and maturities of, and a decrease in the purchases of, marketable securities and other investments during the first half of fiscal 2020 relative to the corresponding prior year period.</w:t>
      </w:r>
    </w:p>
    <w:p w14:paraId="3CEEFBAA"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lastRenderedPageBreak/>
        <w:t>Cash flows from financing activities:  </w:t>
      </w:r>
      <w:r w:rsidRPr="00141675">
        <w:rPr>
          <w:rFonts w:ascii="Calibri" w:eastAsia="宋体" w:hAnsi="Calibri" w:cs="Calibri"/>
          <w:color w:val="000000"/>
          <w:kern w:val="0"/>
          <w:sz w:val="20"/>
          <w:szCs w:val="20"/>
        </w:rPr>
        <w:t> The changes in cash flows from financing activities primarily relate to borrowings and repayments related to our debt instruments, stock repurchases, dividend payments and net proceeds related to employee stock programs.</w:t>
      </w:r>
    </w:p>
    <w:p w14:paraId="37397CC1"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Net cash used for financing activities in the first half of fiscal 2020 decreased compared to the first half of fiscal 2019 primarily due to decreased stock repurchases as we repurchased $10.0 billion of common stock in the first half of fiscal 2020 compared to $20.0 billion in the first half of fiscal 2019. This cash favorable variance to our financing activities during the first half of fiscal 2020 was partially offset by increased debt repayments made during the first half of fiscal 2020 relative to the corresponding prior year period.</w:t>
      </w:r>
    </w:p>
    <w:p w14:paraId="3373C358"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Free cash flow:</w:t>
      </w:r>
      <w:r w:rsidRPr="00141675">
        <w:rPr>
          <w:rFonts w:ascii="Calibri" w:eastAsia="宋体" w:hAnsi="Calibri" w:cs="Calibri"/>
          <w:color w:val="000000"/>
          <w:kern w:val="0"/>
          <w:sz w:val="20"/>
          <w:szCs w:val="20"/>
        </w:rPr>
        <w:t>   To supplement our statements of cash flows presented on a GAAP basis, we use non-GAAP measures of cash flows on a trailing 4-quarter basis to analyze cash flows generated from our operations. We believe that free cash flow is also useful as one of the bases for comparing our performance with our competitors. The presentation of non-GAAP free cash flow is not meant to be considered in isolation or as an alternative to net income as an indicator of our performance, or as an alternative to cash flows from operating activities as a measure of liquidity. We calculate free cash flow as follows:</w:t>
      </w:r>
    </w:p>
    <w:p w14:paraId="7B19C887" w14:textId="77777777" w:rsidR="00141675" w:rsidRPr="00141675" w:rsidRDefault="00141675" w:rsidP="00141675">
      <w:pPr>
        <w:widowControl/>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13501"/>
        <w:gridCol w:w="312"/>
        <w:gridCol w:w="199"/>
        <w:gridCol w:w="1636"/>
        <w:gridCol w:w="199"/>
        <w:gridCol w:w="311"/>
        <w:gridCol w:w="2034"/>
        <w:gridCol w:w="311"/>
        <w:gridCol w:w="199"/>
        <w:gridCol w:w="1712"/>
        <w:gridCol w:w="200"/>
      </w:tblGrid>
      <w:tr w:rsidR="00141675" w:rsidRPr="00141675" w14:paraId="16470B5D" w14:textId="77777777" w:rsidTr="00141675">
        <w:tc>
          <w:tcPr>
            <w:tcW w:w="13482" w:type="dxa"/>
            <w:shd w:val="clear" w:color="auto" w:fill="FFFFFF"/>
            <w:tcMar>
              <w:top w:w="15" w:type="dxa"/>
              <w:left w:w="0" w:type="dxa"/>
              <w:bottom w:w="0" w:type="dxa"/>
              <w:right w:w="15" w:type="dxa"/>
            </w:tcMar>
            <w:hideMark/>
          </w:tcPr>
          <w:p w14:paraId="272EE0C6" w14:textId="77777777" w:rsidR="00141675" w:rsidRPr="00141675" w:rsidRDefault="00141675" w:rsidP="00141675">
            <w:pPr>
              <w:widowControl/>
              <w:jc w:val="left"/>
              <w:rPr>
                <w:rFonts w:ascii="Times New Roman" w:eastAsia="宋体" w:hAnsi="Times New Roman" w:cs="Times New Roman"/>
                <w:kern w:val="0"/>
                <w:sz w:val="20"/>
                <w:szCs w:val="20"/>
              </w:rPr>
            </w:pPr>
            <w:r w:rsidRPr="00141675">
              <w:rPr>
                <w:rFonts w:ascii="Times New Roman" w:eastAsia="宋体" w:hAnsi="Times New Roman" w:cs="Times New Roman"/>
                <w:kern w:val="0"/>
                <w:sz w:val="20"/>
                <w:szCs w:val="20"/>
              </w:rPr>
              <w:t> </w:t>
            </w:r>
          </w:p>
        </w:tc>
        <w:tc>
          <w:tcPr>
            <w:tcW w:w="311" w:type="dxa"/>
            <w:shd w:val="clear" w:color="auto" w:fill="FFFFFF"/>
            <w:tcMar>
              <w:top w:w="15" w:type="dxa"/>
              <w:left w:w="0" w:type="dxa"/>
              <w:bottom w:w="0" w:type="dxa"/>
              <w:right w:w="15" w:type="dxa"/>
            </w:tcMar>
            <w:vAlign w:val="bottom"/>
            <w:hideMark/>
          </w:tcPr>
          <w:p w14:paraId="4C71DDFA" w14:textId="77777777" w:rsidR="00141675" w:rsidRPr="00141675" w:rsidRDefault="00141675" w:rsidP="00141675">
            <w:pPr>
              <w:widowControl/>
              <w:jc w:val="left"/>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 </w:t>
            </w:r>
          </w:p>
        </w:tc>
        <w:tc>
          <w:tcPr>
            <w:tcW w:w="6570" w:type="dxa"/>
            <w:gridSpan w:val="8"/>
            <w:tcBorders>
              <w:bottom w:val="single" w:sz="6" w:space="0" w:color="000000"/>
            </w:tcBorders>
            <w:shd w:val="clear" w:color="auto" w:fill="FFFFFF"/>
            <w:tcMar>
              <w:top w:w="15" w:type="dxa"/>
              <w:left w:w="0" w:type="dxa"/>
              <w:bottom w:w="0" w:type="dxa"/>
              <w:right w:w="15" w:type="dxa"/>
            </w:tcMar>
            <w:vAlign w:val="bottom"/>
            <w:hideMark/>
          </w:tcPr>
          <w:p w14:paraId="475D95B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Trailing 4-Quarters Ended November 30,</w:t>
            </w:r>
          </w:p>
        </w:tc>
        <w:tc>
          <w:tcPr>
            <w:tcW w:w="192" w:type="dxa"/>
            <w:shd w:val="clear" w:color="auto" w:fill="FFFFFF"/>
            <w:noWrap/>
            <w:tcMar>
              <w:top w:w="15" w:type="dxa"/>
              <w:left w:w="0" w:type="dxa"/>
              <w:bottom w:w="0" w:type="dxa"/>
              <w:right w:w="15" w:type="dxa"/>
            </w:tcMar>
            <w:vAlign w:val="bottom"/>
            <w:hideMark/>
          </w:tcPr>
          <w:p w14:paraId="6C4460EB"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205B7389" w14:textId="77777777" w:rsidTr="00141675">
        <w:tc>
          <w:tcPr>
            <w:tcW w:w="13482" w:type="dxa"/>
            <w:tcBorders>
              <w:bottom w:val="single" w:sz="6" w:space="0" w:color="000000"/>
            </w:tcBorders>
            <w:shd w:val="clear" w:color="auto" w:fill="FFFFFF"/>
            <w:tcMar>
              <w:top w:w="15" w:type="dxa"/>
              <w:left w:w="0" w:type="dxa"/>
              <w:bottom w:w="0" w:type="dxa"/>
              <w:right w:w="15" w:type="dxa"/>
            </w:tcMar>
            <w:hideMark/>
          </w:tcPr>
          <w:p w14:paraId="3E8BA92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(Dollars in millions)</w:t>
            </w:r>
          </w:p>
        </w:tc>
        <w:tc>
          <w:tcPr>
            <w:tcW w:w="311" w:type="dxa"/>
            <w:shd w:val="clear" w:color="auto" w:fill="FFFFFF"/>
            <w:tcMar>
              <w:top w:w="15" w:type="dxa"/>
              <w:left w:w="0" w:type="dxa"/>
              <w:bottom w:w="0" w:type="dxa"/>
              <w:right w:w="15" w:type="dxa"/>
            </w:tcMar>
            <w:vAlign w:val="bottom"/>
            <w:hideMark/>
          </w:tcPr>
          <w:p w14:paraId="0EE52A1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82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088D786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2019</w:t>
            </w:r>
          </w:p>
        </w:tc>
        <w:tc>
          <w:tcPr>
            <w:tcW w:w="191" w:type="dxa"/>
            <w:shd w:val="clear" w:color="auto" w:fill="FFFFFF"/>
            <w:noWrap/>
            <w:tcMar>
              <w:top w:w="15" w:type="dxa"/>
              <w:left w:w="0" w:type="dxa"/>
              <w:bottom w:w="0" w:type="dxa"/>
              <w:right w:w="15" w:type="dxa"/>
            </w:tcMar>
            <w:vAlign w:val="bottom"/>
            <w:hideMark/>
          </w:tcPr>
          <w:p w14:paraId="36519190"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724A2258"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2031" w:type="dxa"/>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21146C6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Change</w:t>
            </w:r>
          </w:p>
        </w:tc>
        <w:tc>
          <w:tcPr>
            <w:tcW w:w="311" w:type="dxa"/>
            <w:tcBorders>
              <w:top w:val="single" w:sz="6" w:space="0" w:color="000000"/>
            </w:tcBorders>
            <w:shd w:val="clear" w:color="auto" w:fill="FFFFFF"/>
            <w:tcMar>
              <w:top w:w="15" w:type="dxa"/>
              <w:left w:w="0" w:type="dxa"/>
              <w:bottom w:w="0" w:type="dxa"/>
              <w:right w:w="15" w:type="dxa"/>
            </w:tcMar>
            <w:vAlign w:val="bottom"/>
            <w:hideMark/>
          </w:tcPr>
          <w:p w14:paraId="27905F26"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1825" w:type="dxa"/>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14:paraId="689F0E9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2018</w:t>
            </w:r>
          </w:p>
        </w:tc>
        <w:tc>
          <w:tcPr>
            <w:tcW w:w="192" w:type="dxa"/>
            <w:shd w:val="clear" w:color="auto" w:fill="FFFFFF"/>
            <w:noWrap/>
            <w:tcMar>
              <w:top w:w="15" w:type="dxa"/>
              <w:left w:w="0" w:type="dxa"/>
              <w:bottom w:w="0" w:type="dxa"/>
              <w:right w:w="15" w:type="dxa"/>
            </w:tcMar>
            <w:vAlign w:val="bottom"/>
            <w:hideMark/>
          </w:tcPr>
          <w:p w14:paraId="38FEC1BE"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0A388AAA" w14:textId="77777777" w:rsidTr="00141675">
        <w:tc>
          <w:tcPr>
            <w:tcW w:w="13482" w:type="dxa"/>
            <w:tcBorders>
              <w:top w:val="single" w:sz="6" w:space="0" w:color="000000"/>
            </w:tcBorders>
            <w:shd w:val="clear" w:color="auto" w:fill="CFF0FC"/>
            <w:tcMar>
              <w:top w:w="15" w:type="dxa"/>
              <w:left w:w="0" w:type="dxa"/>
              <w:bottom w:w="0" w:type="dxa"/>
              <w:right w:w="15" w:type="dxa"/>
            </w:tcMar>
            <w:hideMark/>
          </w:tcPr>
          <w:p w14:paraId="6F6C1C9E"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Net cash provided by operating activities</w:t>
            </w:r>
          </w:p>
        </w:tc>
        <w:tc>
          <w:tcPr>
            <w:tcW w:w="311" w:type="dxa"/>
            <w:shd w:val="clear" w:color="auto" w:fill="CFF0FC"/>
            <w:tcMar>
              <w:top w:w="15" w:type="dxa"/>
              <w:left w:w="0" w:type="dxa"/>
              <w:bottom w:w="0" w:type="dxa"/>
              <w:right w:w="15" w:type="dxa"/>
            </w:tcMar>
            <w:vAlign w:val="bottom"/>
            <w:hideMark/>
          </w:tcPr>
          <w:p w14:paraId="2192CF0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81D6D0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tcBorders>
              <w:top w:val="single" w:sz="6" w:space="0" w:color="000000"/>
            </w:tcBorders>
            <w:shd w:val="clear" w:color="auto" w:fill="CFF0FC"/>
            <w:noWrap/>
            <w:tcMar>
              <w:top w:w="15" w:type="dxa"/>
              <w:left w:w="0" w:type="dxa"/>
              <w:bottom w:w="0" w:type="dxa"/>
              <w:right w:w="15" w:type="dxa"/>
            </w:tcMar>
            <w:vAlign w:val="bottom"/>
            <w:hideMark/>
          </w:tcPr>
          <w:p w14:paraId="3BEB85F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13,796</w:t>
            </w:r>
          </w:p>
        </w:tc>
        <w:tc>
          <w:tcPr>
            <w:tcW w:w="191" w:type="dxa"/>
            <w:shd w:val="clear" w:color="auto" w:fill="CFF0FC"/>
            <w:noWrap/>
            <w:tcMar>
              <w:top w:w="15" w:type="dxa"/>
              <w:left w:w="0" w:type="dxa"/>
              <w:bottom w:w="0" w:type="dxa"/>
              <w:right w:w="15" w:type="dxa"/>
            </w:tcMar>
            <w:vAlign w:val="bottom"/>
            <w:hideMark/>
          </w:tcPr>
          <w:p w14:paraId="557E72C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1" w:type="dxa"/>
            <w:shd w:val="clear" w:color="auto" w:fill="CFF0FC"/>
            <w:tcMar>
              <w:top w:w="15" w:type="dxa"/>
              <w:left w:w="0" w:type="dxa"/>
              <w:bottom w:w="0" w:type="dxa"/>
              <w:right w:w="15" w:type="dxa"/>
            </w:tcMar>
            <w:vAlign w:val="bottom"/>
            <w:hideMark/>
          </w:tcPr>
          <w:p w14:paraId="6F06ECC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031" w:type="dxa"/>
            <w:tcBorders>
              <w:top w:val="single" w:sz="6" w:space="0" w:color="000000"/>
            </w:tcBorders>
            <w:shd w:val="clear" w:color="auto" w:fill="CFF0FC"/>
            <w:tcMar>
              <w:top w:w="15" w:type="dxa"/>
              <w:left w:w="0" w:type="dxa"/>
              <w:bottom w:w="0" w:type="dxa"/>
              <w:right w:w="15" w:type="dxa"/>
            </w:tcMar>
            <w:vAlign w:val="bottom"/>
            <w:hideMark/>
          </w:tcPr>
          <w:p w14:paraId="77B7558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-9%</w:t>
            </w:r>
          </w:p>
        </w:tc>
        <w:tc>
          <w:tcPr>
            <w:tcW w:w="311" w:type="dxa"/>
            <w:shd w:val="clear" w:color="auto" w:fill="CFF0FC"/>
            <w:tcMar>
              <w:top w:w="15" w:type="dxa"/>
              <w:left w:w="0" w:type="dxa"/>
              <w:bottom w:w="0" w:type="dxa"/>
              <w:right w:w="15" w:type="dxa"/>
            </w:tcMar>
            <w:vAlign w:val="bottom"/>
            <w:hideMark/>
          </w:tcPr>
          <w:p w14:paraId="4F58186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01ACAF2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tcBorders>
              <w:top w:val="single" w:sz="6" w:space="0" w:color="000000"/>
            </w:tcBorders>
            <w:shd w:val="clear" w:color="auto" w:fill="CFF0FC"/>
            <w:noWrap/>
            <w:tcMar>
              <w:top w:w="15" w:type="dxa"/>
              <w:left w:w="0" w:type="dxa"/>
              <w:bottom w:w="0" w:type="dxa"/>
              <w:right w:w="15" w:type="dxa"/>
            </w:tcMar>
            <w:vAlign w:val="bottom"/>
            <w:hideMark/>
          </w:tcPr>
          <w:p w14:paraId="58C7A06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15,238</w:t>
            </w:r>
          </w:p>
        </w:tc>
        <w:tc>
          <w:tcPr>
            <w:tcW w:w="192" w:type="dxa"/>
            <w:shd w:val="clear" w:color="auto" w:fill="CFF0FC"/>
            <w:noWrap/>
            <w:tcMar>
              <w:top w:w="15" w:type="dxa"/>
              <w:left w:w="0" w:type="dxa"/>
              <w:bottom w:w="0" w:type="dxa"/>
              <w:right w:w="15" w:type="dxa"/>
            </w:tcMar>
            <w:vAlign w:val="bottom"/>
            <w:hideMark/>
          </w:tcPr>
          <w:p w14:paraId="7D60EB87"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5CCAC61A" w14:textId="77777777" w:rsidTr="00141675">
        <w:tc>
          <w:tcPr>
            <w:tcW w:w="13482" w:type="dxa"/>
            <w:shd w:val="clear" w:color="auto" w:fill="FFFFFF"/>
            <w:tcMar>
              <w:top w:w="15" w:type="dxa"/>
              <w:left w:w="0" w:type="dxa"/>
              <w:bottom w:w="0" w:type="dxa"/>
              <w:right w:w="15" w:type="dxa"/>
            </w:tcMar>
            <w:hideMark/>
          </w:tcPr>
          <w:p w14:paraId="362C4F8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Capital expenditures</w:t>
            </w:r>
          </w:p>
        </w:tc>
        <w:tc>
          <w:tcPr>
            <w:tcW w:w="311" w:type="dxa"/>
            <w:shd w:val="clear" w:color="auto" w:fill="FFFFFF"/>
            <w:tcMar>
              <w:top w:w="15" w:type="dxa"/>
              <w:left w:w="0" w:type="dxa"/>
              <w:bottom w:w="0" w:type="dxa"/>
              <w:right w:w="15" w:type="dxa"/>
            </w:tcMar>
            <w:vAlign w:val="bottom"/>
            <w:hideMark/>
          </w:tcPr>
          <w:p w14:paraId="5CF401F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17FBB68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19" w:type="dxa"/>
            <w:tcBorders>
              <w:bottom w:val="single" w:sz="6" w:space="0" w:color="000000"/>
            </w:tcBorders>
            <w:shd w:val="clear" w:color="auto" w:fill="FFFFFF"/>
            <w:noWrap/>
            <w:tcMar>
              <w:top w:w="15" w:type="dxa"/>
              <w:left w:w="0" w:type="dxa"/>
              <w:bottom w:w="0" w:type="dxa"/>
              <w:right w:w="15" w:type="dxa"/>
            </w:tcMar>
            <w:vAlign w:val="bottom"/>
            <w:hideMark/>
          </w:tcPr>
          <w:p w14:paraId="2E96E896"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(1,591</w:t>
            </w:r>
          </w:p>
        </w:tc>
        <w:tc>
          <w:tcPr>
            <w:tcW w:w="191" w:type="dxa"/>
            <w:shd w:val="clear" w:color="auto" w:fill="FFFFFF"/>
            <w:noWrap/>
            <w:tcMar>
              <w:top w:w="15" w:type="dxa"/>
              <w:left w:w="0" w:type="dxa"/>
              <w:bottom w:w="0" w:type="dxa"/>
              <w:right w:w="15" w:type="dxa"/>
            </w:tcMar>
            <w:vAlign w:val="bottom"/>
            <w:hideMark/>
          </w:tcPr>
          <w:p w14:paraId="6E65802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311" w:type="dxa"/>
            <w:shd w:val="clear" w:color="auto" w:fill="FFFFFF"/>
            <w:tcMar>
              <w:top w:w="15" w:type="dxa"/>
              <w:left w:w="0" w:type="dxa"/>
              <w:bottom w:w="0" w:type="dxa"/>
              <w:right w:w="15" w:type="dxa"/>
            </w:tcMar>
            <w:vAlign w:val="bottom"/>
            <w:hideMark/>
          </w:tcPr>
          <w:p w14:paraId="46F26B2D"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031" w:type="dxa"/>
            <w:shd w:val="clear" w:color="auto" w:fill="FFFFFF"/>
            <w:tcMar>
              <w:top w:w="15" w:type="dxa"/>
              <w:left w:w="0" w:type="dxa"/>
              <w:bottom w:w="0" w:type="dxa"/>
              <w:right w:w="15" w:type="dxa"/>
            </w:tcMar>
            <w:vAlign w:val="bottom"/>
            <w:hideMark/>
          </w:tcPr>
          <w:p w14:paraId="5D0685D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8%</w:t>
            </w:r>
          </w:p>
        </w:tc>
        <w:tc>
          <w:tcPr>
            <w:tcW w:w="311" w:type="dxa"/>
            <w:shd w:val="clear" w:color="auto" w:fill="FFFFFF"/>
            <w:tcMar>
              <w:top w:w="15" w:type="dxa"/>
              <w:left w:w="0" w:type="dxa"/>
              <w:bottom w:w="0" w:type="dxa"/>
              <w:right w:w="15" w:type="dxa"/>
            </w:tcMar>
            <w:vAlign w:val="bottom"/>
            <w:hideMark/>
          </w:tcPr>
          <w:p w14:paraId="5E4AA4C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FFFFFF"/>
            <w:noWrap/>
            <w:tcMar>
              <w:top w:w="15" w:type="dxa"/>
              <w:left w:w="0" w:type="dxa"/>
              <w:bottom w:w="0" w:type="dxa"/>
              <w:right w:w="15" w:type="dxa"/>
            </w:tcMar>
            <w:vAlign w:val="bottom"/>
            <w:hideMark/>
          </w:tcPr>
          <w:p w14:paraId="709FA42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1619" w:type="dxa"/>
            <w:tcBorders>
              <w:bottom w:val="single" w:sz="6" w:space="0" w:color="000000"/>
            </w:tcBorders>
            <w:shd w:val="clear" w:color="auto" w:fill="FFFFFF"/>
            <w:noWrap/>
            <w:tcMar>
              <w:top w:w="15" w:type="dxa"/>
              <w:left w:w="0" w:type="dxa"/>
              <w:bottom w:w="0" w:type="dxa"/>
              <w:right w:w="15" w:type="dxa"/>
            </w:tcMar>
            <w:vAlign w:val="bottom"/>
            <w:hideMark/>
          </w:tcPr>
          <w:p w14:paraId="37687748"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(1,468</w:t>
            </w:r>
          </w:p>
        </w:tc>
        <w:tc>
          <w:tcPr>
            <w:tcW w:w="192" w:type="dxa"/>
            <w:shd w:val="clear" w:color="auto" w:fill="FFFFFF"/>
            <w:noWrap/>
            <w:tcMar>
              <w:top w:w="15" w:type="dxa"/>
              <w:left w:w="0" w:type="dxa"/>
              <w:bottom w:w="0" w:type="dxa"/>
              <w:right w:w="15" w:type="dxa"/>
            </w:tcMar>
            <w:vAlign w:val="bottom"/>
            <w:hideMark/>
          </w:tcPr>
          <w:p w14:paraId="3DB4D135"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r>
      <w:tr w:rsidR="00141675" w:rsidRPr="00141675" w14:paraId="4AC8D671" w14:textId="77777777" w:rsidTr="00141675">
        <w:tc>
          <w:tcPr>
            <w:tcW w:w="13482" w:type="dxa"/>
            <w:shd w:val="clear" w:color="auto" w:fill="CFF0FC"/>
            <w:tcMar>
              <w:top w:w="15" w:type="dxa"/>
              <w:left w:w="0" w:type="dxa"/>
              <w:bottom w:w="0" w:type="dxa"/>
              <w:right w:w="15" w:type="dxa"/>
            </w:tcMar>
            <w:hideMark/>
          </w:tcPr>
          <w:p w14:paraId="6A1ECA3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Free cash flow</w:t>
            </w:r>
          </w:p>
        </w:tc>
        <w:tc>
          <w:tcPr>
            <w:tcW w:w="311" w:type="dxa"/>
            <w:shd w:val="clear" w:color="auto" w:fill="CFF0FC"/>
            <w:tcMar>
              <w:top w:w="15" w:type="dxa"/>
              <w:left w:w="0" w:type="dxa"/>
              <w:bottom w:w="0" w:type="dxa"/>
              <w:right w:w="15" w:type="dxa"/>
            </w:tcMar>
            <w:vAlign w:val="bottom"/>
            <w:hideMark/>
          </w:tcPr>
          <w:p w14:paraId="3A40294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4A7C29FC"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1863944C"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12,205</w:t>
            </w:r>
          </w:p>
        </w:tc>
        <w:tc>
          <w:tcPr>
            <w:tcW w:w="191" w:type="dxa"/>
            <w:shd w:val="clear" w:color="auto" w:fill="CFF0FC"/>
            <w:noWrap/>
            <w:tcMar>
              <w:top w:w="15" w:type="dxa"/>
              <w:left w:w="0" w:type="dxa"/>
              <w:bottom w:w="0" w:type="dxa"/>
              <w:right w:w="15" w:type="dxa"/>
            </w:tcMar>
            <w:vAlign w:val="bottom"/>
            <w:hideMark/>
          </w:tcPr>
          <w:p w14:paraId="3F3CE2BA"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1" w:type="dxa"/>
            <w:shd w:val="clear" w:color="auto" w:fill="CFF0FC"/>
            <w:tcMar>
              <w:top w:w="15" w:type="dxa"/>
              <w:left w:w="0" w:type="dxa"/>
              <w:bottom w:w="0" w:type="dxa"/>
              <w:right w:w="15" w:type="dxa"/>
            </w:tcMar>
            <w:vAlign w:val="bottom"/>
            <w:hideMark/>
          </w:tcPr>
          <w:p w14:paraId="1DD2DF7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031" w:type="dxa"/>
            <w:shd w:val="clear" w:color="auto" w:fill="CFF0FC"/>
            <w:tcMar>
              <w:top w:w="15" w:type="dxa"/>
              <w:left w:w="0" w:type="dxa"/>
              <w:bottom w:w="0" w:type="dxa"/>
              <w:right w:w="15" w:type="dxa"/>
            </w:tcMar>
            <w:vAlign w:val="bottom"/>
            <w:hideMark/>
          </w:tcPr>
          <w:p w14:paraId="3DD3FFFF"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w:t>
            </w:r>
          </w:p>
        </w:tc>
        <w:tc>
          <w:tcPr>
            <w:tcW w:w="311" w:type="dxa"/>
            <w:shd w:val="clear" w:color="auto" w:fill="CFF0FC"/>
            <w:tcMar>
              <w:top w:w="15" w:type="dxa"/>
              <w:left w:w="0" w:type="dxa"/>
              <w:bottom w:w="0" w:type="dxa"/>
              <w:right w:w="15" w:type="dxa"/>
            </w:tcMar>
            <w:vAlign w:val="bottom"/>
            <w:hideMark/>
          </w:tcPr>
          <w:p w14:paraId="0910A7B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5EFED54B"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14:paraId="714998D3"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13,770</w:t>
            </w:r>
          </w:p>
        </w:tc>
        <w:tc>
          <w:tcPr>
            <w:tcW w:w="192" w:type="dxa"/>
            <w:shd w:val="clear" w:color="auto" w:fill="CFF0FC"/>
            <w:noWrap/>
            <w:tcMar>
              <w:top w:w="15" w:type="dxa"/>
              <w:left w:w="0" w:type="dxa"/>
              <w:bottom w:w="0" w:type="dxa"/>
              <w:right w:w="15" w:type="dxa"/>
            </w:tcMar>
            <w:vAlign w:val="bottom"/>
            <w:hideMark/>
          </w:tcPr>
          <w:p w14:paraId="2F78DD26"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102328E3" w14:textId="77777777" w:rsidTr="00141675">
        <w:tc>
          <w:tcPr>
            <w:tcW w:w="13482" w:type="dxa"/>
            <w:shd w:val="clear" w:color="auto" w:fill="FFFFFF"/>
            <w:tcMar>
              <w:top w:w="15" w:type="dxa"/>
              <w:left w:w="0" w:type="dxa"/>
              <w:bottom w:w="0" w:type="dxa"/>
              <w:right w:w="15" w:type="dxa"/>
            </w:tcMar>
            <w:hideMark/>
          </w:tcPr>
          <w:p w14:paraId="15D78C83"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Net income</w:t>
            </w:r>
          </w:p>
        </w:tc>
        <w:tc>
          <w:tcPr>
            <w:tcW w:w="311" w:type="dxa"/>
            <w:shd w:val="clear" w:color="auto" w:fill="FFFFFF"/>
            <w:tcMar>
              <w:top w:w="15" w:type="dxa"/>
              <w:left w:w="0" w:type="dxa"/>
              <w:bottom w:w="0" w:type="dxa"/>
              <w:right w:w="15" w:type="dxa"/>
            </w:tcMar>
            <w:vAlign w:val="bottom"/>
            <w:hideMark/>
          </w:tcPr>
          <w:p w14:paraId="093640CE"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160CFB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7A0C7D42"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10,933</w:t>
            </w:r>
          </w:p>
        </w:tc>
        <w:tc>
          <w:tcPr>
            <w:tcW w:w="191" w:type="dxa"/>
            <w:shd w:val="clear" w:color="auto" w:fill="FFFFFF"/>
            <w:noWrap/>
            <w:tcMar>
              <w:top w:w="15" w:type="dxa"/>
              <w:left w:w="0" w:type="dxa"/>
              <w:bottom w:w="0" w:type="dxa"/>
              <w:right w:w="15" w:type="dxa"/>
            </w:tcMar>
            <w:vAlign w:val="bottom"/>
            <w:hideMark/>
          </w:tcPr>
          <w:p w14:paraId="4C2E438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1" w:type="dxa"/>
            <w:shd w:val="clear" w:color="auto" w:fill="FFFFFF"/>
            <w:tcMar>
              <w:top w:w="15" w:type="dxa"/>
              <w:left w:w="0" w:type="dxa"/>
              <w:bottom w:w="0" w:type="dxa"/>
              <w:right w:w="15" w:type="dxa"/>
            </w:tcMar>
            <w:vAlign w:val="bottom"/>
            <w:hideMark/>
          </w:tcPr>
          <w:p w14:paraId="25E0EB9B"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031" w:type="dxa"/>
            <w:shd w:val="clear" w:color="auto" w:fill="FFFFFF"/>
            <w:tcMar>
              <w:top w:w="15" w:type="dxa"/>
              <w:left w:w="0" w:type="dxa"/>
              <w:bottom w:w="0" w:type="dxa"/>
              <w:right w:w="15" w:type="dxa"/>
            </w:tcMar>
            <w:vAlign w:val="bottom"/>
            <w:hideMark/>
          </w:tcPr>
          <w:p w14:paraId="40BB6C2E"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1" w:type="dxa"/>
            <w:shd w:val="clear" w:color="auto" w:fill="FFFFFF"/>
            <w:tcMar>
              <w:top w:w="15" w:type="dxa"/>
              <w:left w:w="0" w:type="dxa"/>
              <w:bottom w:w="0" w:type="dxa"/>
              <w:right w:w="15" w:type="dxa"/>
            </w:tcMar>
            <w:vAlign w:val="bottom"/>
            <w:hideMark/>
          </w:tcPr>
          <w:p w14:paraId="7131F68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24CA8BE1"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t>
            </w:r>
          </w:p>
        </w:tc>
        <w:tc>
          <w:tcPr>
            <w:tcW w:w="1619" w:type="dxa"/>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14:paraId="0965087D"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3,827</w:t>
            </w:r>
          </w:p>
        </w:tc>
        <w:tc>
          <w:tcPr>
            <w:tcW w:w="192" w:type="dxa"/>
            <w:shd w:val="clear" w:color="auto" w:fill="FFFFFF"/>
            <w:noWrap/>
            <w:tcMar>
              <w:top w:w="15" w:type="dxa"/>
              <w:left w:w="0" w:type="dxa"/>
              <w:bottom w:w="0" w:type="dxa"/>
              <w:right w:w="15" w:type="dxa"/>
            </w:tcMar>
            <w:vAlign w:val="bottom"/>
            <w:hideMark/>
          </w:tcPr>
          <w:p w14:paraId="04035D69"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r>
      <w:tr w:rsidR="00141675" w:rsidRPr="00141675" w14:paraId="091D6DC4" w14:textId="77777777" w:rsidTr="00141675">
        <w:tc>
          <w:tcPr>
            <w:tcW w:w="13482" w:type="dxa"/>
            <w:shd w:val="clear" w:color="auto" w:fill="CFF0FC"/>
            <w:tcMar>
              <w:top w:w="15" w:type="dxa"/>
              <w:left w:w="0" w:type="dxa"/>
              <w:bottom w:w="0" w:type="dxa"/>
              <w:right w:w="15" w:type="dxa"/>
            </w:tcMar>
            <w:hideMark/>
          </w:tcPr>
          <w:p w14:paraId="2FE45898"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Free cash flow as percent of net income</w:t>
            </w:r>
          </w:p>
        </w:tc>
        <w:tc>
          <w:tcPr>
            <w:tcW w:w="311" w:type="dxa"/>
            <w:shd w:val="clear" w:color="auto" w:fill="CFF0FC"/>
            <w:tcMar>
              <w:top w:w="15" w:type="dxa"/>
              <w:left w:w="0" w:type="dxa"/>
              <w:bottom w:w="0" w:type="dxa"/>
              <w:right w:w="15" w:type="dxa"/>
            </w:tcMar>
            <w:vAlign w:val="bottom"/>
            <w:hideMark/>
          </w:tcPr>
          <w:p w14:paraId="662787A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825" w:type="dxa"/>
            <w:gridSpan w:val="2"/>
            <w:tcBorders>
              <w:top w:val="double" w:sz="6" w:space="0" w:color="000000"/>
            </w:tcBorders>
            <w:shd w:val="clear" w:color="auto" w:fill="CFF0FC"/>
            <w:tcMar>
              <w:top w:w="15" w:type="dxa"/>
              <w:left w:w="0" w:type="dxa"/>
              <w:bottom w:w="0" w:type="dxa"/>
              <w:right w:w="15" w:type="dxa"/>
            </w:tcMar>
            <w:vAlign w:val="bottom"/>
            <w:hideMark/>
          </w:tcPr>
          <w:p w14:paraId="158CC421"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112%</w:t>
            </w:r>
          </w:p>
        </w:tc>
        <w:tc>
          <w:tcPr>
            <w:tcW w:w="191" w:type="dxa"/>
            <w:shd w:val="clear" w:color="auto" w:fill="CFF0FC"/>
            <w:noWrap/>
            <w:tcMar>
              <w:top w:w="15" w:type="dxa"/>
              <w:left w:w="0" w:type="dxa"/>
              <w:bottom w:w="0" w:type="dxa"/>
              <w:right w:w="15" w:type="dxa"/>
            </w:tcMar>
            <w:vAlign w:val="bottom"/>
            <w:hideMark/>
          </w:tcPr>
          <w:p w14:paraId="544CD604" w14:textId="77777777" w:rsidR="00141675" w:rsidRPr="00141675" w:rsidRDefault="00141675" w:rsidP="00141675">
            <w:pPr>
              <w:widowControl/>
              <w:jc w:val="lef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1" w:type="dxa"/>
            <w:shd w:val="clear" w:color="auto" w:fill="CFF0FC"/>
            <w:tcMar>
              <w:top w:w="15" w:type="dxa"/>
              <w:left w:w="0" w:type="dxa"/>
              <w:bottom w:w="0" w:type="dxa"/>
              <w:right w:w="15" w:type="dxa"/>
            </w:tcMar>
            <w:vAlign w:val="bottom"/>
            <w:hideMark/>
          </w:tcPr>
          <w:p w14:paraId="22BB41DA"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2031" w:type="dxa"/>
            <w:shd w:val="clear" w:color="auto" w:fill="CFF0FC"/>
            <w:tcMar>
              <w:top w:w="15" w:type="dxa"/>
              <w:left w:w="0" w:type="dxa"/>
              <w:bottom w:w="0" w:type="dxa"/>
              <w:right w:w="15" w:type="dxa"/>
            </w:tcMar>
            <w:vAlign w:val="bottom"/>
            <w:hideMark/>
          </w:tcPr>
          <w:p w14:paraId="04DA1F57"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w:t>
            </w:r>
          </w:p>
        </w:tc>
        <w:tc>
          <w:tcPr>
            <w:tcW w:w="311" w:type="dxa"/>
            <w:shd w:val="clear" w:color="auto" w:fill="CFF0FC"/>
            <w:tcMar>
              <w:top w:w="15" w:type="dxa"/>
              <w:left w:w="0" w:type="dxa"/>
              <w:bottom w:w="0" w:type="dxa"/>
              <w:right w:w="15" w:type="dxa"/>
            </w:tcMar>
            <w:vAlign w:val="bottom"/>
            <w:hideMark/>
          </w:tcPr>
          <w:p w14:paraId="3EF1099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825" w:type="dxa"/>
            <w:gridSpan w:val="2"/>
            <w:tcBorders>
              <w:top w:val="double" w:sz="6" w:space="0" w:color="000000"/>
            </w:tcBorders>
            <w:shd w:val="clear" w:color="auto" w:fill="CFF0FC"/>
            <w:tcMar>
              <w:top w:w="15" w:type="dxa"/>
              <w:left w:w="0" w:type="dxa"/>
              <w:bottom w:w="0" w:type="dxa"/>
              <w:right w:w="15" w:type="dxa"/>
            </w:tcMar>
            <w:vAlign w:val="bottom"/>
            <w:hideMark/>
          </w:tcPr>
          <w:p w14:paraId="400A06E0" w14:textId="77777777" w:rsidR="00141675" w:rsidRPr="00141675" w:rsidRDefault="00141675" w:rsidP="00141675">
            <w:pPr>
              <w:widowControl/>
              <w:jc w:val="right"/>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360%</w:t>
            </w:r>
          </w:p>
        </w:tc>
        <w:tc>
          <w:tcPr>
            <w:tcW w:w="192" w:type="dxa"/>
            <w:shd w:val="clear" w:color="auto" w:fill="CFF0FC"/>
            <w:noWrap/>
            <w:tcMar>
              <w:top w:w="15" w:type="dxa"/>
              <w:left w:w="0" w:type="dxa"/>
              <w:bottom w:w="0" w:type="dxa"/>
              <w:right w:w="15" w:type="dxa"/>
            </w:tcMar>
            <w:vAlign w:val="bottom"/>
            <w:hideMark/>
          </w:tcPr>
          <w:p w14:paraId="5BB6A67A"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4908AAB4" w14:textId="77777777" w:rsidR="00141675" w:rsidRPr="00141675" w:rsidRDefault="00141675" w:rsidP="00141675">
      <w:pPr>
        <w:widowControl/>
        <w:rPr>
          <w:rFonts w:ascii="微软雅黑" w:eastAsia="微软雅黑" w:hAnsi="微软雅黑" w:cs="宋体"/>
          <w:b/>
          <w:bCs/>
          <w:color w:val="000000"/>
          <w:kern w:val="0"/>
          <w:sz w:val="12"/>
          <w:szCs w:val="12"/>
        </w:rPr>
      </w:pPr>
      <w:r w:rsidRPr="00141675">
        <w:rPr>
          <w:rFonts w:ascii="微软雅黑" w:eastAsia="微软雅黑" w:hAnsi="微软雅黑" w:cs="宋体" w:hint="eastAsia"/>
          <w:b/>
          <w:bCs/>
          <w:color w:val="000000"/>
          <w:kern w:val="0"/>
          <w:sz w:val="12"/>
          <w:szCs w:val="12"/>
        </w:rPr>
        <w:t> </w:t>
      </w:r>
    </w:p>
    <w:p w14:paraId="6C89A590" w14:textId="77777777" w:rsidR="00141675" w:rsidRPr="00141675" w:rsidRDefault="00141675" w:rsidP="00141675">
      <w:pPr>
        <w:widowControl/>
        <w:rPr>
          <w:rFonts w:ascii="Calibri" w:eastAsia="宋体" w:hAnsi="Calibri" w:cs="Calibri" w:hint="eastAsia"/>
          <w:b/>
          <w:bCs/>
          <w:i/>
          <w:iCs/>
          <w:color w:val="000000"/>
          <w:kern w:val="0"/>
          <w:sz w:val="20"/>
          <w:szCs w:val="20"/>
        </w:rPr>
      </w:pPr>
      <w:r w:rsidRPr="00141675">
        <w:rPr>
          <w:rFonts w:ascii="Calibri" w:eastAsia="宋体" w:hAnsi="Calibri" w:cs="Calibri"/>
          <w:b/>
          <w:bCs/>
          <w:i/>
          <w:iCs/>
          <w:color w:val="000000"/>
          <w:kern w:val="0"/>
          <w:sz w:val="20"/>
          <w:szCs w:val="20"/>
        </w:rPr>
        <w:t>Long-Term Customer Financing:</w:t>
      </w:r>
      <w:r w:rsidRPr="00141675">
        <w:rPr>
          <w:rFonts w:ascii="Calibri" w:eastAsia="宋体" w:hAnsi="Calibri" w:cs="Calibri"/>
          <w:color w:val="000000"/>
          <w:kern w:val="0"/>
          <w:sz w:val="20"/>
          <w:szCs w:val="20"/>
        </w:rPr>
        <w:t>   We offer certain of our customers the option to acquire licenses, cloud services, hardware and other services offerings through separate long-term payment contracts. We generally sell these contracts that we have financed for our customers on a non-recourse basis to financial institutions within 90 days of the contracts’ dates of execution. We generally record the transfers of amounts due from customers to financial institutions as sales of financing receivables because we are considered to have surrendered control of these financing receivables. We financed $330 million and $247 million, respectively, or approximately 17% and 12%, respectively, of our cloud license and on-premise license revenues in the first half of fiscal 2020 and 2019, respectively.</w:t>
      </w:r>
    </w:p>
    <w:p w14:paraId="77A16DE9"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Contractual Obligations:</w:t>
      </w:r>
      <w:r w:rsidRPr="00141675">
        <w:rPr>
          <w:rFonts w:ascii="Calibri" w:eastAsia="宋体" w:hAnsi="Calibri" w:cs="Calibri"/>
          <w:color w:val="000000"/>
          <w:kern w:val="0"/>
          <w:sz w:val="20"/>
          <w:szCs w:val="20"/>
        </w:rPr>
        <w:t>   During the first half of fiscal 2020, there were no significant changes to our estimates of future payments under our fixed contractual obligations and commitments as presented in Part II, Item 7. Management’s Discussion and Analysis of Financial Condition and Results of Operations included in our Annual Report on Form 10-K for our fiscal year ended May 31, 2019.</w:t>
      </w:r>
    </w:p>
    <w:p w14:paraId="0702735E"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We believe that our current cash, cash equivalents and marketable securities and cash generated from operations will be sufficient to meet our working capital, capital expenditures and contractual obligation requirements. In addition, we believe that we could fund our future acquisitions, dividend payments and repurchases of common stock or debt with our internally available cash, cash equivalents </w:t>
      </w:r>
      <w:r w:rsidRPr="00141675">
        <w:rPr>
          <w:rFonts w:ascii="Calibri" w:eastAsia="宋体" w:hAnsi="Calibri" w:cs="Calibri"/>
          <w:color w:val="000000"/>
          <w:kern w:val="0"/>
          <w:sz w:val="20"/>
          <w:szCs w:val="20"/>
        </w:rPr>
        <w:lastRenderedPageBreak/>
        <w:t>and marketable securities, cash generated from operations, additional borrowings or from the issuance of additional securities.</w:t>
      </w:r>
    </w:p>
    <w:p w14:paraId="04108A09"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Off-Balance Sheet Arrangements:</w:t>
      </w:r>
      <w:r w:rsidRPr="00141675">
        <w:rPr>
          <w:rFonts w:ascii="Calibri" w:eastAsia="宋体" w:hAnsi="Calibri" w:cs="Calibri"/>
          <w:color w:val="000000"/>
          <w:kern w:val="0"/>
          <w:sz w:val="20"/>
          <w:szCs w:val="20"/>
        </w:rPr>
        <w:t>  We do not have any off-balance sheet arrangements that have or are reasonably likely to have a current or future effect on our financial condition, changes in financial condition, revenues or expenses, results of operations, liquidity, capital expenditures or capital resources that are material to investors.</w:t>
      </w:r>
    </w:p>
    <w:p w14:paraId="098C272E"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42</w:t>
      </w:r>
    </w:p>
    <w:p w14:paraId="60C7D41E"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3B15E43F">
          <v:rect id="_x0000_i1068" style="width:0;height:1.5pt" o:hralign="center" o:hrstd="t" o:hrnoshade="t" o:hr="t" fillcolor="black" stroked="f"/>
        </w:pict>
      </w:r>
    </w:p>
    <w:p w14:paraId="6D217CE1" w14:textId="77777777" w:rsidR="00141675" w:rsidRPr="00141675" w:rsidRDefault="00141675" w:rsidP="00141675">
      <w:pPr>
        <w:widowControl/>
        <w:jc w:val="left"/>
        <w:rPr>
          <w:rFonts w:ascii="Calibri" w:eastAsia="宋体" w:hAnsi="Calibri" w:cs="Calibri"/>
          <w:b/>
          <w:bCs/>
          <w:color w:val="000000"/>
          <w:kern w:val="0"/>
          <w:sz w:val="20"/>
          <w:szCs w:val="20"/>
        </w:rPr>
      </w:pPr>
      <w:hyperlink r:id="rId65" w:anchor="TABLE_CONTENTS" w:history="1">
        <w:r w:rsidRPr="00141675">
          <w:rPr>
            <w:rFonts w:ascii="Calibri" w:eastAsia="宋体" w:hAnsi="Calibri" w:cs="Calibri"/>
            <w:b/>
            <w:bCs/>
            <w:color w:val="0000FF"/>
            <w:kern w:val="0"/>
            <w:sz w:val="20"/>
            <w:szCs w:val="20"/>
            <w:u w:val="single"/>
          </w:rPr>
          <w:t>Table of Contents</w:t>
        </w:r>
      </w:hyperlink>
    </w:p>
    <w:p w14:paraId="38C0B8DA"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54805970"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Restricted Stock-Based Awards and Stock Options</w:t>
      </w:r>
    </w:p>
    <w:p w14:paraId="5AF3FA26"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stock-based compensation program is a key component of the compensation package we provide to attract and retain certain of our talented employees and align their interests with the interests of existing stockholders.</w:t>
      </w:r>
    </w:p>
    <w:p w14:paraId="5CD06330"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We recognize that restricted stock-based awards and stock options dilute existing stockholders and have sought to control the number of stock-based awards granted while providing competitive compensation packages. Consistent with these dual goals, our cumulative potential dilution since June 1, 2016 has been a weighted-average annualized rate of 1.5% per year. The potential dilution percentage is calculated as the average annualized new restricted stock-based awards and stock options granted and assumed, net of restricted stock-based awards and stock options forfeited by employees leaving the company, divided by the weighted-average outstanding shares during the calculation period. This maximum potential dilution will only result if all restricted stock-based awards vest and all stock options are exercised. Of the outstanding stock options at November 30, 2019, which generally have a ten-year exercise period, substantially all have exercise prices lower than the market price of our common stock on such date. In recent years, our stock repurchase program has more than offset the dilutive effect of our stock-based compensation program. However, we may modify the levels of our stock repurchases in the future depending on a number of factors, including the amount of cash we have available for acquisitions, to pay dividends, to repay or repurchase indebtedness or for other purposes. At November 30, 2019, the maximum potential dilution from all outstanding restricted stock-based awards and unexercised stock options, regardless of when granted and regardless of whether vested or unvested, was 9.5%.</w:t>
      </w:r>
    </w:p>
    <w:p w14:paraId="417A0B0B" w14:textId="77777777" w:rsidR="00141675" w:rsidRPr="00141675" w:rsidRDefault="00141675" w:rsidP="00141675">
      <w:pPr>
        <w:widowControl/>
        <w:spacing w:before="240"/>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Recent Accounting Pronouncements</w:t>
      </w:r>
    </w:p>
    <w:p w14:paraId="02068056"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For information with respect to recent accounting pronouncements, if any, and the impact of these pronouncements on our consolidated financial statements, if any, see Note 1 of Notes to Condensed Consolidated Financial Statements included elsewhere in this Quarterly Report.</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47BD40D7" w14:textId="77777777" w:rsidTr="00141675">
        <w:tc>
          <w:tcPr>
            <w:tcW w:w="1080" w:type="dxa"/>
            <w:noWrap/>
            <w:hideMark/>
          </w:tcPr>
          <w:p w14:paraId="4E7626D4"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Item 3.</w:t>
            </w:r>
          </w:p>
        </w:tc>
        <w:tc>
          <w:tcPr>
            <w:tcW w:w="0" w:type="auto"/>
            <w:hideMark/>
          </w:tcPr>
          <w:p w14:paraId="25BC66B7"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Quantitative and Qualitative Disclosures About Market Risk</w:t>
            </w:r>
          </w:p>
        </w:tc>
      </w:tr>
    </w:tbl>
    <w:p w14:paraId="426D4116"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 xml:space="preserve">There were no significant changes to our quantitative and qualitative disclosures about market risk during the first half of fiscal 2020. Please refer to Part II, Item 7A. Quantitative and Qualitative </w:t>
      </w:r>
      <w:r w:rsidRPr="00141675">
        <w:rPr>
          <w:rFonts w:ascii="Calibri" w:eastAsia="宋体" w:hAnsi="Calibri" w:cs="Calibri"/>
          <w:color w:val="000000"/>
          <w:kern w:val="0"/>
          <w:sz w:val="20"/>
          <w:szCs w:val="20"/>
        </w:rPr>
        <w:lastRenderedPageBreak/>
        <w:t>Disclosures about Market Risk included in our Annual Report on Form 10-K for our fiscal year ended May 31, 2019 for a more complete discussion of the market risks we encounter.</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06B867B5" w14:textId="77777777" w:rsidTr="00141675">
        <w:tc>
          <w:tcPr>
            <w:tcW w:w="1080" w:type="dxa"/>
            <w:noWrap/>
            <w:hideMark/>
          </w:tcPr>
          <w:p w14:paraId="7466BFAE"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Item 4.</w:t>
            </w:r>
          </w:p>
        </w:tc>
        <w:tc>
          <w:tcPr>
            <w:tcW w:w="0" w:type="auto"/>
            <w:hideMark/>
          </w:tcPr>
          <w:p w14:paraId="24D47C7C"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Controls and Procedures</w:t>
            </w:r>
          </w:p>
        </w:tc>
      </w:tr>
    </w:tbl>
    <w:p w14:paraId="6B6F493E"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Evaluation of Disclosure Controls and Procedures:</w:t>
      </w:r>
      <w:r w:rsidRPr="00141675">
        <w:rPr>
          <w:rFonts w:ascii="Calibri" w:eastAsia="宋体" w:hAnsi="Calibri" w:cs="Calibri"/>
          <w:color w:val="000000"/>
          <w:kern w:val="0"/>
          <w:sz w:val="20"/>
          <w:szCs w:val="20"/>
        </w:rPr>
        <w:t> Based on our management’s evaluation (with the participation of our Principal Executive and Financial Officer), as of the end of the period covered by this Quarterly Report, our Principal Executive and Financial Officer has concluded that our “disclosure controls and procedures” (as defined in Rules 13a-15(e) and 15d-15(e) under the Securities Exchange Act of 1934, as amended (the Exchange Act)) were effective to provide reasonable assurance that the information required to be disclosed by us in our reports filed or submitted under the Exchange Act is recorded, processed, summarized, and reported within the time periods specified in the SEC’s rules and forms and is accumulated and communicated to our management (including our Principal Executive and Financial Officer) as appropriate to allow timely decisions regarding required disclosure.</w:t>
      </w:r>
    </w:p>
    <w:p w14:paraId="2759BC19"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Changes in Internal Control over Financial Reporting:</w:t>
      </w:r>
      <w:r w:rsidRPr="00141675">
        <w:rPr>
          <w:rFonts w:ascii="Calibri" w:eastAsia="宋体" w:hAnsi="Calibri" w:cs="Calibri"/>
          <w:color w:val="000000"/>
          <w:kern w:val="0"/>
          <w:sz w:val="20"/>
          <w:szCs w:val="20"/>
        </w:rPr>
        <w:t> There were no changes in our internal control over financial reporting that occurred during our last fiscal quarter that have materially affected, or are reasonably likely to materially affect, our internal control over financial reporting.</w:t>
      </w:r>
    </w:p>
    <w:p w14:paraId="3891C634"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b/>
          <w:bCs/>
          <w:i/>
          <w:iCs/>
          <w:color w:val="000000"/>
          <w:kern w:val="0"/>
          <w:sz w:val="20"/>
          <w:szCs w:val="20"/>
        </w:rPr>
        <w:t>Inherent Limitations on Effectiveness of Controls:</w:t>
      </w:r>
      <w:r w:rsidRPr="00141675">
        <w:rPr>
          <w:rFonts w:ascii="Calibri" w:eastAsia="宋体" w:hAnsi="Calibri" w:cs="Calibri"/>
          <w:color w:val="000000"/>
          <w:kern w:val="0"/>
          <w:sz w:val="20"/>
          <w:szCs w:val="20"/>
        </w:rPr>
        <w:t> Our management, including our Principal Executive and Financial Officer, believes that our disclosure controls and procedures and internal control over financial reporting are designed to provide reasonable assurance of achieving their objectives and are effective at the reasonable assurance level. However, our management does not expect that our disclosure controls and procedures or our internal control over financial reporting will prevent all errors and all fraud. A control system, no matter how well-conceived and operated, can provide only reasonable, not absolute, assurance that the objectives of the control system are met. Further, the design of a control system must reflect the fact that there are resource constraints and the benefits of controls must be considered relative to their costs. Because of the inherent limitations in all</w:t>
      </w:r>
    </w:p>
    <w:p w14:paraId="4B6D786E"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43</w:t>
      </w:r>
    </w:p>
    <w:p w14:paraId="41B1EF00"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51E212F6">
          <v:rect id="_x0000_i1069" style="width:0;height:1.5pt" o:hralign="center" o:hrstd="t" o:hrnoshade="t" o:hr="t" fillcolor="black" stroked="f"/>
        </w:pict>
      </w:r>
    </w:p>
    <w:p w14:paraId="622AA113" w14:textId="77777777" w:rsidR="00141675" w:rsidRPr="00141675" w:rsidRDefault="00141675" w:rsidP="00141675">
      <w:pPr>
        <w:widowControl/>
        <w:jc w:val="left"/>
        <w:rPr>
          <w:rFonts w:ascii="Calibri" w:eastAsia="宋体" w:hAnsi="Calibri" w:cs="Calibri"/>
          <w:b/>
          <w:bCs/>
          <w:color w:val="000000"/>
          <w:kern w:val="0"/>
          <w:sz w:val="20"/>
          <w:szCs w:val="20"/>
        </w:rPr>
      </w:pPr>
      <w:hyperlink r:id="rId66" w:anchor="TABLE_CONTENTS" w:history="1">
        <w:r w:rsidRPr="00141675">
          <w:rPr>
            <w:rFonts w:ascii="Calibri" w:eastAsia="宋体" w:hAnsi="Calibri" w:cs="Calibri"/>
            <w:b/>
            <w:bCs/>
            <w:color w:val="0000FF"/>
            <w:kern w:val="0"/>
            <w:sz w:val="20"/>
            <w:szCs w:val="20"/>
            <w:u w:val="single"/>
          </w:rPr>
          <w:t>Table of Contents</w:t>
        </w:r>
      </w:hyperlink>
    </w:p>
    <w:p w14:paraId="18723A16"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712B0BD8" w14:textId="77777777" w:rsidR="00141675" w:rsidRPr="00141675" w:rsidRDefault="00141675" w:rsidP="00141675">
      <w:pPr>
        <w:widowControl/>
        <w:spacing w:before="120"/>
        <w:rPr>
          <w:rFonts w:ascii="Calibri" w:eastAsia="宋体" w:hAnsi="Calibri" w:cs="Calibri"/>
          <w:b/>
          <w:bCs/>
          <w:i/>
          <w:iCs/>
          <w:color w:val="000000"/>
          <w:kern w:val="0"/>
          <w:sz w:val="20"/>
          <w:szCs w:val="20"/>
        </w:rPr>
      </w:pPr>
      <w:r w:rsidRPr="00141675">
        <w:rPr>
          <w:rFonts w:ascii="Calibri" w:eastAsia="宋体" w:hAnsi="Calibri" w:cs="Calibri"/>
          <w:color w:val="000000"/>
          <w:kern w:val="0"/>
          <w:sz w:val="20"/>
          <w:szCs w:val="20"/>
        </w:rPr>
        <w:t>control systems, no evaluation of controls can provide absolute assurance that all control issues and instances of fraud, if any, have been detected. These inherent limitations include the realities that judgments in decision making can be faulty and that breakdowns can occur because of a simple error or mistake. Additionally, controls can be circumvented by the individual acts of some persons, by collusion of two or more people or by management override of the controls. The design of any system of controls also is based in part upon certain assumptions about the likelihood of future events and there can be no assurance that any design will succeed in achieving its stated goals under all potential future conditions; over time, controls may become inadequate because of changes in conditions, or the degree of compliance with policies or procedures may deteriorate. Because of the inherent limitations in a cost-effective control system, misstatements due to error or fraud may occur and not be detected.</w:t>
      </w:r>
    </w:p>
    <w:p w14:paraId="1B7263F8"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44</w:t>
      </w:r>
    </w:p>
    <w:p w14:paraId="0E71D65F"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68FE4B8B">
          <v:rect id="_x0000_i1070" style="width:0;height:1.5pt" o:hralign="center" o:hrstd="t" o:hrnoshade="t" o:hr="t" fillcolor="black" stroked="f"/>
        </w:pict>
      </w:r>
    </w:p>
    <w:p w14:paraId="4039B39B" w14:textId="77777777" w:rsidR="00141675" w:rsidRPr="00141675" w:rsidRDefault="00141675" w:rsidP="00141675">
      <w:pPr>
        <w:widowControl/>
        <w:jc w:val="left"/>
        <w:rPr>
          <w:rFonts w:ascii="Calibri" w:eastAsia="宋体" w:hAnsi="Calibri" w:cs="Calibri"/>
          <w:b/>
          <w:bCs/>
          <w:color w:val="000000"/>
          <w:kern w:val="0"/>
          <w:sz w:val="20"/>
          <w:szCs w:val="20"/>
        </w:rPr>
      </w:pPr>
      <w:hyperlink r:id="rId67" w:anchor="TABLE_CONTENTS" w:history="1">
        <w:r w:rsidRPr="00141675">
          <w:rPr>
            <w:rFonts w:ascii="Calibri" w:eastAsia="宋体" w:hAnsi="Calibri" w:cs="Calibri"/>
            <w:b/>
            <w:bCs/>
            <w:color w:val="0000FF"/>
            <w:kern w:val="0"/>
            <w:sz w:val="20"/>
            <w:szCs w:val="20"/>
            <w:u w:val="single"/>
          </w:rPr>
          <w:t>Table of Contents</w:t>
        </w:r>
      </w:hyperlink>
    </w:p>
    <w:p w14:paraId="00AC2AE3"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lastRenderedPageBreak/>
        <w:t> </w:t>
      </w:r>
    </w:p>
    <w:p w14:paraId="67F5F751" w14:textId="77777777" w:rsidR="00141675" w:rsidRPr="00141675" w:rsidRDefault="00141675" w:rsidP="00141675">
      <w:pPr>
        <w:widowControl/>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PART II. OTHER INFORMATION</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652B3A6C" w14:textId="77777777" w:rsidTr="00141675">
        <w:tc>
          <w:tcPr>
            <w:tcW w:w="1080" w:type="dxa"/>
            <w:noWrap/>
            <w:hideMark/>
          </w:tcPr>
          <w:p w14:paraId="621DC8C0"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Item 1.</w:t>
            </w:r>
          </w:p>
        </w:tc>
        <w:tc>
          <w:tcPr>
            <w:tcW w:w="0" w:type="auto"/>
            <w:hideMark/>
          </w:tcPr>
          <w:p w14:paraId="2BAB4964" w14:textId="77777777" w:rsidR="00141675" w:rsidRPr="00141675" w:rsidRDefault="00141675" w:rsidP="00141675">
            <w:pPr>
              <w:widowControl/>
              <w:spacing w:before="120"/>
              <w:rPr>
                <w:rFonts w:ascii="Calibri" w:eastAsia="宋体" w:hAnsi="Calibri" w:cs="Calibri"/>
                <w:b/>
                <w:bCs/>
                <w:kern w:val="0"/>
                <w:sz w:val="20"/>
                <w:szCs w:val="20"/>
              </w:rPr>
            </w:pPr>
            <w:r w:rsidRPr="00141675">
              <w:rPr>
                <w:rFonts w:ascii="Calibri" w:eastAsia="宋体" w:hAnsi="Calibri" w:cs="Calibri"/>
                <w:b/>
                <w:bCs/>
                <w:kern w:val="0"/>
                <w:sz w:val="20"/>
                <w:szCs w:val="20"/>
              </w:rPr>
              <w:t>  Legal Proceedings</w:t>
            </w:r>
          </w:p>
        </w:tc>
      </w:tr>
    </w:tbl>
    <w:p w14:paraId="466D2ACF"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The material set forth in Note 9 (pertaining to information regarding contingencies related to our income taxes) and Note 12 (pertaining to information regarding legal contingencies) of Notes to Condensed Consolidated Financial Statements in Part I, Item 1 of this Quarterly Report on Form 10-Q is incorporated herein by reference.</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5CB8658D" w14:textId="77777777" w:rsidTr="00141675">
        <w:tc>
          <w:tcPr>
            <w:tcW w:w="1080" w:type="dxa"/>
            <w:noWrap/>
            <w:hideMark/>
          </w:tcPr>
          <w:p w14:paraId="65101E6A"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Item 1A.</w:t>
            </w:r>
          </w:p>
        </w:tc>
        <w:tc>
          <w:tcPr>
            <w:tcW w:w="0" w:type="auto"/>
            <w:hideMark/>
          </w:tcPr>
          <w:p w14:paraId="366BB2D5"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  Risk Factors</w:t>
            </w:r>
          </w:p>
        </w:tc>
      </w:tr>
    </w:tbl>
    <w:p w14:paraId="291CB9B3"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In addition to the other information set forth in this Quarterly Report, you should carefully consider the factors discussed in Part I, Item 1A. “Risk Factors” in our Annual Report on Form 10-K for our fiscal year ended May 31, 2019. The risks discussed in our Annual Report on Form 10-K could materially affect our business, financial condition and future results. The risks described in our Annual Report on Form 10-K are not the only risks facing us. Additional risks and uncertainties not currently known to us or that we currently deem to be insignificant also may materially and adversely affect our business, financial condition or operating results in the future.</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739A1CD0" w14:textId="77777777" w:rsidTr="00141675">
        <w:tc>
          <w:tcPr>
            <w:tcW w:w="1080" w:type="dxa"/>
            <w:noWrap/>
            <w:hideMark/>
          </w:tcPr>
          <w:p w14:paraId="4E0CDBF2"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Item 2.</w:t>
            </w:r>
          </w:p>
        </w:tc>
        <w:tc>
          <w:tcPr>
            <w:tcW w:w="0" w:type="auto"/>
            <w:hideMark/>
          </w:tcPr>
          <w:p w14:paraId="5E5EBD89" w14:textId="77777777" w:rsidR="00141675" w:rsidRPr="00141675" w:rsidRDefault="00141675" w:rsidP="00141675">
            <w:pPr>
              <w:widowControl/>
              <w:spacing w:before="240"/>
              <w:rPr>
                <w:rFonts w:ascii="Calibri" w:eastAsia="宋体" w:hAnsi="Calibri" w:cs="Calibri"/>
                <w:b/>
                <w:bCs/>
                <w:kern w:val="0"/>
                <w:sz w:val="20"/>
                <w:szCs w:val="20"/>
              </w:rPr>
            </w:pPr>
            <w:r w:rsidRPr="00141675">
              <w:rPr>
                <w:rFonts w:ascii="Calibri" w:eastAsia="宋体" w:hAnsi="Calibri" w:cs="Calibri"/>
                <w:b/>
                <w:bCs/>
                <w:kern w:val="0"/>
                <w:sz w:val="20"/>
                <w:szCs w:val="20"/>
              </w:rPr>
              <w:t>  Unregistered Sales of Equity Securities and Use of Proceeds</w:t>
            </w:r>
          </w:p>
        </w:tc>
      </w:tr>
    </w:tbl>
    <w:p w14:paraId="7A5054EA"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Board of Directors has approved a program for us to repurchase shares of our common stock. On September 11, 2019, we announced that our Board of Directors approved an expansion of our stock repurchase program by an additional $15.0 billion. As of November 30, 2019, approximately $10.8 billion remained available for stock repurchases pursuant to our stock repurchase program.</w:t>
      </w:r>
    </w:p>
    <w:p w14:paraId="76D690DC"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Our stock repurchase authorization does not have an expiration date and the pace of our repurchase activity will depend on factors such as our working capital needs, our cash requirements for acquisitions and dividend payments, our debt repayment obligations or repurchases of our debt, our stock price, and economic and market conditions. Our stock repurchases may be effected from time to time through open market purchases or pursuant to a Rule 10b5-1 plan. Our stock repurchase program may be accelerated, suspended, delayed or discontinued at any time.</w:t>
      </w:r>
    </w:p>
    <w:p w14:paraId="208051DE" w14:textId="77777777" w:rsidR="00141675" w:rsidRPr="00141675" w:rsidRDefault="00141675" w:rsidP="00141675">
      <w:pPr>
        <w:widowControl/>
        <w:rPr>
          <w:rFonts w:ascii="Times New Roman" w:eastAsia="宋体" w:hAnsi="Times New Roman" w:cs="Times New Roman"/>
          <w:color w:val="000000"/>
          <w:kern w:val="0"/>
          <w:sz w:val="12"/>
          <w:szCs w:val="12"/>
        </w:rPr>
      </w:pPr>
      <w:r w:rsidRPr="00141675">
        <w:rPr>
          <w:rFonts w:ascii="Times New Roman" w:eastAsia="宋体" w:hAnsi="Times New Roman" w:cs="Times New Roman"/>
          <w:color w:val="000000"/>
          <w:kern w:val="0"/>
          <w:sz w:val="12"/>
          <w:szCs w:val="12"/>
        </w:rPr>
        <w:t> </w:t>
      </w:r>
    </w:p>
    <w:p w14:paraId="75D1748E" w14:textId="77777777" w:rsidR="00141675" w:rsidRPr="00141675" w:rsidRDefault="00141675" w:rsidP="00141675">
      <w:pPr>
        <w:widowControl/>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The following table summarizes the stock repurchase activity for the three months ended November 30, 2019 and the approximate dollar value of shares that may yet be purchased pursuant to our stock repurchase program:</w:t>
      </w:r>
    </w:p>
    <w:p w14:paraId="7F7173A7" w14:textId="77777777" w:rsidR="00141675" w:rsidRPr="00141675" w:rsidRDefault="00141675" w:rsidP="00141675">
      <w:pPr>
        <w:widowControl/>
        <w:jc w:val="left"/>
        <w:rPr>
          <w:rFonts w:ascii="Times New Roman" w:eastAsia="宋体" w:hAnsi="Times New Roman" w:cs="Times New Roman"/>
          <w:color w:val="000000"/>
          <w:kern w:val="0"/>
          <w:sz w:val="16"/>
          <w:szCs w:val="16"/>
        </w:rPr>
      </w:pPr>
      <w:r w:rsidRPr="00141675">
        <w:rPr>
          <w:rFonts w:ascii="Times New Roman" w:eastAsia="宋体" w:hAnsi="Times New Roman" w:cs="Times New Roman"/>
          <w:color w:val="000000"/>
          <w:kern w:val="0"/>
          <w:sz w:val="16"/>
          <w:szCs w:val="16"/>
        </w:rPr>
        <w:t> </w:t>
      </w:r>
    </w:p>
    <w:tbl>
      <w:tblPr>
        <w:tblW w:w="20614" w:type="dxa"/>
        <w:tblCellMar>
          <w:left w:w="0" w:type="dxa"/>
          <w:right w:w="0" w:type="dxa"/>
        </w:tblCellMar>
        <w:tblLook w:val="04A0" w:firstRow="1" w:lastRow="0" w:firstColumn="1" w:lastColumn="0" w:noHBand="0" w:noVBand="1"/>
      </w:tblPr>
      <w:tblGrid>
        <w:gridCol w:w="7101"/>
        <w:gridCol w:w="310"/>
        <w:gridCol w:w="200"/>
        <w:gridCol w:w="2359"/>
        <w:gridCol w:w="200"/>
        <w:gridCol w:w="309"/>
        <w:gridCol w:w="200"/>
        <w:gridCol w:w="2359"/>
        <w:gridCol w:w="200"/>
        <w:gridCol w:w="309"/>
        <w:gridCol w:w="200"/>
        <w:gridCol w:w="3028"/>
        <w:gridCol w:w="200"/>
        <w:gridCol w:w="309"/>
        <w:gridCol w:w="200"/>
        <w:gridCol w:w="2929"/>
        <w:gridCol w:w="201"/>
      </w:tblGrid>
      <w:tr w:rsidR="00141675" w:rsidRPr="00141675" w14:paraId="2AEE6933" w14:textId="77777777" w:rsidTr="00141675">
        <w:tc>
          <w:tcPr>
            <w:tcW w:w="7055" w:type="dxa"/>
            <w:tcBorders>
              <w:bottom w:val="single" w:sz="6" w:space="0" w:color="000000"/>
            </w:tcBorders>
            <w:shd w:val="clear" w:color="auto" w:fill="FFFFFF"/>
            <w:tcMar>
              <w:top w:w="15" w:type="dxa"/>
              <w:left w:w="0" w:type="dxa"/>
              <w:bottom w:w="0" w:type="dxa"/>
              <w:right w:w="15" w:type="dxa"/>
            </w:tcMar>
            <w:vAlign w:val="bottom"/>
            <w:hideMark/>
          </w:tcPr>
          <w:p w14:paraId="3E6EC87A"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(in millions, except per share amounts)</w:t>
            </w:r>
          </w:p>
        </w:tc>
        <w:tc>
          <w:tcPr>
            <w:tcW w:w="307" w:type="dxa"/>
            <w:shd w:val="clear" w:color="auto" w:fill="FFFFFF"/>
            <w:tcMar>
              <w:top w:w="15" w:type="dxa"/>
              <w:left w:w="0" w:type="dxa"/>
              <w:bottom w:w="0" w:type="dxa"/>
              <w:right w:w="15" w:type="dxa"/>
            </w:tcMar>
            <w:vAlign w:val="bottom"/>
            <w:hideMark/>
          </w:tcPr>
          <w:p w14:paraId="3B0DBF12"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2535" w:type="dxa"/>
            <w:gridSpan w:val="2"/>
            <w:tcBorders>
              <w:bottom w:val="single" w:sz="6" w:space="0" w:color="000000"/>
            </w:tcBorders>
            <w:shd w:val="clear" w:color="auto" w:fill="FFFFFF"/>
            <w:tcMar>
              <w:top w:w="15" w:type="dxa"/>
              <w:left w:w="0" w:type="dxa"/>
              <w:bottom w:w="0" w:type="dxa"/>
              <w:right w:w="15" w:type="dxa"/>
            </w:tcMar>
            <w:vAlign w:val="bottom"/>
            <w:hideMark/>
          </w:tcPr>
          <w:p w14:paraId="1967EBB6"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Total Number of Shares Purchased</w:t>
            </w:r>
          </w:p>
        </w:tc>
        <w:tc>
          <w:tcPr>
            <w:tcW w:w="191" w:type="dxa"/>
            <w:shd w:val="clear" w:color="auto" w:fill="FFFFFF"/>
            <w:noWrap/>
            <w:tcMar>
              <w:top w:w="15" w:type="dxa"/>
              <w:left w:w="0" w:type="dxa"/>
              <w:bottom w:w="0" w:type="dxa"/>
              <w:right w:w="15" w:type="dxa"/>
            </w:tcMar>
            <w:vAlign w:val="bottom"/>
            <w:hideMark/>
          </w:tcPr>
          <w:p w14:paraId="42CA543F"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07" w:type="dxa"/>
            <w:shd w:val="clear" w:color="auto" w:fill="FFFFFF"/>
            <w:tcMar>
              <w:top w:w="15" w:type="dxa"/>
              <w:left w:w="0" w:type="dxa"/>
              <w:bottom w:w="0" w:type="dxa"/>
              <w:right w:w="15" w:type="dxa"/>
            </w:tcMar>
            <w:vAlign w:val="bottom"/>
            <w:hideMark/>
          </w:tcPr>
          <w:p w14:paraId="670ED864"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2535" w:type="dxa"/>
            <w:gridSpan w:val="2"/>
            <w:tcBorders>
              <w:bottom w:val="single" w:sz="6" w:space="0" w:color="000000"/>
            </w:tcBorders>
            <w:shd w:val="clear" w:color="auto" w:fill="FFFFFF"/>
            <w:tcMar>
              <w:top w:w="15" w:type="dxa"/>
              <w:left w:w="0" w:type="dxa"/>
              <w:bottom w:w="0" w:type="dxa"/>
              <w:right w:w="15" w:type="dxa"/>
            </w:tcMar>
            <w:vAlign w:val="bottom"/>
            <w:hideMark/>
          </w:tcPr>
          <w:p w14:paraId="3F90568F"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Average Price Paid per</w:t>
            </w:r>
          </w:p>
          <w:p w14:paraId="1F558AD0"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Share</w:t>
            </w:r>
          </w:p>
        </w:tc>
        <w:tc>
          <w:tcPr>
            <w:tcW w:w="191" w:type="dxa"/>
            <w:shd w:val="clear" w:color="auto" w:fill="FFFFFF"/>
            <w:noWrap/>
            <w:tcMar>
              <w:top w:w="15" w:type="dxa"/>
              <w:left w:w="0" w:type="dxa"/>
              <w:bottom w:w="0" w:type="dxa"/>
              <w:right w:w="15" w:type="dxa"/>
            </w:tcMar>
            <w:vAlign w:val="bottom"/>
            <w:hideMark/>
          </w:tcPr>
          <w:p w14:paraId="2FBAFF64"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07" w:type="dxa"/>
            <w:shd w:val="clear" w:color="auto" w:fill="FFFFFF"/>
            <w:tcMar>
              <w:top w:w="15" w:type="dxa"/>
              <w:left w:w="0" w:type="dxa"/>
              <w:bottom w:w="0" w:type="dxa"/>
              <w:right w:w="15" w:type="dxa"/>
            </w:tcMar>
            <w:vAlign w:val="bottom"/>
            <w:hideMark/>
          </w:tcPr>
          <w:p w14:paraId="33E47127"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3200" w:type="dxa"/>
            <w:gridSpan w:val="2"/>
            <w:tcBorders>
              <w:bottom w:val="single" w:sz="6" w:space="0" w:color="000000"/>
            </w:tcBorders>
            <w:shd w:val="clear" w:color="auto" w:fill="FFFFFF"/>
            <w:tcMar>
              <w:top w:w="15" w:type="dxa"/>
              <w:left w:w="0" w:type="dxa"/>
              <w:bottom w:w="0" w:type="dxa"/>
              <w:right w:w="15" w:type="dxa"/>
            </w:tcMar>
            <w:vAlign w:val="bottom"/>
            <w:hideMark/>
          </w:tcPr>
          <w:p w14:paraId="5DD5A621"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Total Number of</w:t>
            </w:r>
          </w:p>
          <w:p w14:paraId="68532C55"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Shares Purchased as</w:t>
            </w:r>
          </w:p>
          <w:p w14:paraId="59D8ABBE"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Part of Publicly</w:t>
            </w:r>
          </w:p>
          <w:p w14:paraId="68418352"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Announced Program</w:t>
            </w:r>
          </w:p>
        </w:tc>
        <w:tc>
          <w:tcPr>
            <w:tcW w:w="191" w:type="dxa"/>
            <w:shd w:val="clear" w:color="auto" w:fill="FFFFFF"/>
            <w:noWrap/>
            <w:tcMar>
              <w:top w:w="15" w:type="dxa"/>
              <w:left w:w="0" w:type="dxa"/>
              <w:bottom w:w="0" w:type="dxa"/>
              <w:right w:w="15" w:type="dxa"/>
            </w:tcMar>
            <w:vAlign w:val="bottom"/>
            <w:hideMark/>
          </w:tcPr>
          <w:p w14:paraId="3457BED3"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c>
          <w:tcPr>
            <w:tcW w:w="307" w:type="dxa"/>
            <w:shd w:val="clear" w:color="auto" w:fill="FFFFFF"/>
            <w:tcMar>
              <w:top w:w="15" w:type="dxa"/>
              <w:left w:w="0" w:type="dxa"/>
              <w:bottom w:w="0" w:type="dxa"/>
              <w:right w:w="15" w:type="dxa"/>
            </w:tcMar>
            <w:vAlign w:val="bottom"/>
            <w:hideMark/>
          </w:tcPr>
          <w:p w14:paraId="25407CEB" w14:textId="77777777" w:rsidR="00141675" w:rsidRPr="00141675" w:rsidRDefault="00141675" w:rsidP="00141675">
            <w:pPr>
              <w:widowControl/>
              <w:jc w:val="left"/>
              <w:rPr>
                <w:rFonts w:ascii="Calibri" w:eastAsia="宋体" w:hAnsi="Calibri" w:cs="Calibri"/>
                <w:b/>
                <w:bCs/>
                <w:color w:val="000000"/>
                <w:kern w:val="0"/>
                <w:sz w:val="26"/>
                <w:szCs w:val="26"/>
              </w:rPr>
            </w:pPr>
            <w:r w:rsidRPr="00141675">
              <w:rPr>
                <w:rFonts w:ascii="Calibri" w:eastAsia="宋体" w:hAnsi="Calibri" w:cs="Calibri"/>
                <w:b/>
                <w:bCs/>
                <w:color w:val="000000"/>
                <w:kern w:val="0"/>
                <w:sz w:val="26"/>
                <w:szCs w:val="26"/>
              </w:rPr>
              <w:t> </w:t>
            </w:r>
          </w:p>
        </w:tc>
        <w:tc>
          <w:tcPr>
            <w:tcW w:w="3101" w:type="dxa"/>
            <w:gridSpan w:val="2"/>
            <w:tcBorders>
              <w:bottom w:val="single" w:sz="6" w:space="0" w:color="000000"/>
            </w:tcBorders>
            <w:shd w:val="clear" w:color="auto" w:fill="FFFFFF"/>
            <w:tcMar>
              <w:top w:w="15" w:type="dxa"/>
              <w:left w:w="0" w:type="dxa"/>
              <w:bottom w:w="0" w:type="dxa"/>
              <w:right w:w="15" w:type="dxa"/>
            </w:tcMar>
            <w:vAlign w:val="bottom"/>
            <w:hideMark/>
          </w:tcPr>
          <w:p w14:paraId="36051C2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Approximate Dollar</w:t>
            </w:r>
          </w:p>
          <w:p w14:paraId="7D163419"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Value of Shares that</w:t>
            </w:r>
          </w:p>
          <w:p w14:paraId="57D98FCD"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May Yet Be Purchased</w:t>
            </w:r>
          </w:p>
          <w:p w14:paraId="506E9AE4" w14:textId="77777777" w:rsidR="00141675" w:rsidRPr="00141675" w:rsidRDefault="00141675" w:rsidP="00141675">
            <w:pPr>
              <w:widowControl/>
              <w:jc w:val="center"/>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Under the Program</w:t>
            </w:r>
          </w:p>
        </w:tc>
        <w:tc>
          <w:tcPr>
            <w:tcW w:w="192" w:type="dxa"/>
            <w:shd w:val="clear" w:color="auto" w:fill="FFFFFF"/>
            <w:noWrap/>
            <w:tcMar>
              <w:top w:w="15" w:type="dxa"/>
              <w:left w:w="0" w:type="dxa"/>
              <w:bottom w:w="0" w:type="dxa"/>
              <w:right w:w="15" w:type="dxa"/>
            </w:tcMar>
            <w:vAlign w:val="bottom"/>
            <w:hideMark/>
          </w:tcPr>
          <w:p w14:paraId="3E38FA7D" w14:textId="77777777" w:rsidR="00141675" w:rsidRPr="00141675" w:rsidRDefault="00141675" w:rsidP="00141675">
            <w:pPr>
              <w:widowControl/>
              <w:jc w:val="left"/>
              <w:rPr>
                <w:rFonts w:ascii="Calibri" w:eastAsia="宋体" w:hAnsi="Calibri" w:cs="Calibri"/>
                <w:b/>
                <w:bCs/>
                <w:color w:val="000000"/>
                <w:kern w:val="0"/>
                <w:sz w:val="15"/>
                <w:szCs w:val="15"/>
              </w:rPr>
            </w:pPr>
            <w:r w:rsidRPr="00141675">
              <w:rPr>
                <w:rFonts w:ascii="Calibri" w:eastAsia="宋体" w:hAnsi="Calibri" w:cs="Calibri"/>
                <w:b/>
                <w:bCs/>
                <w:color w:val="000000"/>
                <w:kern w:val="0"/>
                <w:sz w:val="15"/>
                <w:szCs w:val="15"/>
              </w:rPr>
              <w:t> </w:t>
            </w:r>
          </w:p>
        </w:tc>
      </w:tr>
      <w:tr w:rsidR="00141675" w:rsidRPr="00141675" w14:paraId="57BAD9ED" w14:textId="77777777" w:rsidTr="00141675">
        <w:tc>
          <w:tcPr>
            <w:tcW w:w="7055" w:type="dxa"/>
            <w:tcBorders>
              <w:top w:val="single" w:sz="6" w:space="0" w:color="000000"/>
            </w:tcBorders>
            <w:shd w:val="clear" w:color="auto" w:fill="CFF0FC"/>
            <w:tcMar>
              <w:top w:w="15" w:type="dxa"/>
              <w:left w:w="0" w:type="dxa"/>
              <w:bottom w:w="0" w:type="dxa"/>
              <w:right w:w="15" w:type="dxa"/>
            </w:tcMar>
            <w:hideMark/>
          </w:tcPr>
          <w:p w14:paraId="1746909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September 1, 2019—September 30, 2019</w:t>
            </w:r>
          </w:p>
        </w:tc>
        <w:tc>
          <w:tcPr>
            <w:tcW w:w="307" w:type="dxa"/>
            <w:shd w:val="clear" w:color="auto" w:fill="CFF0FC"/>
            <w:tcMar>
              <w:top w:w="15" w:type="dxa"/>
              <w:left w:w="0" w:type="dxa"/>
              <w:bottom w:w="0" w:type="dxa"/>
              <w:right w:w="15" w:type="dxa"/>
            </w:tcMar>
            <w:vAlign w:val="bottom"/>
            <w:hideMark/>
          </w:tcPr>
          <w:p w14:paraId="09249F4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5CFF651F"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329" w:type="dxa"/>
            <w:tcBorders>
              <w:top w:val="single" w:sz="6" w:space="0" w:color="000000"/>
            </w:tcBorders>
            <w:shd w:val="clear" w:color="auto" w:fill="CFF0FC"/>
            <w:noWrap/>
            <w:tcMar>
              <w:top w:w="15" w:type="dxa"/>
              <w:left w:w="0" w:type="dxa"/>
              <w:bottom w:w="0" w:type="dxa"/>
              <w:right w:w="15" w:type="dxa"/>
            </w:tcMar>
            <w:vAlign w:val="bottom"/>
            <w:hideMark/>
          </w:tcPr>
          <w:p w14:paraId="4CD7398B"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38.5</w:t>
            </w:r>
          </w:p>
        </w:tc>
        <w:tc>
          <w:tcPr>
            <w:tcW w:w="191" w:type="dxa"/>
            <w:shd w:val="clear" w:color="auto" w:fill="CFF0FC"/>
            <w:noWrap/>
            <w:tcMar>
              <w:top w:w="15" w:type="dxa"/>
              <w:left w:w="0" w:type="dxa"/>
              <w:bottom w:w="0" w:type="dxa"/>
              <w:right w:w="15" w:type="dxa"/>
            </w:tcMar>
            <w:vAlign w:val="bottom"/>
            <w:hideMark/>
          </w:tcPr>
          <w:p w14:paraId="77C756D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CFF0FC"/>
            <w:tcMar>
              <w:top w:w="15" w:type="dxa"/>
              <w:left w:w="0" w:type="dxa"/>
              <w:bottom w:w="0" w:type="dxa"/>
              <w:right w:w="15" w:type="dxa"/>
            </w:tcMar>
            <w:vAlign w:val="bottom"/>
            <w:hideMark/>
          </w:tcPr>
          <w:p w14:paraId="355AA18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70F2F5B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329" w:type="dxa"/>
            <w:tcBorders>
              <w:top w:val="single" w:sz="6" w:space="0" w:color="000000"/>
            </w:tcBorders>
            <w:shd w:val="clear" w:color="auto" w:fill="CFF0FC"/>
            <w:noWrap/>
            <w:tcMar>
              <w:top w:w="15" w:type="dxa"/>
              <w:left w:w="0" w:type="dxa"/>
              <w:bottom w:w="0" w:type="dxa"/>
              <w:right w:w="15" w:type="dxa"/>
            </w:tcMar>
            <w:vAlign w:val="bottom"/>
            <w:hideMark/>
          </w:tcPr>
          <w:p w14:paraId="33C9EA4A"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53.89</w:t>
            </w:r>
          </w:p>
        </w:tc>
        <w:tc>
          <w:tcPr>
            <w:tcW w:w="191" w:type="dxa"/>
            <w:shd w:val="clear" w:color="auto" w:fill="CFF0FC"/>
            <w:noWrap/>
            <w:tcMar>
              <w:top w:w="15" w:type="dxa"/>
              <w:left w:w="0" w:type="dxa"/>
              <w:bottom w:w="0" w:type="dxa"/>
              <w:right w:w="15" w:type="dxa"/>
            </w:tcMar>
            <w:vAlign w:val="bottom"/>
            <w:hideMark/>
          </w:tcPr>
          <w:p w14:paraId="642DED5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CFF0FC"/>
            <w:tcMar>
              <w:top w:w="15" w:type="dxa"/>
              <w:left w:w="0" w:type="dxa"/>
              <w:bottom w:w="0" w:type="dxa"/>
              <w:right w:w="15" w:type="dxa"/>
            </w:tcMar>
            <w:vAlign w:val="bottom"/>
            <w:hideMark/>
          </w:tcPr>
          <w:p w14:paraId="50F67E3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1B53ED0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994" w:type="dxa"/>
            <w:tcBorders>
              <w:top w:val="single" w:sz="6" w:space="0" w:color="000000"/>
            </w:tcBorders>
            <w:shd w:val="clear" w:color="auto" w:fill="CFF0FC"/>
            <w:noWrap/>
            <w:tcMar>
              <w:top w:w="15" w:type="dxa"/>
              <w:left w:w="0" w:type="dxa"/>
              <w:bottom w:w="0" w:type="dxa"/>
              <w:right w:w="15" w:type="dxa"/>
            </w:tcMar>
            <w:vAlign w:val="bottom"/>
            <w:hideMark/>
          </w:tcPr>
          <w:p w14:paraId="7DB7F29C"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38.5</w:t>
            </w:r>
          </w:p>
        </w:tc>
        <w:tc>
          <w:tcPr>
            <w:tcW w:w="191" w:type="dxa"/>
            <w:shd w:val="clear" w:color="auto" w:fill="CFF0FC"/>
            <w:noWrap/>
            <w:tcMar>
              <w:top w:w="15" w:type="dxa"/>
              <w:left w:w="0" w:type="dxa"/>
              <w:bottom w:w="0" w:type="dxa"/>
              <w:right w:w="15" w:type="dxa"/>
            </w:tcMar>
            <w:vAlign w:val="bottom"/>
            <w:hideMark/>
          </w:tcPr>
          <w:p w14:paraId="14E3542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CFF0FC"/>
            <w:tcMar>
              <w:top w:w="15" w:type="dxa"/>
              <w:left w:w="0" w:type="dxa"/>
              <w:bottom w:w="0" w:type="dxa"/>
              <w:right w:w="15" w:type="dxa"/>
            </w:tcMar>
            <w:vAlign w:val="bottom"/>
            <w:hideMark/>
          </w:tcPr>
          <w:p w14:paraId="7020B515"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tcBorders>
            <w:shd w:val="clear" w:color="auto" w:fill="CFF0FC"/>
            <w:noWrap/>
            <w:tcMar>
              <w:top w:w="15" w:type="dxa"/>
              <w:left w:w="0" w:type="dxa"/>
              <w:bottom w:w="0" w:type="dxa"/>
              <w:right w:w="15" w:type="dxa"/>
            </w:tcMar>
            <w:vAlign w:val="bottom"/>
            <w:hideMark/>
          </w:tcPr>
          <w:p w14:paraId="31CFE110"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94" w:type="dxa"/>
            <w:tcBorders>
              <w:top w:val="single" w:sz="6" w:space="0" w:color="000000"/>
            </w:tcBorders>
            <w:shd w:val="clear" w:color="auto" w:fill="CFF0FC"/>
            <w:noWrap/>
            <w:tcMar>
              <w:top w:w="15" w:type="dxa"/>
              <w:left w:w="0" w:type="dxa"/>
              <w:bottom w:w="0" w:type="dxa"/>
              <w:right w:w="15" w:type="dxa"/>
            </w:tcMar>
            <w:vAlign w:val="bottom"/>
            <w:hideMark/>
          </w:tcPr>
          <w:p w14:paraId="0EF9F52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13,772.1</w:t>
            </w:r>
          </w:p>
        </w:tc>
        <w:tc>
          <w:tcPr>
            <w:tcW w:w="192" w:type="dxa"/>
            <w:shd w:val="clear" w:color="auto" w:fill="CFF0FC"/>
            <w:noWrap/>
            <w:tcMar>
              <w:top w:w="15" w:type="dxa"/>
              <w:left w:w="0" w:type="dxa"/>
              <w:bottom w:w="0" w:type="dxa"/>
              <w:right w:w="15" w:type="dxa"/>
            </w:tcMar>
            <w:vAlign w:val="bottom"/>
            <w:hideMark/>
          </w:tcPr>
          <w:p w14:paraId="263EF14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2AE2920C" w14:textId="77777777" w:rsidTr="00141675">
        <w:tc>
          <w:tcPr>
            <w:tcW w:w="7055" w:type="dxa"/>
            <w:shd w:val="clear" w:color="auto" w:fill="FFFFFF"/>
            <w:tcMar>
              <w:top w:w="15" w:type="dxa"/>
              <w:left w:w="0" w:type="dxa"/>
              <w:bottom w:w="0" w:type="dxa"/>
              <w:right w:w="15" w:type="dxa"/>
            </w:tcMar>
            <w:hideMark/>
          </w:tcPr>
          <w:p w14:paraId="36474E9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October 1, 2019—October 31, 2019</w:t>
            </w:r>
          </w:p>
        </w:tc>
        <w:tc>
          <w:tcPr>
            <w:tcW w:w="307" w:type="dxa"/>
            <w:shd w:val="clear" w:color="auto" w:fill="FFFFFF"/>
            <w:tcMar>
              <w:top w:w="15" w:type="dxa"/>
              <w:left w:w="0" w:type="dxa"/>
              <w:bottom w:w="0" w:type="dxa"/>
              <w:right w:w="15" w:type="dxa"/>
            </w:tcMar>
            <w:vAlign w:val="bottom"/>
            <w:hideMark/>
          </w:tcPr>
          <w:p w14:paraId="689EA323"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8E55CF8"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329" w:type="dxa"/>
            <w:shd w:val="clear" w:color="auto" w:fill="FFFFFF"/>
            <w:noWrap/>
            <w:tcMar>
              <w:top w:w="15" w:type="dxa"/>
              <w:left w:w="0" w:type="dxa"/>
              <w:bottom w:w="0" w:type="dxa"/>
              <w:right w:w="15" w:type="dxa"/>
            </w:tcMar>
            <w:vAlign w:val="bottom"/>
            <w:hideMark/>
          </w:tcPr>
          <w:p w14:paraId="022C551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35.1</w:t>
            </w:r>
          </w:p>
        </w:tc>
        <w:tc>
          <w:tcPr>
            <w:tcW w:w="191" w:type="dxa"/>
            <w:shd w:val="clear" w:color="auto" w:fill="FFFFFF"/>
            <w:noWrap/>
            <w:tcMar>
              <w:top w:w="15" w:type="dxa"/>
              <w:left w:w="0" w:type="dxa"/>
              <w:bottom w:w="0" w:type="dxa"/>
              <w:right w:w="15" w:type="dxa"/>
            </w:tcMar>
            <w:vAlign w:val="bottom"/>
            <w:hideMark/>
          </w:tcPr>
          <w:p w14:paraId="79C9E3C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FFFFFF"/>
            <w:tcMar>
              <w:top w:w="15" w:type="dxa"/>
              <w:left w:w="0" w:type="dxa"/>
              <w:bottom w:w="0" w:type="dxa"/>
              <w:right w:w="15" w:type="dxa"/>
            </w:tcMar>
            <w:vAlign w:val="bottom"/>
            <w:hideMark/>
          </w:tcPr>
          <w:p w14:paraId="5134CDA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1C311A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329" w:type="dxa"/>
            <w:shd w:val="clear" w:color="auto" w:fill="FFFFFF"/>
            <w:noWrap/>
            <w:tcMar>
              <w:top w:w="15" w:type="dxa"/>
              <w:left w:w="0" w:type="dxa"/>
              <w:bottom w:w="0" w:type="dxa"/>
              <w:right w:w="15" w:type="dxa"/>
            </w:tcMar>
            <w:vAlign w:val="bottom"/>
            <w:hideMark/>
          </w:tcPr>
          <w:p w14:paraId="638A240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54.73</w:t>
            </w:r>
          </w:p>
        </w:tc>
        <w:tc>
          <w:tcPr>
            <w:tcW w:w="191" w:type="dxa"/>
            <w:shd w:val="clear" w:color="auto" w:fill="FFFFFF"/>
            <w:noWrap/>
            <w:tcMar>
              <w:top w:w="15" w:type="dxa"/>
              <w:left w:w="0" w:type="dxa"/>
              <w:bottom w:w="0" w:type="dxa"/>
              <w:right w:w="15" w:type="dxa"/>
            </w:tcMar>
            <w:vAlign w:val="bottom"/>
            <w:hideMark/>
          </w:tcPr>
          <w:p w14:paraId="4594853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FFFFFF"/>
            <w:tcMar>
              <w:top w:w="15" w:type="dxa"/>
              <w:left w:w="0" w:type="dxa"/>
              <w:bottom w:w="0" w:type="dxa"/>
              <w:right w:w="15" w:type="dxa"/>
            </w:tcMar>
            <w:vAlign w:val="bottom"/>
            <w:hideMark/>
          </w:tcPr>
          <w:p w14:paraId="6DC69D8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779690D2"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994" w:type="dxa"/>
            <w:shd w:val="clear" w:color="auto" w:fill="FFFFFF"/>
            <w:noWrap/>
            <w:tcMar>
              <w:top w:w="15" w:type="dxa"/>
              <w:left w:w="0" w:type="dxa"/>
              <w:bottom w:w="0" w:type="dxa"/>
              <w:right w:w="15" w:type="dxa"/>
            </w:tcMar>
            <w:vAlign w:val="bottom"/>
            <w:hideMark/>
          </w:tcPr>
          <w:p w14:paraId="663EB276"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35.1</w:t>
            </w:r>
          </w:p>
        </w:tc>
        <w:tc>
          <w:tcPr>
            <w:tcW w:w="191" w:type="dxa"/>
            <w:shd w:val="clear" w:color="auto" w:fill="FFFFFF"/>
            <w:noWrap/>
            <w:tcMar>
              <w:top w:w="15" w:type="dxa"/>
              <w:left w:w="0" w:type="dxa"/>
              <w:bottom w:w="0" w:type="dxa"/>
              <w:right w:w="15" w:type="dxa"/>
            </w:tcMar>
            <w:vAlign w:val="bottom"/>
            <w:hideMark/>
          </w:tcPr>
          <w:p w14:paraId="0E51418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FFFFFF"/>
            <w:tcMar>
              <w:top w:w="15" w:type="dxa"/>
              <w:left w:w="0" w:type="dxa"/>
              <w:bottom w:w="0" w:type="dxa"/>
              <w:right w:w="15" w:type="dxa"/>
            </w:tcMar>
            <w:vAlign w:val="bottom"/>
            <w:hideMark/>
          </w:tcPr>
          <w:p w14:paraId="5E4C41D1"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2E85E45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94" w:type="dxa"/>
            <w:shd w:val="clear" w:color="auto" w:fill="FFFFFF"/>
            <w:noWrap/>
            <w:tcMar>
              <w:top w:w="15" w:type="dxa"/>
              <w:left w:w="0" w:type="dxa"/>
              <w:bottom w:w="0" w:type="dxa"/>
              <w:right w:w="15" w:type="dxa"/>
            </w:tcMar>
            <w:vAlign w:val="bottom"/>
            <w:hideMark/>
          </w:tcPr>
          <w:p w14:paraId="6195A948"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11,848.4</w:t>
            </w:r>
          </w:p>
        </w:tc>
        <w:tc>
          <w:tcPr>
            <w:tcW w:w="192" w:type="dxa"/>
            <w:shd w:val="clear" w:color="auto" w:fill="FFFFFF"/>
            <w:noWrap/>
            <w:tcMar>
              <w:top w:w="15" w:type="dxa"/>
              <w:left w:w="0" w:type="dxa"/>
              <w:bottom w:w="0" w:type="dxa"/>
              <w:right w:w="15" w:type="dxa"/>
            </w:tcMar>
            <w:vAlign w:val="bottom"/>
            <w:hideMark/>
          </w:tcPr>
          <w:p w14:paraId="458C1A8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20D8B2A" w14:textId="77777777" w:rsidTr="00141675">
        <w:tc>
          <w:tcPr>
            <w:tcW w:w="7055" w:type="dxa"/>
            <w:shd w:val="clear" w:color="auto" w:fill="CFF0FC"/>
            <w:tcMar>
              <w:top w:w="15" w:type="dxa"/>
              <w:left w:w="0" w:type="dxa"/>
              <w:bottom w:w="0" w:type="dxa"/>
              <w:right w:w="15" w:type="dxa"/>
            </w:tcMar>
            <w:hideMark/>
          </w:tcPr>
          <w:p w14:paraId="5109AA8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November 1, 2019—November 30, 2019</w:t>
            </w:r>
          </w:p>
        </w:tc>
        <w:tc>
          <w:tcPr>
            <w:tcW w:w="307" w:type="dxa"/>
            <w:shd w:val="clear" w:color="auto" w:fill="CFF0FC"/>
            <w:tcMar>
              <w:top w:w="15" w:type="dxa"/>
              <w:left w:w="0" w:type="dxa"/>
              <w:bottom w:w="0" w:type="dxa"/>
              <w:right w:w="15" w:type="dxa"/>
            </w:tcMar>
            <w:vAlign w:val="bottom"/>
            <w:hideMark/>
          </w:tcPr>
          <w:p w14:paraId="7ADEF00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55AB1C3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329" w:type="dxa"/>
            <w:tcBorders>
              <w:bottom w:val="single" w:sz="6" w:space="0" w:color="000000"/>
            </w:tcBorders>
            <w:shd w:val="clear" w:color="auto" w:fill="CFF0FC"/>
            <w:noWrap/>
            <w:tcMar>
              <w:top w:w="15" w:type="dxa"/>
              <w:left w:w="0" w:type="dxa"/>
              <w:bottom w:w="0" w:type="dxa"/>
              <w:right w:w="15" w:type="dxa"/>
            </w:tcMar>
            <w:vAlign w:val="bottom"/>
            <w:hideMark/>
          </w:tcPr>
          <w:p w14:paraId="2066B54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17.9</w:t>
            </w:r>
          </w:p>
        </w:tc>
        <w:tc>
          <w:tcPr>
            <w:tcW w:w="191" w:type="dxa"/>
            <w:shd w:val="clear" w:color="auto" w:fill="CFF0FC"/>
            <w:noWrap/>
            <w:tcMar>
              <w:top w:w="15" w:type="dxa"/>
              <w:left w:w="0" w:type="dxa"/>
              <w:bottom w:w="0" w:type="dxa"/>
              <w:right w:w="15" w:type="dxa"/>
            </w:tcMar>
            <w:vAlign w:val="bottom"/>
            <w:hideMark/>
          </w:tcPr>
          <w:p w14:paraId="1F449D2A"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CFF0FC"/>
            <w:tcMar>
              <w:top w:w="15" w:type="dxa"/>
              <w:left w:w="0" w:type="dxa"/>
              <w:bottom w:w="0" w:type="dxa"/>
              <w:right w:w="15" w:type="dxa"/>
            </w:tcMar>
            <w:vAlign w:val="bottom"/>
            <w:hideMark/>
          </w:tcPr>
          <w:p w14:paraId="264E153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1C90F1B1"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329" w:type="dxa"/>
            <w:shd w:val="clear" w:color="auto" w:fill="CFF0FC"/>
            <w:noWrap/>
            <w:tcMar>
              <w:top w:w="15" w:type="dxa"/>
              <w:left w:w="0" w:type="dxa"/>
              <w:bottom w:w="0" w:type="dxa"/>
              <w:right w:w="15" w:type="dxa"/>
            </w:tcMar>
            <w:vAlign w:val="bottom"/>
            <w:hideMark/>
          </w:tcPr>
          <w:p w14:paraId="7F94DFCD"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56.16</w:t>
            </w:r>
          </w:p>
        </w:tc>
        <w:tc>
          <w:tcPr>
            <w:tcW w:w="191" w:type="dxa"/>
            <w:shd w:val="clear" w:color="auto" w:fill="CFF0FC"/>
            <w:noWrap/>
            <w:tcMar>
              <w:top w:w="15" w:type="dxa"/>
              <w:left w:w="0" w:type="dxa"/>
              <w:bottom w:w="0" w:type="dxa"/>
              <w:right w:w="15" w:type="dxa"/>
            </w:tcMar>
            <w:vAlign w:val="bottom"/>
            <w:hideMark/>
          </w:tcPr>
          <w:p w14:paraId="0D5AA6C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CFF0FC"/>
            <w:tcMar>
              <w:top w:w="15" w:type="dxa"/>
              <w:left w:w="0" w:type="dxa"/>
              <w:bottom w:w="0" w:type="dxa"/>
              <w:right w:w="15" w:type="dxa"/>
            </w:tcMar>
            <w:vAlign w:val="bottom"/>
            <w:hideMark/>
          </w:tcPr>
          <w:p w14:paraId="69BCB199"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bottom w:val="single" w:sz="6" w:space="0" w:color="000000"/>
            </w:tcBorders>
            <w:shd w:val="clear" w:color="auto" w:fill="CFF0FC"/>
            <w:noWrap/>
            <w:tcMar>
              <w:top w:w="15" w:type="dxa"/>
              <w:left w:w="0" w:type="dxa"/>
              <w:bottom w:w="0" w:type="dxa"/>
              <w:right w:w="15" w:type="dxa"/>
            </w:tcMar>
            <w:vAlign w:val="bottom"/>
            <w:hideMark/>
          </w:tcPr>
          <w:p w14:paraId="06F63937"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994" w:type="dxa"/>
            <w:tcBorders>
              <w:bottom w:val="single" w:sz="6" w:space="0" w:color="000000"/>
            </w:tcBorders>
            <w:shd w:val="clear" w:color="auto" w:fill="CFF0FC"/>
            <w:noWrap/>
            <w:tcMar>
              <w:top w:w="15" w:type="dxa"/>
              <w:left w:w="0" w:type="dxa"/>
              <w:bottom w:w="0" w:type="dxa"/>
              <w:right w:w="15" w:type="dxa"/>
            </w:tcMar>
            <w:vAlign w:val="bottom"/>
            <w:hideMark/>
          </w:tcPr>
          <w:p w14:paraId="2EFDA569"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17.9</w:t>
            </w:r>
          </w:p>
        </w:tc>
        <w:tc>
          <w:tcPr>
            <w:tcW w:w="191" w:type="dxa"/>
            <w:shd w:val="clear" w:color="auto" w:fill="CFF0FC"/>
            <w:noWrap/>
            <w:tcMar>
              <w:top w:w="15" w:type="dxa"/>
              <w:left w:w="0" w:type="dxa"/>
              <w:bottom w:w="0" w:type="dxa"/>
              <w:right w:w="15" w:type="dxa"/>
            </w:tcMar>
            <w:vAlign w:val="bottom"/>
            <w:hideMark/>
          </w:tcPr>
          <w:p w14:paraId="53BF69FC"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CFF0FC"/>
            <w:tcMar>
              <w:top w:w="15" w:type="dxa"/>
              <w:left w:w="0" w:type="dxa"/>
              <w:bottom w:w="0" w:type="dxa"/>
              <w:right w:w="15" w:type="dxa"/>
            </w:tcMar>
            <w:vAlign w:val="bottom"/>
            <w:hideMark/>
          </w:tcPr>
          <w:p w14:paraId="7151D544"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CFF0FC"/>
            <w:noWrap/>
            <w:tcMar>
              <w:top w:w="15" w:type="dxa"/>
              <w:left w:w="0" w:type="dxa"/>
              <w:bottom w:w="0" w:type="dxa"/>
              <w:right w:w="15" w:type="dxa"/>
            </w:tcMar>
            <w:vAlign w:val="bottom"/>
            <w:hideMark/>
          </w:tcPr>
          <w:p w14:paraId="6B6F810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894" w:type="dxa"/>
            <w:shd w:val="clear" w:color="auto" w:fill="CFF0FC"/>
            <w:noWrap/>
            <w:tcMar>
              <w:top w:w="15" w:type="dxa"/>
              <w:left w:w="0" w:type="dxa"/>
              <w:bottom w:w="0" w:type="dxa"/>
              <w:right w:w="15" w:type="dxa"/>
            </w:tcMar>
            <w:vAlign w:val="bottom"/>
            <w:hideMark/>
          </w:tcPr>
          <w:p w14:paraId="2FB68034"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10,848.4</w:t>
            </w:r>
          </w:p>
        </w:tc>
        <w:tc>
          <w:tcPr>
            <w:tcW w:w="192" w:type="dxa"/>
            <w:shd w:val="clear" w:color="auto" w:fill="CFF0FC"/>
            <w:noWrap/>
            <w:tcMar>
              <w:top w:w="15" w:type="dxa"/>
              <w:left w:w="0" w:type="dxa"/>
              <w:bottom w:w="0" w:type="dxa"/>
              <w:right w:w="15" w:type="dxa"/>
            </w:tcMar>
            <w:vAlign w:val="bottom"/>
            <w:hideMark/>
          </w:tcPr>
          <w:p w14:paraId="0761127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r>
      <w:tr w:rsidR="00141675" w:rsidRPr="00141675" w14:paraId="3EA39006" w14:textId="77777777" w:rsidTr="00141675">
        <w:tc>
          <w:tcPr>
            <w:tcW w:w="7055" w:type="dxa"/>
            <w:shd w:val="clear" w:color="auto" w:fill="FFFFFF"/>
            <w:tcMar>
              <w:top w:w="15" w:type="dxa"/>
              <w:left w:w="0" w:type="dxa"/>
              <w:bottom w:w="0" w:type="dxa"/>
              <w:right w:w="15" w:type="dxa"/>
            </w:tcMar>
            <w:hideMark/>
          </w:tcPr>
          <w:p w14:paraId="4CA08560" w14:textId="77777777" w:rsidR="00141675" w:rsidRPr="00141675" w:rsidRDefault="00141675" w:rsidP="00141675">
            <w:pPr>
              <w:widowControl/>
              <w:ind w:left="410"/>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Total</w:t>
            </w:r>
          </w:p>
        </w:tc>
        <w:tc>
          <w:tcPr>
            <w:tcW w:w="307" w:type="dxa"/>
            <w:shd w:val="clear" w:color="auto" w:fill="FFFFFF"/>
            <w:tcMar>
              <w:top w:w="15" w:type="dxa"/>
              <w:left w:w="0" w:type="dxa"/>
              <w:bottom w:w="0" w:type="dxa"/>
              <w:right w:w="15" w:type="dxa"/>
            </w:tcMar>
            <w:vAlign w:val="bottom"/>
            <w:hideMark/>
          </w:tcPr>
          <w:p w14:paraId="452999C7"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67FD4254"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329"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79E684F3"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91.5</w:t>
            </w:r>
          </w:p>
        </w:tc>
        <w:tc>
          <w:tcPr>
            <w:tcW w:w="191" w:type="dxa"/>
            <w:shd w:val="clear" w:color="auto" w:fill="FFFFFF"/>
            <w:noWrap/>
            <w:tcMar>
              <w:top w:w="15" w:type="dxa"/>
              <w:left w:w="0" w:type="dxa"/>
              <w:bottom w:w="0" w:type="dxa"/>
              <w:right w:w="15" w:type="dxa"/>
            </w:tcMar>
            <w:vAlign w:val="bottom"/>
            <w:hideMark/>
          </w:tcPr>
          <w:p w14:paraId="1B8768D3"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FFFFFF"/>
            <w:tcMar>
              <w:top w:w="15" w:type="dxa"/>
              <w:left w:w="0" w:type="dxa"/>
              <w:bottom w:w="0" w:type="dxa"/>
              <w:right w:w="15" w:type="dxa"/>
            </w:tcMar>
            <w:vAlign w:val="bottom"/>
            <w:hideMark/>
          </w:tcPr>
          <w:p w14:paraId="34CD1496"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3A9B7F3B"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w:t>
            </w:r>
          </w:p>
        </w:tc>
        <w:tc>
          <w:tcPr>
            <w:tcW w:w="2329" w:type="dxa"/>
            <w:shd w:val="clear" w:color="auto" w:fill="FFFFFF"/>
            <w:noWrap/>
            <w:tcMar>
              <w:top w:w="15" w:type="dxa"/>
              <w:left w:w="0" w:type="dxa"/>
              <w:bottom w:w="0" w:type="dxa"/>
              <w:right w:w="15" w:type="dxa"/>
            </w:tcMar>
            <w:vAlign w:val="bottom"/>
            <w:hideMark/>
          </w:tcPr>
          <w:p w14:paraId="7A6CD1DF"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54.66</w:t>
            </w:r>
          </w:p>
        </w:tc>
        <w:tc>
          <w:tcPr>
            <w:tcW w:w="191" w:type="dxa"/>
            <w:shd w:val="clear" w:color="auto" w:fill="FFFFFF"/>
            <w:noWrap/>
            <w:tcMar>
              <w:top w:w="15" w:type="dxa"/>
              <w:left w:w="0" w:type="dxa"/>
              <w:bottom w:w="0" w:type="dxa"/>
              <w:right w:w="15" w:type="dxa"/>
            </w:tcMar>
            <w:vAlign w:val="bottom"/>
            <w:hideMark/>
          </w:tcPr>
          <w:p w14:paraId="3BBC573E"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FFFFFF"/>
            <w:tcMar>
              <w:top w:w="15" w:type="dxa"/>
              <w:left w:w="0" w:type="dxa"/>
              <w:bottom w:w="0" w:type="dxa"/>
              <w:right w:w="15" w:type="dxa"/>
            </w:tcMar>
            <w:vAlign w:val="bottom"/>
            <w:hideMark/>
          </w:tcPr>
          <w:p w14:paraId="436BA97C"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1451CA3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994" w:type="dxa"/>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14:paraId="20C7ADD2" w14:textId="77777777" w:rsidR="00141675" w:rsidRPr="00141675" w:rsidRDefault="00141675" w:rsidP="00141675">
            <w:pPr>
              <w:widowControl/>
              <w:jc w:val="righ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91.5</w:t>
            </w:r>
          </w:p>
        </w:tc>
        <w:tc>
          <w:tcPr>
            <w:tcW w:w="191" w:type="dxa"/>
            <w:shd w:val="clear" w:color="auto" w:fill="FFFFFF"/>
            <w:noWrap/>
            <w:tcMar>
              <w:top w:w="15" w:type="dxa"/>
              <w:left w:w="0" w:type="dxa"/>
              <w:bottom w:w="0" w:type="dxa"/>
              <w:right w:w="15" w:type="dxa"/>
            </w:tcMar>
            <w:vAlign w:val="bottom"/>
            <w:hideMark/>
          </w:tcPr>
          <w:p w14:paraId="27642536"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307" w:type="dxa"/>
            <w:shd w:val="clear" w:color="auto" w:fill="FFFFFF"/>
            <w:tcMar>
              <w:top w:w="15" w:type="dxa"/>
              <w:left w:w="0" w:type="dxa"/>
              <w:bottom w:w="0" w:type="dxa"/>
              <w:right w:w="15" w:type="dxa"/>
            </w:tcMar>
            <w:vAlign w:val="bottom"/>
            <w:hideMark/>
          </w:tcPr>
          <w:p w14:paraId="47F44CE0" w14:textId="77777777" w:rsidR="00141675" w:rsidRPr="00141675" w:rsidRDefault="00141675" w:rsidP="00141675">
            <w:pPr>
              <w:widowControl/>
              <w:jc w:val="left"/>
              <w:rPr>
                <w:rFonts w:ascii="Calibri" w:eastAsia="宋体" w:hAnsi="Calibri" w:cs="Calibri"/>
                <w:color w:val="000000"/>
                <w:kern w:val="0"/>
                <w:sz w:val="22"/>
              </w:rPr>
            </w:pPr>
            <w:r w:rsidRPr="00141675">
              <w:rPr>
                <w:rFonts w:ascii="Calibri" w:eastAsia="宋体" w:hAnsi="Calibri" w:cs="Calibri"/>
                <w:color w:val="000000"/>
                <w:kern w:val="0"/>
                <w:sz w:val="22"/>
              </w:rPr>
              <w:t> </w:t>
            </w:r>
          </w:p>
        </w:tc>
        <w:tc>
          <w:tcPr>
            <w:tcW w:w="191" w:type="dxa"/>
            <w:shd w:val="clear" w:color="auto" w:fill="FFFFFF"/>
            <w:noWrap/>
            <w:tcMar>
              <w:top w:w="15" w:type="dxa"/>
              <w:left w:w="0" w:type="dxa"/>
              <w:bottom w:w="0" w:type="dxa"/>
              <w:right w:w="15" w:type="dxa"/>
            </w:tcMar>
            <w:vAlign w:val="bottom"/>
            <w:hideMark/>
          </w:tcPr>
          <w:p w14:paraId="0236196D"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2894" w:type="dxa"/>
            <w:shd w:val="clear" w:color="auto" w:fill="FFFFFF"/>
            <w:noWrap/>
            <w:tcMar>
              <w:top w:w="15" w:type="dxa"/>
              <w:left w:w="0" w:type="dxa"/>
              <w:bottom w:w="0" w:type="dxa"/>
              <w:right w:w="15" w:type="dxa"/>
            </w:tcMar>
            <w:vAlign w:val="bottom"/>
            <w:hideMark/>
          </w:tcPr>
          <w:p w14:paraId="707A1B39" w14:textId="77777777" w:rsidR="00141675" w:rsidRPr="00141675" w:rsidRDefault="00141675" w:rsidP="00141675">
            <w:pPr>
              <w:widowControl/>
              <w:jc w:val="left"/>
              <w:rPr>
                <w:rFonts w:ascii="Calibri" w:eastAsia="宋体" w:hAnsi="Calibri" w:cs="Calibri"/>
                <w:color w:val="000000"/>
                <w:kern w:val="0"/>
                <w:sz w:val="18"/>
                <w:szCs w:val="18"/>
              </w:rPr>
            </w:pPr>
            <w:r w:rsidRPr="00141675">
              <w:rPr>
                <w:rFonts w:ascii="Calibri" w:eastAsia="宋体" w:hAnsi="Calibri" w:cs="Calibri"/>
                <w:color w:val="000000"/>
                <w:kern w:val="0"/>
                <w:sz w:val="18"/>
                <w:szCs w:val="18"/>
              </w:rPr>
              <w:t> </w:t>
            </w:r>
          </w:p>
        </w:tc>
        <w:tc>
          <w:tcPr>
            <w:tcW w:w="192" w:type="dxa"/>
            <w:shd w:val="clear" w:color="auto" w:fill="FFFFFF"/>
            <w:noWrap/>
            <w:tcMar>
              <w:top w:w="15" w:type="dxa"/>
              <w:left w:w="0" w:type="dxa"/>
              <w:bottom w:w="0" w:type="dxa"/>
              <w:right w:w="15" w:type="dxa"/>
            </w:tcMar>
            <w:vAlign w:val="bottom"/>
            <w:hideMark/>
          </w:tcPr>
          <w:p w14:paraId="1773557E" w14:textId="77777777" w:rsidR="00141675" w:rsidRPr="00141675" w:rsidRDefault="00141675" w:rsidP="00141675">
            <w:pPr>
              <w:widowControl/>
              <w:jc w:val="left"/>
              <w:rPr>
                <w:rFonts w:ascii="Calibri" w:eastAsia="宋体" w:hAnsi="Calibri" w:cs="Calibri"/>
                <w:color w:val="000000"/>
                <w:kern w:val="0"/>
                <w:sz w:val="2"/>
                <w:szCs w:val="2"/>
              </w:rPr>
            </w:pPr>
            <w:r w:rsidRPr="00141675">
              <w:rPr>
                <w:rFonts w:ascii="Calibri" w:eastAsia="宋体" w:hAnsi="Calibri" w:cs="Calibri"/>
                <w:color w:val="000000"/>
                <w:kern w:val="0"/>
                <w:sz w:val="2"/>
                <w:szCs w:val="2"/>
              </w:rPr>
              <w:t> </w:t>
            </w:r>
          </w:p>
        </w:tc>
      </w:tr>
    </w:tbl>
    <w:p w14:paraId="23D91A70" w14:textId="77777777" w:rsidR="00141675" w:rsidRPr="00141675" w:rsidRDefault="00141675" w:rsidP="00141675">
      <w:pPr>
        <w:widowControl/>
        <w:jc w:val="left"/>
        <w:rPr>
          <w:rFonts w:ascii="微软雅黑" w:eastAsia="微软雅黑" w:hAnsi="微软雅黑" w:cs="宋体"/>
          <w:color w:val="000000"/>
          <w:kern w:val="0"/>
          <w:sz w:val="12"/>
          <w:szCs w:val="12"/>
        </w:rPr>
      </w:pPr>
      <w:r w:rsidRPr="00141675">
        <w:rPr>
          <w:rFonts w:ascii="微软雅黑" w:eastAsia="微软雅黑" w:hAnsi="微软雅黑" w:cs="宋体" w:hint="eastAsia"/>
          <w:color w:val="000000"/>
          <w:kern w:val="0"/>
          <w:sz w:val="12"/>
          <w:szCs w:val="12"/>
        </w:rPr>
        <w:t> </w:t>
      </w:r>
    </w:p>
    <w:p w14:paraId="5AD7EF83" w14:textId="77777777" w:rsidR="00141675" w:rsidRPr="00141675" w:rsidRDefault="00141675" w:rsidP="00141675">
      <w:pPr>
        <w:widowControl/>
        <w:spacing w:before="240"/>
        <w:jc w:val="center"/>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lastRenderedPageBreak/>
        <w:t>45</w:t>
      </w:r>
    </w:p>
    <w:p w14:paraId="290C509A"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7EA50E13">
          <v:rect id="_x0000_i1071" style="width:0;height:1.5pt" o:hralign="center" o:hrstd="t" o:hrnoshade="t" o:hr="t" fillcolor="black" stroked="f"/>
        </w:pict>
      </w:r>
    </w:p>
    <w:p w14:paraId="587CFFE2" w14:textId="77777777" w:rsidR="00141675" w:rsidRPr="00141675" w:rsidRDefault="00141675" w:rsidP="00141675">
      <w:pPr>
        <w:widowControl/>
        <w:jc w:val="left"/>
        <w:rPr>
          <w:rFonts w:ascii="Calibri" w:eastAsia="宋体" w:hAnsi="Calibri" w:cs="Calibri"/>
          <w:b/>
          <w:bCs/>
          <w:color w:val="000000"/>
          <w:kern w:val="0"/>
          <w:sz w:val="20"/>
          <w:szCs w:val="20"/>
        </w:rPr>
      </w:pPr>
      <w:hyperlink r:id="rId68" w:anchor="TABLE_CONTENTS" w:history="1">
        <w:r w:rsidRPr="00141675">
          <w:rPr>
            <w:rFonts w:ascii="Calibri" w:eastAsia="宋体" w:hAnsi="Calibri" w:cs="Calibri"/>
            <w:b/>
            <w:bCs/>
            <w:color w:val="0000FF"/>
            <w:kern w:val="0"/>
            <w:sz w:val="20"/>
            <w:szCs w:val="20"/>
            <w:u w:val="single"/>
          </w:rPr>
          <w:t>Table of Contents</w:t>
        </w:r>
      </w:hyperlink>
    </w:p>
    <w:p w14:paraId="4E715612"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tbl>
      <w:tblPr>
        <w:tblW w:w="20614" w:type="dxa"/>
        <w:tblCellMar>
          <w:left w:w="0" w:type="dxa"/>
          <w:right w:w="0" w:type="dxa"/>
        </w:tblCellMar>
        <w:tblLook w:val="04A0" w:firstRow="1" w:lastRow="0" w:firstColumn="1" w:lastColumn="0" w:noHBand="0" w:noVBand="1"/>
      </w:tblPr>
      <w:tblGrid>
        <w:gridCol w:w="1096"/>
        <w:gridCol w:w="19518"/>
      </w:tblGrid>
      <w:tr w:rsidR="00141675" w:rsidRPr="00141675" w14:paraId="57B2ED20" w14:textId="77777777" w:rsidTr="00141675">
        <w:tc>
          <w:tcPr>
            <w:tcW w:w="1080" w:type="dxa"/>
            <w:noWrap/>
            <w:hideMark/>
          </w:tcPr>
          <w:p w14:paraId="6CFFC9A0"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Item 6.</w:t>
            </w:r>
          </w:p>
        </w:tc>
        <w:tc>
          <w:tcPr>
            <w:tcW w:w="0" w:type="auto"/>
            <w:hideMark/>
          </w:tcPr>
          <w:p w14:paraId="2BE6FE34" w14:textId="77777777" w:rsidR="00141675" w:rsidRPr="00141675" w:rsidRDefault="00141675" w:rsidP="00141675">
            <w:pPr>
              <w:widowControl/>
              <w:rPr>
                <w:rFonts w:ascii="Calibri" w:eastAsia="宋体" w:hAnsi="Calibri" w:cs="Calibri"/>
                <w:b/>
                <w:bCs/>
                <w:kern w:val="0"/>
                <w:sz w:val="20"/>
                <w:szCs w:val="20"/>
              </w:rPr>
            </w:pPr>
            <w:r w:rsidRPr="00141675">
              <w:rPr>
                <w:rFonts w:ascii="Calibri" w:eastAsia="宋体" w:hAnsi="Calibri" w:cs="Calibri"/>
                <w:b/>
                <w:bCs/>
                <w:kern w:val="0"/>
                <w:sz w:val="20"/>
                <w:szCs w:val="20"/>
              </w:rPr>
              <w:t>Exhibits</w:t>
            </w:r>
          </w:p>
        </w:tc>
      </w:tr>
    </w:tbl>
    <w:p w14:paraId="063FD579" w14:textId="77777777" w:rsidR="00141675" w:rsidRPr="00141675" w:rsidRDefault="00141675" w:rsidP="00141675">
      <w:pPr>
        <w:widowControl/>
        <w:ind w:left="2443" w:hanging="1450"/>
        <w:rPr>
          <w:rFonts w:ascii="Times New Roman" w:eastAsia="宋体" w:hAnsi="Times New Roman" w:cs="Times New Roman"/>
          <w:b/>
          <w:bCs/>
          <w:color w:val="000000"/>
          <w:kern w:val="0"/>
          <w:sz w:val="24"/>
          <w:szCs w:val="24"/>
        </w:rPr>
      </w:pPr>
      <w:r w:rsidRPr="00141675">
        <w:rPr>
          <w:rFonts w:ascii="Times New Roman" w:eastAsia="宋体" w:hAnsi="Times New Roman" w:cs="Times New Roman"/>
          <w:b/>
          <w:bCs/>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1850"/>
        <w:gridCol w:w="132"/>
        <w:gridCol w:w="9042"/>
        <w:gridCol w:w="136"/>
        <w:gridCol w:w="1418"/>
        <w:gridCol w:w="136"/>
        <w:gridCol w:w="2033"/>
        <w:gridCol w:w="136"/>
        <w:gridCol w:w="1418"/>
        <w:gridCol w:w="132"/>
        <w:gridCol w:w="1909"/>
        <w:gridCol w:w="132"/>
        <w:gridCol w:w="2140"/>
      </w:tblGrid>
      <w:tr w:rsidR="00141675" w:rsidRPr="00141675" w14:paraId="5A8A35D6" w14:textId="77777777" w:rsidTr="00141675">
        <w:tc>
          <w:tcPr>
            <w:tcW w:w="1851" w:type="dxa"/>
            <w:vMerge w:val="restart"/>
            <w:vAlign w:val="bottom"/>
            <w:hideMark/>
          </w:tcPr>
          <w:p w14:paraId="59ED2533" w14:textId="77777777" w:rsidR="00141675" w:rsidRPr="00141675" w:rsidRDefault="00141675" w:rsidP="00141675">
            <w:pPr>
              <w:widowControl/>
              <w:jc w:val="center"/>
              <w:rPr>
                <w:rFonts w:ascii="Calibri" w:eastAsia="宋体" w:hAnsi="Calibri" w:cs="Calibri"/>
                <w:b/>
                <w:bCs/>
                <w:kern w:val="0"/>
                <w:sz w:val="15"/>
                <w:szCs w:val="15"/>
              </w:rPr>
            </w:pPr>
            <w:r w:rsidRPr="00141675">
              <w:rPr>
                <w:rFonts w:ascii="Calibri" w:eastAsia="宋体" w:hAnsi="Calibri" w:cs="Calibri"/>
                <w:b/>
                <w:bCs/>
                <w:kern w:val="0"/>
                <w:sz w:val="15"/>
                <w:szCs w:val="15"/>
              </w:rPr>
              <w:t>Exhibit</w:t>
            </w:r>
          </w:p>
          <w:p w14:paraId="79B8EFBD" w14:textId="77777777" w:rsidR="00141675" w:rsidRPr="00141675" w:rsidRDefault="00141675" w:rsidP="00141675">
            <w:pPr>
              <w:widowControl/>
              <w:jc w:val="center"/>
              <w:rPr>
                <w:rFonts w:ascii="Calibri" w:eastAsia="宋体" w:hAnsi="Calibri" w:cs="Calibri"/>
                <w:b/>
                <w:bCs/>
                <w:kern w:val="0"/>
                <w:sz w:val="15"/>
                <w:szCs w:val="15"/>
              </w:rPr>
            </w:pPr>
            <w:r w:rsidRPr="00141675">
              <w:rPr>
                <w:rFonts w:ascii="Calibri" w:eastAsia="宋体" w:hAnsi="Calibri" w:cs="Calibri"/>
                <w:b/>
                <w:bCs/>
                <w:kern w:val="0"/>
                <w:sz w:val="15"/>
                <w:szCs w:val="15"/>
              </w:rPr>
              <w:t>No.</w:t>
            </w:r>
          </w:p>
        </w:tc>
        <w:tc>
          <w:tcPr>
            <w:tcW w:w="132" w:type="dxa"/>
            <w:hideMark/>
          </w:tcPr>
          <w:p w14:paraId="46D21A2C" w14:textId="77777777" w:rsidR="00141675" w:rsidRPr="00141675" w:rsidRDefault="00141675" w:rsidP="00141675">
            <w:pPr>
              <w:widowControl/>
              <w:jc w:val="left"/>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9042" w:type="dxa"/>
            <w:hideMark/>
          </w:tcPr>
          <w:p w14:paraId="0542F536" w14:textId="77777777" w:rsidR="00141675" w:rsidRPr="00141675" w:rsidRDefault="00141675" w:rsidP="00141675">
            <w:pPr>
              <w:widowControl/>
              <w:jc w:val="left"/>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136" w:type="dxa"/>
            <w:hideMark/>
          </w:tcPr>
          <w:p w14:paraId="74C5C951" w14:textId="77777777" w:rsidR="00141675" w:rsidRPr="00141675" w:rsidRDefault="00141675" w:rsidP="00141675">
            <w:pPr>
              <w:widowControl/>
              <w:jc w:val="left"/>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9453" w:type="dxa"/>
            <w:gridSpan w:val="9"/>
            <w:tcBorders>
              <w:bottom w:val="single" w:sz="6" w:space="0" w:color="000000"/>
            </w:tcBorders>
            <w:vAlign w:val="bottom"/>
            <w:hideMark/>
          </w:tcPr>
          <w:p w14:paraId="62C92B2D" w14:textId="77777777" w:rsidR="00141675" w:rsidRPr="00141675" w:rsidRDefault="00141675" w:rsidP="00141675">
            <w:pPr>
              <w:widowControl/>
              <w:jc w:val="center"/>
              <w:rPr>
                <w:rFonts w:ascii="Calibri" w:eastAsia="宋体" w:hAnsi="Calibri" w:cs="Calibri"/>
                <w:b/>
                <w:bCs/>
                <w:kern w:val="0"/>
                <w:sz w:val="15"/>
                <w:szCs w:val="15"/>
              </w:rPr>
            </w:pPr>
            <w:r w:rsidRPr="00141675">
              <w:rPr>
                <w:rFonts w:ascii="Calibri" w:eastAsia="宋体" w:hAnsi="Calibri" w:cs="Calibri"/>
                <w:b/>
                <w:bCs/>
                <w:kern w:val="0"/>
                <w:sz w:val="15"/>
                <w:szCs w:val="15"/>
              </w:rPr>
              <w:t>Incorporated by Reference</w:t>
            </w:r>
          </w:p>
        </w:tc>
      </w:tr>
      <w:tr w:rsidR="00141675" w:rsidRPr="00141675" w14:paraId="6E8439AF" w14:textId="77777777" w:rsidTr="00141675">
        <w:tc>
          <w:tcPr>
            <w:tcW w:w="0" w:type="auto"/>
            <w:vMerge/>
            <w:vAlign w:val="center"/>
            <w:hideMark/>
          </w:tcPr>
          <w:p w14:paraId="03404071" w14:textId="77777777" w:rsidR="00141675" w:rsidRPr="00141675" w:rsidRDefault="00141675" w:rsidP="00141675">
            <w:pPr>
              <w:widowControl/>
              <w:spacing w:beforeAutospacing="1" w:afterAutospacing="1"/>
              <w:jc w:val="left"/>
              <w:rPr>
                <w:rFonts w:ascii="Calibri" w:eastAsia="宋体" w:hAnsi="Calibri" w:cs="Calibri"/>
                <w:b/>
                <w:bCs/>
                <w:kern w:val="0"/>
                <w:sz w:val="15"/>
                <w:szCs w:val="15"/>
              </w:rPr>
            </w:pPr>
          </w:p>
        </w:tc>
        <w:tc>
          <w:tcPr>
            <w:tcW w:w="132" w:type="dxa"/>
            <w:vAlign w:val="bottom"/>
            <w:hideMark/>
          </w:tcPr>
          <w:p w14:paraId="52F4DF87" w14:textId="77777777" w:rsidR="00141675" w:rsidRPr="00141675" w:rsidRDefault="00141675" w:rsidP="00141675">
            <w:pPr>
              <w:widowControl/>
              <w:jc w:val="center"/>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9042" w:type="dxa"/>
            <w:tcBorders>
              <w:bottom w:val="single" w:sz="6" w:space="0" w:color="000000"/>
            </w:tcBorders>
            <w:vAlign w:val="bottom"/>
            <w:hideMark/>
          </w:tcPr>
          <w:p w14:paraId="17302BE5" w14:textId="77777777" w:rsidR="00141675" w:rsidRPr="00141675" w:rsidRDefault="00141675" w:rsidP="00141675">
            <w:pPr>
              <w:widowControl/>
              <w:jc w:val="center"/>
              <w:rPr>
                <w:rFonts w:ascii="Calibri" w:eastAsia="宋体" w:hAnsi="Calibri" w:cs="Calibri"/>
                <w:b/>
                <w:bCs/>
                <w:kern w:val="0"/>
                <w:sz w:val="15"/>
                <w:szCs w:val="15"/>
              </w:rPr>
            </w:pPr>
            <w:r w:rsidRPr="00141675">
              <w:rPr>
                <w:rFonts w:ascii="Calibri" w:eastAsia="宋体" w:hAnsi="Calibri" w:cs="Calibri"/>
                <w:b/>
                <w:bCs/>
                <w:kern w:val="0"/>
                <w:sz w:val="15"/>
                <w:szCs w:val="15"/>
              </w:rPr>
              <w:t>Exhibit Description</w:t>
            </w:r>
          </w:p>
        </w:tc>
        <w:tc>
          <w:tcPr>
            <w:tcW w:w="136" w:type="dxa"/>
            <w:vAlign w:val="bottom"/>
            <w:hideMark/>
          </w:tcPr>
          <w:p w14:paraId="2E109F3F" w14:textId="77777777" w:rsidR="00141675" w:rsidRPr="00141675" w:rsidRDefault="00141675" w:rsidP="00141675">
            <w:pPr>
              <w:widowControl/>
              <w:jc w:val="center"/>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1418" w:type="dxa"/>
            <w:tcBorders>
              <w:bottom w:val="single" w:sz="6" w:space="0" w:color="000000"/>
            </w:tcBorders>
            <w:vAlign w:val="bottom"/>
            <w:hideMark/>
          </w:tcPr>
          <w:p w14:paraId="4EBA106C" w14:textId="77777777" w:rsidR="00141675" w:rsidRPr="00141675" w:rsidRDefault="00141675" w:rsidP="00141675">
            <w:pPr>
              <w:widowControl/>
              <w:jc w:val="center"/>
              <w:rPr>
                <w:rFonts w:ascii="Calibri" w:eastAsia="宋体" w:hAnsi="Calibri" w:cs="Calibri"/>
                <w:b/>
                <w:bCs/>
                <w:kern w:val="0"/>
                <w:sz w:val="15"/>
                <w:szCs w:val="15"/>
              </w:rPr>
            </w:pPr>
            <w:r w:rsidRPr="00141675">
              <w:rPr>
                <w:rFonts w:ascii="Calibri" w:eastAsia="宋体" w:hAnsi="Calibri" w:cs="Calibri"/>
                <w:b/>
                <w:bCs/>
                <w:kern w:val="0"/>
                <w:sz w:val="15"/>
                <w:szCs w:val="15"/>
              </w:rPr>
              <w:t>Form</w:t>
            </w:r>
          </w:p>
        </w:tc>
        <w:tc>
          <w:tcPr>
            <w:tcW w:w="136" w:type="dxa"/>
            <w:vAlign w:val="bottom"/>
            <w:hideMark/>
          </w:tcPr>
          <w:p w14:paraId="5314E596" w14:textId="77777777" w:rsidR="00141675" w:rsidRPr="00141675" w:rsidRDefault="00141675" w:rsidP="00141675">
            <w:pPr>
              <w:widowControl/>
              <w:jc w:val="center"/>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2033" w:type="dxa"/>
            <w:tcBorders>
              <w:bottom w:val="single" w:sz="6" w:space="0" w:color="000000"/>
            </w:tcBorders>
            <w:vAlign w:val="bottom"/>
            <w:hideMark/>
          </w:tcPr>
          <w:p w14:paraId="63B889FA" w14:textId="77777777" w:rsidR="00141675" w:rsidRPr="00141675" w:rsidRDefault="00141675" w:rsidP="00141675">
            <w:pPr>
              <w:widowControl/>
              <w:jc w:val="center"/>
              <w:rPr>
                <w:rFonts w:ascii="Calibri" w:eastAsia="宋体" w:hAnsi="Calibri" w:cs="Calibri"/>
                <w:b/>
                <w:bCs/>
                <w:kern w:val="0"/>
                <w:sz w:val="15"/>
                <w:szCs w:val="15"/>
              </w:rPr>
            </w:pPr>
            <w:r w:rsidRPr="00141675">
              <w:rPr>
                <w:rFonts w:ascii="Calibri" w:eastAsia="宋体" w:hAnsi="Calibri" w:cs="Calibri"/>
                <w:b/>
                <w:bCs/>
                <w:kern w:val="0"/>
                <w:sz w:val="15"/>
                <w:szCs w:val="15"/>
              </w:rPr>
              <w:t>File No.</w:t>
            </w:r>
          </w:p>
        </w:tc>
        <w:tc>
          <w:tcPr>
            <w:tcW w:w="136" w:type="dxa"/>
            <w:vAlign w:val="bottom"/>
            <w:hideMark/>
          </w:tcPr>
          <w:p w14:paraId="39921789" w14:textId="77777777" w:rsidR="00141675" w:rsidRPr="00141675" w:rsidRDefault="00141675" w:rsidP="00141675">
            <w:pPr>
              <w:widowControl/>
              <w:jc w:val="center"/>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1418" w:type="dxa"/>
            <w:tcBorders>
              <w:bottom w:val="single" w:sz="6" w:space="0" w:color="000000"/>
            </w:tcBorders>
            <w:vAlign w:val="bottom"/>
            <w:hideMark/>
          </w:tcPr>
          <w:p w14:paraId="349DA2D6" w14:textId="77777777" w:rsidR="00141675" w:rsidRPr="00141675" w:rsidRDefault="00141675" w:rsidP="00141675">
            <w:pPr>
              <w:widowControl/>
              <w:jc w:val="center"/>
              <w:rPr>
                <w:rFonts w:ascii="Calibri" w:eastAsia="宋体" w:hAnsi="Calibri" w:cs="Calibri"/>
                <w:b/>
                <w:bCs/>
                <w:kern w:val="0"/>
                <w:sz w:val="15"/>
                <w:szCs w:val="15"/>
              </w:rPr>
            </w:pPr>
            <w:r w:rsidRPr="00141675">
              <w:rPr>
                <w:rFonts w:ascii="Calibri" w:eastAsia="宋体" w:hAnsi="Calibri" w:cs="Calibri"/>
                <w:b/>
                <w:bCs/>
                <w:kern w:val="0"/>
                <w:sz w:val="15"/>
                <w:szCs w:val="15"/>
              </w:rPr>
              <w:t>Exhibit</w:t>
            </w:r>
          </w:p>
        </w:tc>
        <w:tc>
          <w:tcPr>
            <w:tcW w:w="132" w:type="dxa"/>
            <w:vAlign w:val="bottom"/>
            <w:hideMark/>
          </w:tcPr>
          <w:p w14:paraId="1E7CAAD6" w14:textId="77777777" w:rsidR="00141675" w:rsidRPr="00141675" w:rsidRDefault="00141675" w:rsidP="00141675">
            <w:pPr>
              <w:widowControl/>
              <w:jc w:val="center"/>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1909" w:type="dxa"/>
            <w:tcBorders>
              <w:bottom w:val="single" w:sz="6" w:space="0" w:color="000000"/>
            </w:tcBorders>
            <w:vAlign w:val="bottom"/>
            <w:hideMark/>
          </w:tcPr>
          <w:p w14:paraId="2FB284F9" w14:textId="77777777" w:rsidR="00141675" w:rsidRPr="00141675" w:rsidRDefault="00141675" w:rsidP="00141675">
            <w:pPr>
              <w:widowControl/>
              <w:jc w:val="center"/>
              <w:rPr>
                <w:rFonts w:ascii="Calibri" w:eastAsia="宋体" w:hAnsi="Calibri" w:cs="Calibri"/>
                <w:b/>
                <w:bCs/>
                <w:kern w:val="0"/>
                <w:sz w:val="15"/>
                <w:szCs w:val="15"/>
              </w:rPr>
            </w:pPr>
            <w:r w:rsidRPr="00141675">
              <w:rPr>
                <w:rFonts w:ascii="Calibri" w:eastAsia="宋体" w:hAnsi="Calibri" w:cs="Calibri"/>
                <w:b/>
                <w:bCs/>
                <w:kern w:val="0"/>
                <w:sz w:val="15"/>
                <w:szCs w:val="15"/>
              </w:rPr>
              <w:t>Filing Date</w:t>
            </w:r>
          </w:p>
        </w:tc>
        <w:tc>
          <w:tcPr>
            <w:tcW w:w="132" w:type="dxa"/>
            <w:vAlign w:val="bottom"/>
            <w:hideMark/>
          </w:tcPr>
          <w:p w14:paraId="6EA404E5" w14:textId="77777777" w:rsidR="00141675" w:rsidRPr="00141675" w:rsidRDefault="00141675" w:rsidP="00141675">
            <w:pPr>
              <w:widowControl/>
              <w:jc w:val="center"/>
              <w:rPr>
                <w:rFonts w:ascii="Times New Roman" w:eastAsia="宋体" w:hAnsi="Times New Roman" w:cs="Times New Roman"/>
                <w:kern w:val="0"/>
                <w:sz w:val="15"/>
                <w:szCs w:val="15"/>
              </w:rPr>
            </w:pPr>
            <w:r w:rsidRPr="00141675">
              <w:rPr>
                <w:rFonts w:ascii="Times New Roman" w:eastAsia="宋体" w:hAnsi="Times New Roman" w:cs="Times New Roman"/>
                <w:kern w:val="0"/>
                <w:sz w:val="15"/>
                <w:szCs w:val="15"/>
              </w:rPr>
              <w:t> </w:t>
            </w:r>
          </w:p>
        </w:tc>
        <w:tc>
          <w:tcPr>
            <w:tcW w:w="2140" w:type="dxa"/>
            <w:tcBorders>
              <w:bottom w:val="single" w:sz="6" w:space="0" w:color="000000"/>
            </w:tcBorders>
            <w:vAlign w:val="bottom"/>
            <w:hideMark/>
          </w:tcPr>
          <w:p w14:paraId="255CA720" w14:textId="77777777" w:rsidR="00141675" w:rsidRPr="00141675" w:rsidRDefault="00141675" w:rsidP="00141675">
            <w:pPr>
              <w:widowControl/>
              <w:jc w:val="center"/>
              <w:rPr>
                <w:rFonts w:ascii="Calibri" w:eastAsia="宋体" w:hAnsi="Calibri" w:cs="Calibri"/>
                <w:b/>
                <w:bCs/>
                <w:kern w:val="0"/>
                <w:sz w:val="15"/>
                <w:szCs w:val="15"/>
              </w:rPr>
            </w:pPr>
            <w:r w:rsidRPr="00141675">
              <w:rPr>
                <w:rFonts w:ascii="Calibri" w:eastAsia="宋体" w:hAnsi="Calibri" w:cs="Calibri"/>
                <w:b/>
                <w:bCs/>
                <w:kern w:val="0"/>
                <w:sz w:val="15"/>
                <w:szCs w:val="15"/>
              </w:rPr>
              <w:t>Filed By</w:t>
            </w:r>
          </w:p>
        </w:tc>
      </w:tr>
      <w:tr w:rsidR="00141675" w:rsidRPr="00141675" w14:paraId="4A3A81ED" w14:textId="77777777" w:rsidTr="00141675">
        <w:tc>
          <w:tcPr>
            <w:tcW w:w="1851" w:type="dxa"/>
            <w:tcBorders>
              <w:top w:val="single" w:sz="6" w:space="0" w:color="000000"/>
            </w:tcBorders>
            <w:hideMark/>
          </w:tcPr>
          <w:p w14:paraId="61A5DE37"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334AD6B2"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9042" w:type="dxa"/>
            <w:tcBorders>
              <w:top w:val="single" w:sz="6" w:space="0" w:color="000000"/>
            </w:tcBorders>
            <w:hideMark/>
          </w:tcPr>
          <w:p w14:paraId="591B4806"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06A6F476"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tcBorders>
              <w:top w:val="single" w:sz="6" w:space="0" w:color="000000"/>
            </w:tcBorders>
            <w:hideMark/>
          </w:tcPr>
          <w:p w14:paraId="4DFD0405"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7E9013A5"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033" w:type="dxa"/>
            <w:tcBorders>
              <w:top w:val="single" w:sz="6" w:space="0" w:color="000000"/>
            </w:tcBorders>
            <w:hideMark/>
          </w:tcPr>
          <w:p w14:paraId="784EAD5B"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7D5D652E"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tcBorders>
              <w:top w:val="single" w:sz="6" w:space="0" w:color="000000"/>
            </w:tcBorders>
            <w:hideMark/>
          </w:tcPr>
          <w:p w14:paraId="02FF8FEC"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21410E1A"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909" w:type="dxa"/>
            <w:tcBorders>
              <w:top w:val="single" w:sz="6" w:space="0" w:color="000000"/>
            </w:tcBorders>
            <w:hideMark/>
          </w:tcPr>
          <w:p w14:paraId="57C6CC38"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009569D9"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140" w:type="dxa"/>
            <w:tcBorders>
              <w:top w:val="single" w:sz="6" w:space="0" w:color="000000"/>
            </w:tcBorders>
            <w:hideMark/>
          </w:tcPr>
          <w:p w14:paraId="7F0A53B7"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5C97D511" w14:textId="77777777" w:rsidTr="00141675">
        <w:tc>
          <w:tcPr>
            <w:tcW w:w="1851" w:type="dxa"/>
            <w:hideMark/>
          </w:tcPr>
          <w:p w14:paraId="41973C6F" w14:textId="77777777" w:rsidR="00141675" w:rsidRPr="00141675" w:rsidRDefault="00141675" w:rsidP="00141675">
            <w:pPr>
              <w:widowControl/>
              <w:jc w:val="center"/>
              <w:rPr>
                <w:rFonts w:ascii="Calibri" w:eastAsia="宋体" w:hAnsi="Calibri" w:cs="Calibri"/>
                <w:kern w:val="0"/>
                <w:sz w:val="20"/>
                <w:szCs w:val="20"/>
              </w:rPr>
            </w:pPr>
            <w:r w:rsidRPr="00141675">
              <w:rPr>
                <w:rFonts w:ascii="Calibri" w:eastAsia="宋体" w:hAnsi="Calibri" w:cs="Calibri"/>
                <w:kern w:val="0"/>
                <w:sz w:val="20"/>
                <w:szCs w:val="20"/>
              </w:rPr>
              <w:t>10.15*‡</w:t>
            </w:r>
          </w:p>
        </w:tc>
        <w:tc>
          <w:tcPr>
            <w:tcW w:w="132" w:type="dxa"/>
            <w:hideMark/>
          </w:tcPr>
          <w:p w14:paraId="61F65845"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9042" w:type="dxa"/>
            <w:hideMark/>
          </w:tcPr>
          <w:p w14:paraId="42A54920" w14:textId="77777777" w:rsidR="00141675" w:rsidRPr="00141675" w:rsidRDefault="00141675" w:rsidP="00141675">
            <w:pPr>
              <w:widowControl/>
              <w:rPr>
                <w:rFonts w:ascii="Calibri" w:eastAsia="宋体" w:hAnsi="Calibri" w:cs="Calibri"/>
                <w:kern w:val="0"/>
                <w:sz w:val="20"/>
                <w:szCs w:val="20"/>
              </w:rPr>
            </w:pPr>
            <w:hyperlink r:id="rId69" w:history="1">
              <w:r w:rsidRPr="00141675">
                <w:rPr>
                  <w:rFonts w:ascii="Calibri" w:eastAsia="宋体" w:hAnsi="Calibri" w:cs="Calibri"/>
                  <w:color w:val="0000FF"/>
                  <w:kern w:val="0"/>
                  <w:sz w:val="20"/>
                  <w:szCs w:val="20"/>
                  <w:u w:val="single"/>
                </w:rPr>
                <w:t>Service Provider Agreement between Oracle America, Inc. and Hang Ten Systems LLC, effective as of November 1, 2019</w:t>
              </w:r>
            </w:hyperlink>
          </w:p>
        </w:tc>
        <w:tc>
          <w:tcPr>
            <w:tcW w:w="136" w:type="dxa"/>
            <w:hideMark/>
          </w:tcPr>
          <w:p w14:paraId="59F32657"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6012D003"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4CC2FF52"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033" w:type="dxa"/>
            <w:hideMark/>
          </w:tcPr>
          <w:p w14:paraId="6FC9CCC5"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2BC1958F"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3C934952"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7970955E"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909" w:type="dxa"/>
            <w:hideMark/>
          </w:tcPr>
          <w:p w14:paraId="6F1F3B65"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1C368276"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140" w:type="dxa"/>
            <w:hideMark/>
          </w:tcPr>
          <w:p w14:paraId="7237AA94"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3B3FFCDE" w14:textId="77777777" w:rsidTr="00141675">
        <w:tc>
          <w:tcPr>
            <w:tcW w:w="1851" w:type="dxa"/>
            <w:hideMark/>
          </w:tcPr>
          <w:p w14:paraId="47D5DD32"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72938FD7"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9042" w:type="dxa"/>
            <w:hideMark/>
          </w:tcPr>
          <w:p w14:paraId="220232A7"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495DFAC6"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356A4A0F"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49A7E9E8"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033" w:type="dxa"/>
            <w:hideMark/>
          </w:tcPr>
          <w:p w14:paraId="49C5358F"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2DA48558"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1B9C4502"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55100E81"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909" w:type="dxa"/>
            <w:hideMark/>
          </w:tcPr>
          <w:p w14:paraId="64094E37"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540A8EA3"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140" w:type="dxa"/>
            <w:hideMark/>
          </w:tcPr>
          <w:p w14:paraId="340EEA51"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012500EE" w14:textId="77777777" w:rsidTr="00141675">
        <w:tc>
          <w:tcPr>
            <w:tcW w:w="1851" w:type="dxa"/>
            <w:hideMark/>
          </w:tcPr>
          <w:p w14:paraId="20D4A984" w14:textId="77777777" w:rsidR="00141675" w:rsidRPr="00141675" w:rsidRDefault="00141675" w:rsidP="00141675">
            <w:pPr>
              <w:widowControl/>
              <w:jc w:val="center"/>
              <w:rPr>
                <w:rFonts w:ascii="Calibri" w:eastAsia="宋体" w:hAnsi="Calibri" w:cs="Calibri"/>
                <w:kern w:val="0"/>
                <w:sz w:val="20"/>
                <w:szCs w:val="20"/>
              </w:rPr>
            </w:pPr>
            <w:r w:rsidRPr="00141675">
              <w:rPr>
                <w:rFonts w:ascii="Calibri" w:eastAsia="宋体" w:hAnsi="Calibri" w:cs="Calibri"/>
                <w:kern w:val="0"/>
                <w:sz w:val="20"/>
                <w:szCs w:val="20"/>
              </w:rPr>
              <w:t>31.01‡</w:t>
            </w:r>
          </w:p>
        </w:tc>
        <w:tc>
          <w:tcPr>
            <w:tcW w:w="132" w:type="dxa"/>
            <w:hideMark/>
          </w:tcPr>
          <w:p w14:paraId="1977F0C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9042" w:type="dxa"/>
            <w:hideMark/>
          </w:tcPr>
          <w:p w14:paraId="295C5171" w14:textId="77777777" w:rsidR="00141675" w:rsidRPr="00141675" w:rsidRDefault="00141675" w:rsidP="00141675">
            <w:pPr>
              <w:widowControl/>
              <w:rPr>
                <w:rFonts w:ascii="Calibri" w:eastAsia="宋体" w:hAnsi="Calibri" w:cs="Calibri"/>
                <w:kern w:val="0"/>
                <w:sz w:val="20"/>
                <w:szCs w:val="20"/>
              </w:rPr>
            </w:pPr>
            <w:hyperlink r:id="rId70" w:history="1">
              <w:r w:rsidRPr="00141675">
                <w:rPr>
                  <w:rFonts w:ascii="Calibri" w:eastAsia="宋体" w:hAnsi="Calibri" w:cs="Calibri"/>
                  <w:color w:val="0000FF"/>
                  <w:kern w:val="0"/>
                  <w:sz w:val="20"/>
                  <w:szCs w:val="20"/>
                  <w:u w:val="single"/>
                </w:rPr>
                <w:t>Rule 13a-14(a)/15d-14(a) Certification of Principal Executive and Financial Officer</w:t>
              </w:r>
            </w:hyperlink>
          </w:p>
        </w:tc>
        <w:tc>
          <w:tcPr>
            <w:tcW w:w="136" w:type="dxa"/>
            <w:hideMark/>
          </w:tcPr>
          <w:p w14:paraId="55AD2568"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418" w:type="dxa"/>
            <w:hideMark/>
          </w:tcPr>
          <w:p w14:paraId="6E80D9F3" w14:textId="77777777" w:rsidR="00141675" w:rsidRPr="00141675" w:rsidRDefault="00141675" w:rsidP="00141675">
            <w:pPr>
              <w:widowControl/>
              <w:jc w:val="center"/>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6" w:type="dxa"/>
            <w:hideMark/>
          </w:tcPr>
          <w:p w14:paraId="603630F1" w14:textId="77777777" w:rsidR="00141675" w:rsidRPr="00141675" w:rsidRDefault="00141675" w:rsidP="00141675">
            <w:pPr>
              <w:widowControl/>
              <w:jc w:val="center"/>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33" w:type="dxa"/>
            <w:hideMark/>
          </w:tcPr>
          <w:p w14:paraId="1A007C86" w14:textId="77777777" w:rsidR="00141675" w:rsidRPr="00141675" w:rsidRDefault="00141675" w:rsidP="00141675">
            <w:pPr>
              <w:widowControl/>
              <w:jc w:val="center"/>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6" w:type="dxa"/>
            <w:hideMark/>
          </w:tcPr>
          <w:p w14:paraId="1FB5D488" w14:textId="77777777" w:rsidR="00141675" w:rsidRPr="00141675" w:rsidRDefault="00141675" w:rsidP="00141675">
            <w:pPr>
              <w:widowControl/>
              <w:jc w:val="center"/>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418" w:type="dxa"/>
            <w:hideMark/>
          </w:tcPr>
          <w:p w14:paraId="1DA7338F" w14:textId="77777777" w:rsidR="00141675" w:rsidRPr="00141675" w:rsidRDefault="00141675" w:rsidP="00141675">
            <w:pPr>
              <w:widowControl/>
              <w:jc w:val="center"/>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2" w:type="dxa"/>
            <w:hideMark/>
          </w:tcPr>
          <w:p w14:paraId="3271B9BC" w14:textId="77777777" w:rsidR="00141675" w:rsidRPr="00141675" w:rsidRDefault="00141675" w:rsidP="00141675">
            <w:pPr>
              <w:widowControl/>
              <w:jc w:val="center"/>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909" w:type="dxa"/>
            <w:hideMark/>
          </w:tcPr>
          <w:p w14:paraId="4FEF3165" w14:textId="77777777" w:rsidR="00141675" w:rsidRPr="00141675" w:rsidRDefault="00141675" w:rsidP="00141675">
            <w:pPr>
              <w:widowControl/>
              <w:jc w:val="center"/>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2" w:type="dxa"/>
            <w:hideMark/>
          </w:tcPr>
          <w:p w14:paraId="2646D033" w14:textId="77777777" w:rsidR="00141675" w:rsidRPr="00141675" w:rsidRDefault="00141675" w:rsidP="00141675">
            <w:pPr>
              <w:widowControl/>
              <w:jc w:val="center"/>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140" w:type="dxa"/>
            <w:hideMark/>
          </w:tcPr>
          <w:p w14:paraId="05AE0C92" w14:textId="77777777" w:rsidR="00141675" w:rsidRPr="00141675" w:rsidRDefault="00141675" w:rsidP="00141675">
            <w:pPr>
              <w:widowControl/>
              <w:jc w:val="center"/>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r>
      <w:tr w:rsidR="00141675" w:rsidRPr="00141675" w14:paraId="7A372D26" w14:textId="77777777" w:rsidTr="00141675">
        <w:tc>
          <w:tcPr>
            <w:tcW w:w="1851" w:type="dxa"/>
            <w:hideMark/>
          </w:tcPr>
          <w:p w14:paraId="03A14D4E"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5E1F6E92"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9042" w:type="dxa"/>
            <w:hideMark/>
          </w:tcPr>
          <w:p w14:paraId="76E1B614" w14:textId="77777777" w:rsidR="00141675" w:rsidRPr="00141675" w:rsidRDefault="00141675" w:rsidP="00141675">
            <w:pPr>
              <w:widowControl/>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4C131274"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12B7C948"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2FB17A2B"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033" w:type="dxa"/>
            <w:hideMark/>
          </w:tcPr>
          <w:p w14:paraId="46A88123"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496EFA6D"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4189F1DA"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64101242"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909" w:type="dxa"/>
            <w:hideMark/>
          </w:tcPr>
          <w:p w14:paraId="5799548D"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304D989D"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140" w:type="dxa"/>
            <w:hideMark/>
          </w:tcPr>
          <w:p w14:paraId="2BE48E63"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506D6C96" w14:textId="77777777" w:rsidTr="00141675">
        <w:tc>
          <w:tcPr>
            <w:tcW w:w="1851" w:type="dxa"/>
            <w:hideMark/>
          </w:tcPr>
          <w:p w14:paraId="31CC0C0F" w14:textId="77777777" w:rsidR="00141675" w:rsidRPr="00141675" w:rsidRDefault="00141675" w:rsidP="00141675">
            <w:pPr>
              <w:widowControl/>
              <w:jc w:val="center"/>
              <w:rPr>
                <w:rFonts w:ascii="Calibri" w:eastAsia="宋体" w:hAnsi="Calibri" w:cs="Calibri"/>
                <w:kern w:val="0"/>
                <w:sz w:val="20"/>
                <w:szCs w:val="20"/>
              </w:rPr>
            </w:pPr>
            <w:r w:rsidRPr="00141675">
              <w:rPr>
                <w:rFonts w:ascii="Calibri" w:eastAsia="宋体" w:hAnsi="Calibri" w:cs="Calibri"/>
                <w:kern w:val="0"/>
                <w:sz w:val="20"/>
                <w:szCs w:val="20"/>
              </w:rPr>
              <w:t>32.01†</w:t>
            </w:r>
          </w:p>
        </w:tc>
        <w:tc>
          <w:tcPr>
            <w:tcW w:w="132" w:type="dxa"/>
            <w:hideMark/>
          </w:tcPr>
          <w:p w14:paraId="7BF75BA9"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9042" w:type="dxa"/>
            <w:hideMark/>
          </w:tcPr>
          <w:p w14:paraId="5B8455C8" w14:textId="77777777" w:rsidR="00141675" w:rsidRPr="00141675" w:rsidRDefault="00141675" w:rsidP="00141675">
            <w:pPr>
              <w:widowControl/>
              <w:rPr>
                <w:rFonts w:ascii="Calibri" w:eastAsia="宋体" w:hAnsi="Calibri" w:cs="Calibri"/>
                <w:kern w:val="0"/>
                <w:sz w:val="20"/>
                <w:szCs w:val="20"/>
              </w:rPr>
            </w:pPr>
            <w:hyperlink r:id="rId71" w:history="1">
              <w:r w:rsidRPr="00141675">
                <w:rPr>
                  <w:rFonts w:ascii="Calibri" w:eastAsia="宋体" w:hAnsi="Calibri" w:cs="Calibri"/>
                  <w:color w:val="0000FF"/>
                  <w:kern w:val="0"/>
                  <w:sz w:val="20"/>
                  <w:szCs w:val="20"/>
                  <w:u w:val="single"/>
                </w:rPr>
                <w:t>Section 1350 Certification of Principal Executive and Financial Officer</w:t>
              </w:r>
            </w:hyperlink>
          </w:p>
        </w:tc>
        <w:tc>
          <w:tcPr>
            <w:tcW w:w="136" w:type="dxa"/>
            <w:hideMark/>
          </w:tcPr>
          <w:p w14:paraId="7EDBCF5D"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418" w:type="dxa"/>
            <w:hideMark/>
          </w:tcPr>
          <w:p w14:paraId="51AF30B3"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6" w:type="dxa"/>
            <w:hideMark/>
          </w:tcPr>
          <w:p w14:paraId="48EC1E11"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33" w:type="dxa"/>
            <w:hideMark/>
          </w:tcPr>
          <w:p w14:paraId="254A4041"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6" w:type="dxa"/>
            <w:hideMark/>
          </w:tcPr>
          <w:p w14:paraId="2C8FBB6E"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418" w:type="dxa"/>
            <w:hideMark/>
          </w:tcPr>
          <w:p w14:paraId="21163F2F"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2" w:type="dxa"/>
            <w:hideMark/>
          </w:tcPr>
          <w:p w14:paraId="6D82A7D7"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909" w:type="dxa"/>
            <w:hideMark/>
          </w:tcPr>
          <w:p w14:paraId="486DE508"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2" w:type="dxa"/>
            <w:hideMark/>
          </w:tcPr>
          <w:p w14:paraId="3AF83C8C"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140" w:type="dxa"/>
            <w:hideMark/>
          </w:tcPr>
          <w:p w14:paraId="60379C20"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r>
      <w:tr w:rsidR="00141675" w:rsidRPr="00141675" w14:paraId="42AFB510" w14:textId="77777777" w:rsidTr="00141675">
        <w:tc>
          <w:tcPr>
            <w:tcW w:w="1851" w:type="dxa"/>
            <w:hideMark/>
          </w:tcPr>
          <w:p w14:paraId="10EBA517"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3B291ABA"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9042" w:type="dxa"/>
            <w:hideMark/>
          </w:tcPr>
          <w:p w14:paraId="32F33454" w14:textId="77777777" w:rsidR="00141675" w:rsidRPr="00141675" w:rsidRDefault="00141675" w:rsidP="00141675">
            <w:pPr>
              <w:widowControl/>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372B3D6D"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10E0604F"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0ADB64C9"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033" w:type="dxa"/>
            <w:hideMark/>
          </w:tcPr>
          <w:p w14:paraId="1DB61B55"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6E435B13"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2909E7E2"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7C1185DD"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909" w:type="dxa"/>
            <w:hideMark/>
          </w:tcPr>
          <w:p w14:paraId="47497B67"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690FEBAB"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140" w:type="dxa"/>
            <w:hideMark/>
          </w:tcPr>
          <w:p w14:paraId="22D0E361"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38D6CDBC" w14:textId="77777777" w:rsidTr="00141675">
        <w:tc>
          <w:tcPr>
            <w:tcW w:w="1851" w:type="dxa"/>
            <w:hideMark/>
          </w:tcPr>
          <w:p w14:paraId="69C202D2" w14:textId="77777777" w:rsidR="00141675" w:rsidRPr="00141675" w:rsidRDefault="00141675" w:rsidP="00141675">
            <w:pPr>
              <w:widowControl/>
              <w:jc w:val="center"/>
              <w:rPr>
                <w:rFonts w:ascii="Calibri" w:eastAsia="宋体" w:hAnsi="Calibri" w:cs="Calibri"/>
                <w:kern w:val="0"/>
                <w:sz w:val="20"/>
                <w:szCs w:val="20"/>
              </w:rPr>
            </w:pPr>
            <w:r w:rsidRPr="00141675">
              <w:rPr>
                <w:rFonts w:ascii="Calibri" w:eastAsia="宋体" w:hAnsi="Calibri" w:cs="Calibri"/>
                <w:kern w:val="0"/>
                <w:sz w:val="20"/>
                <w:szCs w:val="20"/>
              </w:rPr>
              <w:t>101‡</w:t>
            </w:r>
          </w:p>
        </w:tc>
        <w:tc>
          <w:tcPr>
            <w:tcW w:w="132" w:type="dxa"/>
            <w:hideMark/>
          </w:tcPr>
          <w:p w14:paraId="52F33497"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9042" w:type="dxa"/>
            <w:hideMark/>
          </w:tcPr>
          <w:p w14:paraId="573559D3" w14:textId="77777777" w:rsidR="00141675" w:rsidRPr="00141675" w:rsidRDefault="00141675" w:rsidP="00141675">
            <w:pPr>
              <w:widowControl/>
              <w:rPr>
                <w:rFonts w:ascii="Calibri" w:eastAsia="宋体" w:hAnsi="Calibri" w:cs="Calibri"/>
                <w:kern w:val="0"/>
                <w:sz w:val="20"/>
                <w:szCs w:val="20"/>
              </w:rPr>
            </w:pPr>
            <w:r w:rsidRPr="00141675">
              <w:rPr>
                <w:rFonts w:ascii="Calibri" w:eastAsia="宋体" w:hAnsi="Calibri" w:cs="Calibri"/>
                <w:kern w:val="0"/>
                <w:sz w:val="20"/>
                <w:szCs w:val="20"/>
              </w:rPr>
              <w:t>Interactive Data Files Pursuant to Rule 405 of Regulation S-T, formatted in Inline XBRL: (i) Condensed Consolidated Balance Sheets as of November 30, 2019 and May 31, 2019, (ii) Condensed Consolidated Statements of Operations for the three and six months ended November 30, 2019 and 2018, (iii) Condensed Consolidated Statements of Equity for the three and six months ended November 30, 2019 and 2018, (iv) Condensed Consolidated Statements of Comprehensive Income for the three and six months ended November 30, 2019 and 2018, (v) Condensed Consolidated Statements of Cash Flows for the six months ended November 30, 2019 and 2018 and (vi) Notes to Condensed Consolidated Financial Statements</w:t>
            </w:r>
          </w:p>
        </w:tc>
        <w:tc>
          <w:tcPr>
            <w:tcW w:w="136" w:type="dxa"/>
            <w:hideMark/>
          </w:tcPr>
          <w:p w14:paraId="34C3CCBE"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418" w:type="dxa"/>
            <w:hideMark/>
          </w:tcPr>
          <w:p w14:paraId="56926DBD"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6" w:type="dxa"/>
            <w:hideMark/>
          </w:tcPr>
          <w:p w14:paraId="4A88C7E6"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33" w:type="dxa"/>
            <w:hideMark/>
          </w:tcPr>
          <w:p w14:paraId="7C698D08"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6" w:type="dxa"/>
            <w:hideMark/>
          </w:tcPr>
          <w:p w14:paraId="78545ADF"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418" w:type="dxa"/>
            <w:hideMark/>
          </w:tcPr>
          <w:p w14:paraId="572F1DAA"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2" w:type="dxa"/>
            <w:hideMark/>
          </w:tcPr>
          <w:p w14:paraId="4591D7F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909" w:type="dxa"/>
            <w:hideMark/>
          </w:tcPr>
          <w:p w14:paraId="07167347"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2" w:type="dxa"/>
            <w:hideMark/>
          </w:tcPr>
          <w:p w14:paraId="035110C9"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140" w:type="dxa"/>
            <w:hideMark/>
          </w:tcPr>
          <w:p w14:paraId="57FDA60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r>
      <w:tr w:rsidR="00141675" w:rsidRPr="00141675" w14:paraId="236D3E16" w14:textId="77777777" w:rsidTr="00141675">
        <w:tc>
          <w:tcPr>
            <w:tcW w:w="1851" w:type="dxa"/>
            <w:hideMark/>
          </w:tcPr>
          <w:p w14:paraId="239F6D74" w14:textId="77777777" w:rsidR="00141675" w:rsidRPr="00141675" w:rsidRDefault="00141675" w:rsidP="00141675">
            <w:pPr>
              <w:widowControl/>
              <w:jc w:val="center"/>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3636D1E9"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9042" w:type="dxa"/>
            <w:hideMark/>
          </w:tcPr>
          <w:p w14:paraId="701F9828" w14:textId="77777777" w:rsidR="00141675" w:rsidRPr="00141675" w:rsidRDefault="00141675" w:rsidP="00141675">
            <w:pPr>
              <w:widowControl/>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071D1F6F"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034BA431"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07E6AE7E"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033" w:type="dxa"/>
            <w:hideMark/>
          </w:tcPr>
          <w:p w14:paraId="37C0BE37"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6" w:type="dxa"/>
            <w:hideMark/>
          </w:tcPr>
          <w:p w14:paraId="784E156A"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418" w:type="dxa"/>
            <w:hideMark/>
          </w:tcPr>
          <w:p w14:paraId="6698856E"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0443CBF8"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909" w:type="dxa"/>
            <w:hideMark/>
          </w:tcPr>
          <w:p w14:paraId="37F49800"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132" w:type="dxa"/>
            <w:hideMark/>
          </w:tcPr>
          <w:p w14:paraId="3D78069A"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c>
          <w:tcPr>
            <w:tcW w:w="2140" w:type="dxa"/>
            <w:hideMark/>
          </w:tcPr>
          <w:p w14:paraId="40A20A2D" w14:textId="77777777" w:rsidR="00141675" w:rsidRPr="00141675" w:rsidRDefault="00141675" w:rsidP="00141675">
            <w:pPr>
              <w:widowControl/>
              <w:jc w:val="left"/>
              <w:rPr>
                <w:rFonts w:ascii="Times New Roman" w:eastAsia="宋体" w:hAnsi="Times New Roman" w:cs="Times New Roman"/>
                <w:kern w:val="0"/>
                <w:sz w:val="12"/>
                <w:szCs w:val="12"/>
              </w:rPr>
            </w:pPr>
            <w:r w:rsidRPr="00141675">
              <w:rPr>
                <w:rFonts w:ascii="Times New Roman" w:eastAsia="宋体" w:hAnsi="Times New Roman" w:cs="Times New Roman"/>
                <w:kern w:val="0"/>
                <w:sz w:val="12"/>
                <w:szCs w:val="12"/>
              </w:rPr>
              <w:t> </w:t>
            </w:r>
          </w:p>
        </w:tc>
      </w:tr>
      <w:tr w:rsidR="00141675" w:rsidRPr="00141675" w14:paraId="56C9C2ED" w14:textId="77777777" w:rsidTr="00141675">
        <w:tc>
          <w:tcPr>
            <w:tcW w:w="1851" w:type="dxa"/>
            <w:hideMark/>
          </w:tcPr>
          <w:p w14:paraId="30F38E63" w14:textId="77777777" w:rsidR="00141675" w:rsidRPr="00141675" w:rsidRDefault="00141675" w:rsidP="00141675">
            <w:pPr>
              <w:widowControl/>
              <w:jc w:val="center"/>
              <w:rPr>
                <w:rFonts w:ascii="Calibri" w:eastAsia="宋体" w:hAnsi="Calibri" w:cs="Calibri"/>
                <w:kern w:val="0"/>
                <w:sz w:val="20"/>
                <w:szCs w:val="20"/>
              </w:rPr>
            </w:pPr>
            <w:r w:rsidRPr="00141675">
              <w:rPr>
                <w:rFonts w:ascii="Calibri" w:eastAsia="宋体" w:hAnsi="Calibri" w:cs="Calibri"/>
                <w:kern w:val="0"/>
                <w:sz w:val="20"/>
                <w:szCs w:val="20"/>
              </w:rPr>
              <w:t>104‡</w:t>
            </w:r>
          </w:p>
        </w:tc>
        <w:tc>
          <w:tcPr>
            <w:tcW w:w="132" w:type="dxa"/>
            <w:hideMark/>
          </w:tcPr>
          <w:p w14:paraId="0AAA2EE1"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9042" w:type="dxa"/>
            <w:hideMark/>
          </w:tcPr>
          <w:p w14:paraId="3DD52915" w14:textId="77777777" w:rsidR="00141675" w:rsidRPr="00141675" w:rsidRDefault="00141675" w:rsidP="00141675">
            <w:pPr>
              <w:widowControl/>
              <w:rPr>
                <w:rFonts w:ascii="Calibri" w:eastAsia="宋体" w:hAnsi="Calibri" w:cs="Calibri"/>
                <w:kern w:val="0"/>
                <w:sz w:val="20"/>
                <w:szCs w:val="20"/>
              </w:rPr>
            </w:pPr>
            <w:r w:rsidRPr="00141675">
              <w:rPr>
                <w:rFonts w:ascii="Calibri" w:eastAsia="宋体" w:hAnsi="Calibri" w:cs="Calibri"/>
                <w:kern w:val="0"/>
                <w:sz w:val="20"/>
                <w:szCs w:val="20"/>
              </w:rPr>
              <w:t>The cover page from the Company’s Quarterly Report on Form 10-Q for the quarter ended November 30, 2019, formatted in Inline XBRL</w:t>
            </w:r>
          </w:p>
        </w:tc>
        <w:tc>
          <w:tcPr>
            <w:tcW w:w="136" w:type="dxa"/>
            <w:hideMark/>
          </w:tcPr>
          <w:p w14:paraId="3595DF13"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418" w:type="dxa"/>
            <w:hideMark/>
          </w:tcPr>
          <w:p w14:paraId="519BAA9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6" w:type="dxa"/>
            <w:hideMark/>
          </w:tcPr>
          <w:p w14:paraId="5BEBBEF7"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33" w:type="dxa"/>
            <w:hideMark/>
          </w:tcPr>
          <w:p w14:paraId="7E09E357"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6" w:type="dxa"/>
            <w:hideMark/>
          </w:tcPr>
          <w:p w14:paraId="5C638A19"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418" w:type="dxa"/>
            <w:hideMark/>
          </w:tcPr>
          <w:p w14:paraId="71B5C6E8"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2" w:type="dxa"/>
            <w:hideMark/>
          </w:tcPr>
          <w:p w14:paraId="659CACB6"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909" w:type="dxa"/>
            <w:hideMark/>
          </w:tcPr>
          <w:p w14:paraId="469ABAD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32" w:type="dxa"/>
            <w:hideMark/>
          </w:tcPr>
          <w:p w14:paraId="38FE2265"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140" w:type="dxa"/>
            <w:hideMark/>
          </w:tcPr>
          <w:p w14:paraId="087A4C32"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r>
    </w:tbl>
    <w:p w14:paraId="1547D0BF" w14:textId="77777777" w:rsidR="00141675" w:rsidRPr="00141675" w:rsidRDefault="00141675" w:rsidP="00141675">
      <w:pPr>
        <w:widowControl/>
        <w:pBdr>
          <w:bottom w:val="single" w:sz="6" w:space="1" w:color="auto"/>
        </w:pBdr>
        <w:ind w:right="18324"/>
        <w:jc w:val="left"/>
        <w:rPr>
          <w:rFonts w:ascii="Times New Roman" w:eastAsia="宋体" w:hAnsi="Times New Roman" w:cs="Times New Roman"/>
          <w:color w:val="000000"/>
          <w:kern w:val="0"/>
          <w:sz w:val="27"/>
          <w:szCs w:val="27"/>
        </w:rPr>
      </w:pPr>
      <w:r w:rsidRPr="00141675">
        <w:rPr>
          <w:rFonts w:ascii="Times New Roman" w:eastAsia="宋体" w:hAnsi="Times New Roman" w:cs="Times New Roman"/>
          <w:color w:val="000000"/>
          <w:kern w:val="0"/>
          <w:sz w:val="27"/>
          <w:szCs w:val="27"/>
        </w:rPr>
        <w:t> </w:t>
      </w: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5F79DFE5" w14:textId="77777777" w:rsidTr="00141675">
        <w:tc>
          <w:tcPr>
            <w:tcW w:w="794" w:type="dxa"/>
            <w:noWrap/>
            <w:hideMark/>
          </w:tcPr>
          <w:p w14:paraId="7F1FF045"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5"/>
                <w:szCs w:val="15"/>
              </w:rPr>
              <w:t>*</w:t>
            </w:r>
          </w:p>
        </w:tc>
        <w:tc>
          <w:tcPr>
            <w:tcW w:w="0" w:type="auto"/>
            <w:hideMark/>
          </w:tcPr>
          <w:p w14:paraId="075192D0" w14:textId="77777777" w:rsidR="00141675" w:rsidRPr="00141675" w:rsidRDefault="00141675" w:rsidP="00141675">
            <w:pPr>
              <w:widowControl/>
              <w:spacing w:before="60"/>
              <w:rPr>
                <w:rFonts w:ascii="Calibri" w:eastAsia="宋体" w:hAnsi="Calibri" w:cs="Calibri"/>
                <w:kern w:val="0"/>
                <w:sz w:val="15"/>
                <w:szCs w:val="15"/>
              </w:rPr>
            </w:pPr>
            <w:r w:rsidRPr="00141675">
              <w:rPr>
                <w:rFonts w:ascii="Calibri" w:eastAsia="宋体" w:hAnsi="Calibri" w:cs="Calibri"/>
                <w:kern w:val="0"/>
                <w:sz w:val="15"/>
                <w:szCs w:val="15"/>
              </w:rPr>
              <w:t>Indicates management contract or compensatory plan or arrangement.</w:t>
            </w:r>
          </w:p>
        </w:tc>
      </w:tr>
      <w:tr w:rsidR="00141675" w:rsidRPr="00141675" w14:paraId="6A7E600E" w14:textId="77777777" w:rsidTr="00141675">
        <w:tc>
          <w:tcPr>
            <w:tcW w:w="794" w:type="dxa"/>
            <w:noWrap/>
            <w:hideMark/>
          </w:tcPr>
          <w:p w14:paraId="618F4615" w14:textId="77777777" w:rsidR="00141675" w:rsidRPr="00141675" w:rsidRDefault="00141675" w:rsidP="00141675">
            <w:pPr>
              <w:widowControl/>
              <w:spacing w:before="40"/>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0" w:type="auto"/>
            <w:hideMark/>
          </w:tcPr>
          <w:p w14:paraId="50807110" w14:textId="77777777" w:rsidR="00141675" w:rsidRPr="00141675" w:rsidRDefault="00141675" w:rsidP="00141675">
            <w:pPr>
              <w:widowControl/>
              <w:spacing w:before="40"/>
              <w:rPr>
                <w:rFonts w:ascii="Calibri" w:eastAsia="宋体" w:hAnsi="Calibri" w:cs="Calibri"/>
                <w:color w:val="000000"/>
                <w:kern w:val="0"/>
                <w:sz w:val="19"/>
                <w:szCs w:val="19"/>
              </w:rPr>
            </w:pPr>
            <w:r w:rsidRPr="00141675">
              <w:rPr>
                <w:rFonts w:ascii="Calibri" w:eastAsia="宋体" w:hAnsi="Calibri" w:cs="Calibri"/>
                <w:color w:val="000000"/>
                <w:kern w:val="0"/>
                <w:sz w:val="15"/>
                <w:szCs w:val="15"/>
              </w:rPr>
              <w:t>Filed herewith</w:t>
            </w:r>
            <w:r w:rsidRPr="00141675">
              <w:rPr>
                <w:rFonts w:ascii="Calibri" w:eastAsia="宋体" w:hAnsi="Calibri" w:cs="Calibri"/>
                <w:color w:val="000000"/>
                <w:kern w:val="0"/>
                <w:sz w:val="19"/>
                <w:szCs w:val="19"/>
              </w:rPr>
              <w:t>.</w:t>
            </w:r>
          </w:p>
        </w:tc>
      </w:tr>
    </w:tbl>
    <w:p w14:paraId="0D37F2D9" w14:textId="77777777" w:rsidR="00141675" w:rsidRPr="00141675" w:rsidRDefault="00141675" w:rsidP="00141675">
      <w:pPr>
        <w:widowControl/>
        <w:jc w:val="left"/>
        <w:rPr>
          <w:rFonts w:ascii="微软雅黑" w:eastAsia="微软雅黑" w:hAnsi="微软雅黑" w:cs="宋体"/>
          <w:vanish/>
          <w:color w:val="000000"/>
          <w:kern w:val="0"/>
          <w:sz w:val="27"/>
          <w:szCs w:val="27"/>
        </w:rPr>
      </w:pPr>
    </w:p>
    <w:tbl>
      <w:tblPr>
        <w:tblW w:w="20614" w:type="dxa"/>
        <w:tblCellMar>
          <w:left w:w="0" w:type="dxa"/>
          <w:right w:w="0" w:type="dxa"/>
        </w:tblCellMar>
        <w:tblLook w:val="04A0" w:firstRow="1" w:lastRow="0" w:firstColumn="1" w:lastColumn="0" w:noHBand="0" w:noVBand="1"/>
      </w:tblPr>
      <w:tblGrid>
        <w:gridCol w:w="810"/>
        <w:gridCol w:w="19804"/>
      </w:tblGrid>
      <w:tr w:rsidR="00141675" w:rsidRPr="00141675" w14:paraId="2761F89C" w14:textId="77777777" w:rsidTr="00141675">
        <w:tc>
          <w:tcPr>
            <w:tcW w:w="794" w:type="dxa"/>
            <w:noWrap/>
            <w:hideMark/>
          </w:tcPr>
          <w:p w14:paraId="366C28AD" w14:textId="77777777" w:rsidR="00141675" w:rsidRPr="00141675" w:rsidRDefault="00141675" w:rsidP="00141675">
            <w:pPr>
              <w:widowControl/>
              <w:spacing w:before="60"/>
              <w:rPr>
                <w:rFonts w:ascii="Calibri" w:eastAsia="宋体" w:hAnsi="Calibri" w:cs="Calibri"/>
                <w:color w:val="000000"/>
                <w:kern w:val="0"/>
                <w:sz w:val="15"/>
                <w:szCs w:val="15"/>
              </w:rPr>
            </w:pPr>
            <w:r w:rsidRPr="00141675">
              <w:rPr>
                <w:rFonts w:ascii="Calibri" w:eastAsia="宋体" w:hAnsi="Calibri" w:cs="Calibri"/>
                <w:color w:val="000000"/>
                <w:kern w:val="0"/>
                <w:sz w:val="15"/>
                <w:szCs w:val="15"/>
              </w:rPr>
              <w:t>†</w:t>
            </w:r>
          </w:p>
        </w:tc>
        <w:tc>
          <w:tcPr>
            <w:tcW w:w="0" w:type="auto"/>
            <w:hideMark/>
          </w:tcPr>
          <w:p w14:paraId="6E615760" w14:textId="77777777" w:rsidR="00141675" w:rsidRPr="00141675" w:rsidRDefault="00141675" w:rsidP="00141675">
            <w:pPr>
              <w:widowControl/>
              <w:spacing w:before="60"/>
              <w:rPr>
                <w:rFonts w:ascii="Calibri" w:eastAsia="宋体" w:hAnsi="Calibri" w:cs="Calibri"/>
                <w:color w:val="000000"/>
                <w:kern w:val="0"/>
                <w:sz w:val="19"/>
                <w:szCs w:val="19"/>
              </w:rPr>
            </w:pPr>
            <w:r w:rsidRPr="00141675">
              <w:rPr>
                <w:rFonts w:ascii="Calibri" w:eastAsia="宋体" w:hAnsi="Calibri" w:cs="Calibri"/>
                <w:color w:val="000000"/>
                <w:kern w:val="0"/>
                <w:sz w:val="15"/>
                <w:szCs w:val="15"/>
              </w:rPr>
              <w:t>Furnished herewith.</w:t>
            </w:r>
          </w:p>
        </w:tc>
      </w:tr>
    </w:tbl>
    <w:p w14:paraId="748B4086" w14:textId="77777777" w:rsidR="00141675" w:rsidRPr="00141675" w:rsidRDefault="00141675" w:rsidP="00141675">
      <w:pPr>
        <w:widowControl/>
        <w:spacing w:before="240"/>
        <w:jc w:val="center"/>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46</w:t>
      </w:r>
    </w:p>
    <w:p w14:paraId="1D375C4D" w14:textId="77777777" w:rsidR="00141675" w:rsidRPr="00141675" w:rsidRDefault="00141675" w:rsidP="00141675">
      <w:pPr>
        <w:widowControl/>
        <w:jc w:val="left"/>
        <w:rPr>
          <w:rFonts w:ascii="宋体" w:eastAsia="宋体" w:hAnsi="宋体" w:cs="宋体"/>
          <w:kern w:val="0"/>
          <w:sz w:val="24"/>
          <w:szCs w:val="24"/>
        </w:rPr>
      </w:pPr>
      <w:r w:rsidRPr="00141675">
        <w:rPr>
          <w:rFonts w:ascii="宋体" w:eastAsia="宋体" w:hAnsi="宋体" w:cs="宋体"/>
          <w:kern w:val="0"/>
          <w:sz w:val="24"/>
          <w:szCs w:val="24"/>
        </w:rPr>
        <w:pict w14:anchorId="1D19F567">
          <v:rect id="_x0000_i1072" style="width:0;height:1.5pt" o:hralign="center" o:hrstd="t" o:hrnoshade="t" o:hr="t" fillcolor="black" stroked="f"/>
        </w:pict>
      </w:r>
    </w:p>
    <w:p w14:paraId="6FDCC71E" w14:textId="77777777" w:rsidR="00141675" w:rsidRPr="00141675" w:rsidRDefault="00141675" w:rsidP="00141675">
      <w:pPr>
        <w:widowControl/>
        <w:jc w:val="left"/>
        <w:rPr>
          <w:rFonts w:ascii="Calibri" w:eastAsia="宋体" w:hAnsi="Calibri" w:cs="Calibri"/>
          <w:b/>
          <w:bCs/>
          <w:color w:val="000000"/>
          <w:kern w:val="0"/>
          <w:sz w:val="20"/>
          <w:szCs w:val="20"/>
        </w:rPr>
      </w:pPr>
      <w:hyperlink r:id="rId72" w:anchor="TABLE_CONTENTS" w:history="1">
        <w:r w:rsidRPr="00141675">
          <w:rPr>
            <w:rFonts w:ascii="Calibri" w:eastAsia="宋体" w:hAnsi="Calibri" w:cs="Calibri"/>
            <w:b/>
            <w:bCs/>
            <w:color w:val="0000FF"/>
            <w:kern w:val="0"/>
            <w:sz w:val="20"/>
            <w:szCs w:val="20"/>
            <w:u w:val="single"/>
          </w:rPr>
          <w:t>Table of Contents</w:t>
        </w:r>
      </w:hyperlink>
    </w:p>
    <w:p w14:paraId="03CFBF3D" w14:textId="77777777" w:rsidR="00141675" w:rsidRPr="00141675" w:rsidRDefault="00141675" w:rsidP="00141675">
      <w:pPr>
        <w:widowControl/>
        <w:jc w:val="left"/>
        <w:rPr>
          <w:rFonts w:ascii="Times New Roman" w:eastAsia="宋体" w:hAnsi="Times New Roman" w:cs="Times New Roman"/>
          <w:color w:val="000000"/>
          <w:kern w:val="0"/>
          <w:sz w:val="20"/>
          <w:szCs w:val="20"/>
        </w:rPr>
      </w:pPr>
      <w:r w:rsidRPr="00141675">
        <w:rPr>
          <w:rFonts w:ascii="Times New Roman" w:eastAsia="宋体" w:hAnsi="Times New Roman" w:cs="Times New Roman"/>
          <w:color w:val="000000"/>
          <w:kern w:val="0"/>
          <w:sz w:val="20"/>
          <w:szCs w:val="20"/>
        </w:rPr>
        <w:t> </w:t>
      </w:r>
    </w:p>
    <w:p w14:paraId="53E84C05" w14:textId="77777777" w:rsidR="00141675" w:rsidRPr="00141675" w:rsidRDefault="00141675" w:rsidP="00141675">
      <w:pPr>
        <w:widowControl/>
        <w:jc w:val="center"/>
        <w:rPr>
          <w:rFonts w:ascii="Calibri" w:eastAsia="宋体" w:hAnsi="Calibri" w:cs="Calibri"/>
          <w:b/>
          <w:bCs/>
          <w:color w:val="000000"/>
          <w:kern w:val="0"/>
          <w:sz w:val="20"/>
          <w:szCs w:val="20"/>
        </w:rPr>
      </w:pPr>
      <w:r w:rsidRPr="00141675">
        <w:rPr>
          <w:rFonts w:ascii="Calibri" w:eastAsia="宋体" w:hAnsi="Calibri" w:cs="Calibri"/>
          <w:b/>
          <w:bCs/>
          <w:color w:val="000000"/>
          <w:kern w:val="0"/>
          <w:sz w:val="20"/>
          <w:szCs w:val="20"/>
        </w:rPr>
        <w:t>SIGNATURES</w:t>
      </w:r>
    </w:p>
    <w:p w14:paraId="11B932E3" w14:textId="77777777" w:rsidR="00141675" w:rsidRPr="00141675" w:rsidRDefault="00141675" w:rsidP="00141675">
      <w:pPr>
        <w:widowControl/>
        <w:spacing w:before="120"/>
        <w:rPr>
          <w:rFonts w:ascii="Calibri" w:eastAsia="宋体" w:hAnsi="Calibri" w:cs="Calibri"/>
          <w:color w:val="000000"/>
          <w:kern w:val="0"/>
          <w:sz w:val="20"/>
          <w:szCs w:val="20"/>
        </w:rPr>
      </w:pPr>
      <w:r w:rsidRPr="00141675">
        <w:rPr>
          <w:rFonts w:ascii="Calibri" w:eastAsia="宋体" w:hAnsi="Calibri" w:cs="Calibri"/>
          <w:color w:val="000000"/>
          <w:kern w:val="0"/>
          <w:sz w:val="20"/>
          <w:szCs w:val="20"/>
        </w:rPr>
        <w:t>Pursuant to the requirements of the Securities Exchange Act of 1934, Oracle Corporation has duly caused this report to be signed on its behalf by the undersigned, thereunto duly authorized.</w:t>
      </w:r>
    </w:p>
    <w:p w14:paraId="08E1E47E" w14:textId="77777777" w:rsidR="00141675" w:rsidRPr="00141675" w:rsidRDefault="00141675" w:rsidP="00141675">
      <w:pPr>
        <w:widowControl/>
        <w:jc w:val="left"/>
        <w:rPr>
          <w:rFonts w:ascii="Times New Roman" w:eastAsia="宋体" w:hAnsi="Times New Roman" w:cs="Times New Roman"/>
          <w:color w:val="000000"/>
          <w:kern w:val="0"/>
          <w:sz w:val="24"/>
          <w:szCs w:val="24"/>
        </w:rPr>
      </w:pPr>
      <w:r w:rsidRPr="00141675">
        <w:rPr>
          <w:rFonts w:ascii="Times New Roman" w:eastAsia="宋体" w:hAnsi="Times New Roman" w:cs="Times New Roman"/>
          <w:color w:val="000000"/>
          <w:kern w:val="0"/>
          <w:sz w:val="24"/>
          <w:szCs w:val="24"/>
        </w:rPr>
        <w:t> </w:t>
      </w:r>
    </w:p>
    <w:tbl>
      <w:tblPr>
        <w:tblW w:w="20614" w:type="dxa"/>
        <w:tblCellMar>
          <w:left w:w="0" w:type="dxa"/>
          <w:right w:w="0" w:type="dxa"/>
        </w:tblCellMar>
        <w:tblLook w:val="04A0" w:firstRow="1" w:lastRow="0" w:firstColumn="1" w:lastColumn="0" w:noHBand="0" w:noVBand="1"/>
      </w:tblPr>
      <w:tblGrid>
        <w:gridCol w:w="9483"/>
        <w:gridCol w:w="206"/>
        <w:gridCol w:w="412"/>
        <w:gridCol w:w="206"/>
        <w:gridCol w:w="10307"/>
      </w:tblGrid>
      <w:tr w:rsidR="00141675" w:rsidRPr="00141675" w14:paraId="72A255FF" w14:textId="77777777" w:rsidTr="00141675">
        <w:tc>
          <w:tcPr>
            <w:tcW w:w="9483" w:type="dxa"/>
            <w:vAlign w:val="center"/>
            <w:hideMark/>
          </w:tcPr>
          <w:p w14:paraId="5D0767D3"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206" w:type="dxa"/>
            <w:vAlign w:val="bottom"/>
            <w:hideMark/>
          </w:tcPr>
          <w:p w14:paraId="0026F062"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10926" w:type="dxa"/>
            <w:gridSpan w:val="3"/>
            <w:hideMark/>
          </w:tcPr>
          <w:p w14:paraId="70E09433" w14:textId="77777777" w:rsidR="00141675" w:rsidRPr="00141675" w:rsidRDefault="00141675" w:rsidP="00141675">
            <w:pPr>
              <w:widowControl/>
              <w:jc w:val="left"/>
              <w:rPr>
                <w:rFonts w:ascii="Calibri" w:eastAsia="宋体" w:hAnsi="Calibri" w:cs="Calibri"/>
                <w:b/>
                <w:bCs/>
                <w:kern w:val="0"/>
                <w:sz w:val="20"/>
                <w:szCs w:val="20"/>
              </w:rPr>
            </w:pPr>
            <w:r w:rsidRPr="00141675">
              <w:rPr>
                <w:rFonts w:ascii="Calibri" w:eastAsia="宋体" w:hAnsi="Calibri" w:cs="Calibri"/>
                <w:b/>
                <w:bCs/>
                <w:kern w:val="0"/>
                <w:sz w:val="20"/>
                <w:szCs w:val="20"/>
              </w:rPr>
              <w:t>ORACLE CORPORATION</w:t>
            </w:r>
          </w:p>
        </w:tc>
      </w:tr>
      <w:tr w:rsidR="00141675" w:rsidRPr="00141675" w14:paraId="7DAB9B23" w14:textId="77777777" w:rsidTr="00141675">
        <w:trPr>
          <w:trHeight w:val="192"/>
        </w:trPr>
        <w:tc>
          <w:tcPr>
            <w:tcW w:w="9483" w:type="dxa"/>
            <w:vAlign w:val="center"/>
            <w:hideMark/>
          </w:tcPr>
          <w:p w14:paraId="58CA0E66"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6" w:type="dxa"/>
            <w:vAlign w:val="center"/>
            <w:hideMark/>
          </w:tcPr>
          <w:p w14:paraId="5A973525"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10926" w:type="dxa"/>
            <w:gridSpan w:val="3"/>
            <w:vAlign w:val="center"/>
            <w:hideMark/>
          </w:tcPr>
          <w:p w14:paraId="75DEC154"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r>
      <w:tr w:rsidR="00141675" w:rsidRPr="00141675" w14:paraId="0EA5FCD5" w14:textId="77777777" w:rsidTr="00141675">
        <w:tc>
          <w:tcPr>
            <w:tcW w:w="9483" w:type="dxa"/>
            <w:hideMark/>
          </w:tcPr>
          <w:p w14:paraId="3B6B9603"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Date: December 13, 2019</w:t>
            </w:r>
          </w:p>
        </w:tc>
        <w:tc>
          <w:tcPr>
            <w:tcW w:w="206" w:type="dxa"/>
            <w:vAlign w:val="bottom"/>
            <w:hideMark/>
          </w:tcPr>
          <w:p w14:paraId="2966B427"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412" w:type="dxa"/>
            <w:hideMark/>
          </w:tcPr>
          <w:p w14:paraId="641A0572"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By:</w:t>
            </w:r>
          </w:p>
        </w:tc>
        <w:tc>
          <w:tcPr>
            <w:tcW w:w="206" w:type="dxa"/>
            <w:vAlign w:val="bottom"/>
            <w:hideMark/>
          </w:tcPr>
          <w:p w14:paraId="554FD8FA"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10307" w:type="dxa"/>
            <w:tcBorders>
              <w:bottom w:val="single" w:sz="6" w:space="0" w:color="000000"/>
            </w:tcBorders>
            <w:hideMark/>
          </w:tcPr>
          <w:p w14:paraId="7343E49B"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/s/  </w:t>
            </w:r>
            <w:r w:rsidRPr="00141675">
              <w:rPr>
                <w:rFonts w:ascii="Calibri" w:eastAsia="宋体" w:hAnsi="Calibri" w:cs="Calibri"/>
                <w:smallCaps/>
                <w:kern w:val="0"/>
                <w:sz w:val="20"/>
                <w:szCs w:val="20"/>
              </w:rPr>
              <w:t>Safra A. Catz</w:t>
            </w:r>
          </w:p>
        </w:tc>
      </w:tr>
      <w:tr w:rsidR="00141675" w:rsidRPr="00141675" w14:paraId="7EAF4171" w14:textId="77777777" w:rsidTr="00141675">
        <w:tc>
          <w:tcPr>
            <w:tcW w:w="9483" w:type="dxa"/>
            <w:vAlign w:val="center"/>
            <w:hideMark/>
          </w:tcPr>
          <w:p w14:paraId="10E127DC"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6" w:type="dxa"/>
            <w:vAlign w:val="bottom"/>
            <w:hideMark/>
          </w:tcPr>
          <w:p w14:paraId="28C2EA68"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412" w:type="dxa"/>
            <w:hideMark/>
          </w:tcPr>
          <w:p w14:paraId="58A75632"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6" w:type="dxa"/>
            <w:vAlign w:val="bottom"/>
            <w:hideMark/>
          </w:tcPr>
          <w:p w14:paraId="26A2A1C5"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10307" w:type="dxa"/>
            <w:tcBorders>
              <w:top w:val="single" w:sz="6" w:space="0" w:color="000000"/>
            </w:tcBorders>
            <w:hideMark/>
          </w:tcPr>
          <w:p w14:paraId="4824C1BB"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Safra A. Catz</w:t>
            </w:r>
          </w:p>
          <w:p w14:paraId="4529017E"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lastRenderedPageBreak/>
              <w:t>Chief Executive Officer and Director</w:t>
            </w:r>
          </w:p>
          <w:p w14:paraId="512B2174"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(Principal Executive and Financial Officer)</w:t>
            </w:r>
          </w:p>
        </w:tc>
      </w:tr>
      <w:tr w:rsidR="00141675" w:rsidRPr="00141675" w14:paraId="626C3194" w14:textId="77777777" w:rsidTr="00141675">
        <w:tc>
          <w:tcPr>
            <w:tcW w:w="9483" w:type="dxa"/>
            <w:vAlign w:val="center"/>
            <w:hideMark/>
          </w:tcPr>
          <w:p w14:paraId="246E983E"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lastRenderedPageBreak/>
              <w:t> </w:t>
            </w:r>
          </w:p>
        </w:tc>
        <w:tc>
          <w:tcPr>
            <w:tcW w:w="206" w:type="dxa"/>
            <w:vAlign w:val="bottom"/>
            <w:hideMark/>
          </w:tcPr>
          <w:p w14:paraId="41D356AB"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412" w:type="dxa"/>
            <w:hideMark/>
          </w:tcPr>
          <w:p w14:paraId="63B0B749"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6" w:type="dxa"/>
            <w:vAlign w:val="bottom"/>
            <w:hideMark/>
          </w:tcPr>
          <w:p w14:paraId="0D744B35"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10307" w:type="dxa"/>
            <w:hideMark/>
          </w:tcPr>
          <w:p w14:paraId="4175E202"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r>
      <w:tr w:rsidR="00141675" w:rsidRPr="00141675" w14:paraId="2F4657B8" w14:textId="77777777" w:rsidTr="00141675">
        <w:tc>
          <w:tcPr>
            <w:tcW w:w="9483" w:type="dxa"/>
            <w:hideMark/>
          </w:tcPr>
          <w:p w14:paraId="6BB6E636"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Date: December 13, 2019</w:t>
            </w:r>
          </w:p>
        </w:tc>
        <w:tc>
          <w:tcPr>
            <w:tcW w:w="206" w:type="dxa"/>
            <w:vAlign w:val="bottom"/>
            <w:hideMark/>
          </w:tcPr>
          <w:p w14:paraId="62AA9196"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412" w:type="dxa"/>
            <w:hideMark/>
          </w:tcPr>
          <w:p w14:paraId="44A01DF4"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By:</w:t>
            </w:r>
          </w:p>
        </w:tc>
        <w:tc>
          <w:tcPr>
            <w:tcW w:w="206" w:type="dxa"/>
            <w:vAlign w:val="bottom"/>
            <w:hideMark/>
          </w:tcPr>
          <w:p w14:paraId="4DA9FA26"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10307" w:type="dxa"/>
            <w:tcBorders>
              <w:bottom w:val="single" w:sz="6" w:space="0" w:color="000000"/>
            </w:tcBorders>
            <w:hideMark/>
          </w:tcPr>
          <w:p w14:paraId="0CEE5BD9"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/s/  </w:t>
            </w:r>
            <w:r w:rsidRPr="00141675">
              <w:rPr>
                <w:rFonts w:ascii="Calibri" w:eastAsia="宋体" w:hAnsi="Calibri" w:cs="Calibri"/>
                <w:smallCaps/>
                <w:kern w:val="0"/>
                <w:sz w:val="20"/>
                <w:szCs w:val="20"/>
              </w:rPr>
              <w:t>William Corey West</w:t>
            </w:r>
          </w:p>
        </w:tc>
      </w:tr>
      <w:tr w:rsidR="00141675" w:rsidRPr="00141675" w14:paraId="1CB4DA8D" w14:textId="77777777" w:rsidTr="00141675">
        <w:tc>
          <w:tcPr>
            <w:tcW w:w="9483" w:type="dxa"/>
            <w:vAlign w:val="center"/>
            <w:hideMark/>
          </w:tcPr>
          <w:p w14:paraId="389FF70D"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6" w:type="dxa"/>
            <w:vAlign w:val="bottom"/>
            <w:hideMark/>
          </w:tcPr>
          <w:p w14:paraId="6BD572F4"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412" w:type="dxa"/>
            <w:hideMark/>
          </w:tcPr>
          <w:p w14:paraId="76A7F48C"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6" w:type="dxa"/>
            <w:vAlign w:val="bottom"/>
            <w:hideMark/>
          </w:tcPr>
          <w:p w14:paraId="245D8D15"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10307" w:type="dxa"/>
            <w:tcBorders>
              <w:top w:val="single" w:sz="6" w:space="0" w:color="000000"/>
            </w:tcBorders>
            <w:hideMark/>
          </w:tcPr>
          <w:p w14:paraId="33FA1999"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William Corey West</w:t>
            </w:r>
          </w:p>
        </w:tc>
      </w:tr>
      <w:tr w:rsidR="00141675" w:rsidRPr="00141675" w14:paraId="3243B330" w14:textId="77777777" w:rsidTr="00141675">
        <w:tc>
          <w:tcPr>
            <w:tcW w:w="9483" w:type="dxa"/>
            <w:vAlign w:val="center"/>
            <w:hideMark/>
          </w:tcPr>
          <w:p w14:paraId="61311023"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6" w:type="dxa"/>
            <w:vAlign w:val="bottom"/>
            <w:hideMark/>
          </w:tcPr>
          <w:p w14:paraId="32450268"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412" w:type="dxa"/>
            <w:hideMark/>
          </w:tcPr>
          <w:p w14:paraId="1C7A14A5" w14:textId="77777777" w:rsidR="00141675" w:rsidRPr="00141675" w:rsidRDefault="00141675" w:rsidP="00141675">
            <w:pPr>
              <w:widowControl/>
              <w:jc w:val="left"/>
              <w:rPr>
                <w:rFonts w:ascii="Times New Roman" w:eastAsia="宋体" w:hAnsi="Times New Roman" w:cs="Times New Roman"/>
                <w:kern w:val="0"/>
                <w:sz w:val="24"/>
                <w:szCs w:val="24"/>
              </w:rPr>
            </w:pPr>
            <w:r w:rsidRPr="00141675">
              <w:rPr>
                <w:rFonts w:ascii="Times New Roman" w:eastAsia="宋体" w:hAnsi="Times New Roman" w:cs="Times New Roman"/>
                <w:kern w:val="0"/>
                <w:sz w:val="24"/>
                <w:szCs w:val="24"/>
              </w:rPr>
              <w:t> </w:t>
            </w:r>
          </w:p>
        </w:tc>
        <w:tc>
          <w:tcPr>
            <w:tcW w:w="206" w:type="dxa"/>
            <w:vAlign w:val="bottom"/>
            <w:hideMark/>
          </w:tcPr>
          <w:p w14:paraId="1276AEA6"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 </w:t>
            </w:r>
          </w:p>
        </w:tc>
        <w:tc>
          <w:tcPr>
            <w:tcW w:w="10307" w:type="dxa"/>
            <w:hideMark/>
          </w:tcPr>
          <w:p w14:paraId="6E16CC53"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Executive Vice President, Corporate Controller</w:t>
            </w:r>
          </w:p>
          <w:p w14:paraId="7BA98AED" w14:textId="77777777" w:rsidR="00141675" w:rsidRPr="00141675" w:rsidRDefault="00141675" w:rsidP="00141675">
            <w:pPr>
              <w:widowControl/>
              <w:jc w:val="left"/>
              <w:rPr>
                <w:rFonts w:ascii="Calibri" w:eastAsia="宋体" w:hAnsi="Calibri" w:cs="Calibri"/>
                <w:kern w:val="0"/>
                <w:sz w:val="20"/>
                <w:szCs w:val="20"/>
              </w:rPr>
            </w:pPr>
            <w:r w:rsidRPr="00141675">
              <w:rPr>
                <w:rFonts w:ascii="Calibri" w:eastAsia="宋体" w:hAnsi="Calibri" w:cs="Calibri"/>
                <w:kern w:val="0"/>
                <w:sz w:val="20"/>
                <w:szCs w:val="20"/>
              </w:rPr>
              <w:t>and Chief Accounting Officer</w:t>
            </w:r>
          </w:p>
        </w:tc>
      </w:tr>
    </w:tbl>
    <w:p w14:paraId="6A3E1379" w14:textId="77777777" w:rsidR="00141675" w:rsidRPr="00141675" w:rsidRDefault="00141675" w:rsidP="00141675">
      <w:pPr>
        <w:widowControl/>
        <w:jc w:val="left"/>
        <w:rPr>
          <w:rFonts w:ascii="Times New Roman" w:eastAsia="宋体" w:hAnsi="Times New Roman" w:cs="Times New Roman"/>
          <w:color w:val="000000"/>
          <w:kern w:val="0"/>
          <w:sz w:val="12"/>
          <w:szCs w:val="12"/>
        </w:rPr>
      </w:pPr>
      <w:r w:rsidRPr="00141675">
        <w:rPr>
          <w:rFonts w:ascii="Times New Roman" w:eastAsia="宋体" w:hAnsi="Times New Roman" w:cs="Times New Roman"/>
          <w:color w:val="000000"/>
          <w:kern w:val="0"/>
          <w:sz w:val="12"/>
          <w:szCs w:val="12"/>
        </w:rPr>
        <w:t> </w:t>
      </w:r>
    </w:p>
    <w:p w14:paraId="6A7DFD65" w14:textId="77777777" w:rsidR="00141675" w:rsidRPr="00141675" w:rsidRDefault="00141675" w:rsidP="00141675">
      <w:pPr>
        <w:widowControl/>
        <w:jc w:val="left"/>
        <w:rPr>
          <w:rFonts w:ascii="微软雅黑" w:eastAsia="微软雅黑" w:hAnsi="微软雅黑" w:cs="宋体"/>
          <w:color w:val="000000"/>
          <w:kern w:val="0"/>
          <w:sz w:val="18"/>
          <w:szCs w:val="18"/>
        </w:rPr>
      </w:pPr>
      <w:r w:rsidRPr="00141675">
        <w:rPr>
          <w:rFonts w:ascii="微软雅黑" w:eastAsia="微软雅黑" w:hAnsi="微软雅黑" w:cs="宋体" w:hint="eastAsia"/>
          <w:color w:val="000000"/>
          <w:kern w:val="0"/>
          <w:sz w:val="18"/>
          <w:szCs w:val="18"/>
        </w:rPr>
        <w:t> </w:t>
      </w:r>
    </w:p>
    <w:p w14:paraId="7E6EEFDE" w14:textId="77777777" w:rsidR="00141675" w:rsidRPr="00141675" w:rsidRDefault="00141675" w:rsidP="00141675">
      <w:pPr>
        <w:widowControl/>
        <w:spacing w:before="240"/>
        <w:jc w:val="center"/>
        <w:rPr>
          <w:rFonts w:ascii="Calibri" w:eastAsia="宋体" w:hAnsi="Calibri" w:cs="Calibri" w:hint="eastAsia"/>
          <w:color w:val="000000"/>
          <w:kern w:val="0"/>
          <w:sz w:val="20"/>
          <w:szCs w:val="20"/>
        </w:rPr>
      </w:pPr>
      <w:r w:rsidRPr="00141675">
        <w:rPr>
          <w:rFonts w:ascii="Calibri" w:eastAsia="宋体" w:hAnsi="Calibri" w:cs="Calibri"/>
          <w:color w:val="000000"/>
          <w:kern w:val="0"/>
          <w:sz w:val="20"/>
          <w:szCs w:val="20"/>
        </w:rPr>
        <w:t>47</w:t>
      </w:r>
    </w:p>
    <w:p w14:paraId="36F82022" w14:textId="77777777" w:rsidR="00D821B2" w:rsidRPr="00141675" w:rsidRDefault="00D821B2" w:rsidP="00141675"/>
    <w:sectPr w:rsidR="00D821B2" w:rsidRPr="001416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513"/>
    <w:rsid w:val="00141675"/>
    <w:rsid w:val="00735513"/>
    <w:rsid w:val="00D8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BA258"/>
  <w15:chartTrackingRefBased/>
  <w15:docId w15:val="{B3C1BFE8-6F2E-4E9D-8C8C-422850B8B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41675"/>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14167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41675"/>
    <w:rPr>
      <w:color w:val="0000FF"/>
      <w:u w:val="single"/>
    </w:rPr>
  </w:style>
  <w:style w:type="character" w:styleId="a5">
    <w:name w:val="FollowedHyperlink"/>
    <w:basedOn w:val="a0"/>
    <w:uiPriority w:val="99"/>
    <w:semiHidden/>
    <w:unhideWhenUsed/>
    <w:rsid w:val="0014167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660001">
      <w:bodyDiv w:val="1"/>
      <w:marLeft w:val="0"/>
      <w:marRight w:val="0"/>
      <w:marTop w:val="0"/>
      <w:marBottom w:val="0"/>
      <w:divBdr>
        <w:top w:val="none" w:sz="0" w:space="0" w:color="auto"/>
        <w:left w:val="none" w:sz="0" w:space="0" w:color="auto"/>
        <w:bottom w:val="none" w:sz="0" w:space="0" w:color="auto"/>
        <w:right w:val="none" w:sz="0" w:space="0" w:color="auto"/>
      </w:divBdr>
      <w:divsChild>
        <w:div w:id="1284576875">
          <w:marLeft w:val="0"/>
          <w:marRight w:val="0"/>
          <w:marTop w:val="0"/>
          <w:marBottom w:val="0"/>
          <w:divBdr>
            <w:top w:val="none" w:sz="0" w:space="0" w:color="auto"/>
            <w:left w:val="none" w:sz="0" w:space="0" w:color="auto"/>
            <w:bottom w:val="none" w:sz="0" w:space="0" w:color="auto"/>
            <w:right w:val="none" w:sz="0" w:space="0" w:color="auto"/>
          </w:divBdr>
        </w:div>
        <w:div w:id="1891570704">
          <w:marLeft w:val="0"/>
          <w:marRight w:val="0"/>
          <w:marTop w:val="0"/>
          <w:marBottom w:val="0"/>
          <w:divBdr>
            <w:top w:val="none" w:sz="0" w:space="0" w:color="auto"/>
            <w:left w:val="none" w:sz="0" w:space="0" w:color="auto"/>
            <w:bottom w:val="none" w:sz="0" w:space="0" w:color="auto"/>
            <w:right w:val="none" w:sz="0" w:space="0" w:color="auto"/>
          </w:divBdr>
        </w:div>
        <w:div w:id="1252280660">
          <w:marLeft w:val="0"/>
          <w:marRight w:val="0"/>
          <w:marTop w:val="0"/>
          <w:marBottom w:val="0"/>
          <w:divBdr>
            <w:top w:val="none" w:sz="0" w:space="0" w:color="auto"/>
            <w:left w:val="none" w:sz="0" w:space="0" w:color="auto"/>
            <w:bottom w:val="none" w:sz="0" w:space="0" w:color="auto"/>
            <w:right w:val="none" w:sz="0" w:space="0" w:color="auto"/>
          </w:divBdr>
        </w:div>
        <w:div w:id="1037857201">
          <w:marLeft w:val="0"/>
          <w:marRight w:val="0"/>
          <w:marTop w:val="0"/>
          <w:marBottom w:val="0"/>
          <w:divBdr>
            <w:top w:val="none" w:sz="0" w:space="0" w:color="auto"/>
            <w:left w:val="none" w:sz="0" w:space="0" w:color="auto"/>
            <w:bottom w:val="none" w:sz="0" w:space="0" w:color="auto"/>
            <w:right w:val="none" w:sz="0" w:space="0" w:color="auto"/>
          </w:divBdr>
        </w:div>
        <w:div w:id="1260917689">
          <w:marLeft w:val="0"/>
          <w:marRight w:val="0"/>
          <w:marTop w:val="0"/>
          <w:marBottom w:val="0"/>
          <w:divBdr>
            <w:top w:val="none" w:sz="0" w:space="0" w:color="auto"/>
            <w:left w:val="none" w:sz="0" w:space="0" w:color="auto"/>
            <w:bottom w:val="none" w:sz="0" w:space="0" w:color="auto"/>
            <w:right w:val="none" w:sz="0" w:space="0" w:color="auto"/>
          </w:divBdr>
        </w:div>
        <w:div w:id="478183043">
          <w:marLeft w:val="0"/>
          <w:marRight w:val="0"/>
          <w:marTop w:val="0"/>
          <w:marBottom w:val="0"/>
          <w:divBdr>
            <w:top w:val="none" w:sz="0" w:space="0" w:color="auto"/>
            <w:left w:val="none" w:sz="0" w:space="0" w:color="auto"/>
            <w:bottom w:val="none" w:sz="0" w:space="0" w:color="auto"/>
            <w:right w:val="none" w:sz="0" w:space="0" w:color="auto"/>
          </w:divBdr>
        </w:div>
        <w:div w:id="884409177">
          <w:marLeft w:val="0"/>
          <w:marRight w:val="0"/>
          <w:marTop w:val="0"/>
          <w:marBottom w:val="0"/>
          <w:divBdr>
            <w:top w:val="none" w:sz="0" w:space="0" w:color="auto"/>
            <w:left w:val="none" w:sz="0" w:space="0" w:color="auto"/>
            <w:bottom w:val="none" w:sz="0" w:space="0" w:color="auto"/>
            <w:right w:val="none" w:sz="0" w:space="0" w:color="auto"/>
          </w:divBdr>
        </w:div>
        <w:div w:id="1365592166">
          <w:marLeft w:val="0"/>
          <w:marRight w:val="0"/>
          <w:marTop w:val="0"/>
          <w:marBottom w:val="0"/>
          <w:divBdr>
            <w:top w:val="none" w:sz="0" w:space="0" w:color="auto"/>
            <w:left w:val="none" w:sz="0" w:space="0" w:color="auto"/>
            <w:bottom w:val="none" w:sz="0" w:space="0" w:color="auto"/>
            <w:right w:val="none" w:sz="0" w:space="0" w:color="auto"/>
          </w:divBdr>
        </w:div>
        <w:div w:id="1898008730">
          <w:marLeft w:val="0"/>
          <w:marRight w:val="0"/>
          <w:marTop w:val="0"/>
          <w:marBottom w:val="0"/>
          <w:divBdr>
            <w:top w:val="none" w:sz="0" w:space="0" w:color="auto"/>
            <w:left w:val="none" w:sz="0" w:space="0" w:color="auto"/>
            <w:bottom w:val="none" w:sz="0" w:space="0" w:color="auto"/>
            <w:right w:val="none" w:sz="0" w:space="0" w:color="auto"/>
          </w:divBdr>
        </w:div>
        <w:div w:id="1755279969">
          <w:marLeft w:val="0"/>
          <w:marRight w:val="0"/>
          <w:marTop w:val="0"/>
          <w:marBottom w:val="0"/>
          <w:divBdr>
            <w:top w:val="none" w:sz="0" w:space="0" w:color="auto"/>
            <w:left w:val="none" w:sz="0" w:space="0" w:color="auto"/>
            <w:bottom w:val="none" w:sz="0" w:space="0" w:color="auto"/>
            <w:right w:val="none" w:sz="0" w:space="0" w:color="auto"/>
          </w:divBdr>
        </w:div>
        <w:div w:id="284895787">
          <w:marLeft w:val="0"/>
          <w:marRight w:val="0"/>
          <w:marTop w:val="0"/>
          <w:marBottom w:val="0"/>
          <w:divBdr>
            <w:top w:val="none" w:sz="0" w:space="0" w:color="auto"/>
            <w:left w:val="none" w:sz="0" w:space="0" w:color="auto"/>
            <w:bottom w:val="none" w:sz="0" w:space="0" w:color="auto"/>
            <w:right w:val="none" w:sz="0" w:space="0" w:color="auto"/>
          </w:divBdr>
        </w:div>
        <w:div w:id="2084520830">
          <w:marLeft w:val="0"/>
          <w:marRight w:val="0"/>
          <w:marTop w:val="0"/>
          <w:marBottom w:val="0"/>
          <w:divBdr>
            <w:top w:val="none" w:sz="0" w:space="0" w:color="auto"/>
            <w:left w:val="none" w:sz="0" w:space="0" w:color="auto"/>
            <w:bottom w:val="none" w:sz="0" w:space="0" w:color="auto"/>
            <w:right w:val="none" w:sz="0" w:space="0" w:color="auto"/>
          </w:divBdr>
        </w:div>
        <w:div w:id="2036811075">
          <w:marLeft w:val="0"/>
          <w:marRight w:val="0"/>
          <w:marTop w:val="0"/>
          <w:marBottom w:val="0"/>
          <w:divBdr>
            <w:top w:val="none" w:sz="0" w:space="0" w:color="auto"/>
            <w:left w:val="none" w:sz="0" w:space="0" w:color="auto"/>
            <w:bottom w:val="none" w:sz="0" w:space="0" w:color="auto"/>
            <w:right w:val="none" w:sz="0" w:space="0" w:color="auto"/>
          </w:divBdr>
        </w:div>
        <w:div w:id="1109159373">
          <w:marLeft w:val="0"/>
          <w:marRight w:val="0"/>
          <w:marTop w:val="0"/>
          <w:marBottom w:val="0"/>
          <w:divBdr>
            <w:top w:val="none" w:sz="0" w:space="0" w:color="auto"/>
            <w:left w:val="none" w:sz="0" w:space="0" w:color="auto"/>
            <w:bottom w:val="none" w:sz="0" w:space="0" w:color="auto"/>
            <w:right w:val="none" w:sz="0" w:space="0" w:color="auto"/>
          </w:divBdr>
        </w:div>
        <w:div w:id="1441952721">
          <w:marLeft w:val="0"/>
          <w:marRight w:val="0"/>
          <w:marTop w:val="0"/>
          <w:marBottom w:val="0"/>
          <w:divBdr>
            <w:top w:val="none" w:sz="0" w:space="0" w:color="auto"/>
            <w:left w:val="none" w:sz="0" w:space="0" w:color="auto"/>
            <w:bottom w:val="none" w:sz="0" w:space="0" w:color="auto"/>
            <w:right w:val="none" w:sz="0" w:space="0" w:color="auto"/>
          </w:divBdr>
        </w:div>
        <w:div w:id="1546868811">
          <w:marLeft w:val="0"/>
          <w:marRight w:val="0"/>
          <w:marTop w:val="0"/>
          <w:marBottom w:val="0"/>
          <w:divBdr>
            <w:top w:val="none" w:sz="0" w:space="0" w:color="auto"/>
            <w:left w:val="none" w:sz="0" w:space="0" w:color="auto"/>
            <w:bottom w:val="none" w:sz="0" w:space="0" w:color="auto"/>
            <w:right w:val="none" w:sz="0" w:space="0" w:color="auto"/>
          </w:divBdr>
        </w:div>
        <w:div w:id="1412003113">
          <w:marLeft w:val="0"/>
          <w:marRight w:val="0"/>
          <w:marTop w:val="0"/>
          <w:marBottom w:val="0"/>
          <w:divBdr>
            <w:top w:val="none" w:sz="0" w:space="0" w:color="auto"/>
            <w:left w:val="none" w:sz="0" w:space="0" w:color="auto"/>
            <w:bottom w:val="none" w:sz="0" w:space="0" w:color="auto"/>
            <w:right w:val="none" w:sz="0" w:space="0" w:color="auto"/>
          </w:divBdr>
        </w:div>
        <w:div w:id="328675770">
          <w:marLeft w:val="0"/>
          <w:marRight w:val="0"/>
          <w:marTop w:val="0"/>
          <w:marBottom w:val="0"/>
          <w:divBdr>
            <w:top w:val="none" w:sz="0" w:space="0" w:color="auto"/>
            <w:left w:val="none" w:sz="0" w:space="0" w:color="auto"/>
            <w:bottom w:val="none" w:sz="0" w:space="0" w:color="auto"/>
            <w:right w:val="none" w:sz="0" w:space="0" w:color="auto"/>
          </w:divBdr>
        </w:div>
        <w:div w:id="136073358">
          <w:marLeft w:val="0"/>
          <w:marRight w:val="0"/>
          <w:marTop w:val="0"/>
          <w:marBottom w:val="0"/>
          <w:divBdr>
            <w:top w:val="none" w:sz="0" w:space="0" w:color="auto"/>
            <w:left w:val="none" w:sz="0" w:space="0" w:color="auto"/>
            <w:bottom w:val="none" w:sz="0" w:space="0" w:color="auto"/>
            <w:right w:val="none" w:sz="0" w:space="0" w:color="auto"/>
          </w:divBdr>
        </w:div>
        <w:div w:id="1171718461">
          <w:marLeft w:val="0"/>
          <w:marRight w:val="0"/>
          <w:marTop w:val="0"/>
          <w:marBottom w:val="0"/>
          <w:divBdr>
            <w:top w:val="none" w:sz="0" w:space="0" w:color="auto"/>
            <w:left w:val="none" w:sz="0" w:space="0" w:color="auto"/>
            <w:bottom w:val="none" w:sz="0" w:space="0" w:color="auto"/>
            <w:right w:val="none" w:sz="0" w:space="0" w:color="auto"/>
          </w:divBdr>
        </w:div>
        <w:div w:id="878862592">
          <w:marLeft w:val="0"/>
          <w:marRight w:val="0"/>
          <w:marTop w:val="0"/>
          <w:marBottom w:val="0"/>
          <w:divBdr>
            <w:top w:val="none" w:sz="0" w:space="0" w:color="auto"/>
            <w:left w:val="none" w:sz="0" w:space="0" w:color="auto"/>
            <w:bottom w:val="none" w:sz="0" w:space="0" w:color="auto"/>
            <w:right w:val="none" w:sz="0" w:space="0" w:color="auto"/>
          </w:divBdr>
        </w:div>
        <w:div w:id="2103329427">
          <w:marLeft w:val="0"/>
          <w:marRight w:val="0"/>
          <w:marTop w:val="0"/>
          <w:marBottom w:val="0"/>
          <w:divBdr>
            <w:top w:val="none" w:sz="0" w:space="0" w:color="auto"/>
            <w:left w:val="none" w:sz="0" w:space="0" w:color="auto"/>
            <w:bottom w:val="none" w:sz="0" w:space="0" w:color="auto"/>
            <w:right w:val="none" w:sz="0" w:space="0" w:color="auto"/>
          </w:divBdr>
        </w:div>
        <w:div w:id="233004261">
          <w:marLeft w:val="0"/>
          <w:marRight w:val="0"/>
          <w:marTop w:val="0"/>
          <w:marBottom w:val="0"/>
          <w:divBdr>
            <w:top w:val="none" w:sz="0" w:space="0" w:color="auto"/>
            <w:left w:val="none" w:sz="0" w:space="0" w:color="auto"/>
            <w:bottom w:val="none" w:sz="0" w:space="0" w:color="auto"/>
            <w:right w:val="none" w:sz="0" w:space="0" w:color="auto"/>
          </w:divBdr>
        </w:div>
        <w:div w:id="669412285">
          <w:marLeft w:val="0"/>
          <w:marRight w:val="0"/>
          <w:marTop w:val="0"/>
          <w:marBottom w:val="0"/>
          <w:divBdr>
            <w:top w:val="none" w:sz="0" w:space="0" w:color="auto"/>
            <w:left w:val="none" w:sz="0" w:space="0" w:color="auto"/>
            <w:bottom w:val="none" w:sz="0" w:space="0" w:color="auto"/>
            <w:right w:val="none" w:sz="0" w:space="0" w:color="auto"/>
          </w:divBdr>
        </w:div>
        <w:div w:id="166096833">
          <w:marLeft w:val="0"/>
          <w:marRight w:val="0"/>
          <w:marTop w:val="0"/>
          <w:marBottom w:val="0"/>
          <w:divBdr>
            <w:top w:val="none" w:sz="0" w:space="0" w:color="auto"/>
            <w:left w:val="none" w:sz="0" w:space="0" w:color="auto"/>
            <w:bottom w:val="none" w:sz="0" w:space="0" w:color="auto"/>
            <w:right w:val="none" w:sz="0" w:space="0" w:color="auto"/>
          </w:divBdr>
        </w:div>
        <w:div w:id="1615945267">
          <w:marLeft w:val="0"/>
          <w:marRight w:val="0"/>
          <w:marTop w:val="0"/>
          <w:marBottom w:val="0"/>
          <w:divBdr>
            <w:top w:val="none" w:sz="0" w:space="0" w:color="auto"/>
            <w:left w:val="none" w:sz="0" w:space="0" w:color="auto"/>
            <w:bottom w:val="none" w:sz="0" w:space="0" w:color="auto"/>
            <w:right w:val="none" w:sz="0" w:space="0" w:color="auto"/>
          </w:divBdr>
        </w:div>
        <w:div w:id="583417135">
          <w:marLeft w:val="0"/>
          <w:marRight w:val="0"/>
          <w:marTop w:val="0"/>
          <w:marBottom w:val="0"/>
          <w:divBdr>
            <w:top w:val="none" w:sz="0" w:space="0" w:color="auto"/>
            <w:left w:val="none" w:sz="0" w:space="0" w:color="auto"/>
            <w:bottom w:val="none" w:sz="0" w:space="0" w:color="auto"/>
            <w:right w:val="none" w:sz="0" w:space="0" w:color="auto"/>
          </w:divBdr>
        </w:div>
        <w:div w:id="1875844139">
          <w:marLeft w:val="0"/>
          <w:marRight w:val="0"/>
          <w:marTop w:val="0"/>
          <w:marBottom w:val="0"/>
          <w:divBdr>
            <w:top w:val="none" w:sz="0" w:space="0" w:color="auto"/>
            <w:left w:val="none" w:sz="0" w:space="0" w:color="auto"/>
            <w:bottom w:val="none" w:sz="0" w:space="0" w:color="auto"/>
            <w:right w:val="none" w:sz="0" w:space="0" w:color="auto"/>
          </w:divBdr>
        </w:div>
        <w:div w:id="2121803053">
          <w:marLeft w:val="0"/>
          <w:marRight w:val="0"/>
          <w:marTop w:val="0"/>
          <w:marBottom w:val="0"/>
          <w:divBdr>
            <w:top w:val="none" w:sz="0" w:space="0" w:color="auto"/>
            <w:left w:val="none" w:sz="0" w:space="0" w:color="auto"/>
            <w:bottom w:val="none" w:sz="0" w:space="0" w:color="auto"/>
            <w:right w:val="none" w:sz="0" w:space="0" w:color="auto"/>
          </w:divBdr>
        </w:div>
        <w:div w:id="1540783390">
          <w:marLeft w:val="0"/>
          <w:marRight w:val="0"/>
          <w:marTop w:val="0"/>
          <w:marBottom w:val="0"/>
          <w:divBdr>
            <w:top w:val="none" w:sz="0" w:space="0" w:color="auto"/>
            <w:left w:val="none" w:sz="0" w:space="0" w:color="auto"/>
            <w:bottom w:val="none" w:sz="0" w:space="0" w:color="auto"/>
            <w:right w:val="none" w:sz="0" w:space="0" w:color="auto"/>
          </w:divBdr>
        </w:div>
        <w:div w:id="305670153">
          <w:marLeft w:val="0"/>
          <w:marRight w:val="0"/>
          <w:marTop w:val="0"/>
          <w:marBottom w:val="0"/>
          <w:divBdr>
            <w:top w:val="none" w:sz="0" w:space="0" w:color="auto"/>
            <w:left w:val="none" w:sz="0" w:space="0" w:color="auto"/>
            <w:bottom w:val="none" w:sz="0" w:space="0" w:color="auto"/>
            <w:right w:val="none" w:sz="0" w:space="0" w:color="auto"/>
          </w:divBdr>
        </w:div>
        <w:div w:id="288435732">
          <w:marLeft w:val="0"/>
          <w:marRight w:val="0"/>
          <w:marTop w:val="0"/>
          <w:marBottom w:val="0"/>
          <w:divBdr>
            <w:top w:val="none" w:sz="0" w:space="0" w:color="auto"/>
            <w:left w:val="none" w:sz="0" w:space="0" w:color="auto"/>
            <w:bottom w:val="none" w:sz="0" w:space="0" w:color="auto"/>
            <w:right w:val="none" w:sz="0" w:space="0" w:color="auto"/>
          </w:divBdr>
        </w:div>
        <w:div w:id="1190221823">
          <w:marLeft w:val="0"/>
          <w:marRight w:val="0"/>
          <w:marTop w:val="0"/>
          <w:marBottom w:val="0"/>
          <w:divBdr>
            <w:top w:val="none" w:sz="0" w:space="0" w:color="auto"/>
            <w:left w:val="none" w:sz="0" w:space="0" w:color="auto"/>
            <w:bottom w:val="none" w:sz="0" w:space="0" w:color="auto"/>
            <w:right w:val="none" w:sz="0" w:space="0" w:color="auto"/>
          </w:divBdr>
        </w:div>
        <w:div w:id="572391952">
          <w:marLeft w:val="0"/>
          <w:marRight w:val="0"/>
          <w:marTop w:val="0"/>
          <w:marBottom w:val="0"/>
          <w:divBdr>
            <w:top w:val="none" w:sz="0" w:space="0" w:color="auto"/>
            <w:left w:val="none" w:sz="0" w:space="0" w:color="auto"/>
            <w:bottom w:val="none" w:sz="0" w:space="0" w:color="auto"/>
            <w:right w:val="none" w:sz="0" w:space="0" w:color="auto"/>
          </w:divBdr>
        </w:div>
        <w:div w:id="2003046588">
          <w:marLeft w:val="0"/>
          <w:marRight w:val="0"/>
          <w:marTop w:val="0"/>
          <w:marBottom w:val="0"/>
          <w:divBdr>
            <w:top w:val="none" w:sz="0" w:space="0" w:color="auto"/>
            <w:left w:val="none" w:sz="0" w:space="0" w:color="auto"/>
            <w:bottom w:val="none" w:sz="0" w:space="0" w:color="auto"/>
            <w:right w:val="none" w:sz="0" w:space="0" w:color="auto"/>
          </w:divBdr>
        </w:div>
        <w:div w:id="1674602402">
          <w:marLeft w:val="0"/>
          <w:marRight w:val="0"/>
          <w:marTop w:val="0"/>
          <w:marBottom w:val="0"/>
          <w:divBdr>
            <w:top w:val="none" w:sz="0" w:space="0" w:color="auto"/>
            <w:left w:val="none" w:sz="0" w:space="0" w:color="auto"/>
            <w:bottom w:val="none" w:sz="0" w:space="0" w:color="auto"/>
            <w:right w:val="none" w:sz="0" w:space="0" w:color="auto"/>
          </w:divBdr>
        </w:div>
        <w:div w:id="1598633341">
          <w:marLeft w:val="0"/>
          <w:marRight w:val="0"/>
          <w:marTop w:val="0"/>
          <w:marBottom w:val="0"/>
          <w:divBdr>
            <w:top w:val="none" w:sz="0" w:space="0" w:color="auto"/>
            <w:left w:val="none" w:sz="0" w:space="0" w:color="auto"/>
            <w:bottom w:val="none" w:sz="0" w:space="0" w:color="auto"/>
            <w:right w:val="none" w:sz="0" w:space="0" w:color="auto"/>
          </w:divBdr>
        </w:div>
        <w:div w:id="995108798">
          <w:marLeft w:val="0"/>
          <w:marRight w:val="0"/>
          <w:marTop w:val="0"/>
          <w:marBottom w:val="0"/>
          <w:divBdr>
            <w:top w:val="none" w:sz="0" w:space="0" w:color="auto"/>
            <w:left w:val="none" w:sz="0" w:space="0" w:color="auto"/>
            <w:bottom w:val="none" w:sz="0" w:space="0" w:color="auto"/>
            <w:right w:val="none" w:sz="0" w:space="0" w:color="auto"/>
          </w:divBdr>
        </w:div>
        <w:div w:id="2024741112">
          <w:marLeft w:val="0"/>
          <w:marRight w:val="0"/>
          <w:marTop w:val="0"/>
          <w:marBottom w:val="0"/>
          <w:divBdr>
            <w:top w:val="none" w:sz="0" w:space="0" w:color="auto"/>
            <w:left w:val="none" w:sz="0" w:space="0" w:color="auto"/>
            <w:bottom w:val="none" w:sz="0" w:space="0" w:color="auto"/>
            <w:right w:val="none" w:sz="0" w:space="0" w:color="auto"/>
          </w:divBdr>
        </w:div>
        <w:div w:id="420415448">
          <w:marLeft w:val="0"/>
          <w:marRight w:val="0"/>
          <w:marTop w:val="0"/>
          <w:marBottom w:val="0"/>
          <w:divBdr>
            <w:top w:val="none" w:sz="0" w:space="0" w:color="auto"/>
            <w:left w:val="none" w:sz="0" w:space="0" w:color="auto"/>
            <w:bottom w:val="none" w:sz="0" w:space="0" w:color="auto"/>
            <w:right w:val="none" w:sz="0" w:space="0" w:color="auto"/>
          </w:divBdr>
        </w:div>
        <w:div w:id="1773863111">
          <w:marLeft w:val="0"/>
          <w:marRight w:val="0"/>
          <w:marTop w:val="0"/>
          <w:marBottom w:val="0"/>
          <w:divBdr>
            <w:top w:val="none" w:sz="0" w:space="0" w:color="auto"/>
            <w:left w:val="none" w:sz="0" w:space="0" w:color="auto"/>
            <w:bottom w:val="none" w:sz="0" w:space="0" w:color="auto"/>
            <w:right w:val="none" w:sz="0" w:space="0" w:color="auto"/>
          </w:divBdr>
        </w:div>
        <w:div w:id="1076364774">
          <w:marLeft w:val="0"/>
          <w:marRight w:val="0"/>
          <w:marTop w:val="0"/>
          <w:marBottom w:val="0"/>
          <w:divBdr>
            <w:top w:val="none" w:sz="0" w:space="0" w:color="auto"/>
            <w:left w:val="none" w:sz="0" w:space="0" w:color="auto"/>
            <w:bottom w:val="none" w:sz="0" w:space="0" w:color="auto"/>
            <w:right w:val="none" w:sz="0" w:space="0" w:color="auto"/>
          </w:divBdr>
        </w:div>
        <w:div w:id="1017005747">
          <w:marLeft w:val="0"/>
          <w:marRight w:val="0"/>
          <w:marTop w:val="0"/>
          <w:marBottom w:val="0"/>
          <w:divBdr>
            <w:top w:val="none" w:sz="0" w:space="0" w:color="auto"/>
            <w:left w:val="none" w:sz="0" w:space="0" w:color="auto"/>
            <w:bottom w:val="none" w:sz="0" w:space="0" w:color="auto"/>
            <w:right w:val="none" w:sz="0" w:space="0" w:color="auto"/>
          </w:divBdr>
        </w:div>
        <w:div w:id="1849709330">
          <w:marLeft w:val="0"/>
          <w:marRight w:val="0"/>
          <w:marTop w:val="0"/>
          <w:marBottom w:val="0"/>
          <w:divBdr>
            <w:top w:val="none" w:sz="0" w:space="0" w:color="auto"/>
            <w:left w:val="none" w:sz="0" w:space="0" w:color="auto"/>
            <w:bottom w:val="none" w:sz="0" w:space="0" w:color="auto"/>
            <w:right w:val="none" w:sz="0" w:space="0" w:color="auto"/>
          </w:divBdr>
        </w:div>
        <w:div w:id="862519681">
          <w:marLeft w:val="0"/>
          <w:marRight w:val="0"/>
          <w:marTop w:val="0"/>
          <w:marBottom w:val="0"/>
          <w:divBdr>
            <w:top w:val="none" w:sz="0" w:space="0" w:color="auto"/>
            <w:left w:val="none" w:sz="0" w:space="0" w:color="auto"/>
            <w:bottom w:val="none" w:sz="0" w:space="0" w:color="auto"/>
            <w:right w:val="none" w:sz="0" w:space="0" w:color="auto"/>
          </w:divBdr>
        </w:div>
        <w:div w:id="2003508430">
          <w:marLeft w:val="0"/>
          <w:marRight w:val="0"/>
          <w:marTop w:val="0"/>
          <w:marBottom w:val="0"/>
          <w:divBdr>
            <w:top w:val="none" w:sz="0" w:space="0" w:color="auto"/>
            <w:left w:val="none" w:sz="0" w:space="0" w:color="auto"/>
            <w:bottom w:val="none" w:sz="0" w:space="0" w:color="auto"/>
            <w:right w:val="none" w:sz="0" w:space="0" w:color="auto"/>
          </w:divBdr>
        </w:div>
        <w:div w:id="1574317520">
          <w:marLeft w:val="0"/>
          <w:marRight w:val="0"/>
          <w:marTop w:val="0"/>
          <w:marBottom w:val="0"/>
          <w:divBdr>
            <w:top w:val="none" w:sz="0" w:space="0" w:color="auto"/>
            <w:left w:val="none" w:sz="0" w:space="0" w:color="auto"/>
            <w:bottom w:val="none" w:sz="0" w:space="0" w:color="auto"/>
            <w:right w:val="none" w:sz="0" w:space="0" w:color="auto"/>
          </w:divBdr>
        </w:div>
        <w:div w:id="882519906">
          <w:marLeft w:val="0"/>
          <w:marRight w:val="0"/>
          <w:marTop w:val="0"/>
          <w:marBottom w:val="0"/>
          <w:divBdr>
            <w:top w:val="none" w:sz="0" w:space="0" w:color="auto"/>
            <w:left w:val="none" w:sz="0" w:space="0" w:color="auto"/>
            <w:bottom w:val="none" w:sz="0" w:space="0" w:color="auto"/>
            <w:right w:val="none" w:sz="0" w:space="0" w:color="auto"/>
          </w:divBdr>
        </w:div>
        <w:div w:id="1725788453">
          <w:marLeft w:val="0"/>
          <w:marRight w:val="0"/>
          <w:marTop w:val="0"/>
          <w:marBottom w:val="0"/>
          <w:divBdr>
            <w:top w:val="none" w:sz="0" w:space="0" w:color="auto"/>
            <w:left w:val="none" w:sz="0" w:space="0" w:color="auto"/>
            <w:bottom w:val="none" w:sz="0" w:space="0" w:color="auto"/>
            <w:right w:val="none" w:sz="0" w:space="0" w:color="auto"/>
          </w:divBdr>
        </w:div>
        <w:div w:id="534271081">
          <w:marLeft w:val="0"/>
          <w:marRight w:val="0"/>
          <w:marTop w:val="0"/>
          <w:marBottom w:val="0"/>
          <w:divBdr>
            <w:top w:val="none" w:sz="0" w:space="0" w:color="auto"/>
            <w:left w:val="none" w:sz="0" w:space="0" w:color="auto"/>
            <w:bottom w:val="none" w:sz="0" w:space="0" w:color="auto"/>
            <w:right w:val="none" w:sz="0" w:space="0" w:color="auto"/>
          </w:divBdr>
        </w:div>
        <w:div w:id="1871453521">
          <w:marLeft w:val="0"/>
          <w:marRight w:val="0"/>
          <w:marTop w:val="0"/>
          <w:marBottom w:val="0"/>
          <w:divBdr>
            <w:top w:val="none" w:sz="0" w:space="0" w:color="auto"/>
            <w:left w:val="none" w:sz="0" w:space="0" w:color="auto"/>
            <w:bottom w:val="none" w:sz="0" w:space="0" w:color="auto"/>
            <w:right w:val="none" w:sz="0" w:space="0" w:color="auto"/>
          </w:divBdr>
        </w:div>
        <w:div w:id="69011443">
          <w:marLeft w:val="0"/>
          <w:marRight w:val="0"/>
          <w:marTop w:val="0"/>
          <w:marBottom w:val="0"/>
          <w:divBdr>
            <w:top w:val="none" w:sz="0" w:space="0" w:color="auto"/>
            <w:left w:val="none" w:sz="0" w:space="0" w:color="auto"/>
            <w:bottom w:val="none" w:sz="0" w:space="0" w:color="auto"/>
            <w:right w:val="none" w:sz="0" w:space="0" w:color="auto"/>
          </w:divBdr>
        </w:div>
        <w:div w:id="1617522859">
          <w:marLeft w:val="0"/>
          <w:marRight w:val="0"/>
          <w:marTop w:val="0"/>
          <w:marBottom w:val="0"/>
          <w:divBdr>
            <w:top w:val="none" w:sz="0" w:space="0" w:color="auto"/>
            <w:left w:val="none" w:sz="0" w:space="0" w:color="auto"/>
            <w:bottom w:val="none" w:sz="0" w:space="0" w:color="auto"/>
            <w:right w:val="none" w:sz="0" w:space="0" w:color="auto"/>
          </w:divBdr>
        </w:div>
        <w:div w:id="178593190">
          <w:marLeft w:val="0"/>
          <w:marRight w:val="0"/>
          <w:marTop w:val="0"/>
          <w:marBottom w:val="0"/>
          <w:divBdr>
            <w:top w:val="none" w:sz="0" w:space="0" w:color="auto"/>
            <w:left w:val="none" w:sz="0" w:space="0" w:color="auto"/>
            <w:bottom w:val="none" w:sz="0" w:space="0" w:color="auto"/>
            <w:right w:val="none" w:sz="0" w:space="0" w:color="auto"/>
          </w:divBdr>
        </w:div>
        <w:div w:id="795149285">
          <w:marLeft w:val="0"/>
          <w:marRight w:val="0"/>
          <w:marTop w:val="0"/>
          <w:marBottom w:val="0"/>
          <w:divBdr>
            <w:top w:val="none" w:sz="0" w:space="0" w:color="auto"/>
            <w:left w:val="none" w:sz="0" w:space="0" w:color="auto"/>
            <w:bottom w:val="none" w:sz="0" w:space="0" w:color="auto"/>
            <w:right w:val="none" w:sz="0" w:space="0" w:color="auto"/>
          </w:divBdr>
        </w:div>
        <w:div w:id="1918250792">
          <w:marLeft w:val="0"/>
          <w:marRight w:val="0"/>
          <w:marTop w:val="0"/>
          <w:marBottom w:val="0"/>
          <w:divBdr>
            <w:top w:val="none" w:sz="0" w:space="0" w:color="auto"/>
            <w:left w:val="none" w:sz="0" w:space="0" w:color="auto"/>
            <w:bottom w:val="none" w:sz="0" w:space="0" w:color="auto"/>
            <w:right w:val="none" w:sz="0" w:space="0" w:color="auto"/>
          </w:divBdr>
        </w:div>
        <w:div w:id="328171025">
          <w:marLeft w:val="0"/>
          <w:marRight w:val="0"/>
          <w:marTop w:val="0"/>
          <w:marBottom w:val="0"/>
          <w:divBdr>
            <w:top w:val="none" w:sz="0" w:space="0" w:color="auto"/>
            <w:left w:val="none" w:sz="0" w:space="0" w:color="auto"/>
            <w:bottom w:val="none" w:sz="0" w:space="0" w:color="auto"/>
            <w:right w:val="none" w:sz="0" w:space="0" w:color="auto"/>
          </w:divBdr>
        </w:div>
        <w:div w:id="960115289">
          <w:marLeft w:val="0"/>
          <w:marRight w:val="0"/>
          <w:marTop w:val="0"/>
          <w:marBottom w:val="0"/>
          <w:divBdr>
            <w:top w:val="none" w:sz="0" w:space="0" w:color="auto"/>
            <w:left w:val="none" w:sz="0" w:space="0" w:color="auto"/>
            <w:bottom w:val="none" w:sz="0" w:space="0" w:color="auto"/>
            <w:right w:val="none" w:sz="0" w:space="0" w:color="auto"/>
          </w:divBdr>
        </w:div>
        <w:div w:id="1735398130">
          <w:marLeft w:val="0"/>
          <w:marRight w:val="0"/>
          <w:marTop w:val="0"/>
          <w:marBottom w:val="0"/>
          <w:divBdr>
            <w:top w:val="none" w:sz="0" w:space="0" w:color="auto"/>
            <w:left w:val="none" w:sz="0" w:space="0" w:color="auto"/>
            <w:bottom w:val="none" w:sz="0" w:space="0" w:color="auto"/>
            <w:right w:val="none" w:sz="0" w:space="0" w:color="auto"/>
          </w:divBdr>
        </w:div>
        <w:div w:id="1813789737">
          <w:marLeft w:val="0"/>
          <w:marRight w:val="0"/>
          <w:marTop w:val="0"/>
          <w:marBottom w:val="0"/>
          <w:divBdr>
            <w:top w:val="none" w:sz="0" w:space="0" w:color="auto"/>
            <w:left w:val="none" w:sz="0" w:space="0" w:color="auto"/>
            <w:bottom w:val="none" w:sz="0" w:space="0" w:color="auto"/>
            <w:right w:val="none" w:sz="0" w:space="0" w:color="auto"/>
          </w:divBdr>
        </w:div>
        <w:div w:id="1847014268">
          <w:marLeft w:val="0"/>
          <w:marRight w:val="0"/>
          <w:marTop w:val="0"/>
          <w:marBottom w:val="0"/>
          <w:divBdr>
            <w:top w:val="none" w:sz="0" w:space="0" w:color="auto"/>
            <w:left w:val="none" w:sz="0" w:space="0" w:color="auto"/>
            <w:bottom w:val="none" w:sz="0" w:space="0" w:color="auto"/>
            <w:right w:val="none" w:sz="0" w:space="0" w:color="auto"/>
          </w:divBdr>
        </w:div>
        <w:div w:id="1812599516">
          <w:marLeft w:val="0"/>
          <w:marRight w:val="0"/>
          <w:marTop w:val="0"/>
          <w:marBottom w:val="0"/>
          <w:divBdr>
            <w:top w:val="none" w:sz="0" w:space="0" w:color="auto"/>
            <w:left w:val="none" w:sz="0" w:space="0" w:color="auto"/>
            <w:bottom w:val="none" w:sz="0" w:space="0" w:color="auto"/>
            <w:right w:val="none" w:sz="0" w:space="0" w:color="auto"/>
          </w:divBdr>
        </w:div>
        <w:div w:id="388848546">
          <w:marLeft w:val="0"/>
          <w:marRight w:val="0"/>
          <w:marTop w:val="0"/>
          <w:marBottom w:val="0"/>
          <w:divBdr>
            <w:top w:val="none" w:sz="0" w:space="0" w:color="auto"/>
            <w:left w:val="none" w:sz="0" w:space="0" w:color="auto"/>
            <w:bottom w:val="none" w:sz="0" w:space="0" w:color="auto"/>
            <w:right w:val="none" w:sz="0" w:space="0" w:color="auto"/>
          </w:divBdr>
        </w:div>
        <w:div w:id="1204098042">
          <w:marLeft w:val="0"/>
          <w:marRight w:val="0"/>
          <w:marTop w:val="0"/>
          <w:marBottom w:val="0"/>
          <w:divBdr>
            <w:top w:val="none" w:sz="0" w:space="0" w:color="auto"/>
            <w:left w:val="none" w:sz="0" w:space="0" w:color="auto"/>
            <w:bottom w:val="none" w:sz="0" w:space="0" w:color="auto"/>
            <w:right w:val="none" w:sz="0" w:space="0" w:color="auto"/>
          </w:divBdr>
        </w:div>
        <w:div w:id="84569997">
          <w:marLeft w:val="0"/>
          <w:marRight w:val="0"/>
          <w:marTop w:val="0"/>
          <w:marBottom w:val="0"/>
          <w:divBdr>
            <w:top w:val="none" w:sz="0" w:space="0" w:color="auto"/>
            <w:left w:val="none" w:sz="0" w:space="0" w:color="auto"/>
            <w:bottom w:val="none" w:sz="0" w:space="0" w:color="auto"/>
            <w:right w:val="none" w:sz="0" w:space="0" w:color="auto"/>
          </w:divBdr>
        </w:div>
        <w:div w:id="162092502">
          <w:marLeft w:val="0"/>
          <w:marRight w:val="0"/>
          <w:marTop w:val="0"/>
          <w:marBottom w:val="0"/>
          <w:divBdr>
            <w:top w:val="none" w:sz="0" w:space="0" w:color="auto"/>
            <w:left w:val="none" w:sz="0" w:space="0" w:color="auto"/>
            <w:bottom w:val="none" w:sz="0" w:space="0" w:color="auto"/>
            <w:right w:val="none" w:sz="0" w:space="0" w:color="auto"/>
          </w:divBdr>
        </w:div>
        <w:div w:id="1902010511">
          <w:marLeft w:val="0"/>
          <w:marRight w:val="0"/>
          <w:marTop w:val="0"/>
          <w:marBottom w:val="0"/>
          <w:divBdr>
            <w:top w:val="none" w:sz="0" w:space="0" w:color="auto"/>
            <w:left w:val="none" w:sz="0" w:space="0" w:color="auto"/>
            <w:bottom w:val="none" w:sz="0" w:space="0" w:color="auto"/>
            <w:right w:val="none" w:sz="0" w:space="0" w:color="auto"/>
          </w:divBdr>
        </w:div>
        <w:div w:id="1922519280">
          <w:marLeft w:val="0"/>
          <w:marRight w:val="0"/>
          <w:marTop w:val="0"/>
          <w:marBottom w:val="0"/>
          <w:divBdr>
            <w:top w:val="none" w:sz="0" w:space="0" w:color="auto"/>
            <w:left w:val="none" w:sz="0" w:space="0" w:color="auto"/>
            <w:bottom w:val="none" w:sz="0" w:space="0" w:color="auto"/>
            <w:right w:val="none" w:sz="0" w:space="0" w:color="auto"/>
          </w:divBdr>
        </w:div>
        <w:div w:id="579559821">
          <w:marLeft w:val="0"/>
          <w:marRight w:val="0"/>
          <w:marTop w:val="0"/>
          <w:marBottom w:val="0"/>
          <w:divBdr>
            <w:top w:val="none" w:sz="0" w:space="0" w:color="auto"/>
            <w:left w:val="none" w:sz="0" w:space="0" w:color="auto"/>
            <w:bottom w:val="none" w:sz="0" w:space="0" w:color="auto"/>
            <w:right w:val="none" w:sz="0" w:space="0" w:color="auto"/>
          </w:divBdr>
        </w:div>
        <w:div w:id="451172883">
          <w:marLeft w:val="0"/>
          <w:marRight w:val="0"/>
          <w:marTop w:val="0"/>
          <w:marBottom w:val="0"/>
          <w:divBdr>
            <w:top w:val="none" w:sz="0" w:space="0" w:color="auto"/>
            <w:left w:val="none" w:sz="0" w:space="0" w:color="auto"/>
            <w:bottom w:val="none" w:sz="0" w:space="0" w:color="auto"/>
            <w:right w:val="none" w:sz="0" w:space="0" w:color="auto"/>
          </w:divBdr>
        </w:div>
        <w:div w:id="908343056">
          <w:marLeft w:val="0"/>
          <w:marRight w:val="0"/>
          <w:marTop w:val="0"/>
          <w:marBottom w:val="0"/>
          <w:divBdr>
            <w:top w:val="none" w:sz="0" w:space="0" w:color="auto"/>
            <w:left w:val="none" w:sz="0" w:space="0" w:color="auto"/>
            <w:bottom w:val="none" w:sz="0" w:space="0" w:color="auto"/>
            <w:right w:val="none" w:sz="0" w:space="0" w:color="auto"/>
          </w:divBdr>
        </w:div>
        <w:div w:id="1836214906">
          <w:marLeft w:val="0"/>
          <w:marRight w:val="0"/>
          <w:marTop w:val="0"/>
          <w:marBottom w:val="0"/>
          <w:divBdr>
            <w:top w:val="none" w:sz="0" w:space="0" w:color="auto"/>
            <w:left w:val="none" w:sz="0" w:space="0" w:color="auto"/>
            <w:bottom w:val="none" w:sz="0" w:space="0" w:color="auto"/>
            <w:right w:val="none" w:sz="0" w:space="0" w:color="auto"/>
          </w:divBdr>
        </w:div>
        <w:div w:id="2124037188">
          <w:marLeft w:val="0"/>
          <w:marRight w:val="0"/>
          <w:marTop w:val="0"/>
          <w:marBottom w:val="0"/>
          <w:divBdr>
            <w:top w:val="none" w:sz="0" w:space="0" w:color="auto"/>
            <w:left w:val="none" w:sz="0" w:space="0" w:color="auto"/>
            <w:bottom w:val="none" w:sz="0" w:space="0" w:color="auto"/>
            <w:right w:val="none" w:sz="0" w:space="0" w:color="auto"/>
          </w:divBdr>
        </w:div>
        <w:div w:id="939028971">
          <w:marLeft w:val="0"/>
          <w:marRight w:val="0"/>
          <w:marTop w:val="0"/>
          <w:marBottom w:val="0"/>
          <w:divBdr>
            <w:top w:val="none" w:sz="0" w:space="0" w:color="auto"/>
            <w:left w:val="none" w:sz="0" w:space="0" w:color="auto"/>
            <w:bottom w:val="none" w:sz="0" w:space="0" w:color="auto"/>
            <w:right w:val="none" w:sz="0" w:space="0" w:color="auto"/>
          </w:divBdr>
        </w:div>
        <w:div w:id="1780834167">
          <w:marLeft w:val="0"/>
          <w:marRight w:val="0"/>
          <w:marTop w:val="0"/>
          <w:marBottom w:val="0"/>
          <w:divBdr>
            <w:top w:val="none" w:sz="0" w:space="0" w:color="auto"/>
            <w:left w:val="none" w:sz="0" w:space="0" w:color="auto"/>
            <w:bottom w:val="none" w:sz="0" w:space="0" w:color="auto"/>
            <w:right w:val="none" w:sz="0" w:space="0" w:color="auto"/>
          </w:divBdr>
        </w:div>
        <w:div w:id="916981652">
          <w:marLeft w:val="0"/>
          <w:marRight w:val="0"/>
          <w:marTop w:val="0"/>
          <w:marBottom w:val="0"/>
          <w:divBdr>
            <w:top w:val="none" w:sz="0" w:space="0" w:color="auto"/>
            <w:left w:val="none" w:sz="0" w:space="0" w:color="auto"/>
            <w:bottom w:val="none" w:sz="0" w:space="0" w:color="auto"/>
            <w:right w:val="none" w:sz="0" w:space="0" w:color="auto"/>
          </w:divBdr>
        </w:div>
        <w:div w:id="444227157">
          <w:marLeft w:val="0"/>
          <w:marRight w:val="0"/>
          <w:marTop w:val="0"/>
          <w:marBottom w:val="0"/>
          <w:divBdr>
            <w:top w:val="none" w:sz="0" w:space="0" w:color="auto"/>
            <w:left w:val="none" w:sz="0" w:space="0" w:color="auto"/>
            <w:bottom w:val="none" w:sz="0" w:space="0" w:color="auto"/>
            <w:right w:val="none" w:sz="0" w:space="0" w:color="auto"/>
          </w:divBdr>
        </w:div>
        <w:div w:id="2091001205">
          <w:marLeft w:val="0"/>
          <w:marRight w:val="0"/>
          <w:marTop w:val="0"/>
          <w:marBottom w:val="0"/>
          <w:divBdr>
            <w:top w:val="none" w:sz="0" w:space="0" w:color="auto"/>
            <w:left w:val="none" w:sz="0" w:space="0" w:color="auto"/>
            <w:bottom w:val="none" w:sz="0" w:space="0" w:color="auto"/>
            <w:right w:val="none" w:sz="0" w:space="0" w:color="auto"/>
          </w:divBdr>
        </w:div>
        <w:div w:id="1069882344">
          <w:marLeft w:val="0"/>
          <w:marRight w:val="0"/>
          <w:marTop w:val="0"/>
          <w:marBottom w:val="0"/>
          <w:divBdr>
            <w:top w:val="none" w:sz="0" w:space="0" w:color="auto"/>
            <w:left w:val="none" w:sz="0" w:space="0" w:color="auto"/>
            <w:bottom w:val="none" w:sz="0" w:space="0" w:color="auto"/>
            <w:right w:val="none" w:sz="0" w:space="0" w:color="auto"/>
          </w:divBdr>
        </w:div>
        <w:div w:id="935484094">
          <w:marLeft w:val="0"/>
          <w:marRight w:val="0"/>
          <w:marTop w:val="0"/>
          <w:marBottom w:val="0"/>
          <w:divBdr>
            <w:top w:val="none" w:sz="0" w:space="0" w:color="auto"/>
            <w:left w:val="none" w:sz="0" w:space="0" w:color="auto"/>
            <w:bottom w:val="none" w:sz="0" w:space="0" w:color="auto"/>
            <w:right w:val="none" w:sz="0" w:space="0" w:color="auto"/>
          </w:divBdr>
        </w:div>
        <w:div w:id="45876853">
          <w:marLeft w:val="0"/>
          <w:marRight w:val="0"/>
          <w:marTop w:val="0"/>
          <w:marBottom w:val="0"/>
          <w:divBdr>
            <w:top w:val="none" w:sz="0" w:space="0" w:color="auto"/>
            <w:left w:val="none" w:sz="0" w:space="0" w:color="auto"/>
            <w:bottom w:val="none" w:sz="0" w:space="0" w:color="auto"/>
            <w:right w:val="none" w:sz="0" w:space="0" w:color="auto"/>
          </w:divBdr>
        </w:div>
        <w:div w:id="405612872">
          <w:marLeft w:val="0"/>
          <w:marRight w:val="0"/>
          <w:marTop w:val="0"/>
          <w:marBottom w:val="0"/>
          <w:divBdr>
            <w:top w:val="none" w:sz="0" w:space="0" w:color="auto"/>
            <w:left w:val="none" w:sz="0" w:space="0" w:color="auto"/>
            <w:bottom w:val="none" w:sz="0" w:space="0" w:color="auto"/>
            <w:right w:val="none" w:sz="0" w:space="0" w:color="auto"/>
          </w:divBdr>
        </w:div>
        <w:div w:id="1635981285">
          <w:marLeft w:val="0"/>
          <w:marRight w:val="0"/>
          <w:marTop w:val="0"/>
          <w:marBottom w:val="0"/>
          <w:divBdr>
            <w:top w:val="none" w:sz="0" w:space="0" w:color="auto"/>
            <w:left w:val="none" w:sz="0" w:space="0" w:color="auto"/>
            <w:bottom w:val="none" w:sz="0" w:space="0" w:color="auto"/>
            <w:right w:val="none" w:sz="0" w:space="0" w:color="auto"/>
          </w:divBdr>
        </w:div>
        <w:div w:id="1360855487">
          <w:marLeft w:val="0"/>
          <w:marRight w:val="0"/>
          <w:marTop w:val="0"/>
          <w:marBottom w:val="0"/>
          <w:divBdr>
            <w:top w:val="none" w:sz="0" w:space="0" w:color="auto"/>
            <w:left w:val="none" w:sz="0" w:space="0" w:color="auto"/>
            <w:bottom w:val="none" w:sz="0" w:space="0" w:color="auto"/>
            <w:right w:val="none" w:sz="0" w:space="0" w:color="auto"/>
          </w:divBdr>
        </w:div>
        <w:div w:id="1664549639">
          <w:marLeft w:val="0"/>
          <w:marRight w:val="0"/>
          <w:marTop w:val="0"/>
          <w:marBottom w:val="0"/>
          <w:divBdr>
            <w:top w:val="none" w:sz="0" w:space="0" w:color="auto"/>
            <w:left w:val="none" w:sz="0" w:space="0" w:color="auto"/>
            <w:bottom w:val="none" w:sz="0" w:space="0" w:color="auto"/>
            <w:right w:val="none" w:sz="0" w:space="0" w:color="auto"/>
          </w:divBdr>
        </w:div>
        <w:div w:id="2029333060">
          <w:marLeft w:val="0"/>
          <w:marRight w:val="0"/>
          <w:marTop w:val="0"/>
          <w:marBottom w:val="0"/>
          <w:divBdr>
            <w:top w:val="none" w:sz="0" w:space="0" w:color="auto"/>
            <w:left w:val="none" w:sz="0" w:space="0" w:color="auto"/>
            <w:bottom w:val="none" w:sz="0" w:space="0" w:color="auto"/>
            <w:right w:val="none" w:sz="0" w:space="0" w:color="auto"/>
          </w:divBdr>
        </w:div>
        <w:div w:id="1602296848">
          <w:marLeft w:val="0"/>
          <w:marRight w:val="0"/>
          <w:marTop w:val="0"/>
          <w:marBottom w:val="0"/>
          <w:divBdr>
            <w:top w:val="none" w:sz="0" w:space="0" w:color="auto"/>
            <w:left w:val="none" w:sz="0" w:space="0" w:color="auto"/>
            <w:bottom w:val="none" w:sz="0" w:space="0" w:color="auto"/>
            <w:right w:val="none" w:sz="0" w:space="0" w:color="auto"/>
          </w:divBdr>
        </w:div>
        <w:div w:id="1248541628">
          <w:marLeft w:val="0"/>
          <w:marRight w:val="0"/>
          <w:marTop w:val="0"/>
          <w:marBottom w:val="0"/>
          <w:divBdr>
            <w:top w:val="none" w:sz="0" w:space="0" w:color="auto"/>
            <w:left w:val="none" w:sz="0" w:space="0" w:color="auto"/>
            <w:bottom w:val="none" w:sz="0" w:space="0" w:color="auto"/>
            <w:right w:val="none" w:sz="0" w:space="0" w:color="auto"/>
          </w:divBdr>
        </w:div>
        <w:div w:id="337270222">
          <w:marLeft w:val="0"/>
          <w:marRight w:val="0"/>
          <w:marTop w:val="0"/>
          <w:marBottom w:val="0"/>
          <w:divBdr>
            <w:top w:val="none" w:sz="0" w:space="0" w:color="auto"/>
            <w:left w:val="none" w:sz="0" w:space="0" w:color="auto"/>
            <w:bottom w:val="none" w:sz="0" w:space="0" w:color="auto"/>
            <w:right w:val="none" w:sz="0" w:space="0" w:color="auto"/>
          </w:divBdr>
        </w:div>
        <w:div w:id="1106387172">
          <w:marLeft w:val="0"/>
          <w:marRight w:val="0"/>
          <w:marTop w:val="0"/>
          <w:marBottom w:val="0"/>
          <w:divBdr>
            <w:top w:val="none" w:sz="0" w:space="0" w:color="auto"/>
            <w:left w:val="none" w:sz="0" w:space="0" w:color="auto"/>
            <w:bottom w:val="none" w:sz="0" w:space="0" w:color="auto"/>
            <w:right w:val="none" w:sz="0" w:space="0" w:color="auto"/>
          </w:divBdr>
        </w:div>
        <w:div w:id="1728258069">
          <w:marLeft w:val="0"/>
          <w:marRight w:val="0"/>
          <w:marTop w:val="0"/>
          <w:marBottom w:val="0"/>
          <w:divBdr>
            <w:top w:val="none" w:sz="0" w:space="0" w:color="auto"/>
            <w:left w:val="none" w:sz="0" w:space="0" w:color="auto"/>
            <w:bottom w:val="none" w:sz="0" w:space="0" w:color="auto"/>
            <w:right w:val="none" w:sz="0" w:space="0" w:color="auto"/>
          </w:divBdr>
        </w:div>
        <w:div w:id="1337415376">
          <w:marLeft w:val="0"/>
          <w:marRight w:val="0"/>
          <w:marTop w:val="0"/>
          <w:marBottom w:val="0"/>
          <w:divBdr>
            <w:top w:val="none" w:sz="0" w:space="0" w:color="auto"/>
            <w:left w:val="none" w:sz="0" w:space="0" w:color="auto"/>
            <w:bottom w:val="none" w:sz="0" w:space="0" w:color="auto"/>
            <w:right w:val="none" w:sz="0" w:space="0" w:color="auto"/>
          </w:divBdr>
        </w:div>
        <w:div w:id="884147814">
          <w:marLeft w:val="0"/>
          <w:marRight w:val="0"/>
          <w:marTop w:val="0"/>
          <w:marBottom w:val="0"/>
          <w:divBdr>
            <w:top w:val="none" w:sz="0" w:space="0" w:color="auto"/>
            <w:left w:val="none" w:sz="0" w:space="0" w:color="auto"/>
            <w:bottom w:val="none" w:sz="0" w:space="0" w:color="auto"/>
            <w:right w:val="none" w:sz="0" w:space="0" w:color="auto"/>
          </w:divBdr>
        </w:div>
        <w:div w:id="116802130">
          <w:marLeft w:val="0"/>
          <w:marRight w:val="0"/>
          <w:marTop w:val="0"/>
          <w:marBottom w:val="0"/>
          <w:divBdr>
            <w:top w:val="none" w:sz="0" w:space="0" w:color="auto"/>
            <w:left w:val="none" w:sz="0" w:space="0" w:color="auto"/>
            <w:bottom w:val="none" w:sz="0" w:space="0" w:color="auto"/>
            <w:right w:val="none" w:sz="0" w:space="0" w:color="auto"/>
          </w:divBdr>
        </w:div>
        <w:div w:id="1945065928">
          <w:marLeft w:val="0"/>
          <w:marRight w:val="0"/>
          <w:marTop w:val="0"/>
          <w:marBottom w:val="0"/>
          <w:divBdr>
            <w:top w:val="none" w:sz="0" w:space="0" w:color="auto"/>
            <w:left w:val="none" w:sz="0" w:space="0" w:color="auto"/>
            <w:bottom w:val="none" w:sz="0" w:space="0" w:color="auto"/>
            <w:right w:val="none" w:sz="0" w:space="0" w:color="auto"/>
          </w:divBdr>
        </w:div>
        <w:div w:id="180898157">
          <w:marLeft w:val="0"/>
          <w:marRight w:val="0"/>
          <w:marTop w:val="0"/>
          <w:marBottom w:val="0"/>
          <w:divBdr>
            <w:top w:val="none" w:sz="0" w:space="0" w:color="auto"/>
            <w:left w:val="none" w:sz="0" w:space="0" w:color="auto"/>
            <w:bottom w:val="none" w:sz="0" w:space="0" w:color="auto"/>
            <w:right w:val="none" w:sz="0" w:space="0" w:color="auto"/>
          </w:divBdr>
        </w:div>
        <w:div w:id="655958518">
          <w:marLeft w:val="0"/>
          <w:marRight w:val="0"/>
          <w:marTop w:val="0"/>
          <w:marBottom w:val="0"/>
          <w:divBdr>
            <w:top w:val="none" w:sz="0" w:space="0" w:color="auto"/>
            <w:left w:val="none" w:sz="0" w:space="0" w:color="auto"/>
            <w:bottom w:val="none" w:sz="0" w:space="0" w:color="auto"/>
            <w:right w:val="none" w:sz="0" w:space="0" w:color="auto"/>
          </w:divBdr>
        </w:div>
        <w:div w:id="774205240">
          <w:marLeft w:val="0"/>
          <w:marRight w:val="0"/>
          <w:marTop w:val="0"/>
          <w:marBottom w:val="0"/>
          <w:divBdr>
            <w:top w:val="none" w:sz="0" w:space="0" w:color="auto"/>
            <w:left w:val="none" w:sz="0" w:space="0" w:color="auto"/>
            <w:bottom w:val="none" w:sz="0" w:space="0" w:color="auto"/>
            <w:right w:val="none" w:sz="0" w:space="0" w:color="auto"/>
          </w:divBdr>
        </w:div>
        <w:div w:id="1012687103">
          <w:marLeft w:val="0"/>
          <w:marRight w:val="0"/>
          <w:marTop w:val="0"/>
          <w:marBottom w:val="0"/>
          <w:divBdr>
            <w:top w:val="none" w:sz="0" w:space="0" w:color="auto"/>
            <w:left w:val="none" w:sz="0" w:space="0" w:color="auto"/>
            <w:bottom w:val="none" w:sz="0" w:space="0" w:color="auto"/>
            <w:right w:val="none" w:sz="0" w:space="0" w:color="auto"/>
          </w:divBdr>
        </w:div>
        <w:div w:id="60949628">
          <w:marLeft w:val="0"/>
          <w:marRight w:val="0"/>
          <w:marTop w:val="0"/>
          <w:marBottom w:val="0"/>
          <w:divBdr>
            <w:top w:val="none" w:sz="0" w:space="0" w:color="auto"/>
            <w:left w:val="none" w:sz="0" w:space="0" w:color="auto"/>
            <w:bottom w:val="none" w:sz="0" w:space="0" w:color="auto"/>
            <w:right w:val="none" w:sz="0" w:space="0" w:color="auto"/>
          </w:divBdr>
        </w:div>
        <w:div w:id="1875271166">
          <w:marLeft w:val="0"/>
          <w:marRight w:val="0"/>
          <w:marTop w:val="0"/>
          <w:marBottom w:val="0"/>
          <w:divBdr>
            <w:top w:val="none" w:sz="0" w:space="0" w:color="auto"/>
            <w:left w:val="none" w:sz="0" w:space="0" w:color="auto"/>
            <w:bottom w:val="none" w:sz="0" w:space="0" w:color="auto"/>
            <w:right w:val="none" w:sz="0" w:space="0" w:color="auto"/>
          </w:divBdr>
        </w:div>
        <w:div w:id="1914466671">
          <w:marLeft w:val="0"/>
          <w:marRight w:val="0"/>
          <w:marTop w:val="0"/>
          <w:marBottom w:val="0"/>
          <w:divBdr>
            <w:top w:val="none" w:sz="0" w:space="0" w:color="auto"/>
            <w:left w:val="none" w:sz="0" w:space="0" w:color="auto"/>
            <w:bottom w:val="none" w:sz="0" w:space="0" w:color="auto"/>
            <w:right w:val="none" w:sz="0" w:space="0" w:color="auto"/>
          </w:divBdr>
        </w:div>
        <w:div w:id="1886603936">
          <w:marLeft w:val="0"/>
          <w:marRight w:val="0"/>
          <w:marTop w:val="0"/>
          <w:marBottom w:val="0"/>
          <w:divBdr>
            <w:top w:val="none" w:sz="0" w:space="0" w:color="auto"/>
            <w:left w:val="none" w:sz="0" w:space="0" w:color="auto"/>
            <w:bottom w:val="none" w:sz="0" w:space="0" w:color="auto"/>
            <w:right w:val="none" w:sz="0" w:space="0" w:color="auto"/>
          </w:divBdr>
        </w:div>
        <w:div w:id="1326978842">
          <w:marLeft w:val="0"/>
          <w:marRight w:val="0"/>
          <w:marTop w:val="0"/>
          <w:marBottom w:val="0"/>
          <w:divBdr>
            <w:top w:val="none" w:sz="0" w:space="0" w:color="auto"/>
            <w:left w:val="none" w:sz="0" w:space="0" w:color="auto"/>
            <w:bottom w:val="none" w:sz="0" w:space="0" w:color="auto"/>
            <w:right w:val="none" w:sz="0" w:space="0" w:color="auto"/>
          </w:divBdr>
        </w:div>
        <w:div w:id="2098093360">
          <w:marLeft w:val="0"/>
          <w:marRight w:val="0"/>
          <w:marTop w:val="0"/>
          <w:marBottom w:val="0"/>
          <w:divBdr>
            <w:top w:val="none" w:sz="0" w:space="0" w:color="auto"/>
            <w:left w:val="none" w:sz="0" w:space="0" w:color="auto"/>
            <w:bottom w:val="none" w:sz="0" w:space="0" w:color="auto"/>
            <w:right w:val="none" w:sz="0" w:space="0" w:color="auto"/>
          </w:divBdr>
        </w:div>
        <w:div w:id="646975910">
          <w:marLeft w:val="0"/>
          <w:marRight w:val="0"/>
          <w:marTop w:val="0"/>
          <w:marBottom w:val="0"/>
          <w:divBdr>
            <w:top w:val="none" w:sz="0" w:space="0" w:color="auto"/>
            <w:left w:val="none" w:sz="0" w:space="0" w:color="auto"/>
            <w:bottom w:val="none" w:sz="0" w:space="0" w:color="auto"/>
            <w:right w:val="none" w:sz="0" w:space="0" w:color="auto"/>
          </w:divBdr>
        </w:div>
        <w:div w:id="1463158595">
          <w:marLeft w:val="0"/>
          <w:marRight w:val="0"/>
          <w:marTop w:val="0"/>
          <w:marBottom w:val="0"/>
          <w:divBdr>
            <w:top w:val="none" w:sz="0" w:space="0" w:color="auto"/>
            <w:left w:val="none" w:sz="0" w:space="0" w:color="auto"/>
            <w:bottom w:val="none" w:sz="0" w:space="0" w:color="auto"/>
            <w:right w:val="none" w:sz="0" w:space="0" w:color="auto"/>
          </w:divBdr>
        </w:div>
        <w:div w:id="639041537">
          <w:marLeft w:val="0"/>
          <w:marRight w:val="0"/>
          <w:marTop w:val="0"/>
          <w:marBottom w:val="0"/>
          <w:divBdr>
            <w:top w:val="none" w:sz="0" w:space="0" w:color="auto"/>
            <w:left w:val="none" w:sz="0" w:space="0" w:color="auto"/>
            <w:bottom w:val="none" w:sz="0" w:space="0" w:color="auto"/>
            <w:right w:val="none" w:sz="0" w:space="0" w:color="auto"/>
          </w:divBdr>
        </w:div>
        <w:div w:id="546840505">
          <w:marLeft w:val="0"/>
          <w:marRight w:val="0"/>
          <w:marTop w:val="0"/>
          <w:marBottom w:val="0"/>
          <w:divBdr>
            <w:top w:val="none" w:sz="0" w:space="0" w:color="auto"/>
            <w:left w:val="none" w:sz="0" w:space="0" w:color="auto"/>
            <w:bottom w:val="none" w:sz="0" w:space="0" w:color="auto"/>
            <w:right w:val="none" w:sz="0" w:space="0" w:color="auto"/>
          </w:divBdr>
        </w:div>
        <w:div w:id="662051811">
          <w:marLeft w:val="0"/>
          <w:marRight w:val="0"/>
          <w:marTop w:val="0"/>
          <w:marBottom w:val="0"/>
          <w:divBdr>
            <w:top w:val="none" w:sz="0" w:space="0" w:color="auto"/>
            <w:left w:val="none" w:sz="0" w:space="0" w:color="auto"/>
            <w:bottom w:val="none" w:sz="0" w:space="0" w:color="auto"/>
            <w:right w:val="none" w:sz="0" w:space="0" w:color="auto"/>
          </w:divBdr>
        </w:div>
        <w:div w:id="422773049">
          <w:marLeft w:val="0"/>
          <w:marRight w:val="0"/>
          <w:marTop w:val="0"/>
          <w:marBottom w:val="0"/>
          <w:divBdr>
            <w:top w:val="none" w:sz="0" w:space="0" w:color="auto"/>
            <w:left w:val="none" w:sz="0" w:space="0" w:color="auto"/>
            <w:bottom w:val="none" w:sz="0" w:space="0" w:color="auto"/>
            <w:right w:val="none" w:sz="0" w:space="0" w:color="auto"/>
          </w:divBdr>
        </w:div>
        <w:div w:id="1677688048">
          <w:marLeft w:val="0"/>
          <w:marRight w:val="0"/>
          <w:marTop w:val="0"/>
          <w:marBottom w:val="0"/>
          <w:divBdr>
            <w:top w:val="none" w:sz="0" w:space="0" w:color="auto"/>
            <w:left w:val="none" w:sz="0" w:space="0" w:color="auto"/>
            <w:bottom w:val="none" w:sz="0" w:space="0" w:color="auto"/>
            <w:right w:val="none" w:sz="0" w:space="0" w:color="auto"/>
          </w:divBdr>
        </w:div>
        <w:div w:id="1195578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TMP\finance-docx\Oracle\Oracle-19.11.30-10-Q.htm" TargetMode="External"/><Relationship Id="rId21" Type="http://schemas.openxmlformats.org/officeDocument/2006/relationships/hyperlink" Target="file:///D:\TMP\finance-docx\Oracle\Oracle-19.11.30-10-Q.htm" TargetMode="External"/><Relationship Id="rId42" Type="http://schemas.openxmlformats.org/officeDocument/2006/relationships/hyperlink" Target="file:///D:\TMP\finance-docx\Oracle\Oracle-19.11.30-10-Q.htm" TargetMode="External"/><Relationship Id="rId47" Type="http://schemas.openxmlformats.org/officeDocument/2006/relationships/hyperlink" Target="file:///D:\TMP\finance-docx\Oracle\Oracle-19.11.30-10-Q.htm" TargetMode="External"/><Relationship Id="rId63" Type="http://schemas.openxmlformats.org/officeDocument/2006/relationships/hyperlink" Target="file:///D:\TMP\finance-docx\Oracle\Oracle-19.11.30-10-Q.htm" TargetMode="External"/><Relationship Id="rId68" Type="http://schemas.openxmlformats.org/officeDocument/2006/relationships/hyperlink" Target="file:///D:\TMP\finance-docx\Oracle\Oracle-19.11.30-10-Q.htm" TargetMode="External"/><Relationship Id="rId2" Type="http://schemas.openxmlformats.org/officeDocument/2006/relationships/settings" Target="settings.xml"/><Relationship Id="rId16" Type="http://schemas.openxmlformats.org/officeDocument/2006/relationships/hyperlink" Target="file:///D:\TMP\finance-docx\Oracle\Oracle-19.11.30-10-Q.htm" TargetMode="External"/><Relationship Id="rId29" Type="http://schemas.openxmlformats.org/officeDocument/2006/relationships/hyperlink" Target="file:///D:\TMP\finance-docx\Oracle\Oracle-19.11.30-10-Q.htm" TargetMode="External"/><Relationship Id="rId11" Type="http://schemas.openxmlformats.org/officeDocument/2006/relationships/hyperlink" Target="file:///D:\TMP\finance-docx\Oracle\Oracle-19.11.30-10-Q.htm" TargetMode="External"/><Relationship Id="rId24" Type="http://schemas.openxmlformats.org/officeDocument/2006/relationships/hyperlink" Target="file:///D:\TMP\finance-docx\Oracle\Oracle-19.11.30-10-Q.htm" TargetMode="External"/><Relationship Id="rId32" Type="http://schemas.openxmlformats.org/officeDocument/2006/relationships/hyperlink" Target="file:///D:\TMP\finance-docx\Oracle\Oracle-19.11.30-10-Q.htm" TargetMode="External"/><Relationship Id="rId37" Type="http://schemas.openxmlformats.org/officeDocument/2006/relationships/hyperlink" Target="file:///D:\TMP\finance-docx\Oracle\Oracle-19.11.30-10-Q.htm" TargetMode="External"/><Relationship Id="rId40" Type="http://schemas.openxmlformats.org/officeDocument/2006/relationships/hyperlink" Target="file:///D:\TMP\finance-docx\Oracle\Oracle-19.11.30-10-Q.htm" TargetMode="External"/><Relationship Id="rId45" Type="http://schemas.openxmlformats.org/officeDocument/2006/relationships/hyperlink" Target="file:///D:\TMP\finance-docx\Oracle\Oracle-19.11.30-10-Q.htm" TargetMode="External"/><Relationship Id="rId53" Type="http://schemas.openxmlformats.org/officeDocument/2006/relationships/hyperlink" Target="file:///D:\TMP\finance-docx\Oracle\Oracle-19.11.30-10-Q.htm" TargetMode="External"/><Relationship Id="rId58" Type="http://schemas.openxmlformats.org/officeDocument/2006/relationships/hyperlink" Target="file:///D:\TMP\finance-docx\Oracle\Oracle-19.11.30-10-Q.htm" TargetMode="External"/><Relationship Id="rId66" Type="http://schemas.openxmlformats.org/officeDocument/2006/relationships/hyperlink" Target="file:///D:\TMP\finance-docx\Oracle\Oracle-19.11.30-10-Q.htm" TargetMode="External"/><Relationship Id="rId74" Type="http://schemas.openxmlformats.org/officeDocument/2006/relationships/theme" Target="theme/theme1.xml"/><Relationship Id="rId5" Type="http://schemas.openxmlformats.org/officeDocument/2006/relationships/hyperlink" Target="file:///D:\TMP\finance-docx\Oracle\Oracle-19.11.30-10-Q.htm" TargetMode="External"/><Relationship Id="rId61" Type="http://schemas.openxmlformats.org/officeDocument/2006/relationships/hyperlink" Target="file:///D:\TMP\finance-docx\Oracle\Oracle-19.11.30-10-Q.htm" TargetMode="External"/><Relationship Id="rId19" Type="http://schemas.openxmlformats.org/officeDocument/2006/relationships/hyperlink" Target="file:///D:\TMP\finance-docx\Oracle\Oracle-19.11.30-10-Q.htm" TargetMode="External"/><Relationship Id="rId14" Type="http://schemas.openxmlformats.org/officeDocument/2006/relationships/hyperlink" Target="file:///D:\TMP\finance-docx\Oracle\Oracle-19.11.30-10-Q.htm" TargetMode="External"/><Relationship Id="rId22" Type="http://schemas.openxmlformats.org/officeDocument/2006/relationships/hyperlink" Target="file:///D:\TMP\finance-docx\Oracle\Oracle-19.11.30-10-Q.htm" TargetMode="External"/><Relationship Id="rId27" Type="http://schemas.openxmlformats.org/officeDocument/2006/relationships/hyperlink" Target="file:///D:\TMP\finance-docx\Oracle\Oracle-19.11.30-10-Q.htm" TargetMode="External"/><Relationship Id="rId30" Type="http://schemas.openxmlformats.org/officeDocument/2006/relationships/hyperlink" Target="file:///D:\TMP\finance-docx\Oracle\Oracle-19.11.30-10-Q.htm" TargetMode="External"/><Relationship Id="rId35" Type="http://schemas.openxmlformats.org/officeDocument/2006/relationships/hyperlink" Target="file:///D:\TMP\finance-docx\Oracle\Oracle-19.11.30-10-Q.htm" TargetMode="External"/><Relationship Id="rId43" Type="http://schemas.openxmlformats.org/officeDocument/2006/relationships/hyperlink" Target="file:///D:\TMP\finance-docx\Oracle\Oracle-19.11.30-10-Q.htm" TargetMode="External"/><Relationship Id="rId48" Type="http://schemas.openxmlformats.org/officeDocument/2006/relationships/hyperlink" Target="file:///D:\TMP\finance-docx\Oracle\Oracle-19.11.30-10-Q.htm" TargetMode="External"/><Relationship Id="rId56" Type="http://schemas.openxmlformats.org/officeDocument/2006/relationships/hyperlink" Target="file:///D:\TMP\finance-docx\Oracle\Oracle-19.11.30-10-Q.htm" TargetMode="External"/><Relationship Id="rId64" Type="http://schemas.openxmlformats.org/officeDocument/2006/relationships/hyperlink" Target="file:///D:\TMP\finance-docx\Oracle\Oracle-19.11.30-10-Q.htm" TargetMode="External"/><Relationship Id="rId69" Type="http://schemas.openxmlformats.org/officeDocument/2006/relationships/hyperlink" Target="file:///D:\TMP\finance-docx\Oracle\orcl-ex1015_108.htm" TargetMode="External"/><Relationship Id="rId8" Type="http://schemas.openxmlformats.org/officeDocument/2006/relationships/hyperlink" Target="file:///D:\TMP\finance-docx\Oracle\Oracle-19.11.30-10-Q.htm" TargetMode="External"/><Relationship Id="rId51" Type="http://schemas.openxmlformats.org/officeDocument/2006/relationships/hyperlink" Target="file:///D:\TMP\finance-docx\Oracle\Oracle-19.11.30-10-Q.htm" TargetMode="External"/><Relationship Id="rId72" Type="http://schemas.openxmlformats.org/officeDocument/2006/relationships/hyperlink" Target="file:///D:\TMP\finance-docx\Oracle\Oracle-19.11.30-10-Q.htm" TargetMode="External"/><Relationship Id="rId3" Type="http://schemas.openxmlformats.org/officeDocument/2006/relationships/webSettings" Target="webSettings.xml"/><Relationship Id="rId12" Type="http://schemas.openxmlformats.org/officeDocument/2006/relationships/hyperlink" Target="file:///D:\TMP\finance-docx\Oracle\Oracle-19.11.30-10-Q.htm" TargetMode="External"/><Relationship Id="rId17" Type="http://schemas.openxmlformats.org/officeDocument/2006/relationships/hyperlink" Target="file:///D:\TMP\finance-docx\Oracle\Oracle-19.11.30-10-Q.htm" TargetMode="External"/><Relationship Id="rId25" Type="http://schemas.openxmlformats.org/officeDocument/2006/relationships/hyperlink" Target="file:///D:\TMP\finance-docx\Oracle\Oracle-19.11.30-10-Q.htm" TargetMode="External"/><Relationship Id="rId33" Type="http://schemas.openxmlformats.org/officeDocument/2006/relationships/hyperlink" Target="file:///D:\TMP\finance-docx\Oracle\Oracle-19.11.30-10-Q.htm" TargetMode="External"/><Relationship Id="rId38" Type="http://schemas.openxmlformats.org/officeDocument/2006/relationships/hyperlink" Target="file:///D:\TMP\finance-docx\Oracle\Oracle-19.11.30-10-Q.htm" TargetMode="External"/><Relationship Id="rId46" Type="http://schemas.openxmlformats.org/officeDocument/2006/relationships/hyperlink" Target="file:///D:\TMP\finance-docx\Oracle\Oracle-19.11.30-10-Q.htm" TargetMode="External"/><Relationship Id="rId59" Type="http://schemas.openxmlformats.org/officeDocument/2006/relationships/hyperlink" Target="file:///D:\TMP\finance-docx\Oracle\Oracle-19.11.30-10-Q.htm" TargetMode="External"/><Relationship Id="rId67" Type="http://schemas.openxmlformats.org/officeDocument/2006/relationships/hyperlink" Target="file:///D:\TMP\finance-docx\Oracle\Oracle-19.11.30-10-Q.htm" TargetMode="External"/><Relationship Id="rId20" Type="http://schemas.openxmlformats.org/officeDocument/2006/relationships/hyperlink" Target="file:///D:\TMP\finance-docx\Oracle\Oracle-19.11.30-10-Q.htm" TargetMode="External"/><Relationship Id="rId41" Type="http://schemas.openxmlformats.org/officeDocument/2006/relationships/hyperlink" Target="file:///D:\TMP\finance-docx\Oracle\Oracle-19.11.30-10-Q.htm" TargetMode="External"/><Relationship Id="rId54" Type="http://schemas.openxmlformats.org/officeDocument/2006/relationships/hyperlink" Target="file:///D:\TMP\finance-docx\Oracle\Oracle-19.11.30-10-Q.htm" TargetMode="External"/><Relationship Id="rId62" Type="http://schemas.openxmlformats.org/officeDocument/2006/relationships/hyperlink" Target="file:///D:\TMP\finance-docx\Oracle\Oracle-19.11.30-10-Q.htm" TargetMode="External"/><Relationship Id="rId70" Type="http://schemas.openxmlformats.org/officeDocument/2006/relationships/hyperlink" Target="file:///D:\TMP\finance-docx\Oracle\orcl-ex3101_8.htm" TargetMode="External"/><Relationship Id="rId1" Type="http://schemas.openxmlformats.org/officeDocument/2006/relationships/styles" Target="styles.xml"/><Relationship Id="rId6" Type="http://schemas.openxmlformats.org/officeDocument/2006/relationships/hyperlink" Target="file:///D:\TMP\finance-docx\Oracle\Oracle-19.11.30-10-Q.htm" TargetMode="External"/><Relationship Id="rId15" Type="http://schemas.openxmlformats.org/officeDocument/2006/relationships/hyperlink" Target="file:///D:\TMP\finance-docx\Oracle\Oracle-19.11.30-10-Q.htm" TargetMode="External"/><Relationship Id="rId23" Type="http://schemas.openxmlformats.org/officeDocument/2006/relationships/hyperlink" Target="file:///D:\TMP\finance-docx\Oracle\Oracle-19.11.30-10-Q.htm" TargetMode="External"/><Relationship Id="rId28" Type="http://schemas.openxmlformats.org/officeDocument/2006/relationships/hyperlink" Target="file:///D:\TMP\finance-docx\Oracle\Oracle-19.11.30-10-Q.htm" TargetMode="External"/><Relationship Id="rId36" Type="http://schemas.openxmlformats.org/officeDocument/2006/relationships/hyperlink" Target="file:///D:\TMP\finance-docx\Oracle\Oracle-19.11.30-10-Q.htm" TargetMode="External"/><Relationship Id="rId49" Type="http://schemas.openxmlformats.org/officeDocument/2006/relationships/hyperlink" Target="file:///D:\TMP\finance-docx\Oracle\Oracle-19.11.30-10-Q.htm" TargetMode="External"/><Relationship Id="rId57" Type="http://schemas.openxmlformats.org/officeDocument/2006/relationships/hyperlink" Target="file:///D:\TMP\finance-docx\Oracle\Oracle-19.11.30-10-Q.htm" TargetMode="External"/><Relationship Id="rId10" Type="http://schemas.openxmlformats.org/officeDocument/2006/relationships/hyperlink" Target="file:///D:\TMP\finance-docx\Oracle\Oracle-19.11.30-10-Q.htm" TargetMode="External"/><Relationship Id="rId31" Type="http://schemas.openxmlformats.org/officeDocument/2006/relationships/hyperlink" Target="file:///D:\TMP\finance-docx\Oracle\Oracle-19.11.30-10-Q.htm" TargetMode="External"/><Relationship Id="rId44" Type="http://schemas.openxmlformats.org/officeDocument/2006/relationships/hyperlink" Target="file:///D:\TMP\finance-docx\Oracle\Oracle-19.11.30-10-Q.htm" TargetMode="External"/><Relationship Id="rId52" Type="http://schemas.openxmlformats.org/officeDocument/2006/relationships/hyperlink" Target="file:///D:\TMP\finance-docx\Oracle\Oracle-19.11.30-10-Q.htm" TargetMode="External"/><Relationship Id="rId60" Type="http://schemas.openxmlformats.org/officeDocument/2006/relationships/hyperlink" Target="file:///D:\TMP\finance-docx\Oracle\Oracle-19.11.30-10-Q.htm" TargetMode="External"/><Relationship Id="rId65" Type="http://schemas.openxmlformats.org/officeDocument/2006/relationships/hyperlink" Target="file:///D:\TMP\finance-docx\Oracle\Oracle-19.11.30-10-Q.htm" TargetMode="External"/><Relationship Id="rId73" Type="http://schemas.openxmlformats.org/officeDocument/2006/relationships/fontTable" Target="fontTable.xml"/><Relationship Id="rId4" Type="http://schemas.openxmlformats.org/officeDocument/2006/relationships/hyperlink" Target="file:///D:\TMP\finance-docx\Oracle\Oracle-19.11.30-10-Q.htm" TargetMode="External"/><Relationship Id="rId9" Type="http://schemas.openxmlformats.org/officeDocument/2006/relationships/hyperlink" Target="file:///D:\TMP\finance-docx\Oracle\Oracle-19.11.30-10-Q.htm" TargetMode="External"/><Relationship Id="rId13" Type="http://schemas.openxmlformats.org/officeDocument/2006/relationships/hyperlink" Target="file:///D:\TMP\finance-docx\Oracle\Oracle-19.11.30-10-Q.htm" TargetMode="External"/><Relationship Id="rId18" Type="http://schemas.openxmlformats.org/officeDocument/2006/relationships/hyperlink" Target="file:///D:\TMP\finance-docx\Oracle\Oracle-19.11.30-10-Q.htm" TargetMode="External"/><Relationship Id="rId39" Type="http://schemas.openxmlformats.org/officeDocument/2006/relationships/hyperlink" Target="file:///D:\TMP\finance-docx\Oracle\Oracle-19.11.30-10-Q.htm" TargetMode="External"/><Relationship Id="rId34" Type="http://schemas.openxmlformats.org/officeDocument/2006/relationships/hyperlink" Target="file:///D:\TMP\finance-docx\Oracle\Oracle-19.11.30-10-Q.htm" TargetMode="External"/><Relationship Id="rId50" Type="http://schemas.openxmlformats.org/officeDocument/2006/relationships/hyperlink" Target="file:///D:\TMP\finance-docx\Oracle\Oracle-19.11.30-10-Q.htm" TargetMode="External"/><Relationship Id="rId55" Type="http://schemas.openxmlformats.org/officeDocument/2006/relationships/hyperlink" Target="file:///D:\TMP\finance-docx\Oracle\Oracle-19.11.30-10-Q.htm" TargetMode="External"/><Relationship Id="rId7" Type="http://schemas.openxmlformats.org/officeDocument/2006/relationships/hyperlink" Target="file:///D:\TMP\finance-docx\Oracle\Oracle-19.11.30-10-Q.htm" TargetMode="External"/><Relationship Id="rId71" Type="http://schemas.openxmlformats.org/officeDocument/2006/relationships/hyperlink" Target="file:///D:\TMP\finance-docx\Oracle\orcl-ex3201_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25980</Words>
  <Characters>148092</Characters>
  <Application>Microsoft Office Word</Application>
  <DocSecurity>0</DocSecurity>
  <Lines>1234</Lines>
  <Paragraphs>347</Paragraphs>
  <ScaleCrop>false</ScaleCrop>
  <Company/>
  <LinksUpToDate>false</LinksUpToDate>
  <CharactersWithSpaces>173725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 Yue (FA Talent)</dc:creator>
  <cp:keywords/>
  <dc:description/>
  <cp:lastModifiedBy>Chongjian Yue (FA Talent)</cp:lastModifiedBy>
  <cp:revision>3</cp:revision>
  <dcterms:created xsi:type="dcterms:W3CDTF">2023-04-06T06:15:00Z</dcterms:created>
  <dcterms:modified xsi:type="dcterms:W3CDTF">2023-04-06T09:31:00Z</dcterms:modified>
</cp:coreProperties>
</file>